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16DC31">
      <w:pPr>
        <w:adjustRightInd w:val="0"/>
        <w:snapToGrid w:val="0"/>
      </w:pPr>
    </w:p>
    <w:p w14:paraId="368690F2">
      <w:pPr>
        <w:adjustRightInd w:val="0"/>
        <w:snapToGrid w:val="0"/>
      </w:pPr>
    </w:p>
    <w:p w14:paraId="13F67A35">
      <w:pPr>
        <w:tabs>
          <w:tab w:val="left" w:pos="4876"/>
        </w:tabs>
        <w:adjustRightInd w:val="0"/>
        <w:snapToGrid w:val="0"/>
        <w:spacing w:line="360" w:lineRule="auto"/>
        <w:jc w:val="left"/>
        <w:rPr>
          <w:rFonts w:eastAsia="黑体"/>
          <w:b/>
          <w:sz w:val="40"/>
          <w:szCs w:val="52"/>
        </w:rPr>
      </w:pPr>
      <w:bookmarkStart w:id="0" w:name="OLE_LINK1"/>
      <w:r>
        <w:rPr>
          <w:rFonts w:eastAsia="黑体"/>
          <w:b/>
          <w:sz w:val="40"/>
          <w:szCs w:val="52"/>
        </w:rPr>
        <w:tab/>
      </w:r>
    </w:p>
    <w:p w14:paraId="7E273F5E">
      <w:pPr>
        <w:keepNext w:val="0"/>
        <w:keepLines w:val="0"/>
        <w:pageBreakBefore w:val="0"/>
        <w:widowControl w:val="0"/>
        <w:kinsoku/>
        <w:wordWrap/>
        <w:overflowPunct/>
        <w:topLinePunct w:val="0"/>
        <w:autoSpaceDE/>
        <w:autoSpaceDN/>
        <w:bidi w:val="0"/>
        <w:adjustRightInd w:val="0"/>
        <w:snapToGrid w:val="0"/>
        <w:spacing w:line="760" w:lineRule="exact"/>
        <w:jc w:val="center"/>
        <w:textAlignment w:val="auto"/>
        <w:rPr>
          <w:rFonts w:hint="eastAsia" w:ascii="楷体_GB2312" w:hAnsi="Arial" w:eastAsia="楷体_GB2312" w:cs="Arial"/>
          <w:b/>
          <w:color w:val="auto"/>
          <w:spacing w:val="-30"/>
          <w:kern w:val="0"/>
          <w:sz w:val="52"/>
          <w:szCs w:val="52"/>
          <w:highlight w:val="none"/>
          <w:lang w:val="en-US" w:eastAsia="zh-CN"/>
        </w:rPr>
      </w:pPr>
      <w:r>
        <w:rPr>
          <w:rFonts w:hint="eastAsia" w:ascii="楷体_GB2312" w:hAnsi="Arial" w:eastAsia="楷体_GB2312" w:cs="Arial"/>
          <w:b/>
          <w:color w:val="auto"/>
          <w:spacing w:val="-30"/>
          <w:kern w:val="0"/>
          <w:sz w:val="52"/>
          <w:szCs w:val="52"/>
          <w:highlight w:val="none"/>
          <w:lang w:val="en-US" w:eastAsia="zh-CN"/>
        </w:rPr>
        <w:t>丰都县海螺沟水库工程</w:t>
      </w:r>
    </w:p>
    <w:p w14:paraId="18634124">
      <w:pPr>
        <w:adjustRightInd w:val="0"/>
        <w:snapToGrid w:val="0"/>
        <w:spacing w:line="360" w:lineRule="auto"/>
        <w:jc w:val="center"/>
        <w:rPr>
          <w:rFonts w:hint="eastAsia" w:eastAsia="黑体"/>
          <w:b/>
          <w:sz w:val="84"/>
          <w:szCs w:val="84"/>
        </w:rPr>
      </w:pPr>
    </w:p>
    <w:p w14:paraId="1F4A53FE">
      <w:pPr>
        <w:adjustRightInd w:val="0"/>
        <w:snapToGrid w:val="0"/>
        <w:jc w:val="center"/>
        <w:rPr>
          <w:rFonts w:hint="eastAsia" w:ascii="楷体_GB2312" w:hAnsi="Arial" w:eastAsia="楷体_GB2312" w:cs="Arial"/>
          <w:b/>
          <w:bCs/>
          <w:color w:val="auto"/>
          <w:spacing w:val="-30"/>
          <w:kern w:val="0"/>
          <w:sz w:val="96"/>
          <w:szCs w:val="120"/>
          <w:highlight w:val="none"/>
        </w:rPr>
      </w:pPr>
      <w:r>
        <w:rPr>
          <w:rFonts w:hint="eastAsia" w:ascii="楷体_GB2312" w:hAnsi="Arial" w:eastAsia="楷体_GB2312" w:cs="Arial"/>
          <w:b/>
          <w:bCs/>
          <w:color w:val="auto"/>
          <w:spacing w:val="-30"/>
          <w:kern w:val="0"/>
          <w:sz w:val="96"/>
          <w:szCs w:val="120"/>
          <w:highlight w:val="none"/>
        </w:rPr>
        <w:t>环境影响报告书</w:t>
      </w:r>
    </w:p>
    <w:bookmarkEnd w:id="0"/>
    <w:p w14:paraId="3AD7E330">
      <w:pPr>
        <w:adjustRightInd w:val="0"/>
        <w:snapToGrid w:val="0"/>
        <w:jc w:val="center"/>
        <w:rPr>
          <w:rFonts w:hint="eastAsia" w:ascii="楷体_GB2312" w:hAnsi="Arial" w:eastAsia="楷体_GB2312" w:cs="Arial"/>
          <w:b/>
          <w:color w:val="auto"/>
          <w:spacing w:val="-20"/>
          <w:kern w:val="0"/>
          <w:sz w:val="44"/>
          <w:szCs w:val="44"/>
          <w:highlight w:val="none"/>
          <w:lang w:eastAsia="zh-CN"/>
        </w:rPr>
      </w:pPr>
      <w:r>
        <w:rPr>
          <w:rFonts w:hint="eastAsia" w:ascii="楷体_GB2312" w:hAnsi="Arial" w:eastAsia="楷体_GB2312" w:cs="Arial"/>
          <w:b/>
          <w:color w:val="auto"/>
          <w:spacing w:val="-20"/>
          <w:kern w:val="0"/>
          <w:sz w:val="44"/>
          <w:szCs w:val="44"/>
          <w:highlight w:val="none"/>
          <w:lang w:eastAsia="zh-CN"/>
        </w:rPr>
        <w:t>（征求意见稿）</w:t>
      </w:r>
    </w:p>
    <w:p w14:paraId="6FA29190">
      <w:pPr>
        <w:adjustRightInd w:val="0"/>
        <w:snapToGrid w:val="0"/>
        <w:rPr>
          <w:rFonts w:eastAsia="黑体"/>
          <w:sz w:val="44"/>
          <w:szCs w:val="44"/>
        </w:rPr>
      </w:pPr>
    </w:p>
    <w:p w14:paraId="195B3C39">
      <w:pPr>
        <w:adjustRightInd w:val="0"/>
        <w:snapToGrid w:val="0"/>
        <w:rPr>
          <w:rFonts w:eastAsia="黑体"/>
          <w:sz w:val="44"/>
          <w:szCs w:val="44"/>
        </w:rPr>
      </w:pPr>
    </w:p>
    <w:p w14:paraId="5FDD2B20">
      <w:pPr>
        <w:adjustRightInd w:val="0"/>
        <w:snapToGrid w:val="0"/>
        <w:rPr>
          <w:rFonts w:eastAsia="黑体"/>
          <w:sz w:val="44"/>
          <w:szCs w:val="44"/>
        </w:rPr>
      </w:pPr>
    </w:p>
    <w:p w14:paraId="54AB5A38">
      <w:pPr>
        <w:adjustRightInd w:val="0"/>
        <w:snapToGrid w:val="0"/>
        <w:rPr>
          <w:rFonts w:eastAsia="黑体"/>
        </w:rPr>
      </w:pPr>
    </w:p>
    <w:p w14:paraId="33232180">
      <w:pPr>
        <w:tabs>
          <w:tab w:val="left" w:pos="6307"/>
        </w:tabs>
        <w:adjustRightInd w:val="0"/>
        <w:snapToGrid w:val="0"/>
        <w:rPr>
          <w:rFonts w:eastAsia="黑体"/>
        </w:rPr>
      </w:pPr>
      <w:r>
        <w:rPr>
          <w:rFonts w:eastAsia="黑体"/>
        </w:rPr>
        <w:tab/>
      </w:r>
    </w:p>
    <w:p w14:paraId="44755C95">
      <w:pPr>
        <w:adjustRightInd w:val="0"/>
        <w:snapToGrid w:val="0"/>
        <w:spacing w:line="360" w:lineRule="auto"/>
        <w:jc w:val="both"/>
        <w:rPr>
          <w:rFonts w:eastAsia="黑体"/>
          <w:b/>
          <w:sz w:val="32"/>
          <w:szCs w:val="32"/>
        </w:rPr>
      </w:pPr>
    </w:p>
    <w:p w14:paraId="65E45333">
      <w:pPr>
        <w:adjustRightInd w:val="0"/>
        <w:snapToGrid w:val="0"/>
        <w:spacing w:line="360" w:lineRule="auto"/>
        <w:ind w:left="420" w:firstLine="420"/>
        <w:rPr>
          <w:rFonts w:eastAsia="黑体"/>
          <w:b/>
          <w:sz w:val="32"/>
          <w:szCs w:val="32"/>
        </w:rPr>
      </w:pPr>
    </w:p>
    <w:p w14:paraId="12788C46">
      <w:pPr>
        <w:adjustRightInd w:val="0"/>
        <w:snapToGrid w:val="0"/>
        <w:jc w:val="center"/>
        <w:rPr>
          <w:rFonts w:hint="eastAsia" w:ascii="楷体_GB2312" w:hAnsi="Arial" w:eastAsia="楷体_GB2312" w:cs="Arial"/>
          <w:b/>
          <w:color w:val="auto"/>
          <w:spacing w:val="-20"/>
          <w:kern w:val="0"/>
          <w:sz w:val="44"/>
          <w:szCs w:val="44"/>
          <w:highlight w:val="none"/>
          <w:lang w:eastAsia="zh-CN"/>
        </w:rPr>
      </w:pPr>
    </w:p>
    <w:p w14:paraId="3302F8CD">
      <w:pPr>
        <w:adjustRightInd w:val="0"/>
        <w:snapToGrid w:val="0"/>
        <w:jc w:val="center"/>
        <w:rPr>
          <w:rFonts w:hint="eastAsia" w:ascii="楷体_GB2312" w:hAnsi="Arial" w:eastAsia="楷体_GB2312" w:cs="Arial"/>
          <w:b/>
          <w:color w:val="auto"/>
          <w:spacing w:val="-20"/>
          <w:kern w:val="0"/>
          <w:sz w:val="44"/>
          <w:szCs w:val="44"/>
          <w:highlight w:val="none"/>
          <w:lang w:eastAsia="zh-CN"/>
        </w:rPr>
      </w:pPr>
    </w:p>
    <w:p w14:paraId="1D71FE94">
      <w:pPr>
        <w:adjustRightInd w:val="0"/>
        <w:snapToGrid w:val="0"/>
        <w:jc w:val="center"/>
        <w:rPr>
          <w:rFonts w:hint="eastAsia" w:ascii="楷体_GB2312" w:hAnsi="Arial" w:eastAsia="楷体_GB2312" w:cs="Arial"/>
          <w:b/>
          <w:color w:val="auto"/>
          <w:spacing w:val="-20"/>
          <w:kern w:val="0"/>
          <w:sz w:val="44"/>
          <w:szCs w:val="44"/>
          <w:highlight w:val="none"/>
          <w:lang w:eastAsia="zh-CN"/>
        </w:rPr>
      </w:pPr>
    </w:p>
    <w:p w14:paraId="5DEE823B">
      <w:pPr>
        <w:adjustRightInd w:val="0"/>
        <w:snapToGrid w:val="0"/>
        <w:jc w:val="center"/>
        <w:rPr>
          <w:rFonts w:hint="eastAsia" w:ascii="楷体_GB2312" w:hAnsi="Arial" w:eastAsia="楷体_GB2312" w:cs="Arial"/>
          <w:b/>
          <w:color w:val="auto"/>
          <w:spacing w:val="-20"/>
          <w:kern w:val="0"/>
          <w:sz w:val="44"/>
          <w:szCs w:val="44"/>
          <w:highlight w:val="none"/>
          <w:lang w:eastAsia="zh-CN"/>
        </w:rPr>
      </w:pPr>
    </w:p>
    <w:p w14:paraId="15835A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楷体_GB2312" w:hAnsi="Arial" w:eastAsia="楷体_GB2312" w:cs="Arial"/>
          <w:b/>
          <w:color w:val="auto"/>
          <w:spacing w:val="-20"/>
          <w:kern w:val="0"/>
          <w:sz w:val="44"/>
          <w:szCs w:val="44"/>
          <w:highlight w:val="none"/>
          <w:lang w:eastAsia="zh-CN"/>
        </w:rPr>
      </w:pPr>
      <w:r>
        <w:rPr>
          <w:rFonts w:hint="eastAsia" w:ascii="楷体_GB2312" w:hAnsi="Arial" w:eastAsia="楷体_GB2312" w:cs="Arial"/>
          <w:b/>
          <w:color w:val="auto"/>
          <w:spacing w:val="-20"/>
          <w:kern w:val="0"/>
          <w:sz w:val="44"/>
          <w:szCs w:val="44"/>
          <w:highlight w:val="none"/>
          <w:lang w:eastAsia="zh-CN"/>
        </w:rPr>
        <w:t>编制单位：重庆瀚智环保工程有限公司</w:t>
      </w:r>
    </w:p>
    <w:p w14:paraId="3C3F35E7">
      <w:pPr>
        <w:keepNext w:val="0"/>
        <w:keepLines w:val="0"/>
        <w:pageBreakBefore w:val="0"/>
        <w:widowControl w:val="0"/>
        <w:kinsoku/>
        <w:wordWrap/>
        <w:overflowPunct/>
        <w:topLinePunct w:val="0"/>
        <w:autoSpaceDE/>
        <w:autoSpaceDN/>
        <w:bidi w:val="0"/>
        <w:adjustRightInd w:val="0"/>
        <w:snapToGrid w:val="0"/>
        <w:ind w:firstLine="1004" w:firstLineChars="250"/>
        <w:jc w:val="both"/>
        <w:textAlignment w:val="auto"/>
        <w:rPr>
          <w:rFonts w:hint="eastAsia" w:ascii="楷体_GB2312" w:hAnsi="Arial" w:eastAsia="楷体_GB2312" w:cs="Arial"/>
          <w:b/>
          <w:color w:val="auto"/>
          <w:spacing w:val="-20"/>
          <w:kern w:val="0"/>
          <w:sz w:val="44"/>
          <w:szCs w:val="44"/>
          <w:highlight w:val="none"/>
          <w:lang w:eastAsia="zh-CN"/>
        </w:rPr>
      </w:pPr>
      <w:r>
        <w:rPr>
          <w:rFonts w:hint="eastAsia" w:ascii="楷体_GB2312" w:hAnsi="Arial" w:eastAsia="楷体_GB2312" w:cs="Arial"/>
          <w:b/>
          <w:color w:val="auto"/>
          <w:spacing w:val="-20"/>
          <w:kern w:val="0"/>
          <w:sz w:val="44"/>
          <w:szCs w:val="44"/>
          <w:highlight w:val="none"/>
          <w:lang w:eastAsia="zh-CN"/>
        </w:rPr>
        <w:t>建设单位：丰都县水利工程服务中心</w:t>
      </w:r>
    </w:p>
    <w:p w14:paraId="4C783FA6">
      <w:pPr>
        <w:adjustRightInd w:val="0"/>
        <w:snapToGrid w:val="0"/>
        <w:jc w:val="center"/>
        <w:rPr>
          <w:rFonts w:hint="eastAsia" w:ascii="楷体_GB2312" w:hAnsi="Arial" w:eastAsia="楷体_GB2312" w:cs="Arial"/>
          <w:b/>
          <w:color w:val="auto"/>
          <w:spacing w:val="-20"/>
          <w:kern w:val="0"/>
          <w:sz w:val="44"/>
          <w:szCs w:val="44"/>
          <w:highlight w:val="none"/>
        </w:rPr>
        <w:sectPr>
          <w:headerReference r:id="rId4" w:type="first"/>
          <w:headerReference r:id="rId3" w:type="default"/>
          <w:footerReference r:id="rId5" w:type="default"/>
          <w:pgSz w:w="12240" w:h="15840"/>
          <w:pgMar w:top="1440" w:right="1701" w:bottom="1440" w:left="1701" w:header="720" w:footer="720" w:gutter="0"/>
          <w:pgBorders>
            <w:top w:val="none" w:sz="0" w:space="0"/>
            <w:left w:val="none" w:sz="0" w:space="0"/>
            <w:bottom w:val="none" w:sz="0" w:space="0"/>
            <w:right w:val="none" w:sz="0" w:space="0"/>
          </w:pgBorders>
          <w:pgNumType w:fmt="upperRoman" w:start="1"/>
          <w:cols w:space="720" w:num="1"/>
          <w:titlePg/>
        </w:sectPr>
      </w:pPr>
      <w:r>
        <w:rPr>
          <w:rFonts w:hint="default" w:ascii="Arial" w:hAnsi="Arial" w:eastAsia="楷体_GB2312" w:cs="Arial"/>
          <w:b/>
          <w:color w:val="auto"/>
          <w:spacing w:val="-20"/>
          <w:kern w:val="0"/>
          <w:sz w:val="44"/>
          <w:szCs w:val="44"/>
          <w:highlight w:val="none"/>
        </w:rPr>
        <w:t>202</w:t>
      </w:r>
      <w:r>
        <w:rPr>
          <w:rFonts w:hint="eastAsia" w:ascii="Arial" w:hAnsi="Arial" w:eastAsia="楷体_GB2312" w:cs="Arial"/>
          <w:b/>
          <w:color w:val="auto"/>
          <w:spacing w:val="-20"/>
          <w:kern w:val="0"/>
          <w:sz w:val="44"/>
          <w:szCs w:val="44"/>
          <w:highlight w:val="none"/>
          <w:lang w:val="en-US" w:eastAsia="zh-CN"/>
        </w:rPr>
        <w:t>5</w:t>
      </w:r>
      <w:r>
        <w:rPr>
          <w:rFonts w:hint="default" w:ascii="Arial" w:hAnsi="Arial" w:eastAsia="楷体_GB2312" w:cs="Arial"/>
          <w:b/>
          <w:color w:val="auto"/>
          <w:spacing w:val="-20"/>
          <w:kern w:val="0"/>
          <w:sz w:val="44"/>
          <w:szCs w:val="44"/>
          <w:highlight w:val="none"/>
        </w:rPr>
        <w:t>年</w:t>
      </w:r>
      <w:r>
        <w:rPr>
          <w:rFonts w:hint="eastAsia" w:ascii="Arial" w:hAnsi="Arial" w:eastAsia="楷体_GB2312" w:cs="Arial"/>
          <w:b/>
          <w:color w:val="auto"/>
          <w:spacing w:val="-20"/>
          <w:kern w:val="0"/>
          <w:sz w:val="44"/>
          <w:szCs w:val="44"/>
          <w:highlight w:val="none"/>
          <w:lang w:val="en-US" w:eastAsia="zh-CN"/>
        </w:rPr>
        <w:t>1</w:t>
      </w:r>
      <w:r>
        <w:rPr>
          <w:rFonts w:hint="default" w:ascii="Arial" w:hAnsi="Arial" w:eastAsia="楷体_GB2312" w:cs="Arial"/>
          <w:b/>
          <w:color w:val="auto"/>
          <w:spacing w:val="-20"/>
          <w:kern w:val="0"/>
          <w:sz w:val="44"/>
          <w:szCs w:val="44"/>
          <w:highlight w:val="none"/>
        </w:rPr>
        <w:t>月</w:t>
      </w:r>
    </w:p>
    <w:p w14:paraId="0FF6AE31">
      <w:pPr>
        <w:adjustRightInd w:val="0"/>
        <w:snapToGrid w:val="0"/>
        <w:spacing w:line="360" w:lineRule="auto"/>
        <w:jc w:val="center"/>
        <w:rPr>
          <w:snapToGrid w:val="0"/>
          <w:sz w:val="38"/>
          <w:szCs w:val="38"/>
        </w:rPr>
        <w:sectPr>
          <w:footerReference r:id="rId7" w:type="first"/>
          <w:footerReference r:id="rId6" w:type="default"/>
          <w:type w:val="continuous"/>
          <w:pgSz w:w="12240" w:h="15840"/>
          <w:pgMar w:top="1440" w:right="1701" w:bottom="1440" w:left="1701" w:header="720" w:footer="720" w:gutter="0"/>
          <w:pgBorders>
            <w:top w:val="none" w:sz="0" w:space="0"/>
            <w:left w:val="none" w:sz="0" w:space="0"/>
            <w:bottom w:val="none" w:sz="0" w:space="0"/>
            <w:right w:val="none" w:sz="0" w:space="0"/>
          </w:pgBorders>
          <w:pgNumType w:fmt="upperRoman" w:start="1"/>
          <w:cols w:space="720" w:num="1"/>
          <w:titlePg/>
        </w:sectPr>
      </w:pPr>
    </w:p>
    <w:p w14:paraId="225A9E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bCs/>
          <w:sz w:val="26"/>
          <w:szCs w:val="26"/>
        </w:rPr>
      </w:pPr>
      <w:r>
        <w:rPr>
          <w:rFonts w:hint="eastAsia"/>
          <w:b/>
          <w:bCs/>
          <w:sz w:val="26"/>
          <w:szCs w:val="26"/>
        </w:rPr>
        <w:t>目</w:t>
      </w:r>
      <w:r>
        <w:rPr>
          <w:b/>
          <w:bCs/>
          <w:sz w:val="26"/>
          <w:szCs w:val="26"/>
        </w:rPr>
        <w:t xml:space="preserve"> </w:t>
      </w:r>
      <w:r>
        <w:rPr>
          <w:rFonts w:hint="eastAsia"/>
          <w:b/>
          <w:bCs/>
          <w:sz w:val="26"/>
          <w:szCs w:val="26"/>
        </w:rPr>
        <w:t>录</w:t>
      </w:r>
    </w:p>
    <w:p w14:paraId="29DDA509">
      <w:pPr>
        <w:pStyle w:val="64"/>
        <w:keepNext w:val="0"/>
        <w:keepLines w:val="0"/>
        <w:pageBreakBefore w:val="0"/>
        <w:widowControl w:val="0"/>
        <w:tabs>
          <w:tab w:val="right" w:leader="dot" w:pos="8494"/>
        </w:tabs>
        <w:kinsoku/>
        <w:wordWrap/>
        <w:overflowPunct/>
        <w:topLinePunct w:val="0"/>
        <w:autoSpaceDE/>
        <w:autoSpaceDN/>
        <w:bidi w:val="0"/>
        <w:adjustRightInd w:val="0"/>
        <w:snapToGrid w:val="0"/>
        <w:spacing w:line="440" w:lineRule="exact"/>
        <w:ind w:left="0" w:leftChars="0"/>
        <w:textAlignment w:val="auto"/>
        <w:rPr>
          <w:sz w:val="24"/>
          <w:szCs w:val="24"/>
        </w:rPr>
      </w:pPr>
    </w:p>
    <w:p w14:paraId="3F935139">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b w:val="0"/>
          <w:sz w:val="26"/>
          <w:szCs w:val="26"/>
        </w:rPr>
        <w:fldChar w:fldCharType="begin"/>
      </w:r>
      <w:r>
        <w:rPr>
          <w:rFonts w:hint="default" w:ascii="Arial" w:hAnsi="Arial" w:eastAsia="宋体" w:cs="Arial"/>
          <w:b w:val="0"/>
          <w:sz w:val="26"/>
          <w:szCs w:val="26"/>
        </w:rPr>
        <w:instrText xml:space="preserve"> TOC \o "1-2" \h \z \u </w:instrText>
      </w:r>
      <w:r>
        <w:rPr>
          <w:rFonts w:hint="default" w:ascii="Arial" w:hAnsi="Arial" w:eastAsia="宋体" w:cs="Arial"/>
          <w:b w:val="0"/>
          <w:sz w:val="26"/>
          <w:szCs w:val="26"/>
        </w:rPr>
        <w:fldChar w:fldCharType="separate"/>
      </w: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_Toc30645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rPr>
        <w:t>概述</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_Toc30645 \h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C8CC7D2">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_Toc16444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bidi="ar-SA"/>
        </w:rPr>
        <w:t>1 总则</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_Toc16444 \h </w:instrText>
      </w:r>
      <w:r>
        <w:rPr>
          <w:rFonts w:hint="default" w:ascii="Arial" w:hAnsi="Arial" w:eastAsia="宋体" w:cs="Arial"/>
          <w:sz w:val="26"/>
          <w:szCs w:val="26"/>
        </w:rPr>
        <w:fldChar w:fldCharType="separate"/>
      </w:r>
      <w:r>
        <w:rPr>
          <w:rFonts w:hint="default" w:ascii="Arial" w:hAnsi="Arial" w:eastAsia="宋体" w:cs="Arial"/>
          <w:sz w:val="26"/>
          <w:szCs w:val="26"/>
        </w:rPr>
        <w:t>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0B3B0A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_Toc8435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1.1 编制依据</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_Toc8435 \h </w:instrText>
      </w:r>
      <w:r>
        <w:rPr>
          <w:rFonts w:hint="default" w:ascii="Arial" w:hAnsi="Arial" w:eastAsia="宋体" w:cs="Arial"/>
          <w:sz w:val="26"/>
          <w:szCs w:val="26"/>
        </w:rPr>
        <w:fldChar w:fldCharType="separate"/>
      </w:r>
      <w:r>
        <w:rPr>
          <w:rFonts w:hint="default" w:ascii="Arial" w:hAnsi="Arial" w:eastAsia="宋体" w:cs="Arial"/>
          <w:sz w:val="26"/>
          <w:szCs w:val="26"/>
        </w:rPr>
        <w:t>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99C2CF7">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_Toc5979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1.2 评价目的及原则</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_Toc5979 \h </w:instrText>
      </w:r>
      <w:r>
        <w:rPr>
          <w:rFonts w:hint="default" w:ascii="Arial" w:hAnsi="Arial" w:eastAsia="宋体" w:cs="Arial"/>
          <w:sz w:val="26"/>
          <w:szCs w:val="26"/>
        </w:rPr>
        <w:fldChar w:fldCharType="separate"/>
      </w:r>
      <w:r>
        <w:rPr>
          <w:rFonts w:hint="default" w:ascii="Arial" w:hAnsi="Arial" w:eastAsia="宋体" w:cs="Arial"/>
          <w:sz w:val="26"/>
          <w:szCs w:val="26"/>
        </w:rPr>
        <w:t>12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B39AB3A">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_Toc21544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1.3评价思路</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_Toc21544 \h </w:instrText>
      </w:r>
      <w:r>
        <w:rPr>
          <w:rFonts w:hint="default" w:ascii="Arial" w:hAnsi="Arial" w:eastAsia="宋体" w:cs="Arial"/>
          <w:sz w:val="26"/>
          <w:szCs w:val="26"/>
        </w:rPr>
        <w:fldChar w:fldCharType="separate"/>
      </w:r>
      <w:r>
        <w:rPr>
          <w:rFonts w:hint="default" w:ascii="Arial" w:hAnsi="Arial" w:eastAsia="宋体" w:cs="Arial"/>
          <w:sz w:val="26"/>
          <w:szCs w:val="26"/>
        </w:rPr>
        <w:t>13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17371F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_Toc16550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1.4评价内容及重点</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_Toc16550 \h </w:instrText>
      </w:r>
      <w:r>
        <w:rPr>
          <w:rFonts w:hint="default" w:ascii="Arial" w:hAnsi="Arial" w:eastAsia="宋体" w:cs="Arial"/>
          <w:sz w:val="26"/>
          <w:szCs w:val="26"/>
        </w:rPr>
        <w:fldChar w:fldCharType="separate"/>
      </w:r>
      <w:r>
        <w:rPr>
          <w:rFonts w:hint="default" w:ascii="Arial" w:hAnsi="Arial" w:eastAsia="宋体" w:cs="Arial"/>
          <w:sz w:val="26"/>
          <w:szCs w:val="26"/>
        </w:rPr>
        <w:t>14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F4F9395">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_Toc18862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1.5环境影响识别和评价因子选择</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_Toc18862 \h </w:instrText>
      </w:r>
      <w:r>
        <w:rPr>
          <w:rFonts w:hint="default" w:ascii="Arial" w:hAnsi="Arial" w:eastAsia="宋体" w:cs="Arial"/>
          <w:sz w:val="26"/>
          <w:szCs w:val="26"/>
        </w:rPr>
        <w:fldChar w:fldCharType="separate"/>
      </w:r>
      <w:r>
        <w:rPr>
          <w:rFonts w:hint="default" w:ascii="Arial" w:hAnsi="Arial" w:eastAsia="宋体" w:cs="Arial"/>
          <w:sz w:val="26"/>
          <w:szCs w:val="26"/>
        </w:rPr>
        <w:t>15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AFD413B">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_Toc21981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1.6评价标准</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_Toc21981 \h </w:instrText>
      </w:r>
      <w:r>
        <w:rPr>
          <w:rFonts w:hint="default" w:ascii="Arial" w:hAnsi="Arial" w:eastAsia="宋体" w:cs="Arial"/>
          <w:sz w:val="26"/>
          <w:szCs w:val="26"/>
        </w:rPr>
        <w:fldChar w:fldCharType="separate"/>
      </w:r>
      <w:r>
        <w:rPr>
          <w:rFonts w:hint="default" w:ascii="Arial" w:hAnsi="Arial" w:eastAsia="宋体" w:cs="Arial"/>
          <w:sz w:val="26"/>
          <w:szCs w:val="26"/>
        </w:rPr>
        <w:t>18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A85558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_Toc28390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1.7评价工作等级、范围</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_Toc28390 \h </w:instrText>
      </w:r>
      <w:r>
        <w:rPr>
          <w:rFonts w:hint="default" w:ascii="Arial" w:hAnsi="Arial" w:eastAsia="宋体" w:cs="Arial"/>
          <w:sz w:val="26"/>
          <w:szCs w:val="26"/>
        </w:rPr>
        <w:fldChar w:fldCharType="separate"/>
      </w:r>
      <w:r>
        <w:rPr>
          <w:rFonts w:hint="default" w:ascii="Arial" w:hAnsi="Arial" w:eastAsia="宋体" w:cs="Arial"/>
          <w:sz w:val="26"/>
          <w:szCs w:val="26"/>
        </w:rPr>
        <w:t>23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A4BD184">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_Toc17468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1.8环境保护目标</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_Toc17468 \h </w:instrText>
      </w:r>
      <w:r>
        <w:rPr>
          <w:rFonts w:hint="default" w:ascii="Arial" w:hAnsi="Arial" w:eastAsia="宋体" w:cs="Arial"/>
          <w:sz w:val="26"/>
          <w:szCs w:val="26"/>
        </w:rPr>
        <w:fldChar w:fldCharType="separate"/>
      </w:r>
      <w:r>
        <w:rPr>
          <w:rFonts w:hint="default" w:ascii="Arial" w:hAnsi="Arial" w:eastAsia="宋体" w:cs="Arial"/>
          <w:sz w:val="26"/>
          <w:szCs w:val="26"/>
        </w:rPr>
        <w:t>25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7FD0E5A">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_Toc16285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default" w:ascii="Arial" w:hAnsi="Arial" w:eastAsia="宋体" w:cs="Arial"/>
          <w:sz w:val="26"/>
          <w:szCs w:val="26"/>
          <w:lang w:val="en-US" w:eastAsia="zh-CN"/>
        </w:rPr>
        <w:t>9</w:t>
      </w:r>
      <w:r>
        <w:rPr>
          <w:rFonts w:hint="default" w:ascii="Arial" w:hAnsi="Arial" w:eastAsia="宋体" w:cs="Arial"/>
          <w:sz w:val="26"/>
          <w:szCs w:val="26"/>
        </w:rPr>
        <w:t>产业政策和规划符合性分析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_Toc16285 \h </w:instrText>
      </w:r>
      <w:r>
        <w:rPr>
          <w:rFonts w:hint="default" w:ascii="Arial" w:hAnsi="Arial" w:eastAsia="宋体" w:cs="Arial"/>
          <w:sz w:val="26"/>
          <w:szCs w:val="26"/>
        </w:rPr>
        <w:fldChar w:fldCharType="separate"/>
      </w:r>
      <w:r>
        <w:rPr>
          <w:rFonts w:hint="default" w:ascii="Arial" w:hAnsi="Arial" w:eastAsia="宋体" w:cs="Arial"/>
          <w:sz w:val="26"/>
          <w:szCs w:val="26"/>
        </w:rPr>
        <w:t>43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A72BE14">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_Toc1348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default" w:ascii="Arial" w:hAnsi="Arial" w:eastAsia="宋体" w:cs="Arial"/>
          <w:sz w:val="26"/>
          <w:szCs w:val="26"/>
          <w:lang w:val="en-US" w:eastAsia="zh-CN"/>
        </w:rPr>
        <w:t>10</w:t>
      </w:r>
      <w:r>
        <w:rPr>
          <w:rFonts w:hint="default" w:ascii="Arial" w:hAnsi="Arial" w:eastAsia="宋体" w:cs="Arial"/>
          <w:sz w:val="26"/>
          <w:szCs w:val="26"/>
          <w:lang w:eastAsia="zh-CN"/>
        </w:rPr>
        <w:t>项目选址选线合理性分析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_Toc1348 \h </w:instrText>
      </w:r>
      <w:r>
        <w:rPr>
          <w:rFonts w:hint="default" w:ascii="Arial" w:hAnsi="Arial" w:eastAsia="宋体" w:cs="Arial"/>
          <w:sz w:val="26"/>
          <w:szCs w:val="26"/>
        </w:rPr>
        <w:fldChar w:fldCharType="separate"/>
      </w:r>
      <w:r>
        <w:rPr>
          <w:rFonts w:hint="default" w:ascii="Arial" w:hAnsi="Arial" w:eastAsia="宋体" w:cs="Arial"/>
          <w:sz w:val="26"/>
          <w:szCs w:val="26"/>
        </w:rPr>
        <w:t>68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C295916">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_Toc20252 </w:instrText>
      </w:r>
      <w:r>
        <w:rPr>
          <w:rFonts w:hint="default" w:ascii="Arial" w:hAnsi="Arial" w:eastAsia="宋体" w:cs="Arial"/>
          <w:sz w:val="26"/>
          <w:szCs w:val="26"/>
        </w:rPr>
        <w:fldChar w:fldCharType="separate"/>
      </w:r>
      <w:r>
        <w:rPr>
          <w:rFonts w:hint="default" w:ascii="Arial" w:hAnsi="Arial" w:eastAsia="宋体" w:cs="Arial"/>
          <w:sz w:val="26"/>
          <w:szCs w:val="26"/>
        </w:rPr>
        <w:t>2 工程概况</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_Toc20252 \h </w:instrText>
      </w:r>
      <w:r>
        <w:rPr>
          <w:rFonts w:hint="default" w:ascii="Arial" w:hAnsi="Arial" w:eastAsia="宋体" w:cs="Arial"/>
          <w:sz w:val="26"/>
          <w:szCs w:val="26"/>
        </w:rPr>
        <w:fldChar w:fldCharType="separate"/>
      </w:r>
      <w:r>
        <w:rPr>
          <w:rFonts w:hint="default" w:ascii="Arial" w:hAnsi="Arial" w:eastAsia="宋体" w:cs="Arial"/>
          <w:sz w:val="26"/>
          <w:szCs w:val="26"/>
        </w:rPr>
        <w:t>76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2C1483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_Toc6805 </w:instrText>
      </w:r>
      <w:r>
        <w:rPr>
          <w:rFonts w:hint="default" w:ascii="Arial" w:hAnsi="Arial" w:eastAsia="宋体" w:cs="Arial"/>
          <w:sz w:val="26"/>
          <w:szCs w:val="26"/>
        </w:rPr>
        <w:fldChar w:fldCharType="separate"/>
      </w:r>
      <w:r>
        <w:rPr>
          <w:rFonts w:hint="default" w:ascii="Arial" w:hAnsi="Arial" w:eastAsia="宋体" w:cs="Arial"/>
          <w:sz w:val="26"/>
          <w:szCs w:val="26"/>
        </w:rPr>
        <w:t>2.1</w:t>
      </w:r>
      <w:r>
        <w:rPr>
          <w:rFonts w:hint="default" w:ascii="Arial" w:hAnsi="Arial" w:eastAsia="宋体" w:cs="Arial"/>
          <w:sz w:val="26"/>
          <w:szCs w:val="26"/>
          <w:lang w:eastAsia="zh-CN"/>
        </w:rPr>
        <w:t>地理位置</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_Toc6805 \h </w:instrText>
      </w:r>
      <w:r>
        <w:rPr>
          <w:rFonts w:hint="default" w:ascii="Arial" w:hAnsi="Arial" w:eastAsia="宋体" w:cs="Arial"/>
          <w:sz w:val="26"/>
          <w:szCs w:val="26"/>
        </w:rPr>
        <w:fldChar w:fldCharType="separate"/>
      </w:r>
      <w:r>
        <w:rPr>
          <w:rFonts w:hint="default" w:ascii="Arial" w:hAnsi="Arial" w:eastAsia="宋体" w:cs="Arial"/>
          <w:sz w:val="26"/>
          <w:szCs w:val="26"/>
        </w:rPr>
        <w:t>76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A86AF1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_Toc4311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2.2既有公路现状</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_Toc4311 \h </w:instrText>
      </w:r>
      <w:r>
        <w:rPr>
          <w:rFonts w:hint="default" w:ascii="Arial" w:hAnsi="Arial" w:eastAsia="宋体" w:cs="Arial"/>
          <w:sz w:val="26"/>
          <w:szCs w:val="26"/>
        </w:rPr>
        <w:fldChar w:fldCharType="separate"/>
      </w:r>
      <w:r>
        <w:rPr>
          <w:rFonts w:hint="default" w:ascii="Arial" w:hAnsi="Arial" w:eastAsia="宋体" w:cs="Arial"/>
          <w:sz w:val="26"/>
          <w:szCs w:val="26"/>
        </w:rPr>
        <w:t>76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799923C">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_Toc26876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2.3项目基本概况</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_Toc26876 \h </w:instrText>
      </w:r>
      <w:r>
        <w:rPr>
          <w:rFonts w:hint="default" w:ascii="Arial" w:hAnsi="Arial" w:eastAsia="宋体" w:cs="Arial"/>
          <w:sz w:val="26"/>
          <w:szCs w:val="26"/>
        </w:rPr>
        <w:fldChar w:fldCharType="separate"/>
      </w:r>
      <w:r>
        <w:rPr>
          <w:rFonts w:hint="default" w:ascii="Arial" w:hAnsi="Arial" w:eastAsia="宋体" w:cs="Arial"/>
          <w:sz w:val="26"/>
          <w:szCs w:val="26"/>
        </w:rPr>
        <w:t>77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3273B2F">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_Toc8445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2.4项目组成及建设规模</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_Toc8445 \h </w:instrText>
      </w:r>
      <w:r>
        <w:rPr>
          <w:rFonts w:hint="default" w:ascii="Arial" w:hAnsi="Arial" w:eastAsia="宋体" w:cs="Arial"/>
          <w:sz w:val="26"/>
          <w:szCs w:val="26"/>
        </w:rPr>
        <w:fldChar w:fldCharType="separate"/>
      </w:r>
      <w:r>
        <w:rPr>
          <w:rFonts w:hint="default" w:ascii="Arial" w:hAnsi="Arial" w:eastAsia="宋体" w:cs="Arial"/>
          <w:sz w:val="26"/>
          <w:szCs w:val="26"/>
        </w:rPr>
        <w:t>77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A0C39F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_Toc9242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2.5交通量预测</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_Toc9242 \h </w:instrText>
      </w:r>
      <w:r>
        <w:rPr>
          <w:rFonts w:hint="default" w:ascii="Arial" w:hAnsi="Arial" w:eastAsia="宋体" w:cs="Arial"/>
          <w:sz w:val="26"/>
          <w:szCs w:val="26"/>
        </w:rPr>
        <w:fldChar w:fldCharType="separate"/>
      </w:r>
      <w:r>
        <w:rPr>
          <w:rFonts w:hint="default" w:ascii="Arial" w:hAnsi="Arial" w:eastAsia="宋体" w:cs="Arial"/>
          <w:sz w:val="26"/>
          <w:szCs w:val="26"/>
        </w:rPr>
        <w:t>81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0E3B8E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_Toc5141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2.6项目建设方案</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_Toc5141 \h </w:instrText>
      </w:r>
      <w:r>
        <w:rPr>
          <w:rFonts w:hint="default" w:ascii="Arial" w:hAnsi="Arial" w:eastAsia="宋体" w:cs="Arial"/>
          <w:sz w:val="26"/>
          <w:szCs w:val="26"/>
        </w:rPr>
        <w:fldChar w:fldCharType="separate"/>
      </w:r>
      <w:r>
        <w:rPr>
          <w:rFonts w:hint="default" w:ascii="Arial" w:hAnsi="Arial" w:eastAsia="宋体" w:cs="Arial"/>
          <w:sz w:val="26"/>
          <w:szCs w:val="26"/>
        </w:rPr>
        <w:t>82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2B3B902">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_Toc4184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2.7临时工程</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_Toc4184 \h </w:instrText>
      </w:r>
      <w:r>
        <w:rPr>
          <w:rFonts w:hint="default" w:ascii="Arial" w:hAnsi="Arial" w:eastAsia="宋体" w:cs="Arial"/>
          <w:sz w:val="26"/>
          <w:szCs w:val="26"/>
        </w:rPr>
        <w:fldChar w:fldCharType="separate"/>
      </w:r>
      <w:r>
        <w:rPr>
          <w:rFonts w:hint="default" w:ascii="Arial" w:hAnsi="Arial" w:eastAsia="宋体" w:cs="Arial"/>
          <w:sz w:val="26"/>
          <w:szCs w:val="26"/>
        </w:rPr>
        <w:t>98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6BE8D5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_Toc21132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2.8土石方平衡及占地</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_Toc21132 \h </w:instrText>
      </w:r>
      <w:r>
        <w:rPr>
          <w:rFonts w:hint="default" w:ascii="Arial" w:hAnsi="Arial" w:eastAsia="宋体" w:cs="Arial"/>
          <w:sz w:val="26"/>
          <w:szCs w:val="26"/>
        </w:rPr>
        <w:fldChar w:fldCharType="separate"/>
      </w:r>
      <w:r>
        <w:rPr>
          <w:rFonts w:hint="default" w:ascii="Arial" w:hAnsi="Arial" w:eastAsia="宋体" w:cs="Arial"/>
          <w:sz w:val="26"/>
          <w:szCs w:val="26"/>
        </w:rPr>
        <w:t>100</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E52C9CE">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_Toc13909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2.9施工组织</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_Toc13909 \h </w:instrText>
      </w:r>
      <w:r>
        <w:rPr>
          <w:rFonts w:hint="default" w:ascii="Arial" w:hAnsi="Arial" w:eastAsia="宋体" w:cs="Arial"/>
          <w:sz w:val="26"/>
          <w:szCs w:val="26"/>
        </w:rPr>
        <w:fldChar w:fldCharType="separate"/>
      </w:r>
      <w:r>
        <w:rPr>
          <w:rFonts w:hint="default" w:ascii="Arial" w:hAnsi="Arial" w:eastAsia="宋体" w:cs="Arial"/>
          <w:sz w:val="26"/>
          <w:szCs w:val="26"/>
        </w:rPr>
        <w:t>103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2BB2C25">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_Toc22979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2.10工程投资及资金筹措</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_Toc22979 \h </w:instrText>
      </w:r>
      <w:r>
        <w:rPr>
          <w:rFonts w:hint="default" w:ascii="Arial" w:hAnsi="Arial" w:eastAsia="宋体" w:cs="Arial"/>
          <w:sz w:val="26"/>
          <w:szCs w:val="26"/>
        </w:rPr>
        <w:fldChar w:fldCharType="separate"/>
      </w:r>
      <w:r>
        <w:rPr>
          <w:rFonts w:hint="default" w:ascii="Arial" w:hAnsi="Arial" w:eastAsia="宋体" w:cs="Arial"/>
          <w:sz w:val="26"/>
          <w:szCs w:val="26"/>
        </w:rPr>
        <w:t>104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13DCF2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_Toc3895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2.11主要技术指标</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_Toc3895 \h </w:instrText>
      </w:r>
      <w:r>
        <w:rPr>
          <w:rFonts w:hint="default" w:ascii="Arial" w:hAnsi="Arial" w:eastAsia="宋体" w:cs="Arial"/>
          <w:sz w:val="26"/>
          <w:szCs w:val="26"/>
        </w:rPr>
        <w:fldChar w:fldCharType="separate"/>
      </w:r>
      <w:r>
        <w:rPr>
          <w:rFonts w:hint="default" w:ascii="Arial" w:hAnsi="Arial" w:eastAsia="宋体" w:cs="Arial"/>
          <w:sz w:val="26"/>
          <w:szCs w:val="26"/>
        </w:rPr>
        <w:t>104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6B6BA5F">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_Toc13059 </w:instrText>
      </w:r>
      <w:r>
        <w:rPr>
          <w:rFonts w:hint="default" w:ascii="Arial" w:hAnsi="Arial" w:eastAsia="宋体" w:cs="Arial"/>
          <w:sz w:val="26"/>
          <w:szCs w:val="26"/>
        </w:rPr>
        <w:fldChar w:fldCharType="separate"/>
      </w:r>
      <w:r>
        <w:rPr>
          <w:rFonts w:hint="default" w:ascii="Arial" w:hAnsi="Arial" w:eastAsia="宋体" w:cs="Arial"/>
          <w:sz w:val="26"/>
          <w:szCs w:val="26"/>
          <w:highlight w:val="none"/>
        </w:rPr>
        <w:t>3 工程分析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_Toc13059 \h </w:instrText>
      </w:r>
      <w:r>
        <w:rPr>
          <w:rFonts w:hint="default" w:ascii="Arial" w:hAnsi="Arial" w:eastAsia="宋体" w:cs="Arial"/>
          <w:sz w:val="26"/>
          <w:szCs w:val="26"/>
        </w:rPr>
        <w:fldChar w:fldCharType="separate"/>
      </w:r>
      <w:r>
        <w:rPr>
          <w:rFonts w:hint="default" w:ascii="Arial" w:hAnsi="Arial" w:eastAsia="宋体" w:cs="Arial"/>
          <w:sz w:val="26"/>
          <w:szCs w:val="26"/>
        </w:rPr>
        <w:t>107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6498DDC">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_Toc2262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3.1施工工艺</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_Toc2262 \h </w:instrText>
      </w:r>
      <w:r>
        <w:rPr>
          <w:rFonts w:hint="default" w:ascii="Arial" w:hAnsi="Arial" w:eastAsia="宋体" w:cs="Arial"/>
          <w:sz w:val="26"/>
          <w:szCs w:val="26"/>
        </w:rPr>
        <w:fldChar w:fldCharType="separate"/>
      </w:r>
      <w:r>
        <w:rPr>
          <w:rFonts w:hint="default" w:ascii="Arial" w:hAnsi="Arial" w:eastAsia="宋体" w:cs="Arial"/>
          <w:sz w:val="26"/>
          <w:szCs w:val="26"/>
        </w:rPr>
        <w:t>107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9274AD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_Toc23202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3.2施工期环境影响分析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_Toc23202 \h </w:instrText>
      </w:r>
      <w:r>
        <w:rPr>
          <w:rFonts w:hint="default" w:ascii="Arial" w:hAnsi="Arial" w:eastAsia="宋体" w:cs="Arial"/>
          <w:sz w:val="26"/>
          <w:szCs w:val="26"/>
        </w:rPr>
        <w:fldChar w:fldCharType="separate"/>
      </w:r>
      <w:r>
        <w:rPr>
          <w:rFonts w:hint="default" w:ascii="Arial" w:hAnsi="Arial" w:eastAsia="宋体" w:cs="Arial"/>
          <w:sz w:val="26"/>
          <w:szCs w:val="26"/>
        </w:rPr>
        <w:t>112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8377556">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sectPr>
          <w:headerReference r:id="rId9" w:type="first"/>
          <w:footerReference r:id="rId11" w:type="first"/>
          <w:headerReference r:id="rId8" w:type="default"/>
          <w:footerReference r:id="rId10" w:type="default"/>
          <w:pgSz w:w="12240" w:h="15840"/>
          <w:pgMar w:top="1440" w:right="1701" w:bottom="1440" w:left="1701" w:header="794" w:footer="794" w:gutter="0"/>
          <w:pgBorders>
            <w:top w:val="none" w:sz="0" w:space="0"/>
            <w:left w:val="none" w:sz="0" w:space="0"/>
            <w:bottom w:val="none" w:sz="0" w:space="0"/>
            <w:right w:val="none" w:sz="0" w:space="0"/>
          </w:pgBorders>
          <w:pgNumType w:fmt="upperRoman" w:start="1"/>
          <w:cols w:space="720" w:num="1"/>
          <w:titlePg/>
        </w:sectPr>
      </w:pPr>
    </w:p>
    <w:p w14:paraId="718C679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_Toc26272 </w:instrText>
      </w:r>
      <w:r>
        <w:rPr>
          <w:rFonts w:hint="default" w:ascii="Arial" w:hAnsi="Arial" w:eastAsia="宋体" w:cs="Arial"/>
          <w:sz w:val="26"/>
          <w:szCs w:val="26"/>
        </w:rPr>
        <w:fldChar w:fldCharType="separate"/>
      </w:r>
      <w:r>
        <w:rPr>
          <w:rFonts w:hint="default" w:ascii="Arial" w:hAnsi="Arial" w:eastAsia="宋体" w:cs="Arial"/>
          <w:sz w:val="26"/>
          <w:szCs w:val="26"/>
        </w:rPr>
        <w:t>3.3 营运期</w:t>
      </w:r>
      <w:r>
        <w:rPr>
          <w:rFonts w:hint="default" w:ascii="Arial" w:hAnsi="Arial" w:eastAsia="宋体" w:cs="Arial"/>
          <w:sz w:val="26"/>
          <w:szCs w:val="26"/>
          <w:lang w:eastAsia="zh-CN"/>
        </w:rPr>
        <w:t>环境影响</w:t>
      </w:r>
      <w:r>
        <w:rPr>
          <w:rFonts w:hint="default" w:ascii="Arial" w:hAnsi="Arial" w:eastAsia="宋体" w:cs="Arial"/>
          <w:sz w:val="26"/>
          <w:szCs w:val="26"/>
        </w:rPr>
        <w:t>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_Toc26272 \h </w:instrText>
      </w:r>
      <w:r>
        <w:rPr>
          <w:rFonts w:hint="default" w:ascii="Arial" w:hAnsi="Arial" w:eastAsia="宋体" w:cs="Arial"/>
          <w:sz w:val="26"/>
          <w:szCs w:val="26"/>
        </w:rPr>
        <w:fldChar w:fldCharType="separate"/>
      </w:r>
      <w:r>
        <w:rPr>
          <w:rFonts w:hint="default" w:ascii="Arial" w:hAnsi="Arial" w:eastAsia="宋体" w:cs="Arial"/>
          <w:sz w:val="26"/>
          <w:szCs w:val="26"/>
        </w:rPr>
        <w:t>118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D71A5C6">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_Toc3317 </w:instrText>
      </w:r>
      <w:r>
        <w:rPr>
          <w:rFonts w:hint="default" w:ascii="Arial" w:hAnsi="Arial" w:eastAsia="宋体" w:cs="Arial"/>
          <w:sz w:val="26"/>
          <w:szCs w:val="26"/>
        </w:rPr>
        <w:fldChar w:fldCharType="separate"/>
      </w:r>
      <w:r>
        <w:rPr>
          <w:rFonts w:hint="default" w:ascii="Arial" w:hAnsi="Arial" w:eastAsia="宋体" w:cs="Arial"/>
          <w:sz w:val="26"/>
          <w:szCs w:val="26"/>
          <w:highlight w:val="none"/>
        </w:rPr>
        <w:t>4 区域环境概况</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_Toc3317 \h </w:instrText>
      </w:r>
      <w:r>
        <w:rPr>
          <w:rFonts w:hint="default" w:ascii="Arial" w:hAnsi="Arial" w:eastAsia="宋体" w:cs="Arial"/>
          <w:sz w:val="26"/>
          <w:szCs w:val="26"/>
        </w:rPr>
        <w:fldChar w:fldCharType="separate"/>
      </w:r>
      <w:r>
        <w:rPr>
          <w:rFonts w:hint="default" w:ascii="Arial" w:hAnsi="Arial" w:eastAsia="宋体" w:cs="Arial"/>
          <w:sz w:val="26"/>
          <w:szCs w:val="26"/>
        </w:rPr>
        <w:t>126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EE591C0">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_Toc4030 </w:instrText>
      </w:r>
      <w:r>
        <w:rPr>
          <w:rFonts w:hint="default" w:ascii="Arial" w:hAnsi="Arial" w:eastAsia="宋体" w:cs="Arial"/>
          <w:sz w:val="26"/>
          <w:szCs w:val="26"/>
        </w:rPr>
        <w:fldChar w:fldCharType="separate"/>
      </w:r>
      <w:r>
        <w:rPr>
          <w:rFonts w:hint="default" w:ascii="Arial" w:hAnsi="Arial" w:eastAsia="宋体" w:cs="Arial"/>
          <w:sz w:val="26"/>
          <w:szCs w:val="26"/>
        </w:rPr>
        <w:t>4.1自然环境概况</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_Toc4030 \h </w:instrText>
      </w:r>
      <w:r>
        <w:rPr>
          <w:rFonts w:hint="default" w:ascii="Arial" w:hAnsi="Arial" w:eastAsia="宋体" w:cs="Arial"/>
          <w:sz w:val="26"/>
          <w:szCs w:val="26"/>
        </w:rPr>
        <w:fldChar w:fldCharType="separate"/>
      </w:r>
      <w:r>
        <w:rPr>
          <w:rFonts w:hint="default" w:ascii="Arial" w:hAnsi="Arial" w:eastAsia="宋体" w:cs="Arial"/>
          <w:sz w:val="26"/>
          <w:szCs w:val="26"/>
        </w:rPr>
        <w:t>126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05B189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_Toc26620 </w:instrText>
      </w:r>
      <w:r>
        <w:rPr>
          <w:rFonts w:hint="default" w:ascii="Arial" w:hAnsi="Arial" w:eastAsia="宋体" w:cs="Arial"/>
          <w:sz w:val="26"/>
          <w:szCs w:val="26"/>
        </w:rPr>
        <w:fldChar w:fldCharType="separate"/>
      </w:r>
      <w:r>
        <w:rPr>
          <w:rFonts w:hint="default" w:ascii="Arial" w:hAnsi="Arial" w:eastAsia="宋体" w:cs="Arial"/>
          <w:sz w:val="26"/>
          <w:szCs w:val="26"/>
          <w:highlight w:val="none"/>
        </w:rPr>
        <w:t>4.2</w:t>
      </w:r>
      <w:r>
        <w:rPr>
          <w:rFonts w:hint="default" w:ascii="Arial" w:hAnsi="Arial" w:eastAsia="宋体" w:cs="Arial"/>
          <w:sz w:val="26"/>
          <w:szCs w:val="26"/>
          <w:highlight w:val="none"/>
          <w:lang w:eastAsia="zh-CN"/>
        </w:rPr>
        <w:t>生态敏感区</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_Toc26620 \h </w:instrText>
      </w:r>
      <w:r>
        <w:rPr>
          <w:rFonts w:hint="default" w:ascii="Arial" w:hAnsi="Arial" w:eastAsia="宋体" w:cs="Arial"/>
          <w:sz w:val="26"/>
          <w:szCs w:val="26"/>
        </w:rPr>
        <w:fldChar w:fldCharType="separate"/>
      </w:r>
      <w:r>
        <w:rPr>
          <w:rFonts w:hint="default" w:ascii="Arial" w:hAnsi="Arial" w:eastAsia="宋体" w:cs="Arial"/>
          <w:sz w:val="26"/>
          <w:szCs w:val="26"/>
        </w:rPr>
        <w:t>133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93254F5">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_Toc14247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4.3</w:t>
      </w:r>
      <w:r>
        <w:rPr>
          <w:rFonts w:hint="default" w:ascii="Arial" w:hAnsi="Arial" w:eastAsia="宋体" w:cs="Arial"/>
          <w:sz w:val="26"/>
          <w:szCs w:val="26"/>
          <w:highlight w:val="none"/>
        </w:rPr>
        <w:t>生态现状调查与评价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_Toc14247 \h </w:instrText>
      </w:r>
      <w:r>
        <w:rPr>
          <w:rFonts w:hint="default" w:ascii="Arial" w:hAnsi="Arial" w:eastAsia="宋体" w:cs="Arial"/>
          <w:sz w:val="26"/>
          <w:szCs w:val="26"/>
        </w:rPr>
        <w:fldChar w:fldCharType="separate"/>
      </w:r>
      <w:r>
        <w:rPr>
          <w:rFonts w:hint="default" w:ascii="Arial" w:hAnsi="Arial" w:eastAsia="宋体" w:cs="Arial"/>
          <w:sz w:val="26"/>
          <w:szCs w:val="26"/>
        </w:rPr>
        <w:t>134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A087E7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_Toc30748 </w:instrText>
      </w:r>
      <w:r>
        <w:rPr>
          <w:rFonts w:hint="default" w:ascii="Arial" w:hAnsi="Arial" w:eastAsia="宋体" w:cs="Arial"/>
          <w:sz w:val="26"/>
          <w:szCs w:val="26"/>
        </w:rPr>
        <w:fldChar w:fldCharType="separate"/>
      </w:r>
      <w:r>
        <w:rPr>
          <w:rFonts w:hint="default" w:ascii="Arial" w:hAnsi="Arial" w:eastAsia="宋体" w:cs="Arial"/>
          <w:sz w:val="26"/>
          <w:szCs w:val="26"/>
        </w:rPr>
        <w:t>4.</w:t>
      </w:r>
      <w:r>
        <w:rPr>
          <w:rFonts w:hint="default" w:ascii="Arial" w:hAnsi="Arial" w:eastAsia="宋体" w:cs="Arial"/>
          <w:sz w:val="26"/>
          <w:szCs w:val="26"/>
          <w:lang w:val="en-US" w:eastAsia="zh-CN"/>
        </w:rPr>
        <w:t>4</w:t>
      </w:r>
      <w:r>
        <w:rPr>
          <w:rFonts w:hint="default" w:ascii="Arial" w:hAnsi="Arial" w:eastAsia="宋体" w:cs="Arial"/>
          <w:sz w:val="26"/>
          <w:szCs w:val="26"/>
        </w:rPr>
        <w:t>环境质量现状调查与评价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_Toc30748 \h </w:instrText>
      </w:r>
      <w:r>
        <w:rPr>
          <w:rFonts w:hint="default" w:ascii="Arial" w:hAnsi="Arial" w:eastAsia="宋体" w:cs="Arial"/>
          <w:sz w:val="26"/>
          <w:szCs w:val="26"/>
        </w:rPr>
        <w:fldChar w:fldCharType="separate"/>
      </w:r>
      <w:r>
        <w:rPr>
          <w:rFonts w:hint="default" w:ascii="Arial" w:hAnsi="Arial" w:eastAsia="宋体" w:cs="Arial"/>
          <w:sz w:val="26"/>
          <w:szCs w:val="26"/>
        </w:rPr>
        <w:t>171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7AB419E">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_Toc18066 </w:instrText>
      </w:r>
      <w:r>
        <w:rPr>
          <w:rFonts w:hint="default" w:ascii="Arial" w:hAnsi="Arial" w:eastAsia="宋体" w:cs="Arial"/>
          <w:sz w:val="26"/>
          <w:szCs w:val="26"/>
        </w:rPr>
        <w:fldChar w:fldCharType="separate"/>
      </w:r>
      <w:r>
        <w:rPr>
          <w:rFonts w:hint="default" w:ascii="Arial" w:hAnsi="Arial" w:eastAsia="宋体" w:cs="Arial"/>
          <w:sz w:val="26"/>
          <w:szCs w:val="26"/>
        </w:rPr>
        <w:t>5 施工期环境影响分析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_Toc18066 \h </w:instrText>
      </w:r>
      <w:r>
        <w:rPr>
          <w:rFonts w:hint="default" w:ascii="Arial" w:hAnsi="Arial" w:eastAsia="宋体" w:cs="Arial"/>
          <w:sz w:val="26"/>
          <w:szCs w:val="26"/>
        </w:rPr>
        <w:fldChar w:fldCharType="separate"/>
      </w:r>
      <w:r>
        <w:rPr>
          <w:rFonts w:hint="default" w:ascii="Arial" w:hAnsi="Arial" w:eastAsia="宋体" w:cs="Arial"/>
          <w:sz w:val="26"/>
          <w:szCs w:val="26"/>
        </w:rPr>
        <w:t>179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4E0BE56">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_Toc30742 </w:instrText>
      </w:r>
      <w:r>
        <w:rPr>
          <w:rFonts w:hint="default" w:ascii="Arial" w:hAnsi="Arial" w:eastAsia="宋体" w:cs="Arial"/>
          <w:sz w:val="26"/>
          <w:szCs w:val="26"/>
        </w:rPr>
        <w:fldChar w:fldCharType="separate"/>
      </w:r>
      <w:r>
        <w:rPr>
          <w:rFonts w:hint="default" w:ascii="Arial" w:hAnsi="Arial" w:eastAsia="宋体" w:cs="Arial"/>
          <w:sz w:val="26"/>
          <w:szCs w:val="26"/>
        </w:rPr>
        <w:t>5.1施工期噪声及振动影响分析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_Toc30742 \h </w:instrText>
      </w:r>
      <w:r>
        <w:rPr>
          <w:rFonts w:hint="default" w:ascii="Arial" w:hAnsi="Arial" w:eastAsia="宋体" w:cs="Arial"/>
          <w:sz w:val="26"/>
          <w:szCs w:val="26"/>
        </w:rPr>
        <w:fldChar w:fldCharType="separate"/>
      </w:r>
      <w:r>
        <w:rPr>
          <w:rFonts w:hint="default" w:ascii="Arial" w:hAnsi="Arial" w:eastAsia="宋体" w:cs="Arial"/>
          <w:sz w:val="26"/>
          <w:szCs w:val="26"/>
        </w:rPr>
        <w:t>179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D33FF9B">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_Toc20805 </w:instrText>
      </w:r>
      <w:r>
        <w:rPr>
          <w:rFonts w:hint="default" w:ascii="Arial" w:hAnsi="Arial" w:eastAsia="宋体" w:cs="Arial"/>
          <w:sz w:val="26"/>
          <w:szCs w:val="26"/>
        </w:rPr>
        <w:fldChar w:fldCharType="separate"/>
      </w:r>
      <w:r>
        <w:rPr>
          <w:rFonts w:hint="default" w:ascii="Arial" w:hAnsi="Arial" w:eastAsia="宋体" w:cs="Arial"/>
          <w:sz w:val="26"/>
          <w:szCs w:val="26"/>
        </w:rPr>
        <w:t>5.2 施工期地表水环境影响分析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_Toc20805 \h </w:instrText>
      </w:r>
      <w:r>
        <w:rPr>
          <w:rFonts w:hint="default" w:ascii="Arial" w:hAnsi="Arial" w:eastAsia="宋体" w:cs="Arial"/>
          <w:sz w:val="26"/>
          <w:szCs w:val="26"/>
        </w:rPr>
        <w:fldChar w:fldCharType="separate"/>
      </w:r>
      <w:r>
        <w:rPr>
          <w:rFonts w:hint="default" w:ascii="Arial" w:hAnsi="Arial" w:eastAsia="宋体" w:cs="Arial"/>
          <w:sz w:val="26"/>
          <w:szCs w:val="26"/>
        </w:rPr>
        <w:t>181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350A38F">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_Toc28465 </w:instrText>
      </w:r>
      <w:r>
        <w:rPr>
          <w:rFonts w:hint="default" w:ascii="Arial" w:hAnsi="Arial" w:eastAsia="宋体" w:cs="Arial"/>
          <w:sz w:val="26"/>
          <w:szCs w:val="26"/>
        </w:rPr>
        <w:fldChar w:fldCharType="separate"/>
      </w:r>
      <w:r>
        <w:rPr>
          <w:rFonts w:hint="default" w:ascii="Arial" w:hAnsi="Arial" w:eastAsia="宋体" w:cs="Arial"/>
          <w:sz w:val="26"/>
          <w:szCs w:val="26"/>
        </w:rPr>
        <w:t>5.</w:t>
      </w:r>
      <w:r>
        <w:rPr>
          <w:rFonts w:hint="default" w:ascii="Arial" w:hAnsi="Arial" w:eastAsia="宋体" w:cs="Arial"/>
          <w:sz w:val="26"/>
          <w:szCs w:val="26"/>
          <w:lang w:val="en-US" w:eastAsia="zh-CN"/>
        </w:rPr>
        <w:t>3</w:t>
      </w:r>
      <w:r>
        <w:rPr>
          <w:rFonts w:hint="default" w:ascii="Arial" w:hAnsi="Arial" w:eastAsia="宋体" w:cs="Arial"/>
          <w:sz w:val="26"/>
          <w:szCs w:val="26"/>
        </w:rPr>
        <w:t>施工期环境</w:t>
      </w:r>
      <w:r>
        <w:rPr>
          <w:rFonts w:hint="default" w:ascii="Arial" w:hAnsi="Arial" w:eastAsia="宋体" w:cs="Arial"/>
          <w:sz w:val="26"/>
          <w:szCs w:val="26"/>
          <w:lang w:val="en-US" w:eastAsia="zh-CN"/>
        </w:rPr>
        <w:t>空气</w:t>
      </w:r>
      <w:r>
        <w:rPr>
          <w:rFonts w:hint="default" w:ascii="Arial" w:hAnsi="Arial" w:eastAsia="宋体" w:cs="Arial"/>
          <w:sz w:val="26"/>
          <w:szCs w:val="26"/>
        </w:rPr>
        <w:t>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_Toc28465 \h </w:instrText>
      </w:r>
      <w:r>
        <w:rPr>
          <w:rFonts w:hint="default" w:ascii="Arial" w:hAnsi="Arial" w:eastAsia="宋体" w:cs="Arial"/>
          <w:sz w:val="26"/>
          <w:szCs w:val="26"/>
        </w:rPr>
        <w:fldChar w:fldCharType="separate"/>
      </w:r>
      <w:r>
        <w:rPr>
          <w:rFonts w:hint="default" w:ascii="Arial" w:hAnsi="Arial" w:eastAsia="宋体" w:cs="Arial"/>
          <w:sz w:val="26"/>
          <w:szCs w:val="26"/>
        </w:rPr>
        <w:t>183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5724D3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_Toc242 </w:instrText>
      </w:r>
      <w:r>
        <w:rPr>
          <w:rFonts w:hint="default" w:ascii="Arial" w:hAnsi="Arial" w:eastAsia="宋体" w:cs="Arial"/>
          <w:sz w:val="26"/>
          <w:szCs w:val="26"/>
        </w:rPr>
        <w:fldChar w:fldCharType="separate"/>
      </w:r>
      <w:r>
        <w:rPr>
          <w:rFonts w:hint="default" w:ascii="Arial" w:hAnsi="Arial" w:eastAsia="宋体" w:cs="Arial"/>
          <w:sz w:val="26"/>
          <w:szCs w:val="26"/>
        </w:rPr>
        <w:t>5.</w:t>
      </w:r>
      <w:r>
        <w:rPr>
          <w:rFonts w:hint="default" w:ascii="Arial" w:hAnsi="Arial" w:eastAsia="宋体" w:cs="Arial"/>
          <w:sz w:val="26"/>
          <w:szCs w:val="26"/>
          <w:lang w:val="en-US" w:eastAsia="zh-CN"/>
        </w:rPr>
        <w:t>4</w:t>
      </w:r>
      <w:r>
        <w:rPr>
          <w:rFonts w:hint="default" w:ascii="Arial" w:hAnsi="Arial" w:eastAsia="宋体" w:cs="Arial"/>
          <w:sz w:val="26"/>
          <w:szCs w:val="26"/>
        </w:rPr>
        <w:t>施工期固体废物影响分析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_Toc242 \h </w:instrText>
      </w:r>
      <w:r>
        <w:rPr>
          <w:rFonts w:hint="default" w:ascii="Arial" w:hAnsi="Arial" w:eastAsia="宋体" w:cs="Arial"/>
          <w:sz w:val="26"/>
          <w:szCs w:val="26"/>
        </w:rPr>
        <w:fldChar w:fldCharType="separate"/>
      </w:r>
      <w:r>
        <w:rPr>
          <w:rFonts w:hint="default" w:ascii="Arial" w:hAnsi="Arial" w:eastAsia="宋体" w:cs="Arial"/>
          <w:sz w:val="26"/>
          <w:szCs w:val="26"/>
        </w:rPr>
        <w:t>186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FCF087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_Toc4433 </w:instrText>
      </w:r>
      <w:r>
        <w:rPr>
          <w:rFonts w:hint="default" w:ascii="Arial" w:hAnsi="Arial" w:eastAsia="宋体" w:cs="Arial"/>
          <w:sz w:val="26"/>
          <w:szCs w:val="26"/>
        </w:rPr>
        <w:fldChar w:fldCharType="separate"/>
      </w:r>
      <w:r>
        <w:rPr>
          <w:rFonts w:hint="default" w:ascii="Arial" w:hAnsi="Arial" w:eastAsia="宋体" w:cs="Arial"/>
          <w:sz w:val="26"/>
          <w:szCs w:val="26"/>
        </w:rPr>
        <w:t>5.</w:t>
      </w:r>
      <w:r>
        <w:rPr>
          <w:rFonts w:hint="default" w:ascii="Arial" w:hAnsi="Arial" w:eastAsia="宋体" w:cs="Arial"/>
          <w:sz w:val="26"/>
          <w:szCs w:val="26"/>
          <w:lang w:val="en-US" w:eastAsia="zh-CN"/>
        </w:rPr>
        <w:t>5</w:t>
      </w:r>
      <w:r>
        <w:rPr>
          <w:rFonts w:hint="default" w:ascii="Arial" w:hAnsi="Arial" w:eastAsia="宋体" w:cs="Arial"/>
          <w:sz w:val="26"/>
          <w:szCs w:val="26"/>
        </w:rPr>
        <w:t>施工期</w:t>
      </w:r>
      <w:r>
        <w:rPr>
          <w:rFonts w:hint="default" w:ascii="Arial" w:hAnsi="Arial" w:eastAsia="宋体" w:cs="Arial"/>
          <w:sz w:val="26"/>
          <w:szCs w:val="26"/>
          <w:lang w:eastAsia="zh-CN"/>
        </w:rPr>
        <w:t>生态环境</w:t>
      </w:r>
      <w:r>
        <w:rPr>
          <w:rFonts w:hint="default" w:ascii="Arial" w:hAnsi="Arial" w:eastAsia="宋体" w:cs="Arial"/>
          <w:sz w:val="26"/>
          <w:szCs w:val="26"/>
        </w:rPr>
        <w:t>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_Toc4433 \h </w:instrText>
      </w:r>
      <w:r>
        <w:rPr>
          <w:rFonts w:hint="default" w:ascii="Arial" w:hAnsi="Arial" w:eastAsia="宋体" w:cs="Arial"/>
          <w:sz w:val="26"/>
          <w:szCs w:val="26"/>
        </w:rPr>
        <w:fldChar w:fldCharType="separate"/>
      </w:r>
      <w:r>
        <w:rPr>
          <w:rFonts w:hint="default" w:ascii="Arial" w:hAnsi="Arial" w:eastAsia="宋体" w:cs="Arial"/>
          <w:sz w:val="26"/>
          <w:szCs w:val="26"/>
        </w:rPr>
        <w:t>187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10206BA">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_Toc14012 </w:instrText>
      </w:r>
      <w:r>
        <w:rPr>
          <w:rFonts w:hint="default" w:ascii="Arial" w:hAnsi="Arial" w:eastAsia="宋体" w:cs="Arial"/>
          <w:sz w:val="26"/>
          <w:szCs w:val="26"/>
        </w:rPr>
        <w:fldChar w:fldCharType="separate"/>
      </w:r>
      <w:r>
        <w:rPr>
          <w:rFonts w:hint="default" w:ascii="Arial" w:hAnsi="Arial" w:eastAsia="宋体" w:cs="Arial"/>
          <w:sz w:val="26"/>
          <w:szCs w:val="26"/>
        </w:rPr>
        <w:t>5.</w:t>
      </w:r>
      <w:r>
        <w:rPr>
          <w:rFonts w:hint="default" w:ascii="Arial" w:hAnsi="Arial" w:eastAsia="宋体" w:cs="Arial"/>
          <w:sz w:val="26"/>
          <w:szCs w:val="26"/>
          <w:lang w:val="en-US" w:eastAsia="zh-CN"/>
        </w:rPr>
        <w:t>6</w:t>
      </w:r>
      <w:r>
        <w:rPr>
          <w:rFonts w:hint="default" w:ascii="Arial" w:hAnsi="Arial" w:eastAsia="宋体" w:cs="Arial"/>
          <w:sz w:val="26"/>
          <w:szCs w:val="26"/>
          <w:lang w:eastAsia="zh-CN"/>
        </w:rPr>
        <w:t>道路交通影响分析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_Toc14012 \h </w:instrText>
      </w:r>
      <w:r>
        <w:rPr>
          <w:rFonts w:hint="default" w:ascii="Arial" w:hAnsi="Arial" w:eastAsia="宋体" w:cs="Arial"/>
          <w:sz w:val="26"/>
          <w:szCs w:val="26"/>
        </w:rPr>
        <w:fldChar w:fldCharType="separate"/>
      </w:r>
      <w:r>
        <w:rPr>
          <w:rFonts w:hint="default" w:ascii="Arial" w:hAnsi="Arial" w:eastAsia="宋体" w:cs="Arial"/>
          <w:sz w:val="26"/>
          <w:szCs w:val="26"/>
        </w:rPr>
        <w:t>195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1DD70FE">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_Toc3224 </w:instrText>
      </w:r>
      <w:r>
        <w:rPr>
          <w:rFonts w:hint="default" w:ascii="Arial" w:hAnsi="Arial" w:eastAsia="宋体" w:cs="Arial"/>
          <w:sz w:val="26"/>
          <w:szCs w:val="26"/>
        </w:rPr>
        <w:fldChar w:fldCharType="separate"/>
      </w:r>
      <w:r>
        <w:rPr>
          <w:rFonts w:hint="default" w:ascii="Arial" w:hAnsi="Arial" w:eastAsia="宋体" w:cs="Arial"/>
          <w:sz w:val="26"/>
          <w:szCs w:val="26"/>
        </w:rPr>
        <w:t>6 营运期环境影响分析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_Toc3224 \h </w:instrText>
      </w:r>
      <w:r>
        <w:rPr>
          <w:rFonts w:hint="default" w:ascii="Arial" w:hAnsi="Arial" w:eastAsia="宋体" w:cs="Arial"/>
          <w:sz w:val="26"/>
          <w:szCs w:val="26"/>
        </w:rPr>
        <w:fldChar w:fldCharType="separate"/>
      </w:r>
      <w:r>
        <w:rPr>
          <w:rFonts w:hint="default" w:ascii="Arial" w:hAnsi="Arial" w:eastAsia="宋体" w:cs="Arial"/>
          <w:sz w:val="26"/>
          <w:szCs w:val="26"/>
        </w:rPr>
        <w:t>197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1FC042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_Toc7071 </w:instrText>
      </w:r>
      <w:r>
        <w:rPr>
          <w:rFonts w:hint="default" w:ascii="Arial" w:hAnsi="Arial" w:eastAsia="宋体" w:cs="Arial"/>
          <w:sz w:val="26"/>
          <w:szCs w:val="26"/>
        </w:rPr>
        <w:fldChar w:fldCharType="separate"/>
      </w:r>
      <w:r>
        <w:rPr>
          <w:rFonts w:hint="default" w:ascii="Arial" w:hAnsi="Arial" w:eastAsia="宋体" w:cs="Arial"/>
          <w:sz w:val="26"/>
          <w:szCs w:val="26"/>
        </w:rPr>
        <w:t>6.1 声环境影响评价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_Toc7071 \h </w:instrText>
      </w:r>
      <w:r>
        <w:rPr>
          <w:rFonts w:hint="default" w:ascii="Arial" w:hAnsi="Arial" w:eastAsia="宋体" w:cs="Arial"/>
          <w:sz w:val="26"/>
          <w:szCs w:val="26"/>
        </w:rPr>
        <w:fldChar w:fldCharType="separate"/>
      </w:r>
      <w:r>
        <w:rPr>
          <w:rFonts w:hint="default" w:ascii="Arial" w:hAnsi="Arial" w:eastAsia="宋体" w:cs="Arial"/>
          <w:sz w:val="26"/>
          <w:szCs w:val="26"/>
        </w:rPr>
        <w:t>197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B33B77F">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_Toc634 </w:instrText>
      </w:r>
      <w:r>
        <w:rPr>
          <w:rFonts w:hint="default" w:ascii="Arial" w:hAnsi="Arial" w:eastAsia="宋体" w:cs="Arial"/>
          <w:sz w:val="26"/>
          <w:szCs w:val="26"/>
        </w:rPr>
        <w:fldChar w:fldCharType="separate"/>
      </w:r>
      <w:r>
        <w:rPr>
          <w:rFonts w:hint="default" w:ascii="Arial" w:hAnsi="Arial" w:eastAsia="宋体" w:cs="Arial"/>
          <w:sz w:val="26"/>
          <w:szCs w:val="26"/>
        </w:rPr>
        <w:t>6.2 大气环境影响评价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_Toc634 \h </w:instrText>
      </w:r>
      <w:r>
        <w:rPr>
          <w:rFonts w:hint="default" w:ascii="Arial" w:hAnsi="Arial" w:eastAsia="宋体" w:cs="Arial"/>
          <w:sz w:val="26"/>
          <w:szCs w:val="26"/>
        </w:rPr>
        <w:fldChar w:fldCharType="separate"/>
      </w:r>
      <w:r>
        <w:rPr>
          <w:rFonts w:hint="default" w:ascii="Arial" w:hAnsi="Arial" w:eastAsia="宋体" w:cs="Arial"/>
          <w:sz w:val="26"/>
          <w:szCs w:val="26"/>
        </w:rPr>
        <w:t>224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6CAC78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_Toc21612 </w:instrText>
      </w:r>
      <w:r>
        <w:rPr>
          <w:rFonts w:hint="default" w:ascii="Arial" w:hAnsi="Arial" w:eastAsia="宋体" w:cs="Arial"/>
          <w:sz w:val="26"/>
          <w:szCs w:val="26"/>
        </w:rPr>
        <w:fldChar w:fldCharType="separate"/>
      </w:r>
      <w:r>
        <w:rPr>
          <w:rFonts w:hint="default" w:ascii="Arial" w:hAnsi="Arial" w:eastAsia="宋体" w:cs="Arial"/>
          <w:sz w:val="26"/>
          <w:szCs w:val="26"/>
        </w:rPr>
        <w:t>6.3 地表水环境影响评价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_Toc21612 \h </w:instrText>
      </w:r>
      <w:r>
        <w:rPr>
          <w:rFonts w:hint="default" w:ascii="Arial" w:hAnsi="Arial" w:eastAsia="宋体" w:cs="Arial"/>
          <w:sz w:val="26"/>
          <w:szCs w:val="26"/>
        </w:rPr>
        <w:fldChar w:fldCharType="separate"/>
      </w:r>
      <w:r>
        <w:rPr>
          <w:rFonts w:hint="default" w:ascii="Arial" w:hAnsi="Arial" w:eastAsia="宋体" w:cs="Arial"/>
          <w:sz w:val="26"/>
          <w:szCs w:val="26"/>
        </w:rPr>
        <w:t>226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25529E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_Toc18791 </w:instrText>
      </w:r>
      <w:r>
        <w:rPr>
          <w:rFonts w:hint="default" w:ascii="Arial" w:hAnsi="Arial" w:eastAsia="宋体" w:cs="Arial"/>
          <w:sz w:val="26"/>
          <w:szCs w:val="26"/>
        </w:rPr>
        <w:fldChar w:fldCharType="separate"/>
      </w:r>
      <w:r>
        <w:rPr>
          <w:rFonts w:hint="default" w:ascii="Arial" w:hAnsi="Arial" w:eastAsia="宋体" w:cs="Arial"/>
          <w:sz w:val="26"/>
          <w:szCs w:val="26"/>
        </w:rPr>
        <w:t>6.4地下水环境影响评价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_Toc18791 \h </w:instrText>
      </w:r>
      <w:r>
        <w:rPr>
          <w:rFonts w:hint="default" w:ascii="Arial" w:hAnsi="Arial" w:eastAsia="宋体" w:cs="Arial"/>
          <w:sz w:val="26"/>
          <w:szCs w:val="26"/>
        </w:rPr>
        <w:fldChar w:fldCharType="separate"/>
      </w:r>
      <w:r>
        <w:rPr>
          <w:rFonts w:hint="default" w:ascii="Arial" w:hAnsi="Arial" w:eastAsia="宋体" w:cs="Arial"/>
          <w:sz w:val="26"/>
          <w:szCs w:val="26"/>
        </w:rPr>
        <w:t>229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0D63280">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_Toc26484 </w:instrText>
      </w:r>
      <w:r>
        <w:rPr>
          <w:rFonts w:hint="default" w:ascii="Arial" w:hAnsi="Arial" w:eastAsia="宋体" w:cs="Arial"/>
          <w:sz w:val="26"/>
          <w:szCs w:val="26"/>
        </w:rPr>
        <w:fldChar w:fldCharType="separate"/>
      </w:r>
      <w:r>
        <w:rPr>
          <w:rFonts w:hint="default" w:ascii="Arial" w:hAnsi="Arial" w:eastAsia="宋体" w:cs="Arial"/>
          <w:sz w:val="26"/>
          <w:szCs w:val="26"/>
        </w:rPr>
        <w:t>6.</w:t>
      </w:r>
      <w:r>
        <w:rPr>
          <w:rFonts w:hint="default" w:ascii="Arial" w:hAnsi="Arial" w:eastAsia="宋体" w:cs="Arial"/>
          <w:sz w:val="26"/>
          <w:szCs w:val="26"/>
          <w:lang w:val="en-US" w:eastAsia="zh-CN"/>
        </w:rPr>
        <w:t>5</w:t>
      </w:r>
      <w:r>
        <w:rPr>
          <w:rFonts w:hint="default" w:ascii="Arial" w:hAnsi="Arial" w:eastAsia="宋体" w:cs="Arial"/>
          <w:sz w:val="26"/>
          <w:szCs w:val="26"/>
          <w:lang w:eastAsia="zh-CN"/>
        </w:rPr>
        <w:t>固体废弃物</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_Toc26484 \h </w:instrText>
      </w:r>
      <w:r>
        <w:rPr>
          <w:rFonts w:hint="default" w:ascii="Arial" w:hAnsi="Arial" w:eastAsia="宋体" w:cs="Arial"/>
          <w:sz w:val="26"/>
          <w:szCs w:val="26"/>
        </w:rPr>
        <w:fldChar w:fldCharType="separate"/>
      </w:r>
      <w:r>
        <w:rPr>
          <w:rFonts w:hint="default" w:ascii="Arial" w:hAnsi="Arial" w:eastAsia="宋体" w:cs="Arial"/>
          <w:sz w:val="26"/>
          <w:szCs w:val="26"/>
        </w:rPr>
        <w:t>229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FEABFC3">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_Toc7682 </w:instrText>
      </w:r>
      <w:r>
        <w:rPr>
          <w:rFonts w:hint="default" w:ascii="Arial" w:hAnsi="Arial" w:eastAsia="宋体" w:cs="Arial"/>
          <w:sz w:val="26"/>
          <w:szCs w:val="26"/>
        </w:rPr>
        <w:fldChar w:fldCharType="separate"/>
      </w:r>
      <w:r>
        <w:rPr>
          <w:rFonts w:hint="default" w:ascii="Arial" w:hAnsi="Arial" w:eastAsia="宋体" w:cs="Arial"/>
          <w:sz w:val="26"/>
          <w:szCs w:val="26"/>
        </w:rPr>
        <w:t>6.</w:t>
      </w:r>
      <w:r>
        <w:rPr>
          <w:rFonts w:hint="default" w:ascii="Arial" w:hAnsi="Arial" w:eastAsia="宋体" w:cs="Arial"/>
          <w:sz w:val="26"/>
          <w:szCs w:val="26"/>
          <w:lang w:val="en-US" w:eastAsia="zh-CN"/>
        </w:rPr>
        <w:t>6</w:t>
      </w:r>
      <w:r>
        <w:rPr>
          <w:rFonts w:hint="default" w:ascii="Arial" w:hAnsi="Arial" w:eastAsia="宋体" w:cs="Arial"/>
          <w:sz w:val="26"/>
          <w:szCs w:val="26"/>
        </w:rPr>
        <w:t>生态环境影响评价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_Toc7682 \h </w:instrText>
      </w:r>
      <w:r>
        <w:rPr>
          <w:rFonts w:hint="default" w:ascii="Arial" w:hAnsi="Arial" w:eastAsia="宋体" w:cs="Arial"/>
          <w:sz w:val="26"/>
          <w:szCs w:val="26"/>
        </w:rPr>
        <w:fldChar w:fldCharType="separate"/>
      </w:r>
      <w:r>
        <w:rPr>
          <w:rFonts w:hint="default" w:ascii="Arial" w:hAnsi="Arial" w:eastAsia="宋体" w:cs="Arial"/>
          <w:sz w:val="26"/>
          <w:szCs w:val="26"/>
        </w:rPr>
        <w:t>229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916CF51">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_Toc28969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7</w:t>
      </w:r>
      <w:r>
        <w:rPr>
          <w:rFonts w:hint="default" w:ascii="Arial" w:hAnsi="Arial" w:eastAsia="宋体" w:cs="Arial"/>
          <w:sz w:val="26"/>
          <w:szCs w:val="26"/>
        </w:rPr>
        <w:t xml:space="preserve"> 环境风险影响分析与评价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_Toc28969 \h </w:instrText>
      </w:r>
      <w:r>
        <w:rPr>
          <w:rFonts w:hint="default" w:ascii="Arial" w:hAnsi="Arial" w:eastAsia="宋体" w:cs="Arial"/>
          <w:sz w:val="26"/>
          <w:szCs w:val="26"/>
        </w:rPr>
        <w:fldChar w:fldCharType="separate"/>
      </w:r>
      <w:r>
        <w:rPr>
          <w:rFonts w:hint="default" w:ascii="Arial" w:hAnsi="Arial" w:eastAsia="宋体" w:cs="Arial"/>
          <w:sz w:val="26"/>
          <w:szCs w:val="26"/>
        </w:rPr>
        <w:t>235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C51E3F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_Toc22645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7</w:t>
      </w:r>
      <w:r>
        <w:rPr>
          <w:rFonts w:hint="default" w:ascii="Arial" w:hAnsi="Arial" w:eastAsia="宋体" w:cs="Arial"/>
          <w:sz w:val="26"/>
          <w:szCs w:val="26"/>
        </w:rPr>
        <w:t>.1</w:t>
      </w:r>
      <w:r>
        <w:rPr>
          <w:rFonts w:hint="default" w:ascii="Arial" w:hAnsi="Arial" w:eastAsia="宋体" w:cs="Arial"/>
          <w:sz w:val="26"/>
          <w:szCs w:val="26"/>
          <w:lang w:eastAsia="zh-CN"/>
        </w:rPr>
        <w:t>施工期环境风险分析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_Toc22645 \h </w:instrText>
      </w:r>
      <w:r>
        <w:rPr>
          <w:rFonts w:hint="default" w:ascii="Arial" w:hAnsi="Arial" w:eastAsia="宋体" w:cs="Arial"/>
          <w:sz w:val="26"/>
          <w:szCs w:val="26"/>
        </w:rPr>
        <w:fldChar w:fldCharType="separate"/>
      </w:r>
      <w:r>
        <w:rPr>
          <w:rFonts w:hint="default" w:ascii="Arial" w:hAnsi="Arial" w:eastAsia="宋体" w:cs="Arial"/>
          <w:sz w:val="26"/>
          <w:szCs w:val="26"/>
        </w:rPr>
        <w:t>235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E042A47">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_Toc28861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7</w:t>
      </w:r>
      <w:r>
        <w:rPr>
          <w:rFonts w:hint="default" w:ascii="Arial" w:hAnsi="Arial" w:eastAsia="宋体" w:cs="Arial"/>
          <w:sz w:val="26"/>
          <w:szCs w:val="26"/>
        </w:rPr>
        <w:t>.</w:t>
      </w:r>
      <w:r>
        <w:rPr>
          <w:rFonts w:hint="default" w:ascii="Arial" w:hAnsi="Arial" w:eastAsia="宋体" w:cs="Arial"/>
          <w:sz w:val="26"/>
          <w:szCs w:val="26"/>
          <w:lang w:val="en-US" w:eastAsia="zh-CN"/>
        </w:rPr>
        <w:t>2</w:t>
      </w:r>
      <w:r>
        <w:rPr>
          <w:rFonts w:hint="default" w:ascii="Arial" w:hAnsi="Arial" w:eastAsia="宋体" w:cs="Arial"/>
          <w:sz w:val="26"/>
          <w:szCs w:val="26"/>
          <w:lang w:eastAsia="zh-CN"/>
        </w:rPr>
        <w:t>运营期环境风险分析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_Toc28861 \h </w:instrText>
      </w:r>
      <w:r>
        <w:rPr>
          <w:rFonts w:hint="default" w:ascii="Arial" w:hAnsi="Arial" w:eastAsia="宋体" w:cs="Arial"/>
          <w:sz w:val="26"/>
          <w:szCs w:val="26"/>
        </w:rPr>
        <w:fldChar w:fldCharType="separate"/>
      </w:r>
      <w:r>
        <w:rPr>
          <w:rFonts w:hint="default" w:ascii="Arial" w:hAnsi="Arial" w:eastAsia="宋体" w:cs="Arial"/>
          <w:sz w:val="26"/>
          <w:szCs w:val="26"/>
        </w:rPr>
        <w:t>236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926C7F3">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_Toc11280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7.3</w:t>
      </w:r>
      <w:r>
        <w:rPr>
          <w:rFonts w:hint="default" w:ascii="Arial" w:hAnsi="Arial" w:eastAsia="宋体" w:cs="Arial"/>
          <w:sz w:val="26"/>
          <w:szCs w:val="26"/>
        </w:rPr>
        <w:t>小结</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_Toc11280 \h </w:instrText>
      </w:r>
      <w:r>
        <w:rPr>
          <w:rFonts w:hint="default" w:ascii="Arial" w:hAnsi="Arial" w:eastAsia="宋体" w:cs="Arial"/>
          <w:sz w:val="26"/>
          <w:szCs w:val="26"/>
        </w:rPr>
        <w:fldChar w:fldCharType="separate"/>
      </w:r>
      <w:r>
        <w:rPr>
          <w:rFonts w:hint="default" w:ascii="Arial" w:hAnsi="Arial" w:eastAsia="宋体" w:cs="Arial"/>
          <w:sz w:val="26"/>
          <w:szCs w:val="26"/>
        </w:rPr>
        <w:t>242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469D752">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_Toc24961 </w:instrText>
      </w:r>
      <w:r>
        <w:rPr>
          <w:rFonts w:hint="default" w:ascii="Arial" w:hAnsi="Arial" w:eastAsia="宋体" w:cs="Arial"/>
          <w:sz w:val="26"/>
          <w:szCs w:val="26"/>
        </w:rPr>
        <w:fldChar w:fldCharType="separate"/>
      </w:r>
      <w:r>
        <w:rPr>
          <w:rFonts w:hint="default" w:ascii="Arial" w:hAnsi="Arial" w:eastAsia="宋体" w:cs="Arial"/>
          <w:bCs/>
          <w:sz w:val="26"/>
          <w:szCs w:val="26"/>
          <w:lang w:val="en-US" w:eastAsia="zh-CN"/>
        </w:rPr>
        <w:t>8</w:t>
      </w:r>
      <w:r>
        <w:rPr>
          <w:rFonts w:hint="default" w:ascii="Arial" w:hAnsi="Arial" w:eastAsia="宋体" w:cs="Arial"/>
          <w:bCs/>
          <w:sz w:val="26"/>
          <w:szCs w:val="26"/>
        </w:rPr>
        <w:t xml:space="preserve"> 环境保护措施及技术可行性论证</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_Toc24961 \h </w:instrText>
      </w:r>
      <w:r>
        <w:rPr>
          <w:rFonts w:hint="default" w:ascii="Arial" w:hAnsi="Arial" w:eastAsia="宋体" w:cs="Arial"/>
          <w:sz w:val="26"/>
          <w:szCs w:val="26"/>
        </w:rPr>
        <w:fldChar w:fldCharType="separate"/>
      </w:r>
      <w:r>
        <w:rPr>
          <w:rFonts w:hint="default" w:ascii="Arial" w:hAnsi="Arial" w:eastAsia="宋体" w:cs="Arial"/>
          <w:sz w:val="26"/>
          <w:szCs w:val="26"/>
        </w:rPr>
        <w:t>243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CA4529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_Toc28444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8.1施工期的环境保护及污染防治措施</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_Toc28444 \h </w:instrText>
      </w:r>
      <w:r>
        <w:rPr>
          <w:rFonts w:hint="default" w:ascii="Arial" w:hAnsi="Arial" w:eastAsia="宋体" w:cs="Arial"/>
          <w:sz w:val="26"/>
          <w:szCs w:val="26"/>
        </w:rPr>
        <w:fldChar w:fldCharType="separate"/>
      </w:r>
      <w:r>
        <w:rPr>
          <w:rFonts w:hint="default" w:ascii="Arial" w:hAnsi="Arial" w:eastAsia="宋体" w:cs="Arial"/>
          <w:sz w:val="26"/>
          <w:szCs w:val="26"/>
        </w:rPr>
        <w:t>243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17332D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_Toc20465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8.2</w:t>
      </w:r>
      <w:r>
        <w:rPr>
          <w:rFonts w:hint="default" w:ascii="Arial" w:hAnsi="Arial" w:eastAsia="宋体" w:cs="Arial"/>
          <w:sz w:val="26"/>
          <w:szCs w:val="26"/>
        </w:rPr>
        <w:t>营运期的环境保护及污染防治措施</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_Toc20465 \h </w:instrText>
      </w:r>
      <w:r>
        <w:rPr>
          <w:rFonts w:hint="default" w:ascii="Arial" w:hAnsi="Arial" w:eastAsia="宋体" w:cs="Arial"/>
          <w:sz w:val="26"/>
          <w:szCs w:val="26"/>
        </w:rPr>
        <w:fldChar w:fldCharType="separate"/>
      </w:r>
      <w:r>
        <w:rPr>
          <w:rFonts w:hint="default" w:ascii="Arial" w:hAnsi="Arial" w:eastAsia="宋体" w:cs="Arial"/>
          <w:sz w:val="26"/>
          <w:szCs w:val="26"/>
        </w:rPr>
        <w:t>252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8A8748E">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_Toc5682 </w:instrText>
      </w:r>
      <w:r>
        <w:rPr>
          <w:rFonts w:hint="default" w:ascii="Arial" w:hAnsi="Arial" w:eastAsia="宋体" w:cs="Arial"/>
          <w:sz w:val="26"/>
          <w:szCs w:val="26"/>
        </w:rPr>
        <w:fldChar w:fldCharType="separate"/>
      </w:r>
      <w:r>
        <w:rPr>
          <w:rFonts w:hint="default" w:ascii="Arial" w:hAnsi="Arial" w:eastAsia="宋体" w:cs="Arial"/>
          <w:bCs/>
          <w:kern w:val="2"/>
          <w:sz w:val="26"/>
          <w:szCs w:val="26"/>
          <w:highlight w:val="none"/>
          <w:lang w:val="en-US" w:eastAsia="zh-CN" w:bidi="ar-SA"/>
        </w:rPr>
        <w:t>8.2.5</w:t>
      </w:r>
      <w:r>
        <w:rPr>
          <w:rFonts w:hint="default" w:ascii="Arial" w:hAnsi="Arial" w:eastAsia="宋体" w:cs="Arial"/>
          <w:bCs/>
          <w:kern w:val="44"/>
          <w:sz w:val="26"/>
          <w:szCs w:val="26"/>
          <w:highlight w:val="none"/>
        </w:rPr>
        <w:t xml:space="preserve"> 固体废物污染处置措施</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_Toc5682 \h </w:instrText>
      </w:r>
      <w:r>
        <w:rPr>
          <w:rFonts w:hint="default" w:ascii="Arial" w:hAnsi="Arial" w:eastAsia="宋体" w:cs="Arial"/>
          <w:sz w:val="26"/>
          <w:szCs w:val="26"/>
        </w:rPr>
        <w:fldChar w:fldCharType="separate"/>
      </w:r>
      <w:r>
        <w:rPr>
          <w:rFonts w:hint="default" w:ascii="Arial" w:hAnsi="Arial" w:eastAsia="宋体" w:cs="Arial"/>
          <w:sz w:val="26"/>
          <w:szCs w:val="26"/>
        </w:rPr>
        <w:t>256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F76FC4E">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_Toc14371 </w:instrText>
      </w:r>
      <w:r>
        <w:rPr>
          <w:rFonts w:hint="default" w:ascii="Arial" w:hAnsi="Arial" w:eastAsia="宋体" w:cs="Arial"/>
          <w:sz w:val="26"/>
          <w:szCs w:val="26"/>
        </w:rPr>
        <w:fldChar w:fldCharType="separate"/>
      </w:r>
      <w:r>
        <w:rPr>
          <w:rFonts w:hint="default" w:ascii="Arial" w:hAnsi="Arial" w:eastAsia="宋体" w:cs="Arial"/>
          <w:bCs/>
          <w:kern w:val="2"/>
          <w:sz w:val="26"/>
          <w:szCs w:val="26"/>
          <w:highlight w:val="none"/>
          <w:lang w:val="en-US" w:eastAsia="zh-CN" w:bidi="ar-SA"/>
        </w:rPr>
        <w:t>8.2.6环境风险防范措施</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_Toc14371 \h </w:instrText>
      </w:r>
      <w:r>
        <w:rPr>
          <w:rFonts w:hint="default" w:ascii="Arial" w:hAnsi="Arial" w:eastAsia="宋体" w:cs="Arial"/>
          <w:sz w:val="26"/>
          <w:szCs w:val="26"/>
        </w:rPr>
        <w:fldChar w:fldCharType="separate"/>
      </w:r>
      <w:r>
        <w:rPr>
          <w:rFonts w:hint="default" w:ascii="Arial" w:hAnsi="Arial" w:eastAsia="宋体" w:cs="Arial"/>
          <w:sz w:val="26"/>
          <w:szCs w:val="26"/>
        </w:rPr>
        <w:t>256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2CAD64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_Toc10086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8.3</w:t>
      </w:r>
      <w:r>
        <w:rPr>
          <w:rFonts w:hint="default" w:ascii="Arial" w:hAnsi="Arial" w:eastAsia="宋体" w:cs="Arial"/>
          <w:sz w:val="26"/>
          <w:szCs w:val="26"/>
          <w:highlight w:val="none"/>
        </w:rPr>
        <w:t>环保投资</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_Toc10086 \h </w:instrText>
      </w:r>
      <w:r>
        <w:rPr>
          <w:rFonts w:hint="default" w:ascii="Arial" w:hAnsi="Arial" w:eastAsia="宋体" w:cs="Arial"/>
          <w:sz w:val="26"/>
          <w:szCs w:val="26"/>
        </w:rPr>
        <w:fldChar w:fldCharType="separate"/>
      </w:r>
      <w:r>
        <w:rPr>
          <w:rFonts w:hint="default" w:ascii="Arial" w:hAnsi="Arial" w:eastAsia="宋体" w:cs="Arial"/>
          <w:sz w:val="26"/>
          <w:szCs w:val="26"/>
        </w:rPr>
        <w:t>257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998EB0E">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_Toc200 </w:instrText>
      </w:r>
      <w:r>
        <w:rPr>
          <w:rFonts w:hint="default" w:ascii="Arial" w:hAnsi="Arial" w:eastAsia="宋体" w:cs="Arial"/>
          <w:sz w:val="26"/>
          <w:szCs w:val="26"/>
        </w:rPr>
        <w:fldChar w:fldCharType="separate"/>
      </w:r>
      <w:r>
        <w:rPr>
          <w:rFonts w:hint="default" w:ascii="Arial" w:hAnsi="Arial" w:eastAsia="宋体" w:cs="Arial"/>
          <w:bCs/>
          <w:sz w:val="26"/>
          <w:szCs w:val="26"/>
          <w:lang w:val="en-US" w:eastAsia="zh-CN"/>
        </w:rPr>
        <w:t>9</w:t>
      </w:r>
      <w:r>
        <w:rPr>
          <w:rFonts w:hint="default" w:ascii="Arial" w:hAnsi="Arial" w:eastAsia="宋体" w:cs="Arial"/>
          <w:bCs/>
          <w:sz w:val="26"/>
          <w:szCs w:val="26"/>
          <w:highlight w:val="none"/>
        </w:rPr>
        <w:t xml:space="preserve"> 环境影响经济损益分析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_Toc200 \h </w:instrText>
      </w:r>
      <w:r>
        <w:rPr>
          <w:rFonts w:hint="default" w:ascii="Arial" w:hAnsi="Arial" w:eastAsia="宋体" w:cs="Arial"/>
          <w:sz w:val="26"/>
          <w:szCs w:val="26"/>
        </w:rPr>
        <w:fldChar w:fldCharType="separate"/>
      </w:r>
      <w:r>
        <w:rPr>
          <w:rFonts w:hint="default" w:ascii="Arial" w:hAnsi="Arial" w:eastAsia="宋体" w:cs="Arial"/>
          <w:sz w:val="26"/>
          <w:szCs w:val="26"/>
        </w:rPr>
        <w:t>260</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47C8A3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_Toc19408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9.1社会经济效益分析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_Toc19408 \h </w:instrText>
      </w:r>
      <w:r>
        <w:rPr>
          <w:rFonts w:hint="default" w:ascii="Arial" w:hAnsi="Arial" w:eastAsia="宋体" w:cs="Arial"/>
          <w:sz w:val="26"/>
          <w:szCs w:val="26"/>
        </w:rPr>
        <w:fldChar w:fldCharType="separate"/>
      </w:r>
      <w:r>
        <w:rPr>
          <w:rFonts w:hint="default" w:ascii="Arial" w:hAnsi="Arial" w:eastAsia="宋体" w:cs="Arial"/>
          <w:sz w:val="26"/>
          <w:szCs w:val="26"/>
        </w:rPr>
        <w:t>260</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837DD32">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_Toc16160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9.2环境经济效益分析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_Toc16160 \h </w:instrText>
      </w:r>
      <w:r>
        <w:rPr>
          <w:rFonts w:hint="default" w:ascii="Arial" w:hAnsi="Arial" w:eastAsia="宋体" w:cs="Arial"/>
          <w:sz w:val="26"/>
          <w:szCs w:val="26"/>
        </w:rPr>
        <w:fldChar w:fldCharType="separate"/>
      </w:r>
      <w:r>
        <w:rPr>
          <w:rFonts w:hint="default" w:ascii="Arial" w:hAnsi="Arial" w:eastAsia="宋体" w:cs="Arial"/>
          <w:sz w:val="26"/>
          <w:szCs w:val="26"/>
        </w:rPr>
        <w:t>260</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652C13C">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_Toc6698 </w:instrText>
      </w:r>
      <w:r>
        <w:rPr>
          <w:rFonts w:hint="default" w:ascii="Arial" w:hAnsi="Arial" w:eastAsia="宋体" w:cs="Arial"/>
          <w:sz w:val="26"/>
          <w:szCs w:val="26"/>
        </w:rPr>
        <w:fldChar w:fldCharType="separate"/>
      </w:r>
      <w:r>
        <w:rPr>
          <w:rFonts w:hint="default" w:ascii="Arial" w:hAnsi="Arial" w:eastAsia="宋体" w:cs="Arial"/>
          <w:bCs/>
          <w:kern w:val="2"/>
          <w:sz w:val="26"/>
          <w:szCs w:val="26"/>
          <w:lang w:val="en-US" w:eastAsia="zh-CN" w:bidi="ar-SA"/>
        </w:rPr>
        <w:t>10环境管理与监测</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_Toc6698 \h </w:instrText>
      </w:r>
      <w:r>
        <w:rPr>
          <w:rFonts w:hint="default" w:ascii="Arial" w:hAnsi="Arial" w:eastAsia="宋体" w:cs="Arial"/>
          <w:sz w:val="26"/>
          <w:szCs w:val="26"/>
        </w:rPr>
        <w:fldChar w:fldCharType="separate"/>
      </w:r>
      <w:r>
        <w:rPr>
          <w:rFonts w:hint="default" w:ascii="Arial" w:hAnsi="Arial" w:eastAsia="宋体" w:cs="Arial"/>
          <w:sz w:val="26"/>
          <w:szCs w:val="26"/>
        </w:rPr>
        <w:t>261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8EBB1E4">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_Toc5001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10.1环境管理</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_Toc5001 \h </w:instrText>
      </w:r>
      <w:r>
        <w:rPr>
          <w:rFonts w:hint="default" w:ascii="Arial" w:hAnsi="Arial" w:eastAsia="宋体" w:cs="Arial"/>
          <w:sz w:val="26"/>
          <w:szCs w:val="26"/>
        </w:rPr>
        <w:fldChar w:fldCharType="separate"/>
      </w:r>
      <w:r>
        <w:rPr>
          <w:rFonts w:hint="default" w:ascii="Arial" w:hAnsi="Arial" w:eastAsia="宋体" w:cs="Arial"/>
          <w:sz w:val="26"/>
          <w:szCs w:val="26"/>
        </w:rPr>
        <w:t>261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917358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_Toc21542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10.2环境监理</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_Toc21542 \h </w:instrText>
      </w:r>
      <w:r>
        <w:rPr>
          <w:rFonts w:hint="default" w:ascii="Arial" w:hAnsi="Arial" w:eastAsia="宋体" w:cs="Arial"/>
          <w:sz w:val="26"/>
          <w:szCs w:val="26"/>
        </w:rPr>
        <w:fldChar w:fldCharType="separate"/>
      </w:r>
      <w:r>
        <w:rPr>
          <w:rFonts w:hint="default" w:ascii="Arial" w:hAnsi="Arial" w:eastAsia="宋体" w:cs="Arial"/>
          <w:sz w:val="26"/>
          <w:szCs w:val="26"/>
        </w:rPr>
        <w:t>262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4690A0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_Toc27648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10.3环境监测</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_Toc27648 \h </w:instrText>
      </w:r>
      <w:r>
        <w:rPr>
          <w:rFonts w:hint="default" w:ascii="Arial" w:hAnsi="Arial" w:eastAsia="宋体" w:cs="Arial"/>
          <w:sz w:val="26"/>
          <w:szCs w:val="26"/>
        </w:rPr>
        <w:fldChar w:fldCharType="separate"/>
      </w:r>
      <w:r>
        <w:rPr>
          <w:rFonts w:hint="default" w:ascii="Arial" w:hAnsi="Arial" w:eastAsia="宋体" w:cs="Arial"/>
          <w:sz w:val="26"/>
          <w:szCs w:val="26"/>
        </w:rPr>
        <w:t>265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5B10DA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_Toc4376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10.4竣工环境保护验收</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_Toc4376 \h </w:instrText>
      </w:r>
      <w:r>
        <w:rPr>
          <w:rFonts w:hint="default" w:ascii="Arial" w:hAnsi="Arial" w:eastAsia="宋体" w:cs="Arial"/>
          <w:sz w:val="26"/>
          <w:szCs w:val="26"/>
        </w:rPr>
        <w:fldChar w:fldCharType="separate"/>
      </w:r>
      <w:r>
        <w:rPr>
          <w:rFonts w:hint="default" w:ascii="Arial" w:hAnsi="Arial" w:eastAsia="宋体" w:cs="Arial"/>
          <w:sz w:val="26"/>
          <w:szCs w:val="26"/>
        </w:rPr>
        <w:t>266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00F2E68">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_Toc8802 </w:instrText>
      </w:r>
      <w:r>
        <w:rPr>
          <w:rFonts w:hint="default" w:ascii="Arial" w:hAnsi="Arial" w:eastAsia="宋体" w:cs="Arial"/>
          <w:sz w:val="26"/>
          <w:szCs w:val="26"/>
        </w:rPr>
        <w:fldChar w:fldCharType="separate"/>
      </w:r>
      <w:r>
        <w:rPr>
          <w:rFonts w:hint="default" w:ascii="Arial" w:hAnsi="Arial" w:eastAsia="宋体" w:cs="Arial"/>
          <w:sz w:val="26"/>
          <w:szCs w:val="26"/>
          <w:highlight w:val="none"/>
        </w:rPr>
        <w:t>1</w:t>
      </w:r>
      <w:r>
        <w:rPr>
          <w:rFonts w:hint="default" w:ascii="Arial" w:hAnsi="Arial" w:eastAsia="宋体" w:cs="Arial"/>
          <w:sz w:val="26"/>
          <w:szCs w:val="26"/>
          <w:highlight w:val="none"/>
          <w:lang w:val="en-US" w:eastAsia="zh-CN"/>
        </w:rPr>
        <w:t>1</w:t>
      </w:r>
      <w:r>
        <w:rPr>
          <w:rFonts w:hint="default" w:ascii="Arial" w:hAnsi="Arial" w:eastAsia="宋体" w:cs="Arial"/>
          <w:sz w:val="26"/>
          <w:szCs w:val="26"/>
          <w:highlight w:val="none"/>
        </w:rPr>
        <w:t xml:space="preserve"> 结论与建议</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_Toc8802 \h </w:instrText>
      </w:r>
      <w:r>
        <w:rPr>
          <w:rFonts w:hint="default" w:ascii="Arial" w:hAnsi="Arial" w:eastAsia="宋体" w:cs="Arial"/>
          <w:sz w:val="26"/>
          <w:szCs w:val="26"/>
        </w:rPr>
        <w:fldChar w:fldCharType="separate"/>
      </w:r>
      <w:r>
        <w:rPr>
          <w:rFonts w:hint="default" w:ascii="Arial" w:hAnsi="Arial" w:eastAsia="宋体" w:cs="Arial"/>
          <w:sz w:val="26"/>
          <w:szCs w:val="26"/>
        </w:rPr>
        <w:t>269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CCC5F2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_Toc16190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11.1 结论</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_Toc16190 \h </w:instrText>
      </w:r>
      <w:r>
        <w:rPr>
          <w:rFonts w:hint="default" w:ascii="Arial" w:hAnsi="Arial" w:eastAsia="宋体" w:cs="Arial"/>
          <w:sz w:val="26"/>
          <w:szCs w:val="26"/>
        </w:rPr>
        <w:fldChar w:fldCharType="separate"/>
      </w:r>
      <w:r>
        <w:rPr>
          <w:rFonts w:hint="default" w:ascii="Arial" w:hAnsi="Arial" w:eastAsia="宋体" w:cs="Arial"/>
          <w:sz w:val="26"/>
          <w:szCs w:val="26"/>
        </w:rPr>
        <w:t>269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7F2A720">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_Toc16172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11.2 建议</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_Toc16172 \h </w:instrText>
      </w:r>
      <w:r>
        <w:rPr>
          <w:rFonts w:hint="default" w:ascii="Arial" w:hAnsi="Arial" w:eastAsia="宋体" w:cs="Arial"/>
          <w:sz w:val="26"/>
          <w:szCs w:val="26"/>
        </w:rPr>
        <w:fldChar w:fldCharType="separate"/>
      </w:r>
      <w:r>
        <w:rPr>
          <w:rFonts w:hint="default" w:ascii="Arial" w:hAnsi="Arial" w:eastAsia="宋体" w:cs="Arial"/>
          <w:sz w:val="26"/>
          <w:szCs w:val="26"/>
        </w:rPr>
        <w:t>277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7BB4E98">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_Toc8657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eastAsia" w:ascii="Arial" w:hAnsi="Arial" w:cs="Arial"/>
          <w:sz w:val="26"/>
          <w:szCs w:val="26"/>
          <w:lang w:val="en-US" w:eastAsia="zh-CN"/>
        </w:rPr>
        <w:t>2</w:t>
      </w:r>
      <w:r>
        <w:rPr>
          <w:rFonts w:hint="default" w:ascii="Arial" w:hAnsi="Arial" w:eastAsia="宋体" w:cs="Arial"/>
          <w:sz w:val="26"/>
          <w:szCs w:val="26"/>
        </w:rPr>
        <w:t xml:space="preserve"> 附图及附件</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_Toc8657 \h </w:instrText>
      </w:r>
      <w:r>
        <w:rPr>
          <w:rFonts w:hint="default" w:ascii="Arial" w:hAnsi="Arial" w:eastAsia="宋体" w:cs="Arial"/>
          <w:sz w:val="26"/>
          <w:szCs w:val="26"/>
        </w:rPr>
        <w:fldChar w:fldCharType="separate"/>
      </w:r>
      <w:r>
        <w:rPr>
          <w:rFonts w:hint="default" w:ascii="Arial" w:hAnsi="Arial" w:eastAsia="宋体" w:cs="Arial"/>
          <w:sz w:val="26"/>
          <w:szCs w:val="26"/>
        </w:rPr>
        <w:t>278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316E53C">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_Toc24774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eastAsia" w:ascii="Arial" w:hAnsi="Arial" w:cs="Arial"/>
          <w:sz w:val="26"/>
          <w:szCs w:val="26"/>
          <w:lang w:val="en-US" w:eastAsia="zh-CN"/>
        </w:rPr>
        <w:t>2</w:t>
      </w:r>
      <w:r>
        <w:rPr>
          <w:rFonts w:hint="default" w:ascii="Arial" w:hAnsi="Arial" w:eastAsia="宋体" w:cs="Arial"/>
          <w:sz w:val="26"/>
          <w:szCs w:val="26"/>
        </w:rPr>
        <w:t>.1 附图</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_Toc24774 \h </w:instrText>
      </w:r>
      <w:r>
        <w:rPr>
          <w:rFonts w:hint="default" w:ascii="Arial" w:hAnsi="Arial" w:eastAsia="宋体" w:cs="Arial"/>
          <w:sz w:val="26"/>
          <w:szCs w:val="26"/>
        </w:rPr>
        <w:fldChar w:fldCharType="separate"/>
      </w:r>
      <w:r>
        <w:rPr>
          <w:rFonts w:hint="default" w:ascii="Arial" w:hAnsi="Arial" w:eastAsia="宋体" w:cs="Arial"/>
          <w:sz w:val="26"/>
          <w:szCs w:val="26"/>
        </w:rPr>
        <w:t>278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0D6C4A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_Toc1188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eastAsia" w:ascii="Arial" w:hAnsi="Arial" w:cs="Arial"/>
          <w:sz w:val="26"/>
          <w:szCs w:val="26"/>
          <w:lang w:val="en-US" w:eastAsia="zh-CN"/>
        </w:rPr>
        <w:t>2</w:t>
      </w:r>
      <w:r>
        <w:rPr>
          <w:rFonts w:hint="default" w:ascii="Arial" w:hAnsi="Arial" w:eastAsia="宋体" w:cs="Arial"/>
          <w:sz w:val="26"/>
          <w:szCs w:val="26"/>
        </w:rPr>
        <w:t>.2 附件</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_Toc1188 \h </w:instrText>
      </w:r>
      <w:r>
        <w:rPr>
          <w:rFonts w:hint="default" w:ascii="Arial" w:hAnsi="Arial" w:eastAsia="宋体" w:cs="Arial"/>
          <w:sz w:val="26"/>
          <w:szCs w:val="26"/>
        </w:rPr>
        <w:fldChar w:fldCharType="separate"/>
      </w:r>
      <w:r>
        <w:rPr>
          <w:rFonts w:hint="default" w:ascii="Arial" w:hAnsi="Arial" w:eastAsia="宋体" w:cs="Arial"/>
          <w:sz w:val="26"/>
          <w:szCs w:val="26"/>
        </w:rPr>
        <w:t>279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F971A03">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_Toc30342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eastAsia" w:ascii="Arial" w:hAnsi="Arial" w:cs="Arial"/>
          <w:sz w:val="26"/>
          <w:szCs w:val="26"/>
          <w:lang w:val="en-US" w:eastAsia="zh-CN"/>
        </w:rPr>
        <w:t>2</w:t>
      </w:r>
      <w:r>
        <w:rPr>
          <w:rFonts w:hint="default" w:ascii="Arial" w:hAnsi="Arial" w:eastAsia="宋体" w:cs="Arial"/>
          <w:sz w:val="26"/>
          <w:szCs w:val="26"/>
        </w:rPr>
        <w:t>.3 附录</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_Toc30342 \h </w:instrText>
      </w:r>
      <w:r>
        <w:rPr>
          <w:rFonts w:hint="default" w:ascii="Arial" w:hAnsi="Arial" w:eastAsia="宋体" w:cs="Arial"/>
          <w:sz w:val="26"/>
          <w:szCs w:val="26"/>
        </w:rPr>
        <w:fldChar w:fldCharType="separate"/>
      </w:r>
      <w:r>
        <w:rPr>
          <w:rFonts w:hint="default" w:ascii="Arial" w:hAnsi="Arial" w:eastAsia="宋体" w:cs="Arial"/>
          <w:sz w:val="26"/>
          <w:szCs w:val="26"/>
        </w:rPr>
        <w:t>279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F8EE240">
      <w:pPr>
        <w:keepNext w:val="0"/>
        <w:keepLines w:val="0"/>
        <w:pageBreakBefore w:val="0"/>
        <w:widowControl w:val="0"/>
        <w:tabs>
          <w:tab w:val="right" w:leader="dot" w:pos="8789"/>
        </w:tabs>
        <w:kinsoku/>
        <w:wordWrap/>
        <w:overflowPunct/>
        <w:topLinePunct w:val="0"/>
        <w:autoSpaceDE/>
        <w:autoSpaceDN/>
        <w:bidi w:val="0"/>
        <w:adjustRightInd w:val="0"/>
        <w:snapToGrid w:val="0"/>
        <w:spacing w:line="440" w:lineRule="exact"/>
        <w:ind w:left="-2" w:leftChars="-1" w:firstLine="1"/>
        <w:textAlignment w:val="auto"/>
        <w:rPr>
          <w:sz w:val="28"/>
        </w:rPr>
        <w:sectPr>
          <w:footerReference r:id="rId13" w:type="first"/>
          <w:footerReference r:id="rId12" w:type="default"/>
          <w:pgSz w:w="12240" w:h="15840"/>
          <w:pgMar w:top="1440" w:right="1701" w:bottom="1440" w:left="1701" w:header="794" w:footer="794" w:gutter="0"/>
          <w:pgBorders>
            <w:top w:val="none" w:sz="0" w:space="0"/>
            <w:left w:val="none" w:sz="0" w:space="0"/>
            <w:bottom w:val="none" w:sz="0" w:space="0"/>
            <w:right w:val="none" w:sz="0" w:space="0"/>
          </w:pgBorders>
          <w:pgNumType w:fmt="upperRoman"/>
          <w:cols w:space="720" w:num="1"/>
          <w:titlePg/>
        </w:sectPr>
      </w:pPr>
      <w:r>
        <w:rPr>
          <w:rFonts w:hint="default" w:ascii="Arial" w:hAnsi="Arial" w:eastAsia="宋体" w:cs="Arial"/>
          <w:sz w:val="26"/>
          <w:szCs w:val="26"/>
        </w:rPr>
        <w:fldChar w:fldCharType="end"/>
      </w:r>
    </w:p>
    <w:p w14:paraId="29C77DED">
      <w:pPr>
        <w:keepNext w:val="0"/>
        <w:keepLines w:val="0"/>
        <w:pageBreakBefore w:val="0"/>
        <w:widowControl w:val="0"/>
        <w:kinsoku/>
        <w:wordWrap/>
        <w:overflowPunct/>
        <w:topLinePunct w:val="0"/>
        <w:autoSpaceDE/>
        <w:autoSpaceDN/>
        <w:bidi w:val="0"/>
        <w:adjustRightInd/>
        <w:snapToGrid/>
        <w:spacing w:before="0" w:beforeLines="50" w:after="0" w:afterLines="50" w:line="480" w:lineRule="exact"/>
        <w:jc w:val="center"/>
        <w:textAlignment w:val="auto"/>
        <w:outlineLvl w:val="0"/>
        <w:rPr>
          <w:rFonts w:hint="eastAsia" w:ascii="黑体" w:eastAsia="黑体"/>
          <w:b/>
          <w:color w:val="auto"/>
          <w:kern w:val="0"/>
          <w:sz w:val="32"/>
          <w:szCs w:val="32"/>
          <w:highlight w:val="none"/>
        </w:rPr>
        <w:sectPr>
          <w:headerReference r:id="rId14" w:type="default"/>
          <w:type w:val="continuous"/>
          <w:pgSz w:w="12240" w:h="15840"/>
          <w:pgMar w:top="1440" w:right="1701" w:bottom="1276" w:left="1701" w:header="794" w:footer="720" w:gutter="0"/>
          <w:pgBorders>
            <w:top w:val="none" w:sz="0" w:space="0"/>
            <w:left w:val="none" w:sz="0" w:space="0"/>
            <w:bottom w:val="none" w:sz="0" w:space="0"/>
            <w:right w:val="none" w:sz="0" w:space="0"/>
          </w:pgBorders>
          <w:pgNumType w:fmt="upperRoman"/>
          <w:cols w:space="720" w:num="1"/>
        </w:sectPr>
      </w:pPr>
      <w:bookmarkStart w:id="1" w:name="_Toc30645"/>
    </w:p>
    <w:p w14:paraId="583E242B">
      <w:pPr>
        <w:keepNext w:val="0"/>
        <w:keepLines w:val="0"/>
        <w:pageBreakBefore w:val="0"/>
        <w:widowControl w:val="0"/>
        <w:kinsoku/>
        <w:wordWrap/>
        <w:overflowPunct/>
        <w:topLinePunct w:val="0"/>
        <w:autoSpaceDE/>
        <w:autoSpaceDN/>
        <w:bidi w:val="0"/>
        <w:adjustRightInd/>
        <w:snapToGrid/>
        <w:spacing w:before="0" w:beforeLines="50" w:after="0" w:afterLines="50" w:line="480" w:lineRule="exact"/>
        <w:jc w:val="center"/>
        <w:textAlignment w:val="auto"/>
        <w:outlineLvl w:val="0"/>
        <w:rPr>
          <w:rFonts w:hint="eastAsia" w:ascii="黑体" w:eastAsia="黑体"/>
          <w:b/>
          <w:color w:val="auto"/>
          <w:kern w:val="0"/>
          <w:sz w:val="32"/>
          <w:szCs w:val="32"/>
          <w:highlight w:val="none"/>
        </w:rPr>
      </w:pPr>
      <w:r>
        <w:rPr>
          <w:rFonts w:hint="eastAsia" w:ascii="黑体" w:eastAsia="黑体"/>
          <w:b/>
          <w:color w:val="auto"/>
          <w:kern w:val="0"/>
          <w:sz w:val="32"/>
          <w:szCs w:val="32"/>
          <w:highlight w:val="none"/>
        </w:rPr>
        <w:t>概述</w:t>
      </w:r>
      <w:bookmarkEnd w:id="1"/>
    </w:p>
    <w:p w14:paraId="6077F98F">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宋体"/>
          <w:b/>
          <w:color w:val="auto"/>
          <w:kern w:val="0"/>
          <w:sz w:val="26"/>
          <w:szCs w:val="26"/>
          <w:highlight w:val="none"/>
        </w:rPr>
      </w:pPr>
      <w:r>
        <w:rPr>
          <w:rFonts w:hint="eastAsia" w:ascii="宋体"/>
          <w:b/>
          <w:color w:val="auto"/>
          <w:kern w:val="0"/>
          <w:sz w:val="26"/>
          <w:szCs w:val="26"/>
          <w:highlight w:val="none"/>
          <w:lang w:eastAsia="zh-CN"/>
        </w:rPr>
        <w:t>一、</w:t>
      </w:r>
      <w:r>
        <w:rPr>
          <w:rFonts w:hint="eastAsia" w:ascii="宋体"/>
          <w:b/>
          <w:color w:val="auto"/>
          <w:kern w:val="0"/>
          <w:sz w:val="26"/>
          <w:szCs w:val="26"/>
          <w:highlight w:val="none"/>
        </w:rPr>
        <w:t>项目实施背景</w:t>
      </w:r>
    </w:p>
    <w:p w14:paraId="508F5458">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丰都县海螺沟水库工程位于丰都县双龙镇田家山村，项目区水资源量较为丰富，但无骨干水源工程，仅有5座山坪塘，合计容积约0.9万m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，为区域居民供水，年供水量约0.94</w:t>
      </w:r>
      <w:r>
        <w:rPr>
          <w:rFonts w:hint="eastAsia" w:ascii="Arial" w:hAnsi="Arial" w:eastAsia="宋体" w:cs="Arial"/>
          <w:color w:val="auto"/>
          <w:kern w:val="0"/>
          <w:sz w:val="26"/>
          <w:szCs w:val="26"/>
          <w:highlight w:val="none"/>
          <w:lang w:val="en-US" w:eastAsia="zh-CN"/>
        </w:rPr>
        <w:t>万</w:t>
      </w:r>
      <w:r>
        <w:rPr>
          <w:rFonts w:hint="eastAsia" w:ascii="Arial" w:hAnsi="Arial" w:cs="Arial"/>
          <w:color w:val="auto"/>
          <w:kern w:val="0"/>
          <w:sz w:val="26"/>
          <w:szCs w:val="26"/>
          <w:highlight w:val="none"/>
          <w:lang w:val="en-US" w:eastAsia="zh-CN"/>
        </w:rPr>
        <w:t>m</w:t>
      </w:r>
      <w:r>
        <w:rPr>
          <w:rFonts w:hint="eastAsia" w:ascii="Arial" w:hAnsi="Arial"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供水量</w:t>
      </w:r>
      <w:r>
        <w:rPr>
          <w:rFonts w:hint="eastAsia" w:ascii="Arial" w:hAnsi="Arial" w:eastAsia="宋体" w:cs="Arial"/>
          <w:color w:val="auto"/>
          <w:kern w:val="0"/>
          <w:sz w:val="26"/>
          <w:szCs w:val="26"/>
          <w:highlight w:val="none"/>
          <w:lang w:val="en-US" w:eastAsia="zh-CN"/>
        </w:rPr>
        <w:t>较小，</w:t>
      </w:r>
      <w:r>
        <w:rPr>
          <w:rFonts w:hint="eastAsia" w:ascii="Arial" w:hAnsi="Arial" w:cs="Arial"/>
          <w:color w:val="auto"/>
          <w:kern w:val="0"/>
          <w:sz w:val="26"/>
          <w:szCs w:val="26"/>
          <w:highlight w:val="none"/>
          <w:lang w:val="en-US" w:eastAsia="zh-CN"/>
        </w:rPr>
        <w:t>且无处理设施，水质、水量稳定性差，供水安全不能得到保障，影响当地居民饮水安全。</w:t>
      </w:r>
    </w:p>
    <w:p w14:paraId="5258BE7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color w:val="auto"/>
          <w:kern w:val="24"/>
          <w:sz w:val="26"/>
          <w:szCs w:val="26"/>
          <w:highlight w:val="none"/>
        </w:rPr>
      </w:pPr>
      <w:r>
        <w:rPr>
          <w:rFonts w:hint="eastAsia" w:ascii="Arial" w:hAnsi="Arial" w:eastAsia="宋体" w:cs="Arial"/>
          <w:color w:val="auto"/>
          <w:kern w:val="0"/>
          <w:sz w:val="26"/>
          <w:szCs w:val="26"/>
          <w:highlight w:val="none"/>
          <w:lang w:val="en-US" w:eastAsia="zh-CN"/>
        </w:rPr>
        <w:t>2023年中央一号文件《中共中央国务院关于做好2023年全面推进乡村振兴重点工作的意见》指出，加强水利基础设施建设。实施一批中小型水库及引调水、抗旱备用水源等工程建设。加强田间地头渠系与灌区骨干工程连接等农田水利设施建设。《丰都县“十四五”水安全保障规划》指出，“十四五”期间规划建设的小型水库有：续建观音岩、茶沟子2座小（1）水库以及次竹沟1座小（2）型水库；开工建设小月坝、</w:t>
      </w:r>
      <w:r>
        <w:rPr>
          <w:rFonts w:hint="eastAsia" w:ascii="Arial" w:hAnsi="Arial" w:eastAsia="宋体" w:cs="Arial"/>
          <w:b/>
          <w:bCs/>
          <w:color w:val="auto"/>
          <w:kern w:val="0"/>
          <w:sz w:val="26"/>
          <w:szCs w:val="26"/>
          <w:highlight w:val="none"/>
          <w:lang w:val="en-US" w:eastAsia="zh-CN"/>
        </w:rPr>
        <w:t>海螺沟</w:t>
      </w:r>
      <w:r>
        <w:rPr>
          <w:rFonts w:hint="eastAsia" w:ascii="Arial" w:hAnsi="Arial" w:eastAsia="宋体" w:cs="Arial"/>
          <w:color w:val="auto"/>
          <w:kern w:val="0"/>
          <w:sz w:val="26"/>
          <w:szCs w:val="26"/>
          <w:highlight w:val="none"/>
          <w:lang w:val="en-US" w:eastAsia="zh-CN"/>
        </w:rPr>
        <w:t>2座小（1）型水库以及陈家沟、竹田湾、莲花、十直、吕家沟、幸福、蔡家沟、轿子山8座小（2）型水库。海螺沟水库工程作为“十四五”时期丰都县重要水源工程，是保障双龙镇农村供水安全的需要，是缓解双龙镇灌区未来用水的矛盾，实现双龙镇灌区经济可持续发展的重要基础性工程的需要，也是提高水资源高效利用的需要。</w:t>
      </w:r>
    </w:p>
    <w:p w14:paraId="0F171992">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bCs/>
          <w:color w:val="auto"/>
          <w:kern w:val="0"/>
          <w:sz w:val="26"/>
          <w:szCs w:val="26"/>
          <w:highlight w:val="none"/>
          <w:lang w:val="en-US" w:eastAsia="zh-CN"/>
        </w:rPr>
      </w:pPr>
      <w:r>
        <w:rPr>
          <w:rFonts w:hint="eastAsia" w:ascii="Arial" w:hAnsi="Arial" w:cs="Arial"/>
          <w:b/>
          <w:bCs/>
          <w:color w:val="auto"/>
          <w:kern w:val="0"/>
          <w:sz w:val="26"/>
          <w:szCs w:val="26"/>
          <w:highlight w:val="none"/>
          <w:lang w:val="en-US" w:eastAsia="zh-CN"/>
        </w:rPr>
        <w:t>二、项目前期手续</w:t>
      </w:r>
    </w:p>
    <w:p w14:paraId="2C829A34">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default"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1）东莞市水利勘测设计院有限公司于2022年5月编制完成了《丰都县海螺沟水库工程可行性研究报告》，2022年6月9日丰都县发展和改革委员会以“丰都发改委发〔2022〕163号”下发了《关于丰都县海螺沟水库工程可行性研究报告的批复》。项目为新建，选址位于丰都县双龙镇田家山村，建设单位为重庆丰都农业科技发展集团有限公司，是一座以农村人饮为主，兼顾农业灌溉功能的小（2）型水库工程，库容为85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，主要由挡水建筑物、泄水建筑物、取水建筑物组成。</w:t>
      </w:r>
    </w:p>
    <w:p w14:paraId="0F312F05">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（2）2023年7月20日，建设单位取得了重庆市丰都县规划和自然资源局下发的建设项目用地预审与选址意见书，用字第500230202300004号。明确了项目总用地面积为11.3182hm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，其中淹没区用地为8.3026hm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、枢纽工程区永久占地为3.0156hm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w:t>
      </w:r>
    </w:p>
    <w:p w14:paraId="20B1F87D">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（3）2023年9月20日</w:t>
      </w:r>
      <w:r>
        <w:rPr>
          <w:rFonts w:hint="eastAsia" w:ascii="Arial" w:hAnsi="Arial" w:eastAsia="宋体" w:cs="Arial"/>
          <w:color w:val="auto"/>
          <w:kern w:val="0"/>
          <w:sz w:val="26"/>
          <w:szCs w:val="26"/>
          <w:highlight w:val="none"/>
          <w:lang w:val="en-US" w:eastAsia="zh-CN"/>
        </w:rPr>
        <w:t>丰都县发展和改革委员会以“丰都发改委发〔2023〕434号”下发了《关于调整丰都县海螺沟水库工程可行性研究报告的批复》。项目为新建，选址位于丰都县双龙镇田家山村，建设单位为丰都县水利工程服务中心，是一座以供水和农业灌溉为主要开发功能的小（2）型水利工程，库容为80.51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，主要由枢纽工程、输水工程和附属设施工程组成，</w:t>
      </w:r>
      <w:bookmarkStart w:id="2" w:name="OLE_LINK10"/>
      <w:r>
        <w:rPr>
          <w:rFonts w:hint="eastAsia" w:ascii="Arial" w:hAnsi="Arial" w:eastAsia="宋体" w:cs="Arial"/>
          <w:color w:val="auto"/>
          <w:kern w:val="0"/>
          <w:sz w:val="26"/>
          <w:szCs w:val="26"/>
          <w:highlight w:val="none"/>
          <w:lang w:val="en-US" w:eastAsia="zh-CN"/>
        </w:rPr>
        <w:t>可解决7000农村居民人饮用水、2000亩耕地灌溉。</w:t>
      </w:r>
    </w:p>
    <w:bookmarkEnd w:id="2"/>
    <w:p w14:paraId="1D4CA4A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390" w:firstLineChars="150"/>
        <w:textAlignment w:val="auto"/>
        <w:rPr>
          <w:rFonts w:hint="default" w:ascii="Arial" w:hAnsi="Arial" w:eastAsia="宋体" w:cs="Arial"/>
          <w:color w:val="auto"/>
          <w:kern w:val="0"/>
          <w:sz w:val="26"/>
          <w:szCs w:val="26"/>
          <w:highlight w:val="none"/>
          <w:lang w:val="en-US" w:eastAsia="zh-CN"/>
        </w:rPr>
      </w:pPr>
      <w:r>
        <w:rPr>
          <w:rFonts w:hint="default" w:ascii="Arial" w:hAnsi="Arial" w:eastAsia="宋体" w:cs="Arial"/>
          <w:color w:val="auto"/>
          <w:kern w:val="0"/>
          <w:sz w:val="26"/>
          <w:szCs w:val="26"/>
          <w:highlight w:val="none"/>
          <w:lang w:val="en-US" w:eastAsia="zh-CN" w:bidi="ar-SA"/>
        </w:rPr>
        <w:t>（</w:t>
      </w:r>
      <w:r>
        <w:rPr>
          <w:rFonts w:hint="eastAsia" w:ascii="Arial" w:hAnsi="Arial" w:cs="Arial"/>
          <w:color w:val="auto"/>
          <w:kern w:val="0"/>
          <w:sz w:val="26"/>
          <w:szCs w:val="26"/>
          <w:highlight w:val="none"/>
          <w:lang w:val="en-US" w:eastAsia="zh-CN" w:bidi="ar-SA"/>
        </w:rPr>
        <w:t>4</w:t>
      </w:r>
      <w:r>
        <w:rPr>
          <w:rFonts w:hint="default" w:ascii="Arial" w:hAnsi="Arial" w:eastAsia="宋体" w:cs="Arial"/>
          <w:color w:val="auto"/>
          <w:kern w:val="0"/>
          <w:sz w:val="26"/>
          <w:szCs w:val="26"/>
          <w:highlight w:val="none"/>
          <w:lang w:val="en-US" w:eastAsia="zh-CN" w:bidi="ar-SA"/>
        </w:rPr>
        <w:t>）</w:t>
      </w:r>
      <w:r>
        <w:rPr>
          <w:rFonts w:hint="eastAsia" w:ascii="Arial" w:hAnsi="Arial" w:cs="Arial"/>
          <w:color w:val="auto"/>
          <w:kern w:val="0"/>
          <w:sz w:val="26"/>
          <w:szCs w:val="26"/>
          <w:highlight w:val="none"/>
          <w:lang w:val="en-US" w:eastAsia="zh-CN" w:bidi="ar-SA"/>
        </w:rPr>
        <w:t>2023年9月东莞市水利勘测设计院有限公司编制了《</w:t>
      </w:r>
      <w:r>
        <w:rPr>
          <w:rFonts w:hint="eastAsia" w:ascii="Arial" w:hAnsi="Arial" w:eastAsia="宋体" w:cs="Arial"/>
          <w:color w:val="auto"/>
          <w:kern w:val="0"/>
          <w:sz w:val="26"/>
          <w:szCs w:val="26"/>
          <w:highlight w:val="none"/>
          <w:lang w:val="en-US" w:eastAsia="zh-CN"/>
        </w:rPr>
        <w:t>丰都县海螺沟水库工程</w:t>
      </w:r>
      <w:r>
        <w:rPr>
          <w:rFonts w:hint="eastAsia" w:ascii="Arial" w:hAnsi="Arial" w:cs="Arial"/>
          <w:color w:val="auto"/>
          <w:kern w:val="0"/>
          <w:sz w:val="26"/>
          <w:szCs w:val="26"/>
          <w:highlight w:val="none"/>
          <w:lang w:val="en-US" w:eastAsia="zh-CN"/>
        </w:rPr>
        <w:t>初步设计报告</w:t>
      </w:r>
      <w:r>
        <w:rPr>
          <w:rFonts w:hint="eastAsia" w:ascii="Arial" w:hAnsi="Arial" w:cs="Arial"/>
          <w:color w:val="auto"/>
          <w:kern w:val="0"/>
          <w:sz w:val="26"/>
          <w:szCs w:val="26"/>
          <w:highlight w:val="none"/>
          <w:lang w:val="en-US" w:eastAsia="zh-CN" w:bidi="ar-SA"/>
        </w:rPr>
        <w:t>》</w:t>
      </w:r>
      <w:r>
        <w:rPr>
          <w:rFonts w:hint="eastAsia" w:ascii="Arial" w:hAnsi="Arial" w:cs="Arial"/>
          <w:color w:val="auto"/>
          <w:kern w:val="0"/>
          <w:sz w:val="26"/>
          <w:szCs w:val="26"/>
          <w:highlight w:val="none"/>
          <w:lang w:val="en-US" w:eastAsia="zh-CN"/>
        </w:rPr>
        <w:t xml:space="preserve"> 。2023年10月8日丰都县水利局以</w:t>
      </w:r>
      <w:r>
        <w:rPr>
          <w:rFonts w:hint="eastAsia" w:ascii="Arial" w:hAnsi="Arial" w:eastAsia="宋体" w:cs="Arial"/>
          <w:color w:val="auto"/>
          <w:kern w:val="0"/>
          <w:sz w:val="26"/>
          <w:szCs w:val="26"/>
          <w:highlight w:val="none"/>
          <w:lang w:val="en-US" w:eastAsia="zh-CN"/>
        </w:rPr>
        <w:t>“丰都水利许可〔2023〕59号”下发了《关于丰都县海螺沟水库工程准予行政许可的决定》。项目选址位于丰都县双龙镇田家山村，坝址位于渠溪河左岸一级支流双龙河支流海螺沟上，是一座以乡镇供水、农业灌溉为主要功能的小（2）型水库工程，库容为80.51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，主要由枢纽工程、输水工程和附属设施工程组成，可解决7000农村居民人饮用水、2000亩耕地灌溉。</w:t>
      </w:r>
    </w:p>
    <w:p w14:paraId="1E3CFE05">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（5）2023年10月重庆新锐百川工程设计有限公司编制完成了《</w:t>
      </w:r>
      <w:r>
        <w:rPr>
          <w:rFonts w:hint="eastAsia" w:ascii="Arial" w:hAnsi="Arial" w:eastAsia="宋体" w:cs="Arial"/>
          <w:color w:val="auto"/>
          <w:kern w:val="0"/>
          <w:sz w:val="26"/>
          <w:szCs w:val="26"/>
          <w:highlight w:val="none"/>
          <w:lang w:val="en-US" w:eastAsia="zh-CN"/>
        </w:rPr>
        <w:t>丰都县海螺沟水库工程建设用地压覆矿产资源评估报告</w:t>
      </w:r>
      <w:r>
        <w:rPr>
          <w:rFonts w:hint="eastAsia" w:ascii="Arial" w:hAnsi="Arial" w:cs="Arial"/>
          <w:color w:val="auto"/>
          <w:kern w:val="0"/>
          <w:sz w:val="26"/>
          <w:szCs w:val="26"/>
          <w:highlight w:val="none"/>
          <w:lang w:val="en-US" w:eastAsia="zh-CN"/>
        </w:rPr>
        <w:t>》，2023年10月19日丰都县规划和自然资源局确认本项目未压覆重要矿产资源。</w:t>
      </w:r>
    </w:p>
    <w:p w14:paraId="56F2C6AE">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default"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（6）重庆鑫和林业有限公司于2023年12月编制完成了《丰都县海螺沟水库工程拟使用林地可行性研究报告》，并于2023年12月13日取得了重庆市林业局以“渝林许可地</w:t>
      </w:r>
      <w:r>
        <w:rPr>
          <w:rFonts w:hint="eastAsia" w:ascii="Arial" w:hAnsi="Arial" w:eastAsia="宋体" w:cs="Arial"/>
          <w:color w:val="auto"/>
          <w:kern w:val="0"/>
          <w:sz w:val="26"/>
          <w:szCs w:val="26"/>
          <w:highlight w:val="none"/>
          <w:lang w:val="en-US" w:eastAsia="zh-CN"/>
        </w:rPr>
        <w:t>〔2023〕689号”下发的使用林地审核同意书。</w:t>
      </w:r>
    </w:p>
    <w:p w14:paraId="5996BA55">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（7）2024年1月18日丰都县人民政府以“丰都府</w:t>
      </w:r>
      <w:r>
        <w:rPr>
          <w:rFonts w:hint="eastAsia" w:ascii="Arial" w:hAnsi="Arial" w:eastAsia="宋体" w:cs="Arial"/>
          <w:color w:val="auto"/>
          <w:kern w:val="0"/>
          <w:sz w:val="26"/>
          <w:szCs w:val="26"/>
          <w:highlight w:val="none"/>
          <w:lang w:val="en-US" w:eastAsia="zh-CN"/>
        </w:rPr>
        <w:t>〔2024〕14号”下发了《关于同意丰都县海螺沟水库工程建设征地移民安置规划报告的批复》</w:t>
      </w:r>
      <w:r>
        <w:rPr>
          <w:rFonts w:hint="eastAsia" w:ascii="Arial" w:hAnsi="Arial" w:cs="Arial"/>
          <w:color w:val="auto"/>
          <w:kern w:val="0"/>
          <w:sz w:val="26"/>
          <w:szCs w:val="26"/>
          <w:highlight w:val="none"/>
          <w:lang w:val="en-US" w:eastAsia="zh-CN"/>
        </w:rPr>
        <w:t>，项目永久占地范围主要为水库淹没区、枢纽工程区，面积为169.77亩；临时用地面积为191.82亩</w:t>
      </w:r>
      <w:r>
        <w:rPr>
          <w:rFonts w:hint="eastAsia" w:ascii="Arial" w:hAnsi="Arial" w:eastAsia="宋体" w:cs="Arial"/>
          <w:color w:val="auto"/>
          <w:kern w:val="0"/>
          <w:sz w:val="26"/>
          <w:szCs w:val="26"/>
          <w:highlight w:val="none"/>
          <w:lang w:val="en-US" w:eastAsia="zh-CN"/>
        </w:rPr>
        <w:t>。</w:t>
      </w:r>
    </w:p>
    <w:p w14:paraId="723ABA06">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（8）2024年3月丰都腾飞林业咨询有限公司编制了《丰都县海螺沟水库辅助施工设施项目拟临时使用林地现状调查表》，并于2024年4月1日取得了重庆市林业局以“渝林许可地临</w:t>
      </w:r>
      <w:r>
        <w:rPr>
          <w:rFonts w:hint="eastAsia" w:ascii="Arial" w:hAnsi="Arial" w:eastAsia="宋体" w:cs="Arial"/>
          <w:color w:val="auto"/>
          <w:kern w:val="0"/>
          <w:sz w:val="26"/>
          <w:szCs w:val="26"/>
          <w:highlight w:val="none"/>
          <w:lang w:val="en-US" w:eastAsia="zh-CN"/>
        </w:rPr>
        <w:t>〔202</w:t>
      </w:r>
      <w:r>
        <w:rPr>
          <w:rFonts w:hint="eastAsia" w:ascii="Arial" w:hAnsi="Arial" w:cs="Arial"/>
          <w:color w:val="auto"/>
          <w:kern w:val="0"/>
          <w:sz w:val="26"/>
          <w:szCs w:val="26"/>
          <w:highlight w:val="none"/>
          <w:lang w:val="en-US" w:eastAsia="zh-CN"/>
        </w:rPr>
        <w:t>4</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036</w:t>
      </w:r>
      <w:r>
        <w:rPr>
          <w:rFonts w:hint="eastAsia" w:ascii="Arial" w:hAnsi="Arial" w:eastAsia="宋体" w:cs="Arial"/>
          <w:color w:val="auto"/>
          <w:kern w:val="0"/>
          <w:sz w:val="26"/>
          <w:szCs w:val="26"/>
          <w:highlight w:val="none"/>
          <w:lang w:val="en-US" w:eastAsia="zh-CN"/>
        </w:rPr>
        <w:t>号”下发的使用林地审核同意书</w:t>
      </w:r>
      <w:r>
        <w:rPr>
          <w:rFonts w:hint="eastAsia" w:ascii="Arial" w:hAnsi="Arial" w:cs="Arial"/>
          <w:color w:val="auto"/>
          <w:kern w:val="0"/>
          <w:sz w:val="26"/>
          <w:szCs w:val="26"/>
          <w:highlight w:val="none"/>
          <w:lang w:val="en-US" w:eastAsia="zh-CN"/>
        </w:rPr>
        <w:t>，同意项目临时使用林地1.1724hm</w:t>
      </w:r>
      <w:r>
        <w:rPr>
          <w:rFonts w:hint="eastAsia" w:ascii="Arial" w:hAnsi="Arial" w:cs="Arial"/>
          <w:color w:val="auto"/>
          <w:kern w:val="0"/>
          <w:sz w:val="26"/>
          <w:szCs w:val="26"/>
          <w:highlight w:val="none"/>
          <w:vertAlign w:val="superscript"/>
          <w:lang w:val="en-US" w:eastAsia="zh-CN"/>
        </w:rPr>
        <w:t>2</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2024年5月13日丰都县林业局以“丰都林发</w:t>
      </w:r>
      <w:r>
        <w:rPr>
          <w:rFonts w:hint="eastAsia" w:ascii="Arial" w:hAnsi="Arial" w:eastAsia="宋体" w:cs="Arial"/>
          <w:color w:val="auto"/>
          <w:kern w:val="0"/>
          <w:sz w:val="26"/>
          <w:szCs w:val="26"/>
          <w:highlight w:val="none"/>
          <w:lang w:val="en-US" w:eastAsia="zh-CN"/>
        </w:rPr>
        <w:t>〔2024〕</w:t>
      </w:r>
      <w:r>
        <w:rPr>
          <w:rFonts w:hint="eastAsia" w:ascii="Arial" w:hAnsi="Arial" w:cs="Arial"/>
          <w:color w:val="auto"/>
          <w:kern w:val="0"/>
          <w:sz w:val="26"/>
          <w:szCs w:val="26"/>
          <w:highlight w:val="none"/>
          <w:lang w:val="en-US" w:eastAsia="zh-CN"/>
        </w:rPr>
        <w:t>48</w:t>
      </w:r>
      <w:r>
        <w:rPr>
          <w:rFonts w:hint="eastAsia" w:ascii="Arial" w:hAnsi="Arial" w:eastAsia="宋体" w:cs="Arial"/>
          <w:color w:val="auto"/>
          <w:kern w:val="0"/>
          <w:sz w:val="26"/>
          <w:szCs w:val="26"/>
          <w:highlight w:val="none"/>
          <w:lang w:val="en-US" w:eastAsia="zh-CN"/>
        </w:rPr>
        <w:t>号”</w:t>
      </w:r>
      <w:r>
        <w:rPr>
          <w:rFonts w:hint="eastAsia" w:ascii="Arial" w:hAnsi="Arial" w:cs="Arial"/>
          <w:color w:val="auto"/>
          <w:kern w:val="0"/>
          <w:sz w:val="26"/>
          <w:szCs w:val="26"/>
          <w:highlight w:val="none"/>
          <w:lang w:val="en-US" w:eastAsia="zh-CN"/>
        </w:rPr>
        <w:t>下发了《关于丰都县海螺沟水库辅助施工设施项目拟使用林地涉及林木采伐手续办理的批复》，确认项目临时采伐林地面积为1.1321hm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；2024年5月14日取得了丰都县林业局下发的林木采伐许可证“丰林采字〔2024〕405号”~“丰林采字〔2024〕417号”。</w:t>
      </w:r>
    </w:p>
    <w:p w14:paraId="42F56C44">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（9）2024年5月8日丰都县规划和自然资源局以“丰规资临〔2024〕字第7号”下发了《关于丰都县海螺沟水库工程项目临时用地的批复》，项目施工便道、弃渣场等临时设施的用地面积合计为8.9485hm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w:t>
      </w:r>
    </w:p>
    <w:p w14:paraId="0FD282A8">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color w:val="auto"/>
          <w:kern w:val="0"/>
          <w:sz w:val="26"/>
          <w:szCs w:val="26"/>
          <w:highlight w:val="none"/>
          <w:lang w:val="en-US" w:eastAsia="zh-CN"/>
        </w:rPr>
      </w:pPr>
      <w:r>
        <w:rPr>
          <w:rFonts w:hint="eastAsia" w:ascii="宋体"/>
          <w:b/>
          <w:color w:val="auto"/>
          <w:kern w:val="0"/>
          <w:sz w:val="26"/>
          <w:szCs w:val="26"/>
          <w:highlight w:val="none"/>
          <w:lang w:eastAsia="zh-CN"/>
        </w:rPr>
        <w:t>三、项目建设内容</w:t>
      </w:r>
    </w:p>
    <w:p w14:paraId="72CD65C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海螺沟水库工程位于丰都县双龙镇田家山村，坝址</w:t>
      </w:r>
      <w:r>
        <w:rPr>
          <w:rFonts w:hint="eastAsia" w:ascii="Arial" w:hAnsi="Arial" w:eastAsia="宋体" w:cs="Arial"/>
          <w:color w:val="auto"/>
          <w:kern w:val="0"/>
          <w:sz w:val="26"/>
          <w:szCs w:val="26"/>
          <w:highlight w:val="none"/>
          <w:lang w:val="en-US" w:eastAsia="zh-CN"/>
        </w:rPr>
        <w:t>位于渠溪河左岸一级支流双龙河</w:t>
      </w:r>
      <w:r>
        <w:rPr>
          <w:rFonts w:hint="eastAsia" w:ascii="Arial" w:hAnsi="Arial" w:cs="Arial"/>
          <w:color w:val="auto"/>
          <w:kern w:val="0"/>
          <w:sz w:val="26"/>
          <w:szCs w:val="26"/>
          <w:highlight w:val="none"/>
          <w:lang w:val="en-US" w:eastAsia="zh-CN"/>
        </w:rPr>
        <w:t>右岸一级支流高洞桥河左岸一级</w:t>
      </w:r>
      <w:r>
        <w:rPr>
          <w:rFonts w:hint="eastAsia" w:ascii="Arial" w:hAnsi="Arial" w:eastAsia="宋体" w:cs="Arial"/>
          <w:color w:val="auto"/>
          <w:kern w:val="0"/>
          <w:sz w:val="26"/>
          <w:szCs w:val="26"/>
          <w:highlight w:val="none"/>
          <w:lang w:val="en-US" w:eastAsia="zh-CN"/>
        </w:rPr>
        <w:t>支流海螺沟上，坝址以上流域面积为</w:t>
      </w:r>
      <w:bookmarkStart w:id="3" w:name="OLE_LINK2"/>
      <w:r>
        <w:rPr>
          <w:rFonts w:hint="eastAsia" w:ascii="Arial" w:hAnsi="Arial" w:eastAsia="宋体" w:cs="Arial"/>
          <w:color w:val="auto"/>
          <w:kern w:val="0"/>
          <w:sz w:val="26"/>
          <w:szCs w:val="26"/>
          <w:highlight w:val="none"/>
          <w:lang w:val="en-US" w:eastAsia="zh-CN"/>
        </w:rPr>
        <w:t>2.04km</w:t>
      </w:r>
      <w:r>
        <w:rPr>
          <w:rFonts w:hint="eastAsia" w:ascii="Arial" w:hAnsi="Arial" w:eastAsia="宋体" w:cs="Arial"/>
          <w:color w:val="auto"/>
          <w:kern w:val="0"/>
          <w:sz w:val="26"/>
          <w:szCs w:val="26"/>
          <w:highlight w:val="none"/>
          <w:vertAlign w:val="superscript"/>
          <w:lang w:val="en-US" w:eastAsia="zh-CN"/>
        </w:rPr>
        <w:t>2</w:t>
      </w:r>
      <w:r>
        <w:rPr>
          <w:rFonts w:hint="eastAsia" w:ascii="Arial" w:hAnsi="Arial" w:eastAsia="宋体" w:cs="Arial"/>
          <w:color w:val="auto"/>
          <w:kern w:val="0"/>
          <w:sz w:val="26"/>
          <w:szCs w:val="26"/>
          <w:highlight w:val="none"/>
          <w:lang w:val="en-US" w:eastAsia="zh-CN"/>
        </w:rPr>
        <w:t>，</w:t>
      </w:r>
      <w:bookmarkEnd w:id="3"/>
      <w:r>
        <w:rPr>
          <w:rFonts w:hint="eastAsia" w:ascii="Arial" w:hAnsi="Arial" w:eastAsia="宋体" w:cs="Arial"/>
          <w:color w:val="auto"/>
          <w:kern w:val="0"/>
          <w:sz w:val="26"/>
          <w:szCs w:val="26"/>
          <w:highlight w:val="none"/>
          <w:lang w:val="en-US" w:eastAsia="zh-CN"/>
        </w:rPr>
        <w:t>坝址处多年平均径流量105万m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。水库</w:t>
      </w:r>
      <w:r>
        <w:rPr>
          <w:rFonts w:hint="eastAsia" w:ascii="Arial" w:hAnsi="Arial" w:cs="Arial"/>
          <w:color w:val="auto"/>
          <w:kern w:val="0"/>
          <w:sz w:val="26"/>
          <w:szCs w:val="26"/>
          <w:highlight w:val="none"/>
          <w:lang w:val="en-US" w:eastAsia="zh-CN"/>
        </w:rPr>
        <w:t>正常蓄水位为420.0m，相应库容65.36万m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；死水位407.5m，死库容5.62万m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，调节库容59.74万m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；校核洪水位421.78m，总库容80.51万m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一座以供水和农业灌溉为主要开发功能的小（2）型水利工程，可解决双龙社区、回龙场村、田家山村7000人饮和双龙社区、回龙场村2000亩耕地灌溉用水，多年平均总供水量76.28万m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w:t>
      </w:r>
    </w:p>
    <w:p w14:paraId="6A43548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海螺沟水库工程主要由</w:t>
      </w:r>
      <w:bookmarkStart w:id="4" w:name="OLE_LINK4"/>
      <w:r>
        <w:rPr>
          <w:rFonts w:hint="eastAsia" w:ascii="Arial" w:hAnsi="Arial" w:eastAsia="宋体" w:cs="Arial"/>
          <w:color w:val="auto"/>
          <w:kern w:val="0"/>
          <w:sz w:val="26"/>
          <w:szCs w:val="26"/>
          <w:highlight w:val="none"/>
          <w:lang w:val="en-US" w:eastAsia="zh-CN"/>
        </w:rPr>
        <w:t>枢纽工程、输水工程和附属设施工程组成</w:t>
      </w:r>
      <w:bookmarkEnd w:id="4"/>
      <w:r>
        <w:rPr>
          <w:rFonts w:hint="eastAsia" w:ascii="Arial" w:hAnsi="Arial" w:eastAsia="宋体" w:cs="Arial"/>
          <w:color w:val="auto"/>
          <w:kern w:val="0"/>
          <w:sz w:val="26"/>
          <w:szCs w:val="26"/>
          <w:highlight w:val="none"/>
          <w:lang w:val="en-US" w:eastAsia="zh-CN"/>
        </w:rPr>
        <w:t>。</w:t>
      </w:r>
    </w:p>
    <w:p w14:paraId="21AF4F16">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枢纽工程由挡水建筑物（大坝）、泄水建筑物、取水建筑物组成。挡水建筑物为C20埋石砼重力坝，坝轴线长112.0m，坝顶高度8.0m，坝顶高程424.0m。溢洪坝段位于河床中部，采用宽顶堰，长12.0m，净宽9.0m，堰顶高程420.0m；桥墩上设板梁式交通桥，桥面高程424.0m。消能建筑物为消力池，长19.5m、宽10.0m、深2.0m。工程采取管道穿坝输水的型式，共设5层取水口，取水口高程分别为418.0m、415.0m、412.0m、409.0m、405.5m。</w:t>
      </w:r>
    </w:p>
    <w:p w14:paraId="6C31D0F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输水工程为总长8.9km的管道，其中双龙干管长5.27km，5条支管长3.63km。采取PE管、涂塑钢管，地埋式敷设，取水流量为0.1124m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/s。</w:t>
      </w:r>
    </w:p>
    <w:p w14:paraId="52957883">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其他附属工程由交通工程、房屋工程、监测设施、其他设施组成。交通公路包括上坝道路长1.76km、环库巡检步道长2.5km，路面宽度分别为4.5m、1.5m。房屋工程包括水库管理房、取水闸阀房，面积分别为184m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、20m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均采用砼框架砌体结构。监测设施包括变形监测桩、渗流监测、量水堰、应力应变监测点、流速仪、水位监测设施、水温监测设施、气温监测系统、降雨量监测系统、水质监测设备等。其他设施主要为竣工碑、安全警示牌。</w:t>
      </w:r>
    </w:p>
    <w:p w14:paraId="6C411AD9">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工程总投资为14499.6万元，建设工期为24个月。</w:t>
      </w:r>
    </w:p>
    <w:p w14:paraId="5DCC4D7A">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宋体"/>
          <w:b/>
          <w:color w:val="auto"/>
          <w:kern w:val="0"/>
          <w:sz w:val="26"/>
          <w:szCs w:val="26"/>
          <w:highlight w:val="none"/>
          <w:lang w:eastAsia="zh-CN"/>
        </w:rPr>
      </w:pPr>
      <w:r>
        <w:rPr>
          <w:rFonts w:hint="eastAsia" w:ascii="宋体"/>
          <w:b/>
          <w:color w:val="auto"/>
          <w:kern w:val="0"/>
          <w:sz w:val="26"/>
          <w:szCs w:val="26"/>
          <w:highlight w:val="none"/>
          <w:lang w:eastAsia="zh-CN"/>
        </w:rPr>
        <w:t>四、</w:t>
      </w:r>
      <w:r>
        <w:rPr>
          <w:rFonts w:hint="eastAsia" w:ascii="宋体"/>
          <w:b/>
          <w:color w:val="auto"/>
          <w:kern w:val="0"/>
          <w:sz w:val="26"/>
          <w:szCs w:val="26"/>
          <w:highlight w:val="none"/>
          <w:lang w:val="en-US" w:eastAsia="zh-CN"/>
        </w:rPr>
        <w:t>环境</w:t>
      </w:r>
      <w:r>
        <w:rPr>
          <w:rFonts w:hint="eastAsia" w:ascii="宋体"/>
          <w:b/>
          <w:color w:val="auto"/>
          <w:kern w:val="0"/>
          <w:sz w:val="26"/>
          <w:szCs w:val="26"/>
          <w:highlight w:val="none"/>
          <w:lang w:eastAsia="zh-CN"/>
        </w:rPr>
        <w:t>影响评价工作程序</w:t>
      </w:r>
    </w:p>
    <w:p w14:paraId="412102E3">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海螺沟水库总库容80.51万m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属于小（2）型水库，且不涉及国家公园、自然保护区、风景名胜区、世界文化和自然遗产地、海洋特别保护区、饮用水水源保护区、生态保护红线和重要水生生物的自然产卵场、索饵场、越冬场和洄游通道等敏感区；但本项目同时涉及引水工程，所在海螺沟为小型河流，总取水量</w:t>
      </w:r>
      <w:r>
        <w:rPr>
          <w:rFonts w:hint="eastAsia" w:ascii="Arial" w:hAnsi="Arial" w:eastAsia="宋体" w:cs="Arial"/>
          <w:color w:val="auto"/>
          <w:kern w:val="0"/>
          <w:sz w:val="26"/>
          <w:szCs w:val="26"/>
          <w:highlight w:val="none"/>
          <w:lang w:val="en-US" w:eastAsia="zh-CN"/>
        </w:rPr>
        <w:t>76.28万m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vertAlign w:val="baseline"/>
          <w:lang w:val="en-US" w:eastAsia="zh-CN"/>
        </w:rPr>
        <w:t>/a占坝址处多年平均径流量</w:t>
      </w:r>
      <w:r>
        <w:rPr>
          <w:rFonts w:hint="eastAsia" w:ascii="Arial" w:hAnsi="Arial" w:eastAsia="宋体" w:cs="Arial"/>
          <w:color w:val="auto"/>
          <w:kern w:val="0"/>
          <w:sz w:val="26"/>
          <w:szCs w:val="26"/>
          <w:highlight w:val="none"/>
          <w:lang w:val="en-US" w:eastAsia="zh-CN"/>
        </w:rPr>
        <w:t>105万m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的72.65%，大于25%。故</w:t>
      </w:r>
      <w:r>
        <w:rPr>
          <w:rFonts w:hint="eastAsia" w:ascii="Arial" w:hAnsi="Arial" w:cs="Arial"/>
          <w:color w:val="auto"/>
          <w:kern w:val="0"/>
          <w:sz w:val="26"/>
          <w:szCs w:val="26"/>
          <w:highlight w:val="none"/>
          <w:lang w:val="en-US" w:eastAsia="zh-CN"/>
        </w:rPr>
        <w:t>根据《中华人民共和国环境影响评价法》、《建设项目环境保护管理条例》（国务院令第682号）和《建设项目环境影响评价分类管理名录》（2021年版），本项目应编制环境影响报告书。</w:t>
      </w:r>
    </w:p>
    <w:p w14:paraId="5FDC5A97">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丰都县水利工程服务中心（以下简称建设单位）委托重庆瀚智环保工程有限公司（以下简称评价单位）承担本项目的环评工作。我司接受委托后，立即组织技术人员进行了现场踏勘，开展环境状况调查并收集了与项目相关的资料，同时委托有资质的第三方监测机构进行了现状监测。在调查清楚项目区环境概况、梳理工程组成后，形成了环评报告征求意见稿，交由并建设单位在网站和报纸分别进行公示</w:t>
      </w:r>
      <w:r>
        <w:rPr>
          <w:rFonts w:hint="eastAsia" w:ascii="Arial" w:hAnsi="Arial" w:eastAsia="宋体" w:cs="Arial"/>
          <w:color w:val="auto"/>
          <w:kern w:val="0"/>
          <w:sz w:val="26"/>
          <w:szCs w:val="26"/>
          <w:highlight w:val="none"/>
          <w:lang w:val="en-US" w:eastAsia="zh-CN"/>
        </w:rPr>
        <w:t>。在完善各项工作后，最终编制完成了《丰都县海螺沟水库工程</w:t>
      </w:r>
      <w:r>
        <w:rPr>
          <w:rFonts w:hint="default" w:ascii="Arial" w:hAnsi="Arial" w:eastAsia="宋体" w:cs="Arial"/>
          <w:color w:val="auto"/>
          <w:kern w:val="0"/>
          <w:sz w:val="26"/>
          <w:szCs w:val="26"/>
          <w:highlight w:val="none"/>
          <w:lang w:val="en-US" w:eastAsia="zh-CN"/>
        </w:rPr>
        <w:t>环境影响报告书</w:t>
      </w:r>
      <w:r>
        <w:rPr>
          <w:rFonts w:hint="eastAsia" w:ascii="Arial" w:hAnsi="Arial" w:cs="Arial"/>
          <w:color w:val="auto"/>
          <w:kern w:val="0"/>
          <w:sz w:val="26"/>
          <w:szCs w:val="26"/>
          <w:highlight w:val="none"/>
          <w:lang w:val="en-US" w:eastAsia="zh-CN"/>
        </w:rPr>
        <w:t>》。</w:t>
      </w:r>
    </w:p>
    <w:p w14:paraId="542CF21B">
      <w:pPr>
        <w:keepNext w:val="0"/>
        <w:keepLines w:val="0"/>
        <w:pageBreakBefore w:val="0"/>
        <w:widowControl w:val="0"/>
        <w:kinsoku/>
        <w:wordWrap/>
        <w:overflowPunct/>
        <w:topLinePunct w:val="0"/>
        <w:autoSpaceDE/>
        <w:autoSpaceDN/>
        <w:bidi w:val="0"/>
        <w:adjustRightInd/>
        <w:snapToGrid/>
        <w:spacing w:line="480" w:lineRule="exact"/>
        <w:ind w:firstLine="392" w:firstLineChars="150"/>
        <w:textAlignment w:val="auto"/>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zh-CN" w:eastAsia="zh-CN"/>
        </w:rPr>
        <w:t>（</w:t>
      </w:r>
      <w:r>
        <w:rPr>
          <w:rFonts w:hint="default" w:ascii="Arial" w:hAnsi="Arial" w:eastAsia="宋体" w:cs="Arial"/>
          <w:b/>
          <w:color w:val="auto"/>
          <w:kern w:val="0"/>
          <w:sz w:val="26"/>
          <w:szCs w:val="26"/>
          <w:highlight w:val="none"/>
          <w:lang w:val="en-US" w:eastAsia="zh-CN"/>
        </w:rPr>
        <w:t>1）准备阶段</w:t>
      </w:r>
    </w:p>
    <w:p w14:paraId="6BA28AC6">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我司在接受委托后，根据建设单位提供的资料，确立了如下环评工作思路：</w:t>
      </w:r>
    </w:p>
    <w:p w14:paraId="6D1A3C1E">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① 编制环境影响评价工作方案；</w:t>
      </w:r>
    </w:p>
    <w:p w14:paraId="46C68E6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eastAsia="宋体" w:cs="Arial"/>
          <w:color w:val="auto"/>
          <w:kern w:val="0"/>
          <w:sz w:val="26"/>
          <w:szCs w:val="26"/>
          <w:highlight w:val="none"/>
          <w:lang w:val="en-US" w:eastAsia="zh-CN"/>
        </w:rPr>
      </w:pPr>
      <w:r>
        <w:rPr>
          <w:rFonts w:hint="default" w:ascii="Arial" w:hAnsi="Arial" w:eastAsia="宋体" w:cs="Arial"/>
          <w:color w:val="auto"/>
          <w:kern w:val="0"/>
          <w:sz w:val="26"/>
          <w:szCs w:val="26"/>
          <w:highlight w:val="none"/>
          <w:lang w:val="en-US" w:eastAsia="zh-CN"/>
        </w:rPr>
        <w:t>②</w:t>
      </w:r>
      <w:r>
        <w:rPr>
          <w:rFonts w:hint="eastAsia" w:ascii="Arial" w:hAnsi="Arial" w:eastAsia="宋体" w:cs="Arial"/>
          <w:color w:val="auto"/>
          <w:kern w:val="0"/>
          <w:sz w:val="26"/>
          <w:szCs w:val="26"/>
          <w:highlight w:val="none"/>
          <w:lang w:val="en-US" w:eastAsia="zh-CN"/>
        </w:rPr>
        <w:t xml:space="preserve"> 根据项目生产情况，针对水库及配套输水工程的特点，对施工期、运营期的环境影响进行识别；</w:t>
      </w:r>
    </w:p>
    <w:p w14:paraId="14245EE9">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③ 在识别环境影响的基础上，评价主要分析施工期对生态环境的影响和施工粉尘、噪声、废水等对各环境要素的影响，以及运营期对生态环境和水环境的影响，简要分析运营期大气、声环境等影响评价内容；</w:t>
      </w:r>
    </w:p>
    <w:p w14:paraId="40F45D1F">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宋体" w:hAnsi="宋体" w:eastAsia="宋体" w:cs="宋体"/>
          <w:color w:val="auto"/>
          <w:kern w:val="0"/>
          <w:sz w:val="26"/>
          <w:szCs w:val="26"/>
          <w:highlight w:val="none"/>
          <w:lang w:val="en-US" w:eastAsia="zh-CN"/>
        </w:rPr>
        <w:t>④</w:t>
      </w:r>
      <w:r>
        <w:rPr>
          <w:rFonts w:hint="eastAsia" w:ascii="Arial" w:hAnsi="Arial" w:eastAsia="宋体" w:cs="Arial"/>
          <w:color w:val="auto"/>
          <w:kern w:val="0"/>
          <w:sz w:val="26"/>
          <w:szCs w:val="26"/>
          <w:highlight w:val="none"/>
          <w:lang w:val="en-US" w:eastAsia="zh-CN"/>
        </w:rPr>
        <w:t xml:space="preserve"> 对项目可能带来的环境影响，本评价将在生态环境现状调查和项目工程分析的基础上，论证工程建设的环境可行性，提出防治和减缓不利环境影响的措施，使工程建设符合国家和重庆市环境保护政策和要求；</w:t>
      </w:r>
    </w:p>
    <w:p w14:paraId="34B59778">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宋体" w:hAnsi="宋体" w:eastAsia="宋体" w:cs="宋体"/>
          <w:color w:val="auto"/>
          <w:kern w:val="0"/>
          <w:sz w:val="26"/>
          <w:szCs w:val="26"/>
          <w:highlight w:val="none"/>
          <w:lang w:val="en-US" w:eastAsia="zh-CN"/>
        </w:rPr>
        <w:t>⑤</w:t>
      </w:r>
      <w:r>
        <w:rPr>
          <w:rFonts w:hint="eastAsia" w:ascii="Arial" w:hAnsi="Arial" w:eastAsia="宋体" w:cs="Arial"/>
          <w:color w:val="auto"/>
          <w:kern w:val="0"/>
          <w:sz w:val="26"/>
          <w:szCs w:val="26"/>
          <w:highlight w:val="none"/>
          <w:lang w:val="en-US" w:eastAsia="zh-CN"/>
        </w:rPr>
        <w:t xml:space="preserve"> 根据《环境影响评价公众参与暂行办法》的规定，开展多种形式的公众参与工作。</w:t>
      </w:r>
    </w:p>
    <w:p w14:paraId="2E14B8C3">
      <w:pPr>
        <w:keepNext w:val="0"/>
        <w:keepLines w:val="0"/>
        <w:pageBreakBefore w:val="0"/>
        <w:widowControl w:val="0"/>
        <w:kinsoku/>
        <w:wordWrap/>
        <w:overflowPunct/>
        <w:topLinePunct w:val="0"/>
        <w:autoSpaceDE/>
        <w:autoSpaceDN/>
        <w:bidi w:val="0"/>
        <w:adjustRightInd/>
        <w:snapToGrid/>
        <w:spacing w:line="480" w:lineRule="exact"/>
        <w:ind w:firstLine="392" w:firstLineChars="150"/>
        <w:textAlignment w:val="auto"/>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zh-CN" w:eastAsia="zh-CN"/>
        </w:rPr>
        <w:t>（</w:t>
      </w:r>
      <w:r>
        <w:rPr>
          <w:rFonts w:hint="eastAsia" w:ascii="Arial" w:hAnsi="Arial" w:eastAsia="宋体" w:cs="Arial"/>
          <w:b/>
          <w:color w:val="auto"/>
          <w:kern w:val="0"/>
          <w:sz w:val="26"/>
          <w:szCs w:val="26"/>
          <w:highlight w:val="none"/>
          <w:lang w:val="en-US" w:eastAsia="zh-CN"/>
        </w:rPr>
        <w:t>2</w:t>
      </w:r>
      <w:r>
        <w:rPr>
          <w:rFonts w:hint="default" w:ascii="Arial" w:hAnsi="Arial" w:eastAsia="宋体" w:cs="Arial"/>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环境影响评价工作</w:t>
      </w:r>
      <w:r>
        <w:rPr>
          <w:rFonts w:hint="default" w:ascii="Arial" w:hAnsi="Arial" w:eastAsia="宋体" w:cs="Arial"/>
          <w:b/>
          <w:color w:val="auto"/>
          <w:kern w:val="0"/>
          <w:sz w:val="26"/>
          <w:szCs w:val="26"/>
          <w:highlight w:val="none"/>
          <w:lang w:val="en-US" w:eastAsia="zh-CN"/>
        </w:rPr>
        <w:t>阶段</w:t>
      </w:r>
    </w:p>
    <w:p w14:paraId="18888BD0">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color w:val="auto"/>
          <w:kern w:val="0"/>
          <w:sz w:val="26"/>
          <w:szCs w:val="26"/>
          <w:highlight w:val="none"/>
          <w:lang w:val="en-US" w:eastAsia="zh-CN"/>
        </w:rPr>
      </w:pPr>
      <w:r>
        <w:rPr>
          <w:rFonts w:hint="eastAsia" w:ascii="Arial" w:hAnsi="Arial" w:eastAsia="宋体" w:cs="Arial"/>
          <w:b/>
          <w:color w:val="auto"/>
          <w:kern w:val="0"/>
          <w:sz w:val="26"/>
          <w:szCs w:val="26"/>
          <w:highlight w:val="none"/>
          <w:lang w:val="en-US" w:eastAsia="zh-CN"/>
        </w:rPr>
        <w:t>① 环境现状调查</w:t>
      </w:r>
    </w:p>
    <w:p w14:paraId="218BB12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本评价于2024年8月完成了对项目所在地地表水、地下水、土壤、声环境的现状监测工作。</w:t>
      </w:r>
    </w:p>
    <w:p w14:paraId="6AD23F11">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en-US" w:eastAsia="zh-CN"/>
        </w:rPr>
        <w:t>②</w:t>
      </w:r>
      <w:r>
        <w:rPr>
          <w:rFonts w:hint="eastAsia" w:ascii="Arial" w:hAnsi="Arial" w:eastAsia="宋体" w:cs="Arial"/>
          <w:b/>
          <w:color w:val="auto"/>
          <w:kern w:val="0"/>
          <w:sz w:val="26"/>
          <w:szCs w:val="26"/>
          <w:highlight w:val="none"/>
          <w:lang w:val="en-US" w:eastAsia="zh-CN"/>
        </w:rPr>
        <w:t xml:space="preserve"> 环境敏感点筛查</w:t>
      </w:r>
    </w:p>
    <w:p w14:paraId="5904DEC6">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本评价多次对项目所在区域进行了详查，查明项目所在地附近各类环境敏感点的分布情况及与拟建项目的地理位置关系。</w:t>
      </w:r>
    </w:p>
    <w:p w14:paraId="26EE93FA">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color w:val="auto"/>
          <w:kern w:val="0"/>
          <w:sz w:val="26"/>
          <w:szCs w:val="26"/>
          <w:highlight w:val="none"/>
          <w:lang w:val="en-US" w:eastAsia="zh-CN"/>
        </w:rPr>
      </w:pPr>
      <w:r>
        <w:rPr>
          <w:rFonts w:hint="eastAsia" w:ascii="Arial" w:hAnsi="Arial" w:eastAsia="宋体" w:cs="Arial"/>
          <w:b/>
          <w:color w:val="auto"/>
          <w:kern w:val="0"/>
          <w:sz w:val="26"/>
          <w:szCs w:val="26"/>
          <w:highlight w:val="none"/>
          <w:lang w:val="en-US" w:eastAsia="zh-CN"/>
        </w:rPr>
        <w:t>③ 环境影响评价工作</w:t>
      </w:r>
    </w:p>
    <w:p w14:paraId="1DC8369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根据调查、收集到的有关文件、资料，在进行充分的环境现状调查、监测的基础上开展环境质量现状评价，并进行进一步的工程分析，预测、评估工程建设对生态环境、环境质量的影响，分析论证项目建设的环境可行性，提出切实可行的生态保护及污染防治对策，维持工程影响区的环境功能，减小工程带来的不利环境影响。</w:t>
      </w:r>
    </w:p>
    <w:p w14:paraId="4C374677">
      <w:pPr>
        <w:keepNext w:val="0"/>
        <w:keepLines w:val="0"/>
        <w:pageBreakBefore w:val="0"/>
        <w:widowControl w:val="0"/>
        <w:kinsoku/>
        <w:wordWrap/>
        <w:overflowPunct/>
        <w:topLinePunct w:val="0"/>
        <w:autoSpaceDE/>
        <w:autoSpaceDN/>
        <w:bidi w:val="0"/>
        <w:adjustRightInd/>
        <w:snapToGrid/>
        <w:spacing w:line="480" w:lineRule="exact"/>
        <w:ind w:firstLine="392" w:firstLineChars="150"/>
        <w:textAlignment w:val="auto"/>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zh-CN" w:eastAsia="zh-CN"/>
        </w:rPr>
        <w:t>（</w:t>
      </w:r>
      <w:r>
        <w:rPr>
          <w:rFonts w:hint="eastAsia" w:ascii="Arial" w:hAnsi="Arial" w:eastAsia="宋体" w:cs="Arial"/>
          <w:b/>
          <w:color w:val="auto"/>
          <w:kern w:val="0"/>
          <w:sz w:val="26"/>
          <w:szCs w:val="26"/>
          <w:highlight w:val="none"/>
          <w:lang w:val="en-US" w:eastAsia="zh-CN"/>
        </w:rPr>
        <w:t>3</w:t>
      </w:r>
      <w:r>
        <w:rPr>
          <w:rFonts w:hint="default" w:ascii="Arial" w:hAnsi="Arial" w:eastAsia="宋体" w:cs="Arial"/>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编制环境影响报告书</w:t>
      </w:r>
    </w:p>
    <w:p w14:paraId="7CC2602D">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接受委托后，我公司组织技术人员进行现场踏勘，开展环境状况调查并收集相关资料，根据项目特征，特别关注坝区及周边敏感点、库区范围内的污染源调查、集雨范围内的污染源普查；同时委托第三方有资质的公司进行现状监测。</w:t>
      </w:r>
    </w:p>
    <w:p w14:paraId="4483CF4A">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在收集资料后，按照相关法律法规和环境影响评价技术导则等技术规范要求，对该项目可能产生的环境影响进行系统的识别、预测和评价，编制完成了《</w:t>
      </w:r>
      <w:r>
        <w:rPr>
          <w:rFonts w:hint="eastAsia" w:ascii="Arial" w:hAnsi="Arial" w:cs="Arial"/>
          <w:color w:val="auto"/>
          <w:kern w:val="0"/>
          <w:sz w:val="26"/>
          <w:szCs w:val="26"/>
          <w:highlight w:val="none"/>
          <w:lang w:val="en-US" w:eastAsia="zh-CN"/>
        </w:rPr>
        <w:t>丰都县海螺沟水库</w:t>
      </w:r>
      <w:r>
        <w:rPr>
          <w:rFonts w:hint="eastAsia" w:ascii="Arial" w:hAnsi="Arial" w:eastAsia="宋体" w:cs="Arial"/>
          <w:color w:val="auto"/>
          <w:kern w:val="0"/>
          <w:sz w:val="26"/>
          <w:szCs w:val="26"/>
          <w:highlight w:val="none"/>
          <w:lang w:val="en-US" w:eastAsia="zh-CN"/>
        </w:rPr>
        <w:t>工程环境影响报告书》</w:t>
      </w:r>
      <w:r>
        <w:rPr>
          <w:rFonts w:hint="eastAsia" w:ascii="宋体" w:hAnsi="宋体" w:eastAsia="宋体" w:cs="宋体"/>
          <w:color w:val="auto"/>
          <w:kern w:val="0"/>
          <w:sz w:val="26"/>
          <w:szCs w:val="26"/>
          <w:highlight w:val="none"/>
          <w:lang w:val="en-US" w:eastAsia="zh-CN"/>
        </w:rPr>
        <w:t>(送审版)</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现按规定程序上报，敬请审查。</w:t>
      </w:r>
    </w:p>
    <w:p w14:paraId="135774EE">
      <w:pPr>
        <w:keepNext w:val="0"/>
        <w:keepLines w:val="0"/>
        <w:pageBreakBefore w:val="0"/>
        <w:widowControl w:val="0"/>
        <w:kinsoku/>
        <w:wordWrap/>
        <w:overflowPunct/>
        <w:topLinePunct w:val="0"/>
        <w:autoSpaceDE/>
        <w:autoSpaceDN/>
        <w:bidi w:val="0"/>
        <w:adjustRightInd/>
        <w:snapToGrid/>
        <w:spacing w:line="480" w:lineRule="exact"/>
        <w:ind w:firstLine="392" w:firstLineChars="150"/>
        <w:textAlignment w:val="auto"/>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zh-CN" w:eastAsia="zh-CN"/>
        </w:rPr>
        <w:t>（</w:t>
      </w:r>
      <w:r>
        <w:rPr>
          <w:rFonts w:hint="eastAsia" w:ascii="Arial" w:hAnsi="Arial" w:cs="Arial"/>
          <w:b/>
          <w:color w:val="auto"/>
          <w:kern w:val="0"/>
          <w:sz w:val="26"/>
          <w:szCs w:val="26"/>
          <w:highlight w:val="none"/>
          <w:lang w:val="en-US" w:eastAsia="zh-CN"/>
        </w:rPr>
        <w:t>4</w:t>
      </w:r>
      <w:r>
        <w:rPr>
          <w:rFonts w:hint="default" w:ascii="Arial" w:hAnsi="Arial" w:eastAsia="宋体" w:cs="Arial"/>
          <w:b/>
          <w:color w:val="auto"/>
          <w:kern w:val="0"/>
          <w:sz w:val="26"/>
          <w:szCs w:val="26"/>
          <w:highlight w:val="none"/>
          <w:lang w:val="en-US" w:eastAsia="zh-CN"/>
        </w:rPr>
        <w:t>）</w:t>
      </w:r>
      <w:r>
        <w:rPr>
          <w:rFonts w:hint="eastAsia" w:ascii="Arial" w:hAnsi="Arial" w:cs="Arial"/>
          <w:b/>
          <w:color w:val="auto"/>
          <w:kern w:val="0"/>
          <w:sz w:val="26"/>
          <w:szCs w:val="26"/>
          <w:highlight w:val="none"/>
          <w:lang w:val="en-US" w:eastAsia="zh-CN"/>
        </w:rPr>
        <w:t>公众参与工作</w:t>
      </w:r>
    </w:p>
    <w:p w14:paraId="2B0E4A86">
      <w:pPr>
        <w:keepNext w:val="0"/>
        <w:keepLines/>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在委托我单位</w:t>
      </w:r>
      <w:r>
        <w:rPr>
          <w:rFonts w:hint="eastAsia" w:ascii="Arial" w:hAnsi="Arial" w:cs="Arial"/>
          <w:color w:val="auto"/>
          <w:kern w:val="0"/>
          <w:sz w:val="26"/>
          <w:szCs w:val="26"/>
          <w:highlight w:val="none"/>
          <w:lang w:val="en-US" w:eastAsia="zh-CN"/>
        </w:rPr>
        <w:t>开展</w:t>
      </w:r>
      <w:r>
        <w:rPr>
          <w:rFonts w:hint="eastAsia" w:ascii="Arial" w:hAnsi="Arial" w:eastAsia="宋体" w:cs="Arial"/>
          <w:color w:val="auto"/>
          <w:kern w:val="0"/>
          <w:sz w:val="26"/>
          <w:szCs w:val="26"/>
          <w:highlight w:val="none"/>
          <w:lang w:val="en-US" w:eastAsia="zh-CN"/>
        </w:rPr>
        <w:t>该项目环境影响评价工作后7个工作日内，建设单位按照《环境影响评价公众参与办法》（生态环境部令第4号）的要求，2024年8月6日在丰都县水利局网站上进行了项目第一次环境信息公示，</w:t>
      </w:r>
      <w:r>
        <w:rPr>
          <w:rFonts w:hint="eastAsia" w:ascii="Arial" w:hAnsi="Arial" w:cs="Arial"/>
          <w:color w:val="auto"/>
          <w:kern w:val="0"/>
          <w:sz w:val="26"/>
          <w:szCs w:val="26"/>
          <w:highlight w:val="none"/>
          <w:lang w:val="en-US" w:eastAsia="zh-CN"/>
        </w:rPr>
        <w:t>公示</w:t>
      </w:r>
      <w:r>
        <w:rPr>
          <w:rFonts w:hint="eastAsia" w:ascii="Arial" w:hAnsi="Arial" w:eastAsia="宋体" w:cs="Arial"/>
          <w:color w:val="auto"/>
          <w:kern w:val="0"/>
          <w:sz w:val="26"/>
          <w:szCs w:val="26"/>
          <w:highlight w:val="none"/>
          <w:lang w:val="en-US" w:eastAsia="zh-CN"/>
        </w:rPr>
        <w:t>链接为：http://www.cqfd.gov.cn/bm/slj/，并给出了公众意见表的链接</w:t>
      </w:r>
      <w:r>
        <w:rPr>
          <w:rFonts w:hint="eastAsia" w:ascii="Arial" w:hAnsi="Arial" w:cs="Arial"/>
          <w:color w:val="auto"/>
          <w:kern w:val="0"/>
          <w:sz w:val="26"/>
          <w:szCs w:val="26"/>
          <w:highlight w:val="none"/>
          <w:lang w:val="en-US" w:eastAsia="zh-CN"/>
        </w:rPr>
        <w:t>。公示</w:t>
      </w:r>
      <w:r>
        <w:rPr>
          <w:rFonts w:hint="eastAsia" w:ascii="Arial" w:hAnsi="Arial" w:eastAsia="宋体" w:cs="Arial"/>
          <w:color w:val="auto"/>
          <w:kern w:val="0"/>
          <w:sz w:val="26"/>
          <w:szCs w:val="26"/>
          <w:highlight w:val="none"/>
          <w:lang w:val="en-US" w:eastAsia="zh-CN"/>
        </w:rPr>
        <w:t>期间</w:t>
      </w:r>
      <w:r>
        <w:rPr>
          <w:rFonts w:hint="eastAsia" w:ascii="Arial" w:hAnsi="Arial" w:cs="Arial"/>
          <w:color w:val="auto"/>
          <w:kern w:val="0"/>
          <w:sz w:val="26"/>
          <w:szCs w:val="26"/>
          <w:highlight w:val="none"/>
          <w:lang w:val="en-US" w:eastAsia="zh-CN"/>
        </w:rPr>
        <w:t>未收到</w:t>
      </w:r>
      <w:r>
        <w:rPr>
          <w:rFonts w:hint="eastAsia" w:ascii="Arial" w:hAnsi="Arial" w:eastAsia="宋体" w:cs="Arial"/>
          <w:color w:val="auto"/>
          <w:kern w:val="0"/>
          <w:sz w:val="26"/>
          <w:szCs w:val="26"/>
          <w:highlight w:val="none"/>
          <w:lang w:val="en-US" w:eastAsia="zh-CN"/>
        </w:rPr>
        <w:t>公众反馈意见。</w:t>
      </w:r>
    </w:p>
    <w:p w14:paraId="4E9931C7">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在我司编制完成该项目环境影响评价报告书征求意见稿后，建设单位</w:t>
      </w:r>
      <w:r>
        <w:rPr>
          <w:rFonts w:hint="eastAsia" w:ascii="Arial" w:hAnsi="Arial" w:eastAsia="宋体" w:cs="Arial"/>
          <w:color w:val="auto"/>
          <w:kern w:val="0"/>
          <w:sz w:val="26"/>
          <w:szCs w:val="26"/>
          <w:highlight w:val="none"/>
          <w:lang w:val="en-US" w:eastAsia="zh-CN"/>
        </w:rPr>
        <w:t>按照《环境影响评价公众参与办法》</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生态环境部令第4号</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的要求，202</w:t>
      </w:r>
      <w:r>
        <w:rPr>
          <w:rFonts w:hint="eastAsia" w:ascii="Arial" w:hAnsi="Arial" w:cs="Arial"/>
          <w:color w:val="auto"/>
          <w:kern w:val="0"/>
          <w:sz w:val="26"/>
          <w:szCs w:val="26"/>
          <w:highlight w:val="none"/>
          <w:lang w:val="en-US" w:eastAsia="zh-CN"/>
        </w:rPr>
        <w:t>5</w:t>
      </w:r>
      <w:r>
        <w:rPr>
          <w:rFonts w:hint="eastAsia" w:ascii="Arial" w:hAnsi="Arial" w:eastAsia="宋体" w:cs="Arial"/>
          <w:color w:val="auto"/>
          <w:kern w:val="0"/>
          <w:sz w:val="26"/>
          <w:szCs w:val="26"/>
          <w:highlight w:val="none"/>
          <w:lang w:val="en-US" w:eastAsia="zh-CN"/>
        </w:rPr>
        <w:t>年</w:t>
      </w:r>
      <w:r>
        <w:rPr>
          <w:rFonts w:hint="eastAsia" w:ascii="Arial" w:hAnsi="Arial" w:cs="Arial"/>
          <w:color w:val="auto"/>
          <w:kern w:val="0"/>
          <w:sz w:val="26"/>
          <w:szCs w:val="26"/>
          <w:highlight w:val="none"/>
          <w:lang w:val="en-US" w:eastAsia="zh-CN"/>
        </w:rPr>
        <w:t>1</w:t>
      </w:r>
      <w:r>
        <w:rPr>
          <w:rFonts w:hint="eastAsia" w:ascii="Arial" w:hAnsi="Arial" w:eastAsia="宋体" w:cs="Arial"/>
          <w:color w:val="auto"/>
          <w:kern w:val="0"/>
          <w:sz w:val="26"/>
          <w:szCs w:val="26"/>
          <w:highlight w:val="none"/>
          <w:lang w:val="en-US" w:eastAsia="zh-CN"/>
        </w:rPr>
        <w:t>月</w:t>
      </w:r>
      <w:r>
        <w:rPr>
          <w:rFonts w:hint="eastAsia" w:ascii="Arial" w:hAnsi="Arial" w:cs="Arial"/>
          <w:color w:val="auto"/>
          <w:kern w:val="0"/>
          <w:sz w:val="26"/>
          <w:szCs w:val="26"/>
          <w:highlight w:val="none"/>
          <w:lang w:val="en-US" w:eastAsia="zh-CN"/>
        </w:rPr>
        <w:t>8</w:t>
      </w:r>
      <w:r>
        <w:rPr>
          <w:rFonts w:hint="eastAsia" w:ascii="Arial" w:hAnsi="Arial" w:eastAsia="宋体" w:cs="Arial"/>
          <w:color w:val="auto"/>
          <w:kern w:val="0"/>
          <w:sz w:val="26"/>
          <w:szCs w:val="26"/>
          <w:highlight w:val="none"/>
          <w:lang w:val="en-US" w:eastAsia="zh-CN"/>
        </w:rPr>
        <w:t>日至</w:t>
      </w:r>
      <w:r>
        <w:rPr>
          <w:rFonts w:hint="eastAsia" w:ascii="Arial" w:hAnsi="Arial" w:cs="Arial"/>
          <w:color w:val="auto"/>
          <w:kern w:val="0"/>
          <w:sz w:val="26"/>
          <w:szCs w:val="26"/>
          <w:highlight w:val="none"/>
          <w:lang w:val="en-US" w:eastAsia="zh-CN"/>
        </w:rPr>
        <w:t>1</w:t>
      </w:r>
      <w:r>
        <w:rPr>
          <w:rFonts w:hint="eastAsia" w:ascii="Arial" w:hAnsi="Arial" w:eastAsia="宋体" w:cs="Arial"/>
          <w:color w:val="auto"/>
          <w:kern w:val="0"/>
          <w:sz w:val="26"/>
          <w:szCs w:val="26"/>
          <w:highlight w:val="none"/>
          <w:lang w:val="en-US" w:eastAsia="zh-CN"/>
        </w:rPr>
        <w:t>月21日</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共计10个工作日</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在</w:t>
      </w:r>
      <w:r>
        <w:rPr>
          <w:rFonts w:hint="eastAsia" w:ascii="Arial" w:hAnsi="Arial" w:cs="Arial"/>
          <w:color w:val="auto"/>
          <w:kern w:val="0"/>
          <w:sz w:val="26"/>
          <w:szCs w:val="26"/>
          <w:highlight w:val="none"/>
          <w:lang w:val="en-US" w:eastAsia="zh-CN"/>
        </w:rPr>
        <w:t>丰都县水利局</w:t>
      </w:r>
      <w:r>
        <w:rPr>
          <w:rFonts w:hint="eastAsia" w:ascii="Arial" w:hAnsi="Arial" w:eastAsia="宋体" w:cs="Arial"/>
          <w:color w:val="auto"/>
          <w:kern w:val="0"/>
          <w:sz w:val="26"/>
          <w:szCs w:val="26"/>
          <w:highlight w:val="none"/>
          <w:lang w:val="en-US" w:eastAsia="zh-CN"/>
        </w:rPr>
        <w:t>网站上进行了</w:t>
      </w:r>
      <w:r>
        <w:rPr>
          <w:rFonts w:hint="eastAsia" w:ascii="Arial" w:hAnsi="Arial" w:cs="Arial"/>
          <w:color w:val="auto"/>
          <w:kern w:val="0"/>
          <w:sz w:val="26"/>
          <w:szCs w:val="26"/>
          <w:highlight w:val="none"/>
          <w:lang w:val="en-US" w:eastAsia="zh-CN"/>
        </w:rPr>
        <w:t>本</w:t>
      </w:r>
      <w:r>
        <w:rPr>
          <w:rFonts w:hint="eastAsia" w:ascii="Arial" w:hAnsi="Arial" w:eastAsia="宋体" w:cs="Arial"/>
          <w:color w:val="auto"/>
          <w:kern w:val="0"/>
          <w:sz w:val="26"/>
          <w:szCs w:val="26"/>
          <w:highlight w:val="none"/>
          <w:lang w:val="en-US" w:eastAsia="zh-CN"/>
        </w:rPr>
        <w:t>项目征求意见稿的全文公示，公示网址为</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http://www.cqfd.gov.cn/bm/slj/</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并给出了公众意见表的链接，公示期间</w:t>
      </w:r>
      <w:r>
        <w:rPr>
          <w:rFonts w:hint="eastAsia" w:ascii="Arial" w:hAnsi="Arial" w:cs="Arial"/>
          <w:color w:val="auto"/>
          <w:kern w:val="0"/>
          <w:sz w:val="26"/>
          <w:szCs w:val="26"/>
          <w:highlight w:val="none"/>
          <w:lang w:val="en-US" w:eastAsia="zh-CN"/>
        </w:rPr>
        <w:t>未收到</w:t>
      </w:r>
      <w:r>
        <w:rPr>
          <w:rFonts w:hint="eastAsia" w:ascii="Arial" w:hAnsi="Arial" w:eastAsia="宋体" w:cs="Arial"/>
          <w:color w:val="auto"/>
          <w:kern w:val="0"/>
          <w:sz w:val="26"/>
          <w:szCs w:val="26"/>
          <w:highlight w:val="none"/>
          <w:lang w:val="en-US" w:eastAsia="zh-CN"/>
        </w:rPr>
        <w:t>公众反馈意见。同时在项目所在地</w:t>
      </w:r>
      <w:r>
        <w:rPr>
          <w:rFonts w:hint="eastAsia" w:ascii="Arial" w:hAnsi="Arial" w:cs="Arial"/>
          <w:color w:val="auto"/>
          <w:kern w:val="0"/>
          <w:sz w:val="26"/>
          <w:szCs w:val="26"/>
          <w:highlight w:val="none"/>
          <w:lang w:val="en-US" w:eastAsia="zh-CN"/>
        </w:rPr>
        <w:t>双龙镇田家山村</w:t>
      </w:r>
      <w:r>
        <w:rPr>
          <w:rFonts w:hint="eastAsia" w:ascii="Arial" w:hAnsi="Arial" w:eastAsia="宋体" w:cs="Arial"/>
          <w:color w:val="auto"/>
          <w:kern w:val="0"/>
          <w:sz w:val="26"/>
          <w:szCs w:val="26"/>
          <w:highlight w:val="none"/>
          <w:lang w:val="en-US" w:eastAsia="zh-CN"/>
        </w:rPr>
        <w:t>村委会公告栏进行现场张贴公示，并在征求意见稿公示期间在“重庆晚报”共计2天</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2023年4月13日、4月17日</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刊登了环评公示信息。公示期间</w:t>
      </w:r>
      <w:r>
        <w:rPr>
          <w:rFonts w:hint="eastAsia" w:ascii="Arial" w:hAnsi="Arial" w:cs="Arial"/>
          <w:color w:val="auto"/>
          <w:kern w:val="0"/>
          <w:sz w:val="26"/>
          <w:szCs w:val="26"/>
          <w:highlight w:val="none"/>
          <w:lang w:val="en-US" w:eastAsia="zh-CN"/>
        </w:rPr>
        <w:t>未收到</w:t>
      </w:r>
      <w:r>
        <w:rPr>
          <w:rFonts w:hint="eastAsia" w:ascii="Arial" w:hAnsi="Arial" w:eastAsia="宋体" w:cs="Arial"/>
          <w:color w:val="auto"/>
          <w:kern w:val="0"/>
          <w:sz w:val="26"/>
          <w:szCs w:val="26"/>
          <w:highlight w:val="none"/>
          <w:lang w:val="en-US" w:eastAsia="zh-CN"/>
        </w:rPr>
        <w:t>公众反馈意见。第二次公示期间，于建设单位办公室放置了报告书纸质文本，供公众查阅。</w:t>
      </w:r>
    </w:p>
    <w:p w14:paraId="169B318B">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cs="Arial"/>
          <w:color w:val="auto"/>
          <w:kern w:val="0"/>
          <w:sz w:val="26"/>
          <w:szCs w:val="26"/>
          <w:highlight w:val="none"/>
          <w:lang w:val="en-US" w:eastAsia="zh-CN"/>
        </w:rPr>
      </w:pPr>
      <w:r>
        <w:rPr>
          <w:rFonts w:hint="eastAsia" w:ascii="宋体"/>
          <w:b/>
          <w:color w:val="auto"/>
          <w:kern w:val="0"/>
          <w:sz w:val="26"/>
          <w:szCs w:val="26"/>
          <w:highlight w:val="none"/>
          <w:lang w:eastAsia="zh-CN"/>
        </w:rPr>
        <w:t>五、</w:t>
      </w:r>
      <w:r>
        <w:rPr>
          <w:rFonts w:hint="eastAsia" w:ascii="宋体"/>
          <w:b/>
          <w:color w:val="auto"/>
          <w:kern w:val="0"/>
          <w:sz w:val="26"/>
          <w:szCs w:val="26"/>
          <w:highlight w:val="none"/>
          <w:lang w:val="en-US" w:eastAsia="zh-CN"/>
        </w:rPr>
        <w:t>政策、规划符合性结论</w:t>
      </w:r>
    </w:p>
    <w:p w14:paraId="6A5A4ED1">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丰都县海螺沟水库工程是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hAnsi="Arial" w:cs="Arial"/>
          <w:color w:val="auto"/>
          <w:kern w:val="0"/>
          <w:sz w:val="26"/>
          <w:szCs w:val="26"/>
          <w:highlight w:val="none"/>
          <w:lang w:val="en-US" w:eastAsia="zh-CN"/>
        </w:rPr>
        <w:t>属于《产业结构调整指导目录（2024年本）》中的“鼓励类”项目。海螺沟水库占地范围内不涉及自然保护区、风景名胜区、森林公园、饮用水水源保护区、生态保护红线、湿地公园、水产种质资源保护区等特殊生态敏感区，与《长江经济带发展负面清单指南（试行）》、《关于印发四川省、重庆市长江经济</w:t>
      </w:r>
      <w:r>
        <w:rPr>
          <w:rFonts w:hint="default" w:ascii="Arial" w:hAnsi="Arial" w:cs="Arial"/>
          <w:color w:val="auto"/>
          <w:kern w:val="0"/>
          <w:sz w:val="26"/>
          <w:szCs w:val="26"/>
          <w:highlight w:val="none"/>
          <w:lang w:val="en-US" w:eastAsia="zh-CN"/>
        </w:rPr>
        <w:t>带发展负面清单实施细则（试行，2022年版）的通知》、《关于印发重庆市产业投资准入工作手册的通知》（渝发改投资</w:t>
      </w:r>
      <w:r>
        <w:rPr>
          <w:rFonts w:hint="default" w:ascii="Arial" w:hAnsi="Arial" w:eastAsia="宋体" w:cs="Arial"/>
          <w:color w:val="auto"/>
          <w:kern w:val="0"/>
          <w:sz w:val="26"/>
          <w:szCs w:val="26"/>
          <w:highlight w:val="none"/>
          <w:lang w:val="en-US" w:eastAsia="zh-CN"/>
        </w:rPr>
        <w:t>〔2022〕1436号）</w:t>
      </w:r>
      <w:r>
        <w:rPr>
          <w:rFonts w:hint="eastAsia" w:ascii="Arial" w:hAnsi="Arial" w:cs="Arial"/>
          <w:color w:val="auto"/>
          <w:kern w:val="0"/>
          <w:sz w:val="26"/>
          <w:szCs w:val="26"/>
          <w:highlight w:val="none"/>
          <w:lang w:val="en-US" w:eastAsia="zh-CN"/>
        </w:rPr>
        <w:t>《重庆市水安全保障“十四五”规划（2021-2025年）》、《丰都县“十四五”水安全保障规划》</w:t>
      </w:r>
      <w:r>
        <w:rPr>
          <w:rFonts w:hint="default" w:ascii="Arial" w:hAnsi="Arial" w:cs="Arial"/>
          <w:color w:val="auto"/>
          <w:kern w:val="0"/>
          <w:sz w:val="26"/>
          <w:szCs w:val="26"/>
          <w:highlight w:val="none"/>
          <w:lang w:val="en-US" w:eastAsia="zh-CN"/>
        </w:rPr>
        <w:t>等文件相符</w:t>
      </w:r>
      <w:r>
        <w:rPr>
          <w:rFonts w:hint="eastAsia" w:ascii="Arial" w:hAnsi="Arial" w:cs="Arial"/>
          <w:color w:val="auto"/>
          <w:kern w:val="0"/>
          <w:sz w:val="26"/>
          <w:szCs w:val="26"/>
          <w:highlight w:val="none"/>
          <w:lang w:val="en-US" w:eastAsia="zh-CN"/>
        </w:rPr>
        <w:t>，且项目所办理的前期资料均已取</w:t>
      </w:r>
      <w:r>
        <w:rPr>
          <w:rFonts w:hint="eastAsia" w:ascii="Arial" w:hAnsi="Arial" w:eastAsia="宋体" w:cs="Arial"/>
          <w:color w:val="auto"/>
          <w:kern w:val="0"/>
          <w:sz w:val="26"/>
          <w:szCs w:val="26"/>
          <w:highlight w:val="none"/>
          <w:lang w:val="en-US" w:eastAsia="zh-CN"/>
        </w:rPr>
        <w:t>得相关主管部门的批复。由此可见，本项目与地方、国家产业政策均相符。</w:t>
      </w:r>
    </w:p>
    <w:p w14:paraId="50390AE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本项目属于《重庆市渠溪河流域综合规划环境影响报告书》中规划拟建水库，且规划中海螺沟水库工程任务、坝址、坝型、特征水位、库容等特性均与本次评价内容一致；本项目设施过程中将根据流域规划、规划环评及审查意见的相关内容，完善项目相关生态环境保护措施。由此可见，本项目与《重庆市渠溪河流域综合规划环境影响报告书》及其审查意见“</w:t>
      </w:r>
      <w:r>
        <w:rPr>
          <w:rFonts w:hint="default" w:ascii="Arial" w:hAnsi="Arial" w:cs="Arial"/>
          <w:color w:val="auto"/>
          <w:kern w:val="0"/>
          <w:sz w:val="26"/>
          <w:szCs w:val="26"/>
          <w:highlight w:val="none"/>
          <w:lang w:val="en-US" w:eastAsia="zh-CN"/>
        </w:rPr>
        <w:t>丰环函</w:t>
      </w:r>
      <w:r>
        <w:rPr>
          <w:rFonts w:hint="default" w:ascii="Arial" w:hAnsi="Arial" w:eastAsia="宋体" w:cs="Arial"/>
          <w:color w:val="auto"/>
          <w:kern w:val="0"/>
          <w:sz w:val="26"/>
          <w:szCs w:val="26"/>
          <w:highlight w:val="none"/>
          <w:lang w:val="en-US" w:eastAsia="zh-CN"/>
        </w:rPr>
        <w:t>〔2025〕2号</w:t>
      </w:r>
      <w:r>
        <w:rPr>
          <w:rFonts w:hint="eastAsia" w:ascii="Arial" w:hAnsi="Arial" w:cs="Arial"/>
          <w:color w:val="auto"/>
          <w:kern w:val="0"/>
          <w:sz w:val="26"/>
          <w:szCs w:val="26"/>
          <w:highlight w:val="none"/>
          <w:lang w:val="en-US" w:eastAsia="zh-CN"/>
        </w:rPr>
        <w:t>”相符。</w:t>
      </w:r>
    </w:p>
    <w:p w14:paraId="697007BE">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结果查询重庆市“三线一单”智检服务平台，海螺沟水库工程涉及丰都县一般管控单元—渠溪河木瓜洞，单元编码为ZH50023030003。通过比对分析，本项目与丰都县“三线一单”相符。</w:t>
      </w:r>
    </w:p>
    <w:p w14:paraId="784084A8">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cs="Arial"/>
          <w:color w:val="auto"/>
          <w:kern w:val="0"/>
          <w:sz w:val="26"/>
          <w:szCs w:val="26"/>
          <w:highlight w:val="none"/>
          <w:lang w:val="en-US" w:eastAsia="zh-CN"/>
        </w:rPr>
      </w:pPr>
      <w:r>
        <w:rPr>
          <w:rFonts w:hint="eastAsia" w:ascii="宋体"/>
          <w:b/>
          <w:color w:val="auto"/>
          <w:kern w:val="0"/>
          <w:sz w:val="26"/>
          <w:szCs w:val="26"/>
          <w:highlight w:val="none"/>
          <w:lang w:eastAsia="zh-CN"/>
        </w:rPr>
        <w:t>六、</w:t>
      </w:r>
      <w:r>
        <w:rPr>
          <w:rFonts w:hint="eastAsia" w:ascii="宋体"/>
          <w:b/>
          <w:color w:val="auto"/>
          <w:kern w:val="0"/>
          <w:sz w:val="26"/>
          <w:szCs w:val="26"/>
          <w:highlight w:val="none"/>
          <w:lang w:val="en-US" w:eastAsia="zh-CN"/>
        </w:rPr>
        <w:t>关注的主要环境问题</w:t>
      </w:r>
    </w:p>
    <w:p w14:paraId="40564C9E">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Times New Roman" w:eastAsia="宋体" w:cs="Arial"/>
          <w:color w:val="auto"/>
          <w:sz w:val="26"/>
          <w:highlight w:val="none"/>
          <w:lang w:val="en-US" w:eastAsia="zh-CN"/>
        </w:rPr>
      </w:pPr>
      <w:r>
        <w:rPr>
          <w:rFonts w:hint="eastAsia" w:ascii="Arial" w:hAnsi="Times New Roman" w:eastAsia="宋体" w:cs="Arial"/>
          <w:color w:val="auto"/>
          <w:sz w:val="26"/>
          <w:highlight w:val="none"/>
          <w:lang w:val="en-US" w:eastAsia="zh-CN"/>
        </w:rPr>
        <w:t>（</w:t>
      </w:r>
      <w:r>
        <w:rPr>
          <w:rFonts w:hint="default" w:ascii="Arial" w:hAnsi="Times New Roman" w:eastAsia="宋体" w:cs="Arial"/>
          <w:color w:val="auto"/>
          <w:sz w:val="26"/>
          <w:highlight w:val="none"/>
          <w:lang w:val="en-US" w:eastAsia="zh-CN"/>
        </w:rPr>
        <w:t>1</w:t>
      </w:r>
      <w:r>
        <w:rPr>
          <w:rFonts w:hint="eastAsia" w:ascii="Arial" w:hAnsi="Times New Roman" w:eastAsia="宋体" w:cs="Arial"/>
          <w:color w:val="auto"/>
          <w:sz w:val="26"/>
          <w:highlight w:val="none"/>
          <w:lang w:val="en-US" w:eastAsia="zh-CN"/>
        </w:rPr>
        <w:t>）</w:t>
      </w:r>
      <w:r>
        <w:rPr>
          <w:rFonts w:hint="eastAsia" w:ascii="Arial" w:cs="Arial"/>
          <w:color w:val="auto"/>
          <w:sz w:val="26"/>
          <w:highlight w:val="none"/>
          <w:lang w:val="en-US" w:eastAsia="zh-CN"/>
        </w:rPr>
        <w:t>海螺沟水库工程</w:t>
      </w:r>
      <w:r>
        <w:rPr>
          <w:rFonts w:hint="eastAsia" w:ascii="Arial" w:hAnsi="Arial" w:cs="Arial"/>
          <w:color w:val="auto"/>
          <w:kern w:val="0"/>
          <w:sz w:val="26"/>
          <w:szCs w:val="26"/>
          <w:highlight w:val="none"/>
          <w:lang w:val="en-US" w:eastAsia="zh-CN"/>
        </w:rPr>
        <w:t>坝址</w:t>
      </w:r>
      <w:r>
        <w:rPr>
          <w:rFonts w:hint="eastAsia" w:ascii="Arial" w:hAnsi="Arial" w:eastAsia="宋体" w:cs="Arial"/>
          <w:color w:val="auto"/>
          <w:kern w:val="0"/>
          <w:sz w:val="26"/>
          <w:szCs w:val="26"/>
          <w:highlight w:val="none"/>
          <w:lang w:val="en-US" w:eastAsia="zh-CN"/>
        </w:rPr>
        <w:t>位于</w:t>
      </w:r>
      <w:r>
        <w:rPr>
          <w:rFonts w:hint="eastAsia" w:ascii="Arial" w:hAnsi="Arial" w:cs="Arial"/>
          <w:color w:val="auto"/>
          <w:kern w:val="0"/>
          <w:sz w:val="26"/>
          <w:szCs w:val="26"/>
          <w:highlight w:val="none"/>
          <w:lang w:val="en-US" w:eastAsia="zh-CN"/>
        </w:rPr>
        <w:t>丰都县双龙镇田家山村境内</w:t>
      </w:r>
      <w:r>
        <w:rPr>
          <w:rFonts w:hint="eastAsia" w:ascii="Arial" w:hAnsi="Arial" w:eastAsia="宋体" w:cs="Arial"/>
          <w:color w:val="auto"/>
          <w:kern w:val="0"/>
          <w:sz w:val="26"/>
          <w:szCs w:val="26"/>
          <w:highlight w:val="none"/>
          <w:lang w:val="en-US" w:eastAsia="zh-CN"/>
        </w:rPr>
        <w:t>渠溪河左岸一级支流双龙河</w:t>
      </w:r>
      <w:r>
        <w:rPr>
          <w:rFonts w:hint="eastAsia" w:ascii="Arial" w:hAnsi="Arial" w:cs="Arial"/>
          <w:color w:val="auto"/>
          <w:kern w:val="0"/>
          <w:sz w:val="26"/>
          <w:szCs w:val="26"/>
          <w:highlight w:val="none"/>
          <w:lang w:val="en-US" w:eastAsia="zh-CN"/>
        </w:rPr>
        <w:t>右岸一级支流高洞桥河左岸一级</w:t>
      </w:r>
      <w:r>
        <w:rPr>
          <w:rFonts w:hint="eastAsia" w:ascii="Arial" w:hAnsi="Arial" w:eastAsia="宋体" w:cs="Arial"/>
          <w:color w:val="auto"/>
          <w:kern w:val="0"/>
          <w:sz w:val="26"/>
          <w:szCs w:val="26"/>
          <w:highlight w:val="none"/>
          <w:lang w:val="en-US" w:eastAsia="zh-CN"/>
        </w:rPr>
        <w:t>支流海螺沟上，</w:t>
      </w:r>
      <w:r>
        <w:rPr>
          <w:rFonts w:hint="eastAsia" w:ascii="Arial" w:hAnsi="Arial" w:cs="Arial"/>
          <w:color w:val="auto"/>
          <w:kern w:val="0"/>
          <w:sz w:val="26"/>
          <w:szCs w:val="26"/>
          <w:highlight w:val="none"/>
          <w:lang w:val="en-US" w:eastAsia="zh-CN"/>
        </w:rPr>
        <w:t>坝址及库区范围不涉及自然保护区、风景名胜区、森林公园、饮用水水源保护区、生态保护红线、湿地公园、水产种质资源保护区等特殊生态敏感区。</w:t>
      </w:r>
    </w:p>
    <w:p w14:paraId="50211872">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cs="Arial"/>
          <w:color w:val="auto"/>
          <w:sz w:val="26"/>
          <w:highlight w:val="none"/>
          <w:lang w:val="en-US" w:eastAsia="zh-CN"/>
        </w:rPr>
      </w:pPr>
      <w:r>
        <w:rPr>
          <w:rFonts w:hint="eastAsia" w:ascii="Arial" w:cs="Arial"/>
          <w:color w:val="auto"/>
          <w:sz w:val="26"/>
          <w:highlight w:val="none"/>
          <w:lang w:val="en-US" w:eastAsia="zh-CN"/>
        </w:rPr>
        <w:t>（2）本项目建设中，将对水库周边及输送管线沿线的外环境产生一定影响，通过合理施工组织、加强施工管理、采取防尘降噪等措施后，将减缓不利影响；工程建成后，坝址下游将形成减水河段，同时本项目作为供水水源为受水区供水后，退水将排入海螺沟、高洞桥河、双龙河下游河段，造成评价河段内供水与排水相互影响、相互制约等情况，本项目拟采取分层取水、下泄生态流量、建立水资源调动机制等措施，减缓其对水环境造成的不利影响。</w:t>
      </w:r>
    </w:p>
    <w:p w14:paraId="76D33825">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default" w:ascii="Arial" w:cs="Arial"/>
          <w:color w:val="auto"/>
          <w:sz w:val="26"/>
          <w:highlight w:val="none"/>
          <w:lang w:val="en-US" w:eastAsia="zh-CN"/>
        </w:rPr>
      </w:pPr>
      <w:r>
        <w:rPr>
          <w:rFonts w:hint="eastAsia" w:ascii="Arial" w:cs="Arial"/>
          <w:color w:val="auto"/>
          <w:sz w:val="26"/>
          <w:highlight w:val="none"/>
          <w:lang w:val="en-US" w:eastAsia="zh-CN"/>
        </w:rPr>
        <w:t>（3）项目蓄水后将形成较大的库区范围，容易造成富营养化。因此库区、集雨范围的污染清理、控制、削减将是本工程的主要任务之一，为此将进行库岸清理、划分水源保护区等工作，实现库区水质保护和改善。</w:t>
      </w:r>
    </w:p>
    <w:p w14:paraId="04340500">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cs="Arial"/>
          <w:color w:val="auto"/>
          <w:kern w:val="0"/>
          <w:sz w:val="26"/>
          <w:szCs w:val="26"/>
          <w:highlight w:val="none"/>
          <w:lang w:val="en-US" w:eastAsia="zh-CN"/>
        </w:rPr>
      </w:pPr>
      <w:r>
        <w:rPr>
          <w:rFonts w:hint="eastAsia" w:ascii="Arial" w:cs="Arial"/>
          <w:color w:val="auto"/>
          <w:sz w:val="26"/>
          <w:highlight w:val="none"/>
          <w:lang w:val="en-US" w:eastAsia="zh-CN"/>
        </w:rPr>
        <w:t>（4）根据叠图分析，本项目永久占用范围内涉及基本农田、公益林地，建设单位已于2023年12月13日取得了</w:t>
      </w:r>
      <w:r>
        <w:rPr>
          <w:rFonts w:hint="default" w:ascii="Arial" w:hAnsi="Arial" w:cs="Arial"/>
          <w:color w:val="auto"/>
          <w:sz w:val="26"/>
          <w:highlight w:val="none"/>
          <w:lang w:val="en-US" w:eastAsia="zh-CN"/>
        </w:rPr>
        <w:t>重庆市林业局以</w:t>
      </w:r>
      <w:r>
        <w:rPr>
          <w:rFonts w:hint="eastAsia" w:ascii="Arial" w:hAnsi="Arial" w:cs="Arial"/>
          <w:color w:val="auto"/>
          <w:sz w:val="26"/>
          <w:highlight w:val="none"/>
          <w:lang w:val="en-US" w:eastAsia="zh-CN"/>
        </w:rPr>
        <w:t>“</w:t>
      </w:r>
      <w:r>
        <w:rPr>
          <w:rFonts w:hint="default" w:ascii="Arial" w:hAnsi="Arial" w:cs="Arial"/>
          <w:color w:val="auto"/>
          <w:sz w:val="26"/>
          <w:highlight w:val="none"/>
          <w:lang w:val="en-US" w:eastAsia="zh-CN"/>
        </w:rPr>
        <w:t>渝林许可地</w:t>
      </w:r>
      <w:r>
        <w:rPr>
          <w:rFonts w:hint="default" w:ascii="Arial" w:hAnsi="Arial" w:eastAsia="宋体" w:cs="Arial"/>
          <w:color w:val="auto"/>
          <w:sz w:val="26"/>
          <w:highlight w:val="none"/>
          <w:lang w:val="en-US" w:eastAsia="zh-CN"/>
        </w:rPr>
        <w:t>〔2023〕689号</w:t>
      </w:r>
      <w:r>
        <w:rPr>
          <w:rFonts w:hint="eastAsia" w:ascii="Arial" w:hAnsi="Arial" w:eastAsia="宋体" w:cs="Arial"/>
          <w:color w:val="auto"/>
          <w:sz w:val="26"/>
          <w:highlight w:val="none"/>
          <w:lang w:val="en-US" w:eastAsia="zh-CN"/>
        </w:rPr>
        <w:t>”</w:t>
      </w:r>
      <w:r>
        <w:rPr>
          <w:rFonts w:hint="default" w:ascii="Arial" w:hAnsi="Arial" w:eastAsia="宋体" w:cs="Arial"/>
          <w:color w:val="auto"/>
          <w:sz w:val="26"/>
          <w:highlight w:val="none"/>
          <w:lang w:val="en-US" w:eastAsia="zh-CN"/>
        </w:rPr>
        <w:t>下发的</w:t>
      </w:r>
      <w:r>
        <w:rPr>
          <w:rFonts w:hint="default" w:ascii="Arial" w:hAnsi="Arial" w:cs="Arial"/>
          <w:color w:val="auto"/>
          <w:sz w:val="26"/>
          <w:highlight w:val="none"/>
          <w:lang w:val="en-US" w:eastAsia="zh-CN"/>
        </w:rPr>
        <w:t>使用林地审核同意书</w:t>
      </w:r>
      <w:r>
        <w:rPr>
          <w:rFonts w:hint="eastAsia" w:ascii="Arial" w:hAnsi="Arial" w:cs="Arial"/>
          <w:color w:val="auto"/>
          <w:sz w:val="26"/>
          <w:highlight w:val="none"/>
          <w:lang w:val="en-US" w:eastAsia="zh-CN"/>
        </w:rPr>
        <w:t>，后续将按规定办理林木采伐许可证。临时占用范围内涉及</w:t>
      </w:r>
      <w:r>
        <w:rPr>
          <w:rFonts w:hint="eastAsia" w:ascii="Arial" w:cs="Arial"/>
          <w:color w:val="auto"/>
          <w:sz w:val="26"/>
          <w:highlight w:val="none"/>
          <w:lang w:val="en-US" w:eastAsia="zh-CN"/>
        </w:rPr>
        <w:t>基本农田、公益林地，</w:t>
      </w:r>
      <w:r>
        <w:rPr>
          <w:rFonts w:hint="eastAsia" w:ascii="Arial" w:hAnsi="Arial" w:cs="Arial"/>
          <w:color w:val="auto"/>
          <w:kern w:val="0"/>
          <w:sz w:val="26"/>
          <w:szCs w:val="26"/>
          <w:highlight w:val="none"/>
          <w:lang w:val="en-US" w:eastAsia="zh-CN"/>
        </w:rPr>
        <w:t>建设单位已于2024年4月1日取得了重庆市林业局以“渝林许可地临</w:t>
      </w:r>
      <w:r>
        <w:rPr>
          <w:rFonts w:hint="eastAsia" w:ascii="Arial" w:hAnsi="Arial" w:eastAsia="宋体" w:cs="Arial"/>
          <w:color w:val="auto"/>
          <w:kern w:val="0"/>
          <w:sz w:val="26"/>
          <w:szCs w:val="26"/>
          <w:highlight w:val="none"/>
          <w:lang w:val="en-US" w:eastAsia="zh-CN"/>
        </w:rPr>
        <w:t>〔202</w:t>
      </w:r>
      <w:r>
        <w:rPr>
          <w:rFonts w:hint="eastAsia" w:ascii="Arial" w:hAnsi="Arial" w:cs="Arial"/>
          <w:color w:val="auto"/>
          <w:kern w:val="0"/>
          <w:sz w:val="26"/>
          <w:szCs w:val="26"/>
          <w:highlight w:val="none"/>
          <w:lang w:val="en-US" w:eastAsia="zh-CN"/>
        </w:rPr>
        <w:t>4</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036</w:t>
      </w:r>
      <w:r>
        <w:rPr>
          <w:rFonts w:hint="eastAsia" w:ascii="Arial" w:hAnsi="Arial" w:eastAsia="宋体" w:cs="Arial"/>
          <w:color w:val="auto"/>
          <w:kern w:val="0"/>
          <w:sz w:val="26"/>
          <w:szCs w:val="26"/>
          <w:highlight w:val="none"/>
          <w:lang w:val="en-US" w:eastAsia="zh-CN"/>
        </w:rPr>
        <w:t>号”下发的使用林地审核同意书</w:t>
      </w:r>
      <w:r>
        <w:rPr>
          <w:rFonts w:hint="eastAsia" w:ascii="Arial" w:hAnsi="Arial" w:cs="Arial"/>
          <w:color w:val="auto"/>
          <w:kern w:val="0"/>
          <w:sz w:val="26"/>
          <w:szCs w:val="26"/>
          <w:highlight w:val="none"/>
          <w:lang w:val="en-US" w:eastAsia="zh-CN"/>
        </w:rPr>
        <w:t>，于2024年5月13日取得了丰都县林业局以“丰都林发</w:t>
      </w:r>
      <w:r>
        <w:rPr>
          <w:rFonts w:hint="eastAsia" w:ascii="Arial" w:hAnsi="Arial" w:eastAsia="宋体" w:cs="Arial"/>
          <w:color w:val="auto"/>
          <w:kern w:val="0"/>
          <w:sz w:val="26"/>
          <w:szCs w:val="26"/>
          <w:highlight w:val="none"/>
          <w:lang w:val="en-US" w:eastAsia="zh-CN"/>
        </w:rPr>
        <w:t>〔2024〕</w:t>
      </w:r>
      <w:r>
        <w:rPr>
          <w:rFonts w:hint="eastAsia" w:ascii="Arial" w:hAnsi="Arial" w:cs="Arial"/>
          <w:color w:val="auto"/>
          <w:kern w:val="0"/>
          <w:sz w:val="26"/>
          <w:szCs w:val="26"/>
          <w:highlight w:val="none"/>
          <w:lang w:val="en-US" w:eastAsia="zh-CN"/>
        </w:rPr>
        <w:t>48</w:t>
      </w:r>
      <w:r>
        <w:rPr>
          <w:rFonts w:hint="eastAsia" w:ascii="Arial" w:hAnsi="Arial" w:eastAsia="宋体" w:cs="Arial"/>
          <w:color w:val="auto"/>
          <w:kern w:val="0"/>
          <w:sz w:val="26"/>
          <w:szCs w:val="26"/>
          <w:highlight w:val="none"/>
          <w:lang w:val="en-US" w:eastAsia="zh-CN"/>
        </w:rPr>
        <w:t>号”</w:t>
      </w:r>
      <w:r>
        <w:rPr>
          <w:rFonts w:hint="eastAsia" w:ascii="Arial" w:hAnsi="Arial" w:cs="Arial"/>
          <w:color w:val="auto"/>
          <w:kern w:val="0"/>
          <w:sz w:val="26"/>
          <w:szCs w:val="26"/>
          <w:highlight w:val="none"/>
          <w:lang w:val="en-US" w:eastAsia="zh-CN"/>
        </w:rPr>
        <w:t>下发的《关于丰都县海螺沟水库辅助施工设施项目拟使用林地涉及林木采伐手续办理的批复》，于2024年5月14日取得了丰都县林业局下发的林木采伐许可证；于2024年5月8日取得了丰都县规划和自然资源局以“丰规资临〔2024〕字第7号”下发了《关于丰都县海螺沟水库工程项目临时用地的批复》。</w:t>
      </w:r>
    </w:p>
    <w:p w14:paraId="43B63CA3">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default" w:ascii="Arial" w:hAnsi="Times New Roman" w:eastAsia="宋体" w:cs="Arial"/>
          <w:color w:val="auto"/>
          <w:sz w:val="26"/>
          <w:highlight w:val="none"/>
          <w:lang w:val="en-US" w:eastAsia="zh-CN"/>
        </w:rPr>
      </w:pPr>
      <w:r>
        <w:rPr>
          <w:rFonts w:hint="eastAsia" w:ascii="Arial" w:cs="Arial"/>
          <w:color w:val="auto"/>
          <w:sz w:val="26"/>
          <w:highlight w:val="none"/>
          <w:lang w:val="en-US" w:eastAsia="zh-CN"/>
        </w:rPr>
        <w:t>（5）根据《丰都县海螺沟水库工程建设征地移民安置规划报告》，本项目淹没区不涉及房屋人口搬迁，占用土地采取货币补偿形式解决；不涉及道路、桥梁、输电线路等专项设施的占用。</w:t>
      </w:r>
    </w:p>
    <w:p w14:paraId="426BD8FD">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宋体" w:hAnsi="Times New Roman" w:eastAsia="宋体" w:cs="Times New Roman"/>
          <w:b/>
          <w:color w:val="auto"/>
          <w:kern w:val="0"/>
          <w:sz w:val="26"/>
          <w:szCs w:val="26"/>
          <w:highlight w:val="none"/>
          <w:lang w:eastAsia="zh-CN"/>
        </w:rPr>
      </w:pPr>
      <w:r>
        <w:rPr>
          <w:rFonts w:hint="eastAsia" w:ascii="宋体" w:hAnsi="Times New Roman" w:eastAsia="宋体" w:cs="Times New Roman"/>
          <w:b/>
          <w:color w:val="auto"/>
          <w:kern w:val="0"/>
          <w:sz w:val="26"/>
          <w:szCs w:val="26"/>
          <w:highlight w:val="none"/>
          <w:lang w:eastAsia="zh-CN"/>
        </w:rPr>
        <w:t>七、环境影响评价结论</w:t>
      </w:r>
    </w:p>
    <w:p w14:paraId="6338311B">
      <w:pPr>
        <w:keepNext w:val="0"/>
        <w:keepLines w:val="0"/>
        <w:pageBreakBefore w:val="0"/>
        <w:kinsoku/>
        <w:wordWrap/>
        <w:overflowPunct/>
        <w:topLinePunct w:val="0"/>
        <w:bidi w:val="0"/>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b w:val="0"/>
          <w:color w:val="auto"/>
          <w:kern w:val="2"/>
          <w:sz w:val="26"/>
          <w:szCs w:val="26"/>
          <w:lang w:val="en-US" w:eastAsia="zh-CN" w:bidi="ar-SA"/>
        </w:rPr>
        <w:t>丰都县海螺沟水库</w:t>
      </w:r>
      <w:r>
        <w:rPr>
          <w:rFonts w:hint="eastAsia" w:ascii="Arial" w:hAnsi="Arial" w:eastAsia="宋体" w:cs="Arial"/>
          <w:b w:val="0"/>
          <w:color w:val="auto"/>
          <w:kern w:val="2"/>
          <w:sz w:val="26"/>
          <w:szCs w:val="26"/>
          <w:lang w:val="en-US" w:eastAsia="zh-CN" w:bidi="ar-SA"/>
        </w:rPr>
        <w:t>工程符合国家</w:t>
      </w:r>
      <w:r>
        <w:rPr>
          <w:rFonts w:hint="eastAsia" w:ascii="Arial" w:hAnsi="Arial" w:cs="Arial"/>
          <w:b w:val="0"/>
          <w:color w:val="auto"/>
          <w:kern w:val="2"/>
          <w:sz w:val="26"/>
          <w:szCs w:val="26"/>
          <w:lang w:val="en-US" w:eastAsia="zh-CN" w:bidi="ar-SA"/>
        </w:rPr>
        <w:t>相关法律法规、产业政策及规划要求，符合</w:t>
      </w:r>
      <w:r>
        <w:rPr>
          <w:rFonts w:hint="eastAsia" w:ascii="Arial" w:hAnsi="Arial" w:cs="Arial"/>
          <w:color w:val="auto"/>
          <w:kern w:val="0"/>
          <w:sz w:val="26"/>
          <w:szCs w:val="26"/>
          <w:highlight w:val="none"/>
          <w:lang w:val="en-US" w:eastAsia="zh-CN"/>
        </w:rPr>
        <w:t>《重庆市渠溪河流域综合规划环境影响报告书》及其审查意见“</w:t>
      </w:r>
      <w:r>
        <w:rPr>
          <w:rFonts w:hint="default" w:ascii="Arial" w:hAnsi="Arial" w:cs="Arial"/>
          <w:color w:val="auto"/>
          <w:kern w:val="0"/>
          <w:sz w:val="26"/>
          <w:szCs w:val="26"/>
          <w:highlight w:val="none"/>
          <w:lang w:val="en-US" w:eastAsia="zh-CN"/>
        </w:rPr>
        <w:t>丰环函</w:t>
      </w:r>
      <w:r>
        <w:rPr>
          <w:rFonts w:hint="default" w:ascii="Arial" w:hAnsi="Arial" w:eastAsia="宋体" w:cs="Arial"/>
          <w:color w:val="auto"/>
          <w:kern w:val="0"/>
          <w:sz w:val="26"/>
          <w:szCs w:val="26"/>
          <w:highlight w:val="none"/>
          <w:lang w:val="en-US" w:eastAsia="zh-CN"/>
        </w:rPr>
        <w:t>〔2025〕2</w:t>
      </w:r>
      <w:r>
        <w:rPr>
          <w:rFonts w:hint="eastAsia" w:ascii="Arial" w:hAnsi="Arial" w:eastAsia="宋体" w:cs="Arial"/>
          <w:color w:val="auto"/>
          <w:kern w:val="0"/>
          <w:sz w:val="26"/>
          <w:szCs w:val="26"/>
          <w:highlight w:val="none"/>
          <w:lang w:val="en-US" w:eastAsia="zh-CN"/>
        </w:rPr>
        <w:t>号</w:t>
      </w:r>
      <w:r>
        <w:rPr>
          <w:rFonts w:hint="eastAsia" w:ascii="Arial" w:hAnsi="Arial" w:cs="Arial"/>
          <w:color w:val="auto"/>
          <w:kern w:val="0"/>
          <w:sz w:val="26"/>
          <w:szCs w:val="26"/>
          <w:highlight w:val="none"/>
          <w:lang w:val="en-US" w:eastAsia="zh-CN"/>
        </w:rPr>
        <w:t>”，工程实施后可解决供区缺水问题，有利于保障区域发展所需的水资源，也可提高灌溉保证率。因此，海螺沟水库的建设具有显著的经济效益、社会效益和生态效益。</w:t>
      </w:r>
    </w:p>
    <w:p w14:paraId="75DF96A0">
      <w:pPr>
        <w:keepNext w:val="0"/>
        <w:keepLines w:val="0"/>
        <w:pageBreakBefore w:val="0"/>
        <w:kinsoku/>
        <w:wordWrap/>
        <w:overflowPunct/>
        <w:topLinePunct w:val="0"/>
        <w:bidi w:val="0"/>
        <w:spacing w:line="480" w:lineRule="exact"/>
        <w:ind w:firstLine="520" w:firstLineChars="200"/>
        <w:textAlignment w:val="auto"/>
        <w:rPr>
          <w:rFonts w:hint="eastAsia" w:ascii="Arial" w:hAnsi="Arial" w:eastAsia="宋体" w:cs="Arial"/>
          <w:b w:val="0"/>
          <w:color w:val="auto"/>
          <w:kern w:val="2"/>
          <w:sz w:val="26"/>
          <w:szCs w:val="26"/>
          <w:highlight w:val="none"/>
          <w:lang w:val="en-US" w:eastAsia="zh-CN" w:bidi="ar-SA"/>
        </w:rPr>
      </w:pPr>
      <w:r>
        <w:rPr>
          <w:rFonts w:hint="eastAsia" w:ascii="Arial" w:hAnsi="Arial" w:cs="Arial"/>
          <w:color w:val="auto"/>
          <w:kern w:val="0"/>
          <w:sz w:val="26"/>
          <w:szCs w:val="26"/>
          <w:highlight w:val="none"/>
          <w:lang w:val="en-US" w:eastAsia="zh-CN"/>
        </w:rPr>
        <w:t>工程建设和运行过程中会对所在流域水文情势、水环境、水生生态、陆生生态等带来一定的不利影响，排放的污染物也会对区域环境质量带来不利影响。但在采取本报告书中所提生态补偿与修复、污染防治等相关措施后，可有效减缓工程建设对外环境的不利影响。因此，从环境保护的角度分析，本项目建设是可行的。</w:t>
      </w:r>
    </w:p>
    <w:p w14:paraId="24BE83A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eastAsia="宋体" w:cs="Arial"/>
          <w:color w:val="auto"/>
          <w:sz w:val="26"/>
          <w:highlight w:val="none"/>
          <w:lang w:val="en-US" w:eastAsia="zh-CN"/>
        </w:rPr>
      </w:pPr>
      <w:r>
        <w:rPr>
          <w:rFonts w:hint="eastAsia" w:ascii="Arial" w:hAnsi="Times New Roman" w:eastAsia="宋体" w:cs="Arial"/>
          <w:color w:val="auto"/>
          <w:sz w:val="26"/>
          <w:highlight w:val="none"/>
          <w:lang w:val="en-US" w:eastAsia="zh-CN"/>
        </w:rPr>
        <w:t>本报告书在编制过程中，评价工作得到了重庆</w:t>
      </w:r>
      <w:r>
        <w:rPr>
          <w:rFonts w:hint="eastAsia" w:ascii="Arial" w:cs="Arial"/>
          <w:color w:val="auto"/>
          <w:sz w:val="26"/>
          <w:highlight w:val="none"/>
          <w:lang w:val="en-US" w:eastAsia="zh-CN"/>
        </w:rPr>
        <w:t>丰都县</w:t>
      </w:r>
      <w:r>
        <w:rPr>
          <w:rFonts w:hint="eastAsia" w:ascii="Arial" w:hAnsi="Times New Roman" w:eastAsia="宋体" w:cs="Arial"/>
          <w:color w:val="auto"/>
          <w:sz w:val="26"/>
          <w:highlight w:val="none"/>
          <w:lang w:val="en-US" w:eastAsia="zh-CN"/>
        </w:rPr>
        <w:t>生态环境局、</w:t>
      </w:r>
      <w:r>
        <w:rPr>
          <w:rFonts w:hint="eastAsia" w:ascii="Arial" w:cs="Arial"/>
          <w:color w:val="auto"/>
          <w:sz w:val="26"/>
          <w:highlight w:val="none"/>
          <w:lang w:val="en-US" w:eastAsia="zh-CN"/>
        </w:rPr>
        <w:t>水利局</w:t>
      </w:r>
      <w:r>
        <w:rPr>
          <w:rFonts w:hint="eastAsia" w:ascii="Arial" w:hAnsi="Times New Roman" w:eastAsia="宋体" w:cs="Arial"/>
          <w:color w:val="auto"/>
          <w:sz w:val="26"/>
          <w:highlight w:val="none"/>
          <w:lang w:val="en-US" w:eastAsia="zh-CN"/>
        </w:rPr>
        <w:t>、规划和自然资源局、林业局及丰都县水利工程服务中心等单位和个人的大力支持和帮助，在此一并表示诚挚的谢意。</w:t>
      </w:r>
    </w:p>
    <w:p w14:paraId="11E4310C">
      <w:pPr>
        <w:adjustRightInd w:val="0"/>
        <w:snapToGrid w:val="0"/>
        <w:spacing w:line="348" w:lineRule="auto"/>
        <w:ind w:firstLine="562" w:firstLineChars="200"/>
        <w:rPr>
          <w:b/>
          <w:sz w:val="28"/>
          <w:szCs w:val="28"/>
        </w:rPr>
      </w:pPr>
      <w:r>
        <w:rPr>
          <w:b/>
          <w:sz w:val="28"/>
          <w:szCs w:val="28"/>
        </w:rPr>
        <w:br w:type="page"/>
      </w:r>
    </w:p>
    <w:p w14:paraId="07442D7E">
      <w:pPr>
        <w:pStyle w:val="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ascii="Arial" w:hAnsi="Arial" w:eastAsia="宋体" w:cs="Arial"/>
          <w:b/>
          <w:color w:val="auto"/>
          <w:kern w:val="0"/>
          <w:sz w:val="32"/>
          <w:szCs w:val="32"/>
          <w:highlight w:val="none"/>
          <w:lang w:val="en-US" w:eastAsia="zh-CN" w:bidi="ar-SA"/>
        </w:rPr>
      </w:pPr>
      <w:bookmarkStart w:id="5" w:name="_Toc16444"/>
      <w:r>
        <w:rPr>
          <w:rFonts w:ascii="Arial" w:hAnsi="Arial" w:eastAsia="宋体" w:cs="Arial"/>
          <w:b/>
          <w:color w:val="auto"/>
          <w:kern w:val="0"/>
          <w:sz w:val="32"/>
          <w:szCs w:val="32"/>
          <w:highlight w:val="none"/>
          <w:lang w:val="en-US" w:eastAsia="zh-CN" w:bidi="ar-SA"/>
        </w:rPr>
        <w:t xml:space="preserve">1 </w:t>
      </w:r>
      <w:r>
        <w:rPr>
          <w:rFonts w:hint="eastAsia" w:ascii="Arial" w:hAnsi="Arial" w:eastAsia="宋体" w:cs="Arial"/>
          <w:b/>
          <w:color w:val="auto"/>
          <w:kern w:val="0"/>
          <w:sz w:val="32"/>
          <w:szCs w:val="32"/>
          <w:highlight w:val="none"/>
          <w:lang w:val="en-US" w:eastAsia="zh-CN" w:bidi="ar-SA"/>
        </w:rPr>
        <w:t>总则</w:t>
      </w:r>
      <w:bookmarkEnd w:id="5"/>
    </w:p>
    <w:p w14:paraId="2FD32DBD">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6" w:name="_Toc5979"/>
      <w:bookmarkStart w:id="7" w:name="_Toc8435"/>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1</w:t>
      </w:r>
      <w:r>
        <w:rPr>
          <w:rFonts w:hint="eastAsia" w:ascii="Arial" w:hAnsi="Arial" w:eastAsia="宋体" w:cs="Arial"/>
          <w:b/>
          <w:color w:val="auto"/>
          <w:kern w:val="0"/>
          <w:sz w:val="26"/>
          <w:szCs w:val="26"/>
          <w:highlight w:val="none"/>
          <w:lang w:val="en-US" w:eastAsia="zh-CN"/>
        </w:rPr>
        <w:t>评价目的及原则</w:t>
      </w:r>
      <w:bookmarkEnd w:id="6"/>
    </w:p>
    <w:p w14:paraId="0EE6BD0E">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8" w:name="_Toc228351824"/>
      <w:bookmarkStart w:id="9" w:name="_Toc228619129"/>
      <w:bookmarkStart w:id="10" w:name="_Toc228618302"/>
      <w:bookmarkStart w:id="11" w:name="_Toc228618792"/>
      <w:bookmarkStart w:id="12" w:name="_Toc36040982"/>
      <w:bookmarkStart w:id="13" w:name="_Toc34987783"/>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1</w:t>
      </w:r>
      <w:r>
        <w:rPr>
          <w:rFonts w:hint="eastAsia" w:ascii="Arial" w:hAnsi="Arial" w:eastAsia="宋体" w:cs="Arial"/>
          <w:b/>
          <w:color w:val="auto"/>
          <w:kern w:val="0"/>
          <w:sz w:val="26"/>
          <w:szCs w:val="20"/>
          <w:highlight w:val="none"/>
          <w:lang w:val="en-US" w:eastAsia="zh-CN"/>
        </w:rPr>
        <w:t>.1 评价</w:t>
      </w:r>
      <w:bookmarkEnd w:id="8"/>
      <w:bookmarkEnd w:id="9"/>
      <w:bookmarkEnd w:id="10"/>
      <w:bookmarkEnd w:id="11"/>
      <w:r>
        <w:rPr>
          <w:rFonts w:hint="eastAsia" w:ascii="Arial" w:hAnsi="Arial" w:eastAsia="宋体" w:cs="Arial"/>
          <w:b/>
          <w:color w:val="auto"/>
          <w:kern w:val="0"/>
          <w:sz w:val="26"/>
          <w:szCs w:val="20"/>
          <w:highlight w:val="none"/>
          <w:lang w:val="en-US" w:eastAsia="zh-CN"/>
        </w:rPr>
        <w:t>目的</w:t>
      </w:r>
      <w:bookmarkEnd w:id="12"/>
      <w:bookmarkEnd w:id="13"/>
    </w:p>
    <w:p w14:paraId="04D1059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宋体" w:hAnsi="宋体" w:eastAsia="宋体" w:cs="宋体"/>
          <w:color w:val="auto"/>
          <w:kern w:val="0"/>
          <w:sz w:val="26"/>
          <w:szCs w:val="26"/>
          <w:highlight w:val="none"/>
          <w:lang w:val="en-US" w:eastAsia="zh-CN"/>
        </w:rPr>
      </w:pPr>
      <w:r>
        <w:rPr>
          <w:rFonts w:hint="eastAsia" w:ascii="宋体" w:hAnsi="宋体" w:eastAsia="宋体" w:cs="宋体"/>
          <w:color w:val="auto"/>
          <w:kern w:val="0"/>
          <w:sz w:val="26"/>
          <w:szCs w:val="26"/>
          <w:highlight w:val="none"/>
          <w:lang w:val="en-US" w:eastAsia="zh-CN"/>
        </w:rPr>
        <w:t>编制本报告书的目的在于全面贯彻《中华人民共和国环境保护法》、《中华人民共和国环境影响评价法》等法律、法规。</w:t>
      </w:r>
      <w:r>
        <w:rPr>
          <w:rFonts w:hint="eastAsia" w:ascii="宋体" w:hAnsi="宋体" w:cs="宋体"/>
          <w:color w:val="auto"/>
          <w:kern w:val="0"/>
          <w:sz w:val="26"/>
          <w:szCs w:val="26"/>
          <w:highlight w:val="none"/>
          <w:lang w:val="en-US" w:eastAsia="zh-CN"/>
        </w:rPr>
        <w:t>根据工程涉及区域环境现状调查，明确工程评价区环境现状，分析预测发展趋势，并结合本项目的实际情况，提出存在的主要环境问题和环境保护目标。</w:t>
      </w:r>
      <w:r>
        <w:rPr>
          <w:rFonts w:hint="eastAsia" w:ascii="宋体" w:hAnsi="宋体" w:eastAsia="宋体" w:cs="宋体"/>
          <w:color w:val="auto"/>
          <w:kern w:val="0"/>
          <w:sz w:val="26"/>
          <w:szCs w:val="26"/>
          <w:highlight w:val="none"/>
          <w:lang w:val="en-US" w:eastAsia="zh-CN"/>
        </w:rPr>
        <w:t>论证工程建设方案与相关产业政策、规划及规划环评的符合性，结合敏感目标及影响分析，评价开发建设方案的环境合理性，从预防保护角度提出环境优化建议及限制条件。在全面掌握评价河道环境现状、规划发展和用水要求及共发展趋势的基础上，分析和确定生态流量及下泄方式。分析工程受退水区的水环境质量和容量影响，并提出保证措施。依据相关环境保护法律、法规和技术规范的要求，结合工程施工和运行情况，全面系统地开展工程施工、工程运行和建设征地移民安置对自然环境、生态环境等的影响评价。针对工程施工期、运行期给区域环境带来的不利影响，提出切实可行的预防或减轻不良环境影响的对策和措施，提出环境监测、施工期环境监理和环境管理规划，使工程建设尽量不降低所在地区及其周围区域的环境质量，充分发挥工程环境效益，促进工程所在区域生态环境的良性发展。从环境方面论证工程建设的可行性，为工程的方案论证、环境管理和项目决策提供科学的依据。</w:t>
      </w:r>
    </w:p>
    <w:p w14:paraId="7032A8DA">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1</w:t>
      </w:r>
      <w:r>
        <w:rPr>
          <w:rFonts w:hint="eastAsia" w:ascii="Arial" w:hAnsi="Arial" w:eastAsia="宋体" w:cs="Arial"/>
          <w:b/>
          <w:color w:val="auto"/>
          <w:kern w:val="0"/>
          <w:sz w:val="26"/>
          <w:szCs w:val="20"/>
          <w:highlight w:val="none"/>
          <w:lang w:val="en-US" w:eastAsia="zh-CN"/>
        </w:rPr>
        <w:t>.2 评价原则</w:t>
      </w:r>
    </w:p>
    <w:p w14:paraId="55D3F44A">
      <w:pPr>
        <w:pStyle w:val="19"/>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ascii="Arial" w:cs="Arial"/>
          <w:b/>
          <w:bCs/>
          <w:color w:val="auto"/>
          <w:sz w:val="26"/>
          <w:highlight w:val="none"/>
        </w:rPr>
      </w:pPr>
      <w:r>
        <w:rPr>
          <w:rFonts w:ascii="Arial" w:cs="Arial"/>
          <w:b/>
          <w:bCs/>
          <w:color w:val="auto"/>
          <w:sz w:val="26"/>
          <w:highlight w:val="none"/>
        </w:rPr>
        <w:t>（1）依法评价</w:t>
      </w:r>
    </w:p>
    <w:p w14:paraId="486FB8B9">
      <w:pPr>
        <w:pStyle w:val="19"/>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ascii="Arial" w:cs="Arial"/>
          <w:color w:val="auto"/>
          <w:sz w:val="26"/>
          <w:highlight w:val="none"/>
        </w:rPr>
      </w:pPr>
      <w:r>
        <w:rPr>
          <w:rFonts w:hint="eastAsia" w:ascii="Arial" w:cs="Arial"/>
          <w:color w:val="auto"/>
          <w:sz w:val="26"/>
          <w:highlight w:val="none"/>
          <w:lang w:val="en-US" w:eastAsia="zh-CN"/>
        </w:rPr>
        <w:t xml:space="preserve">贯彻执行环境保护相关法律法规、标准、政策和规划等，优化项目建设，服务环境管理。结合相关产业政策、环境政策，结合水利规划及区域发展规划、区域环境特征、采取的环保措施、改进措施以及环境影响预测与评价结果，分析论述拟建项目的环境可行性。 </w:t>
      </w:r>
    </w:p>
    <w:p w14:paraId="25F58B63">
      <w:pPr>
        <w:pStyle w:val="19"/>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ascii="Arial" w:cs="Arial"/>
          <w:b/>
          <w:bCs/>
          <w:color w:val="auto"/>
          <w:sz w:val="26"/>
          <w:highlight w:val="none"/>
        </w:rPr>
      </w:pPr>
      <w:r>
        <w:rPr>
          <w:rFonts w:ascii="Arial" w:cs="Arial"/>
          <w:b/>
          <w:bCs/>
          <w:color w:val="auto"/>
          <w:sz w:val="26"/>
          <w:highlight w:val="none"/>
        </w:rPr>
        <w:t>（2）科学评价</w:t>
      </w:r>
    </w:p>
    <w:p w14:paraId="04974E51">
      <w:pPr>
        <w:pStyle w:val="19"/>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ascii="Arial" w:cs="Arial"/>
          <w:color w:val="auto"/>
          <w:sz w:val="26"/>
          <w:highlight w:val="none"/>
        </w:rPr>
      </w:pPr>
      <w:r>
        <w:rPr>
          <w:rFonts w:hint="eastAsia" w:ascii="Arial" w:cs="Arial"/>
          <w:color w:val="auto"/>
          <w:sz w:val="26"/>
          <w:highlight w:val="none"/>
          <w:lang w:val="en-US" w:eastAsia="zh-CN"/>
        </w:rPr>
        <w:t>规范环境影响评价方法，科学分析项目建设对环境质量的影响。调查生态环境、地表水、地下水、土壤、大气、声环境质量现状，分析、预测本项目的环境影响。提出减缓不利影响的污染防治措施和生态保护与恢复补救措施。确保区域环境功能不改变，生态环境不受明显影响，将不利影响降至最低程度。</w:t>
      </w:r>
    </w:p>
    <w:p w14:paraId="4410B79D">
      <w:pPr>
        <w:pStyle w:val="19"/>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ascii="Arial" w:cs="Arial"/>
          <w:color w:val="auto"/>
          <w:sz w:val="26"/>
          <w:highlight w:val="none"/>
        </w:rPr>
      </w:pPr>
      <w:r>
        <w:rPr>
          <w:rFonts w:ascii="Arial" w:cs="Arial"/>
          <w:b/>
          <w:bCs/>
          <w:color w:val="auto"/>
          <w:sz w:val="26"/>
          <w:highlight w:val="none"/>
        </w:rPr>
        <w:t>（3）突出重点</w:t>
      </w:r>
    </w:p>
    <w:p w14:paraId="401AF24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ascii="Arial" w:cs="Arial"/>
          <w:color w:val="auto"/>
          <w:sz w:val="26"/>
          <w:highlight w:val="none"/>
        </w:rPr>
      </w:pPr>
      <w:r>
        <w:rPr>
          <w:rFonts w:hint="eastAsia" w:ascii="Arial" w:cs="Arial"/>
          <w:color w:val="auto"/>
          <w:sz w:val="26"/>
          <w:highlight w:val="none"/>
          <w:lang w:val="en-US" w:eastAsia="zh-CN"/>
        </w:rPr>
        <w:t xml:space="preserve">根据建设项目的工程内容及其特点，明确与环境要素间的作用效应关系，充分利用符合时效的数据资料及成果，对建设项目主要环境影响予以重点分析和评价。将环境污染防治对策、生态保护措施反馈到工程建设和环境管理中，为工程实现优化设计、合理施工、落实环保措施提供科学依据。为环境管理部门实施监督管理提供依据，实现该工程与区域经济、社会和环境的协调发展。 </w:t>
      </w:r>
    </w:p>
    <w:p w14:paraId="37FD510E">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14" w:name="_Toc21544"/>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2</w:t>
      </w:r>
      <w:r>
        <w:rPr>
          <w:rFonts w:hint="eastAsia" w:ascii="Arial" w:hAnsi="Arial" w:eastAsia="宋体" w:cs="Arial"/>
          <w:b/>
          <w:color w:val="auto"/>
          <w:kern w:val="0"/>
          <w:sz w:val="26"/>
          <w:szCs w:val="26"/>
          <w:highlight w:val="none"/>
          <w:lang w:val="en-US" w:eastAsia="zh-CN"/>
        </w:rPr>
        <w:t>评价思路</w:t>
      </w:r>
      <w:bookmarkEnd w:id="14"/>
    </w:p>
    <w:p w14:paraId="788BCF6D">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1）</w:t>
      </w:r>
      <w:r>
        <w:rPr>
          <w:rFonts w:hint="eastAsia" w:ascii="Arial" w:cs="Arial"/>
          <w:color w:val="auto"/>
          <w:sz w:val="26"/>
          <w:highlight w:val="none"/>
        </w:rPr>
        <w:t>本次评价将根据国家及地方现行的法律、法规、相关政策，结合国家和地方相关发展规划，通过资料收集和现场踏勘、环境监测，了解工程所在区域的环境现状，紧紧抓住水利工程以生态影响为主的环境影响特征，按照新建</w:t>
      </w:r>
      <w:r>
        <w:rPr>
          <w:rFonts w:hint="eastAsia" w:ascii="Arial" w:cs="Arial"/>
          <w:color w:val="auto"/>
          <w:sz w:val="26"/>
          <w:highlight w:val="none"/>
          <w:lang w:eastAsia="zh-CN"/>
        </w:rPr>
        <w:t>工程</w:t>
      </w:r>
      <w:r>
        <w:rPr>
          <w:rFonts w:hint="eastAsia" w:ascii="Arial" w:cs="Arial"/>
          <w:color w:val="auto"/>
          <w:sz w:val="26"/>
          <w:highlight w:val="none"/>
        </w:rPr>
        <w:t>环评报告的技术编制要求，认真分析拟建工程建设和运行可能对当地环境质量、生态环境的影响程度和范围</w:t>
      </w:r>
      <w:r>
        <w:rPr>
          <w:rFonts w:hint="eastAsia" w:ascii="Arial" w:cs="Arial"/>
          <w:color w:val="auto"/>
          <w:sz w:val="26"/>
          <w:highlight w:val="none"/>
          <w:lang w:eastAsia="zh-CN"/>
        </w:rPr>
        <w:t>，</w:t>
      </w:r>
      <w:r>
        <w:rPr>
          <w:rFonts w:hint="eastAsia" w:ascii="Arial" w:cs="Arial"/>
          <w:color w:val="auto"/>
          <w:sz w:val="26"/>
          <w:highlight w:val="none"/>
        </w:rPr>
        <w:t>拦河建坝将对河道造成阻隔效应，本评价将重点分析拦河蓄水对流域水文情势、水生生态的影响，以及水库工程可能存在的富营养化、低温水等影响。</w:t>
      </w:r>
    </w:p>
    <w:p w14:paraId="0BE343B4">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2）</w:t>
      </w:r>
      <w:r>
        <w:rPr>
          <w:rFonts w:hint="eastAsia" w:ascii="Arial" w:cs="Arial"/>
          <w:color w:val="auto"/>
          <w:sz w:val="26"/>
          <w:highlight w:val="none"/>
        </w:rPr>
        <w:t>拟建项目施工期大量施工设备、运输车辆运行，本评价将着重分析施工噪声对坝枢和输水管道周边居民的影响程度和范围，及对区域野生动物的影响。</w:t>
      </w:r>
    </w:p>
    <w:p w14:paraId="520119A2">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3）</w:t>
      </w:r>
      <w:r>
        <w:rPr>
          <w:rFonts w:hint="eastAsia" w:ascii="Arial" w:cs="Arial"/>
          <w:color w:val="auto"/>
          <w:sz w:val="26"/>
          <w:highlight w:val="none"/>
        </w:rPr>
        <w:t>成库后将划定饮用水源保护区，本评价将重点分析饮用水源保护区内污染源的控制措施。</w:t>
      </w:r>
    </w:p>
    <w:p w14:paraId="0E7A3662">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4）</w:t>
      </w:r>
      <w:r>
        <w:rPr>
          <w:rFonts w:hint="eastAsia" w:ascii="Arial" w:cs="Arial"/>
          <w:color w:val="auto"/>
          <w:sz w:val="26"/>
          <w:highlight w:val="none"/>
        </w:rPr>
        <w:t>紧紧抓住生态类建设项目的特点，结合其他相似工程采取的合理、有效的环保措施，按照</w:t>
      </w:r>
      <w:r>
        <w:rPr>
          <w:rFonts w:hint="eastAsia" w:ascii="Arial" w:cs="Arial"/>
          <w:color w:val="auto"/>
          <w:sz w:val="26"/>
          <w:highlight w:val="none"/>
          <w:lang w:eastAsia="zh-CN"/>
        </w:rPr>
        <w:t>“</w:t>
      </w:r>
      <w:r>
        <w:rPr>
          <w:rFonts w:hint="eastAsia" w:ascii="Arial" w:cs="Arial"/>
          <w:color w:val="auto"/>
          <w:sz w:val="26"/>
          <w:highlight w:val="none"/>
        </w:rPr>
        <w:t>预防为主、防治结合、综合利用</w:t>
      </w:r>
      <w:r>
        <w:rPr>
          <w:rFonts w:hint="eastAsia" w:ascii="Arial" w:cs="Arial"/>
          <w:color w:val="auto"/>
          <w:sz w:val="26"/>
          <w:highlight w:val="none"/>
          <w:lang w:eastAsia="zh-CN"/>
        </w:rPr>
        <w:t>”</w:t>
      </w:r>
      <w:r>
        <w:rPr>
          <w:rFonts w:hint="eastAsia" w:ascii="Arial" w:cs="Arial"/>
          <w:color w:val="auto"/>
          <w:sz w:val="26"/>
          <w:highlight w:val="none"/>
        </w:rPr>
        <w:t>的环境保护和管理原则，并结合我国当前技术经济条件，提出技术可行、经济有效地避免或减轻环境污染和防止生态破坏的对策措施与建议，从污染治理下手，最大程度减小水利开发建设对周边环境带来的不利影响，</w:t>
      </w:r>
      <w:r>
        <w:rPr>
          <w:rFonts w:hint="eastAsia" w:ascii="Arial" w:cs="Arial"/>
          <w:color w:val="auto"/>
          <w:sz w:val="26"/>
          <w:highlight w:val="none"/>
          <w:lang w:eastAsia="zh-CN"/>
        </w:rPr>
        <w:t>减缓</w:t>
      </w:r>
      <w:r>
        <w:rPr>
          <w:rFonts w:hint="eastAsia" w:ascii="Arial" w:cs="Arial"/>
          <w:color w:val="auto"/>
          <w:sz w:val="26"/>
          <w:highlight w:val="none"/>
        </w:rPr>
        <w:t>对敏感区域的影响，并依据评价结论，对主体工程设计提出反馈意见。</w:t>
      </w:r>
    </w:p>
    <w:p w14:paraId="714B7315">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5）</w:t>
      </w:r>
      <w:r>
        <w:rPr>
          <w:rFonts w:hint="eastAsia" w:ascii="Arial" w:cs="Arial"/>
          <w:color w:val="auto"/>
          <w:sz w:val="26"/>
          <w:highlight w:val="none"/>
        </w:rPr>
        <w:t>从加强集雨范围管理和维护调度方面，着力</w:t>
      </w:r>
      <w:r>
        <w:rPr>
          <w:rFonts w:hint="eastAsia" w:ascii="Arial" w:cs="Arial"/>
          <w:color w:val="auto"/>
          <w:sz w:val="26"/>
          <w:highlight w:val="none"/>
          <w:lang w:eastAsia="zh-CN"/>
        </w:rPr>
        <w:t>减缓</w:t>
      </w:r>
      <w:r>
        <w:rPr>
          <w:rFonts w:hint="eastAsia" w:ascii="Arial" w:cs="Arial"/>
          <w:color w:val="auto"/>
          <w:sz w:val="26"/>
          <w:highlight w:val="none"/>
        </w:rPr>
        <w:t>成库后的富营养化和低温水等影响，最终从环境保护角度明确项目建设的环境可行性，进而维护项目所在地生态环境良性循环，保护水库水源地水质，为工程环境保护设计和环境管理提供依据。</w:t>
      </w:r>
    </w:p>
    <w:p w14:paraId="4A1161C5">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6）</w:t>
      </w:r>
      <w:r>
        <w:rPr>
          <w:rFonts w:hint="eastAsia" w:ascii="Arial" w:cs="Arial"/>
          <w:color w:val="auto"/>
          <w:sz w:val="26"/>
          <w:highlight w:val="none"/>
        </w:rPr>
        <w:t>本项目建设内容仅包括水库、水库至</w:t>
      </w:r>
      <w:r>
        <w:rPr>
          <w:rFonts w:hint="eastAsia" w:ascii="Arial" w:cs="Arial"/>
          <w:color w:val="auto"/>
          <w:sz w:val="26"/>
          <w:highlight w:val="none"/>
          <w:lang w:eastAsia="zh-CN"/>
        </w:rPr>
        <w:t>供区</w:t>
      </w:r>
      <w:r>
        <w:rPr>
          <w:rFonts w:hint="eastAsia" w:ascii="Arial" w:cs="Arial"/>
          <w:color w:val="auto"/>
          <w:sz w:val="26"/>
          <w:highlight w:val="none"/>
        </w:rPr>
        <w:t>的</w:t>
      </w:r>
      <w:r>
        <w:rPr>
          <w:rFonts w:hint="eastAsia" w:ascii="Arial" w:cs="Arial"/>
          <w:color w:val="auto"/>
          <w:sz w:val="26"/>
          <w:highlight w:val="none"/>
          <w:lang w:eastAsia="zh-CN"/>
        </w:rPr>
        <w:t>输水管线</w:t>
      </w:r>
      <w:r>
        <w:rPr>
          <w:rFonts w:hint="eastAsia" w:ascii="Arial" w:cs="Arial"/>
          <w:color w:val="auto"/>
          <w:sz w:val="26"/>
          <w:highlight w:val="none"/>
        </w:rPr>
        <w:t>，不含</w:t>
      </w:r>
      <w:r>
        <w:rPr>
          <w:rFonts w:hint="eastAsia" w:ascii="Arial" w:cs="Arial"/>
          <w:color w:val="auto"/>
          <w:sz w:val="26"/>
          <w:highlight w:val="none"/>
          <w:lang w:eastAsia="zh-CN"/>
        </w:rPr>
        <w:t>供水水厂</w:t>
      </w:r>
      <w:r>
        <w:rPr>
          <w:rFonts w:hint="eastAsia" w:ascii="Arial" w:cs="Arial"/>
          <w:color w:val="auto"/>
          <w:sz w:val="26"/>
          <w:highlight w:val="none"/>
        </w:rPr>
        <w:t>及水厂出水管等内容</w:t>
      </w:r>
      <w:r>
        <w:rPr>
          <w:rFonts w:hint="eastAsia" w:ascii="Arial" w:cs="Arial"/>
          <w:color w:val="auto"/>
          <w:sz w:val="26"/>
          <w:highlight w:val="none"/>
          <w:lang w:eastAsia="zh-CN"/>
        </w:rPr>
        <w:t>。因此，</w:t>
      </w:r>
      <w:r>
        <w:rPr>
          <w:rFonts w:hint="eastAsia" w:ascii="Arial" w:cs="Arial"/>
          <w:color w:val="auto"/>
          <w:sz w:val="26"/>
          <w:highlight w:val="none"/>
        </w:rPr>
        <w:t>本环评不对</w:t>
      </w:r>
      <w:r>
        <w:rPr>
          <w:rFonts w:hint="eastAsia" w:ascii="Arial" w:cs="Arial"/>
          <w:color w:val="auto"/>
          <w:sz w:val="26"/>
          <w:highlight w:val="none"/>
          <w:lang w:eastAsia="zh-CN"/>
        </w:rPr>
        <w:t>供水</w:t>
      </w:r>
      <w:r>
        <w:rPr>
          <w:rFonts w:hint="eastAsia" w:ascii="Arial" w:cs="Arial"/>
          <w:color w:val="auto"/>
          <w:sz w:val="26"/>
          <w:highlight w:val="none"/>
        </w:rPr>
        <w:t>水厂及其配套设施进行评价。</w:t>
      </w:r>
    </w:p>
    <w:p w14:paraId="18925D7F">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7）</w:t>
      </w:r>
      <w:r>
        <w:rPr>
          <w:rFonts w:hint="eastAsia" w:ascii="Arial" w:cs="Arial"/>
          <w:color w:val="auto"/>
          <w:sz w:val="26"/>
          <w:highlight w:val="none"/>
        </w:rPr>
        <w:t>本项目</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cs="Arial"/>
          <w:color w:val="auto"/>
          <w:sz w:val="26"/>
          <w:highlight w:val="none"/>
          <w:lang w:eastAsia="zh-CN"/>
        </w:rPr>
        <w:t>包括农村人饮和灌溉用水</w:t>
      </w:r>
      <w:r>
        <w:rPr>
          <w:rFonts w:hint="eastAsia" w:ascii="Arial" w:cs="Arial"/>
          <w:color w:val="auto"/>
          <w:sz w:val="26"/>
          <w:highlight w:val="none"/>
        </w:rPr>
        <w:t>。本次评价主要从区域水资源配置平衡、水资源影响、受水区退水影响</w:t>
      </w:r>
      <w:r>
        <w:rPr>
          <w:rFonts w:hint="eastAsia" w:ascii="Arial" w:cs="Arial"/>
          <w:color w:val="auto"/>
          <w:sz w:val="26"/>
          <w:highlight w:val="none"/>
          <w:lang w:eastAsia="zh-CN"/>
        </w:rPr>
        <w:t>以及</w:t>
      </w:r>
      <w:r>
        <w:rPr>
          <w:rFonts w:hint="eastAsia" w:ascii="Arial" w:cs="Arial"/>
          <w:color w:val="auto"/>
          <w:sz w:val="26"/>
          <w:highlight w:val="none"/>
        </w:rPr>
        <w:t>与相关规划符合性等方面进行分析。</w:t>
      </w:r>
    </w:p>
    <w:p w14:paraId="2A197C7F">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rPr>
      </w:pPr>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3</w:t>
      </w:r>
      <w:r>
        <w:rPr>
          <w:rFonts w:ascii="Arial" w:hAnsi="Arial" w:eastAsia="宋体" w:cs="Arial"/>
          <w:b/>
          <w:color w:val="auto"/>
          <w:kern w:val="0"/>
          <w:sz w:val="26"/>
          <w:szCs w:val="26"/>
          <w:highlight w:val="none"/>
          <w:lang w:val="en-US" w:eastAsia="zh-CN"/>
        </w:rPr>
        <w:t xml:space="preserve"> </w:t>
      </w:r>
      <w:r>
        <w:rPr>
          <w:rFonts w:hint="eastAsia" w:ascii="Arial" w:hAnsi="Arial" w:eastAsia="宋体" w:cs="Arial"/>
          <w:b/>
          <w:color w:val="auto"/>
          <w:kern w:val="0"/>
          <w:sz w:val="26"/>
          <w:szCs w:val="26"/>
          <w:highlight w:val="none"/>
          <w:lang w:val="en-US" w:eastAsia="zh-CN"/>
        </w:rPr>
        <w:t>编制依据</w:t>
      </w:r>
      <w:bookmarkEnd w:id="7"/>
      <w:r>
        <w:rPr>
          <w:rFonts w:ascii="Arial" w:hAnsi="Arial" w:eastAsia="宋体" w:cs="Arial"/>
          <w:b/>
          <w:color w:val="auto"/>
          <w:kern w:val="0"/>
          <w:sz w:val="26"/>
          <w:szCs w:val="26"/>
          <w:highlight w:val="none"/>
        </w:rPr>
        <w:t xml:space="preserve"> </w:t>
      </w:r>
    </w:p>
    <w:p w14:paraId="755E14F6">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ascii="Arial" w:hAnsi="Arial" w:eastAsia="宋体" w:cs="Arial"/>
          <w:b/>
          <w:color w:val="auto"/>
          <w:kern w:val="0"/>
          <w:sz w:val="26"/>
          <w:szCs w:val="20"/>
          <w:highlight w:val="none"/>
        </w:rPr>
      </w:pPr>
      <w:bookmarkStart w:id="15" w:name="_Toc34987777"/>
      <w:bookmarkStart w:id="16" w:name="_Toc36040976"/>
      <w:r>
        <w:rPr>
          <w:rFonts w:ascii="Arial" w:hAnsi="Arial" w:eastAsia="宋体" w:cs="Arial"/>
          <w:b/>
          <w:color w:val="auto"/>
          <w:kern w:val="0"/>
          <w:sz w:val="26"/>
          <w:szCs w:val="20"/>
          <w:highlight w:val="none"/>
        </w:rPr>
        <w:t>1.</w:t>
      </w:r>
      <w:r>
        <w:rPr>
          <w:rFonts w:hint="eastAsia" w:ascii="Arial" w:hAnsi="Arial" w:cs="Arial"/>
          <w:b/>
          <w:color w:val="auto"/>
          <w:kern w:val="0"/>
          <w:sz w:val="26"/>
          <w:szCs w:val="20"/>
          <w:highlight w:val="none"/>
          <w:lang w:val="en-US" w:eastAsia="zh-CN"/>
        </w:rPr>
        <w:t>3</w:t>
      </w:r>
      <w:r>
        <w:rPr>
          <w:rFonts w:ascii="Arial" w:hAnsi="Arial" w:eastAsia="宋体" w:cs="Arial"/>
          <w:b/>
          <w:color w:val="auto"/>
          <w:kern w:val="0"/>
          <w:sz w:val="26"/>
          <w:szCs w:val="20"/>
          <w:highlight w:val="none"/>
        </w:rPr>
        <w:t xml:space="preserve">.1 </w:t>
      </w:r>
      <w:r>
        <w:rPr>
          <w:rFonts w:hint="eastAsia" w:ascii="Arial" w:hAnsi="Arial" w:eastAsia="宋体" w:cs="Arial"/>
          <w:b/>
          <w:color w:val="auto"/>
          <w:kern w:val="0"/>
          <w:sz w:val="26"/>
          <w:szCs w:val="20"/>
          <w:highlight w:val="none"/>
        </w:rPr>
        <w:t>国家法律、法规、政策</w:t>
      </w:r>
      <w:bookmarkEnd w:id="15"/>
      <w:bookmarkEnd w:id="16"/>
    </w:p>
    <w:p w14:paraId="4BB05CE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《中华人民共和国环境保护法》，</w:t>
      </w:r>
      <w:r>
        <w:rPr>
          <w:rFonts w:ascii="Arial" w:hAnsi="Times New Roman" w:eastAsia="宋体" w:cs="Arial"/>
          <w:color w:val="auto"/>
          <w:kern w:val="0"/>
          <w:sz w:val="26"/>
          <w:szCs w:val="26"/>
          <w:highlight w:val="none"/>
        </w:rPr>
        <w:t>2015</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062EC51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《中华人民共和国环境影响评价法》，</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12</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29</w:t>
      </w:r>
      <w:r>
        <w:rPr>
          <w:rFonts w:hint="eastAsia" w:ascii="Arial" w:hAnsi="Times New Roman" w:eastAsia="宋体" w:cs="Arial"/>
          <w:color w:val="auto"/>
          <w:kern w:val="0"/>
          <w:sz w:val="26"/>
          <w:szCs w:val="26"/>
          <w:highlight w:val="none"/>
        </w:rPr>
        <w:t>日实施；</w:t>
      </w:r>
    </w:p>
    <w:p w14:paraId="4186B22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《中华人民共和国大气污染防治法》，</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10</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26</w:t>
      </w:r>
      <w:r>
        <w:rPr>
          <w:rFonts w:hint="eastAsia" w:ascii="Arial" w:hAnsi="Times New Roman" w:eastAsia="宋体" w:cs="Arial"/>
          <w:color w:val="auto"/>
          <w:kern w:val="0"/>
          <w:sz w:val="26"/>
          <w:szCs w:val="26"/>
          <w:highlight w:val="none"/>
        </w:rPr>
        <w:t>日实施；</w:t>
      </w:r>
    </w:p>
    <w:p w14:paraId="2CB27D6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《中华人民共和国噪声污染防治法》，</w:t>
      </w:r>
      <w:r>
        <w:rPr>
          <w:rFonts w:ascii="Arial" w:hAnsi="Times New Roman" w:eastAsia="宋体" w:cs="Arial"/>
          <w:color w:val="auto"/>
          <w:kern w:val="0"/>
          <w:sz w:val="26"/>
          <w:szCs w:val="26"/>
          <w:highlight w:val="none"/>
        </w:rPr>
        <w:t>2022</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6</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5</w:t>
      </w:r>
      <w:r>
        <w:rPr>
          <w:rFonts w:hint="eastAsia" w:ascii="Arial" w:hAnsi="Times New Roman" w:eastAsia="宋体" w:cs="Arial"/>
          <w:color w:val="auto"/>
          <w:kern w:val="0"/>
          <w:sz w:val="26"/>
          <w:szCs w:val="26"/>
          <w:highlight w:val="none"/>
        </w:rPr>
        <w:t>日实施；</w:t>
      </w:r>
    </w:p>
    <w:p w14:paraId="1EA5AC0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5</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《中华人民共和国水污染防治法》，</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日起实施；</w:t>
      </w:r>
    </w:p>
    <w:p w14:paraId="1BBD015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《中华人民共和国固体废物污染环境防治法》，</w:t>
      </w:r>
      <w:r>
        <w:rPr>
          <w:rFonts w:ascii="Arial" w:hAnsi="Times New Roman" w:eastAsia="宋体" w:cs="Arial"/>
          <w:color w:val="auto"/>
          <w:kern w:val="0"/>
          <w:sz w:val="26"/>
          <w:szCs w:val="26"/>
          <w:highlight w:val="none"/>
        </w:rPr>
        <w:t>2020</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9</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日修正；</w:t>
      </w:r>
    </w:p>
    <w:p w14:paraId="42D318E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rPr>
        <w:t>中华人民共和国</w:t>
      </w:r>
      <w:r>
        <w:rPr>
          <w:rFonts w:hint="eastAsia" w:ascii="Arial" w:hAnsi="Times New Roman" w:cs="Arial"/>
          <w:color w:val="auto"/>
          <w:kern w:val="0"/>
          <w:sz w:val="26"/>
          <w:szCs w:val="26"/>
          <w:highlight w:val="none"/>
          <w:lang w:eastAsia="zh-CN"/>
        </w:rPr>
        <w:t>水法》，</w:t>
      </w:r>
      <w:r>
        <w:rPr>
          <w:rFonts w:hint="eastAsia" w:ascii="Arial" w:hAnsi="Times New Roman" w:cs="Arial"/>
          <w:color w:val="auto"/>
          <w:kern w:val="0"/>
          <w:sz w:val="26"/>
          <w:szCs w:val="26"/>
          <w:highlight w:val="none"/>
          <w:lang w:val="en-US" w:eastAsia="zh-CN"/>
        </w:rPr>
        <w:t>2016年7月2日修改；</w:t>
      </w:r>
    </w:p>
    <w:p w14:paraId="025E763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《中华人民共和国土地管理法》，</w:t>
      </w:r>
      <w:r>
        <w:rPr>
          <w:rFonts w:ascii="Arial" w:hAnsi="Times New Roman" w:eastAsia="宋体" w:cs="Arial"/>
          <w:color w:val="auto"/>
          <w:kern w:val="0"/>
          <w:sz w:val="26"/>
          <w:szCs w:val="26"/>
          <w:highlight w:val="none"/>
        </w:rPr>
        <w:t>2020</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9</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0D0013B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《中华人民共和国水土保持法》，</w:t>
      </w:r>
      <w:r>
        <w:rPr>
          <w:rFonts w:ascii="Arial" w:hAnsi="Times New Roman" w:eastAsia="宋体" w:cs="Arial"/>
          <w:color w:val="auto"/>
          <w:kern w:val="0"/>
          <w:sz w:val="26"/>
          <w:szCs w:val="26"/>
          <w:highlight w:val="none"/>
        </w:rPr>
        <w:t>2011</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7E10DCD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10）《</w:t>
      </w:r>
      <w:r>
        <w:rPr>
          <w:rFonts w:hint="eastAsia" w:ascii="Arial" w:hAnsi="Times New Roman" w:eastAsia="宋体" w:cs="Arial"/>
          <w:color w:val="auto"/>
          <w:kern w:val="0"/>
          <w:sz w:val="26"/>
          <w:szCs w:val="26"/>
          <w:highlight w:val="none"/>
        </w:rPr>
        <w:t>中华人民共和国</w:t>
      </w:r>
      <w:r>
        <w:rPr>
          <w:rFonts w:hint="eastAsia" w:ascii="Arial" w:hAnsi="Times New Roman" w:cs="Arial"/>
          <w:color w:val="auto"/>
          <w:kern w:val="0"/>
          <w:sz w:val="26"/>
          <w:szCs w:val="26"/>
          <w:highlight w:val="none"/>
          <w:lang w:eastAsia="zh-CN"/>
        </w:rPr>
        <w:t>森林法》，</w:t>
      </w:r>
      <w:r>
        <w:rPr>
          <w:rFonts w:hint="eastAsia" w:ascii="Arial" w:hAnsi="Times New Roman" w:cs="Arial"/>
          <w:color w:val="auto"/>
          <w:kern w:val="0"/>
          <w:sz w:val="26"/>
          <w:szCs w:val="26"/>
          <w:highlight w:val="none"/>
          <w:lang w:val="en-US" w:eastAsia="zh-CN"/>
        </w:rPr>
        <w:t>2020年7月1日实施；</w:t>
      </w:r>
    </w:p>
    <w:p w14:paraId="37A6AFE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《中华人民共和国土壤污染防治法》，</w:t>
      </w:r>
      <w:r>
        <w:rPr>
          <w:rFonts w:ascii="Arial" w:hAnsi="Times New Roman" w:eastAsia="宋体" w:cs="Arial"/>
          <w:color w:val="auto"/>
          <w:kern w:val="0"/>
          <w:sz w:val="26"/>
          <w:szCs w:val="26"/>
          <w:highlight w:val="none"/>
        </w:rPr>
        <w:t>2019</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01FF308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《中华人民共和国野生动物保护法》，</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10</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26</w:t>
      </w:r>
      <w:r>
        <w:rPr>
          <w:rFonts w:hint="eastAsia" w:ascii="Arial" w:hAnsi="Times New Roman" w:eastAsia="宋体" w:cs="Arial"/>
          <w:color w:val="auto"/>
          <w:kern w:val="0"/>
          <w:sz w:val="26"/>
          <w:szCs w:val="26"/>
          <w:highlight w:val="none"/>
        </w:rPr>
        <w:t>日实施；</w:t>
      </w:r>
    </w:p>
    <w:p w14:paraId="4374899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《中华人民共和国防洪法》，</w:t>
      </w:r>
      <w:r>
        <w:rPr>
          <w:rFonts w:ascii="Arial" w:hAnsi="Times New Roman" w:eastAsia="宋体" w:cs="Arial"/>
          <w:color w:val="auto"/>
          <w:kern w:val="0"/>
          <w:sz w:val="26"/>
          <w:szCs w:val="26"/>
          <w:highlight w:val="none"/>
        </w:rPr>
        <w:t>2015</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4</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24</w:t>
      </w:r>
      <w:r>
        <w:rPr>
          <w:rFonts w:hint="eastAsia" w:ascii="Arial" w:hAnsi="Times New Roman" w:eastAsia="宋体" w:cs="Arial"/>
          <w:color w:val="auto"/>
          <w:kern w:val="0"/>
          <w:sz w:val="26"/>
          <w:szCs w:val="26"/>
          <w:highlight w:val="none"/>
        </w:rPr>
        <w:t>日修正；</w:t>
      </w:r>
    </w:p>
    <w:p w14:paraId="475174D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《中华人民共和国农业法》，</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12</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28</w:t>
      </w:r>
      <w:r>
        <w:rPr>
          <w:rFonts w:hint="eastAsia" w:ascii="Arial" w:hAnsi="Times New Roman" w:eastAsia="宋体" w:cs="Arial"/>
          <w:color w:val="auto"/>
          <w:kern w:val="0"/>
          <w:sz w:val="26"/>
          <w:szCs w:val="26"/>
          <w:highlight w:val="none"/>
        </w:rPr>
        <w:t>日修订；</w:t>
      </w:r>
    </w:p>
    <w:p w14:paraId="60E81ED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bookmarkStart w:id="17" w:name="_Hlk124325647"/>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15）《</w:t>
      </w:r>
      <w:r>
        <w:rPr>
          <w:rFonts w:hint="eastAsia" w:ascii="Arial" w:hAnsi="Times New Roman" w:eastAsia="宋体" w:cs="Arial"/>
          <w:color w:val="auto"/>
          <w:kern w:val="0"/>
          <w:sz w:val="26"/>
          <w:szCs w:val="26"/>
          <w:highlight w:val="none"/>
        </w:rPr>
        <w:t>中华人民共和国</w:t>
      </w:r>
      <w:r>
        <w:rPr>
          <w:rFonts w:hint="eastAsia" w:ascii="Arial" w:hAnsi="Times New Roman" w:cs="Arial"/>
          <w:color w:val="auto"/>
          <w:kern w:val="0"/>
          <w:sz w:val="26"/>
          <w:szCs w:val="26"/>
          <w:highlight w:val="none"/>
          <w:lang w:eastAsia="zh-CN"/>
        </w:rPr>
        <w:t>长江保护法》，</w:t>
      </w:r>
      <w:r>
        <w:rPr>
          <w:rFonts w:hint="eastAsia" w:ascii="Arial" w:hAnsi="Times New Roman" w:cs="Arial"/>
          <w:color w:val="auto"/>
          <w:kern w:val="0"/>
          <w:sz w:val="26"/>
          <w:szCs w:val="26"/>
          <w:highlight w:val="none"/>
          <w:lang w:val="en-US" w:eastAsia="zh-CN"/>
        </w:rPr>
        <w:t>2021年3月1日施行；</w:t>
      </w:r>
    </w:p>
    <w:p w14:paraId="2493345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《建设项目环境保护管理条例》，</w:t>
      </w:r>
      <w:r>
        <w:rPr>
          <w:rFonts w:ascii="Arial" w:hAnsi="Times New Roman" w:eastAsia="宋体" w:cs="Arial"/>
          <w:color w:val="auto"/>
          <w:kern w:val="0"/>
          <w:sz w:val="26"/>
          <w:szCs w:val="26"/>
          <w:highlight w:val="none"/>
        </w:rPr>
        <w:t>2017</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7</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16</w:t>
      </w:r>
      <w:r>
        <w:rPr>
          <w:rFonts w:hint="eastAsia" w:ascii="Arial" w:hAnsi="Times New Roman" w:eastAsia="宋体" w:cs="Arial"/>
          <w:color w:val="auto"/>
          <w:kern w:val="0"/>
          <w:sz w:val="26"/>
          <w:szCs w:val="26"/>
          <w:highlight w:val="none"/>
        </w:rPr>
        <w:t>日修订；</w:t>
      </w:r>
    </w:p>
    <w:bookmarkEnd w:id="17"/>
    <w:p w14:paraId="3E80CFC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《地下水管理条例》，中华人民共和国国务院</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2021</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第748号令，2021年12月1日实施；</w:t>
      </w:r>
    </w:p>
    <w:p w14:paraId="0AD0C837">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《中华人民共和国野生植物保护条例》，中华人民共和国国务院</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2017</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第</w:t>
      </w:r>
      <w:r>
        <w:rPr>
          <w:rFonts w:ascii="Arial" w:hAnsi="Times New Roman" w:eastAsia="宋体" w:cs="Arial"/>
          <w:color w:val="auto"/>
          <w:kern w:val="0"/>
          <w:sz w:val="26"/>
          <w:szCs w:val="26"/>
          <w:highlight w:val="none"/>
        </w:rPr>
        <w:t>687</w:t>
      </w:r>
      <w:r>
        <w:rPr>
          <w:rFonts w:hint="eastAsia" w:ascii="Arial" w:hAnsi="Times New Roman" w:eastAsia="宋体" w:cs="Arial"/>
          <w:color w:val="auto"/>
          <w:kern w:val="0"/>
          <w:sz w:val="26"/>
          <w:szCs w:val="26"/>
          <w:highlight w:val="none"/>
        </w:rPr>
        <w:t>号令，</w:t>
      </w:r>
      <w:r>
        <w:rPr>
          <w:rFonts w:ascii="Arial" w:hAnsi="Times New Roman" w:eastAsia="宋体" w:cs="Arial"/>
          <w:color w:val="auto"/>
          <w:kern w:val="0"/>
          <w:sz w:val="26"/>
          <w:szCs w:val="26"/>
          <w:highlight w:val="none"/>
        </w:rPr>
        <w:t>2017</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10</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7</w:t>
      </w:r>
      <w:r>
        <w:rPr>
          <w:rFonts w:hint="eastAsia" w:ascii="Arial" w:hAnsi="Times New Roman" w:eastAsia="宋体" w:cs="Arial"/>
          <w:color w:val="auto"/>
          <w:kern w:val="0"/>
          <w:sz w:val="26"/>
          <w:szCs w:val="26"/>
          <w:highlight w:val="none"/>
        </w:rPr>
        <w:t>日修正；</w:t>
      </w:r>
    </w:p>
    <w:p w14:paraId="3C5E2AB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《中华人民共和国陆生野生动物保护实施条例》</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2016</w:t>
      </w:r>
      <w:r>
        <w:rPr>
          <w:rFonts w:hint="eastAsia" w:ascii="Arial" w:hAnsi="Times New Roman" w:eastAsia="宋体" w:cs="Arial"/>
          <w:color w:val="auto"/>
          <w:kern w:val="0"/>
          <w:sz w:val="26"/>
          <w:szCs w:val="26"/>
          <w:highlight w:val="none"/>
        </w:rPr>
        <w:t>修订</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国务院令第</w:t>
      </w:r>
      <w:r>
        <w:rPr>
          <w:rFonts w:ascii="Arial" w:hAnsi="Times New Roman" w:eastAsia="宋体" w:cs="Arial"/>
          <w:color w:val="auto"/>
          <w:kern w:val="0"/>
          <w:sz w:val="26"/>
          <w:szCs w:val="26"/>
          <w:highlight w:val="none"/>
        </w:rPr>
        <w:t>666</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2016</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6</w:t>
      </w:r>
      <w:r>
        <w:rPr>
          <w:rFonts w:hint="eastAsia" w:ascii="Arial" w:hAnsi="Times New Roman" w:eastAsia="宋体" w:cs="Arial"/>
          <w:color w:val="auto"/>
          <w:kern w:val="0"/>
          <w:sz w:val="26"/>
          <w:szCs w:val="26"/>
          <w:highlight w:val="none"/>
        </w:rPr>
        <w:t>日实施；</w:t>
      </w:r>
    </w:p>
    <w:p w14:paraId="4D805AB7">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（20</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《中华人民共和国森林法实施条例》，</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18</w:t>
      </w:r>
      <w:r>
        <w:rPr>
          <w:rFonts w:hint="eastAsia" w:ascii="Arial" w:hAnsi="Times New Roman" w:eastAsia="宋体" w:cs="Arial"/>
          <w:color w:val="auto"/>
          <w:kern w:val="0"/>
          <w:sz w:val="26"/>
          <w:szCs w:val="26"/>
          <w:highlight w:val="none"/>
        </w:rPr>
        <w:t>日起施行；</w:t>
      </w:r>
    </w:p>
    <w:p w14:paraId="31954E6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（21</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《基本农田保护条例》</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国务院令第</w:t>
      </w:r>
      <w:r>
        <w:rPr>
          <w:rFonts w:ascii="Arial" w:hAnsi="Times New Roman" w:eastAsia="宋体" w:cs="Arial"/>
          <w:color w:val="auto"/>
          <w:kern w:val="0"/>
          <w:sz w:val="26"/>
          <w:szCs w:val="26"/>
          <w:highlight w:val="none"/>
        </w:rPr>
        <w:t>257</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2011</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8</w:t>
      </w:r>
      <w:r>
        <w:rPr>
          <w:rFonts w:hint="eastAsia" w:ascii="Arial" w:hAnsi="Times New Roman" w:eastAsia="宋体" w:cs="Arial"/>
          <w:color w:val="auto"/>
          <w:kern w:val="0"/>
          <w:sz w:val="26"/>
          <w:szCs w:val="26"/>
          <w:highlight w:val="none"/>
        </w:rPr>
        <w:t>日修订；</w:t>
      </w:r>
    </w:p>
    <w:p w14:paraId="520DEEE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《土地复垦条例》</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国务院令第</w:t>
      </w:r>
      <w:r>
        <w:rPr>
          <w:rFonts w:ascii="Arial" w:hAnsi="Times New Roman" w:eastAsia="宋体" w:cs="Arial"/>
          <w:color w:val="auto"/>
          <w:kern w:val="0"/>
          <w:sz w:val="26"/>
          <w:szCs w:val="26"/>
          <w:highlight w:val="none"/>
        </w:rPr>
        <w:t>592</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2011</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5</w:t>
      </w:r>
      <w:r>
        <w:rPr>
          <w:rFonts w:hint="eastAsia" w:ascii="Arial" w:hAnsi="Times New Roman" w:eastAsia="宋体" w:cs="Arial"/>
          <w:color w:val="auto"/>
          <w:kern w:val="0"/>
          <w:sz w:val="26"/>
          <w:szCs w:val="26"/>
          <w:highlight w:val="none"/>
        </w:rPr>
        <w:t>日；</w:t>
      </w:r>
    </w:p>
    <w:p w14:paraId="1FAE6D3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《国家级公益林管理办法》</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林政发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2013</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71</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172DB69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《建设项目环境影响评价分类管理名录</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2021</w:t>
      </w:r>
      <w:r>
        <w:rPr>
          <w:rFonts w:hint="eastAsia" w:ascii="Arial" w:hAnsi="Times New Roman" w:eastAsia="宋体" w:cs="Arial"/>
          <w:color w:val="auto"/>
          <w:kern w:val="0"/>
          <w:sz w:val="26"/>
          <w:szCs w:val="26"/>
          <w:highlight w:val="none"/>
        </w:rPr>
        <w:t>年版</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生态环境部令第</w:t>
      </w:r>
      <w:r>
        <w:rPr>
          <w:rFonts w:ascii="Arial" w:hAnsi="Times New Roman" w:eastAsia="宋体" w:cs="Arial"/>
          <w:color w:val="auto"/>
          <w:kern w:val="0"/>
          <w:sz w:val="26"/>
          <w:szCs w:val="26"/>
          <w:highlight w:val="none"/>
        </w:rPr>
        <w:t>16</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2021</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23C7135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《产业结构调整指导目录</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w:t>
      </w:r>
      <w:r>
        <w:rPr>
          <w:rFonts w:hint="eastAsia" w:ascii="Arial"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rPr>
        <w:t>年本</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2B1318E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hint="eastAsia" w:ascii="Arial" w:cs="Arial"/>
          <w:color w:val="auto"/>
          <w:kern w:val="0"/>
          <w:sz w:val="26"/>
          <w:szCs w:val="26"/>
          <w:highlight w:val="none"/>
          <w:lang w:eastAsia="zh-CN"/>
        </w:rPr>
        <w:t>中华人民共和国水土保持法实施条例</w:t>
      </w:r>
      <w:r>
        <w:rPr>
          <w:rFonts w:hint="eastAsia" w:ascii="Arial" w:hAnsi="Times New Roman" w:eastAsia="宋体" w:cs="Arial"/>
          <w:color w:val="auto"/>
          <w:kern w:val="0"/>
          <w:sz w:val="26"/>
          <w:szCs w:val="26"/>
          <w:highlight w:val="none"/>
        </w:rPr>
        <w:t>》</w:t>
      </w: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2011年1月8日修订</w:t>
      </w:r>
      <w:r>
        <w:rPr>
          <w:rFonts w:hint="eastAsia" w:ascii="Arial" w:hAnsi="Times New Roman" w:eastAsia="宋体" w:cs="Arial"/>
          <w:color w:val="auto"/>
          <w:kern w:val="0"/>
          <w:sz w:val="26"/>
          <w:szCs w:val="26"/>
          <w:highlight w:val="none"/>
        </w:rPr>
        <w:t>；</w:t>
      </w:r>
    </w:p>
    <w:p w14:paraId="34528C6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27）《中华人民共和国河道管理条例》，2018年3月19日修订；</w:t>
      </w:r>
    </w:p>
    <w:p w14:paraId="4E39A3A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28）《中华人民共和国土地管理法实施条例》，2021年9月1日施行；</w:t>
      </w:r>
    </w:p>
    <w:p w14:paraId="06AAFBA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29）《中共中央国务院关于加快水利改革发展的决定》</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eastAsia="zh-CN"/>
        </w:rPr>
        <w:t>中发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w:t>
      </w:r>
      <w:r>
        <w:rPr>
          <w:rFonts w:hint="eastAsia" w:ascii="Arial" w:hAnsi="Times New Roman"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w:t>
      </w:r>
    </w:p>
    <w:p w14:paraId="151E98A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30）《中共中央国务院关于加快推进生态文明建设的意见》</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eastAsia="zh-CN"/>
        </w:rPr>
        <w:t>中发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w:t>
      </w:r>
      <w:r>
        <w:rPr>
          <w:rFonts w:hint="eastAsia" w:ascii="Arial" w:hAnsi="Times New Roman" w:cs="Arial"/>
          <w:color w:val="auto"/>
          <w:kern w:val="0"/>
          <w:sz w:val="26"/>
          <w:szCs w:val="26"/>
          <w:highlight w:val="none"/>
          <w:lang w:val="en-US" w:eastAsia="zh-CN"/>
        </w:rPr>
        <w:t>15</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w:t>
      </w:r>
    </w:p>
    <w:p w14:paraId="562F3B2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31）《国务院关于加强环境保护重点工作的意见》</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2011</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35</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0C0AA59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32）《国务院关于实行最严格水资源管理制度的意见》</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2012</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3ED4F84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（3</w:t>
      </w:r>
      <w:r>
        <w:rPr>
          <w:rFonts w:hint="eastAsia" w:ascii="Arial" w:hAnsi="Times New Roman"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《国务院关于印发水污染防治行动计划的通知》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2015</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17</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7001D5D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（3</w:t>
      </w:r>
      <w:r>
        <w:rPr>
          <w:rFonts w:hint="eastAsia" w:ascii="Arial" w:hAnsi="Times New Roman"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《国务院关于印发大气污染防治行动计划的通知》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2013</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37</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6F4E65E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3</w:t>
      </w:r>
      <w:r>
        <w:rPr>
          <w:rFonts w:hint="eastAsia" w:ascii="Arial" w:hAnsi="Times New Roman"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《国务院关于印发土壤污染防治行动计划的通》</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2016</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31</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2A768C4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36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《环境影响评价公众参与办法》</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生态环境部令第</w:t>
      </w:r>
      <w:r>
        <w:rPr>
          <w:rFonts w:ascii="Arial" w:hAnsi="Times New Roman" w:eastAsia="宋体" w:cs="Arial"/>
          <w:color w:val="auto"/>
          <w:kern w:val="0"/>
          <w:sz w:val="26"/>
          <w:szCs w:val="26"/>
          <w:highlight w:val="none"/>
        </w:rPr>
        <w:t>4</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2019</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日施行；</w:t>
      </w:r>
    </w:p>
    <w:p w14:paraId="48C5006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37）《关于印发&lt;水电水利建设项目河道生态用水、低温水和过鱼设施环境影响评价技术指南（试行）&gt;的函》</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eastAsia="zh-CN"/>
        </w:rPr>
        <w:t>环评函</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w:t>
      </w:r>
      <w:r>
        <w:rPr>
          <w:rFonts w:hint="eastAsia" w:ascii="Arial" w:hAnsi="Times New Roman" w:cs="Arial"/>
          <w:color w:val="auto"/>
          <w:kern w:val="0"/>
          <w:sz w:val="26"/>
          <w:szCs w:val="26"/>
          <w:highlight w:val="none"/>
          <w:lang w:val="en-US" w:eastAsia="zh-CN"/>
        </w:rPr>
        <w:t>06</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4C365A6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38）《关于印发水利水电建设项目水环境与生态环境保护技术政策研讨会会议纪要的函》</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eastAsia="zh-CN"/>
        </w:rPr>
        <w:t>环办函</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w:t>
      </w:r>
      <w:r>
        <w:rPr>
          <w:rFonts w:hint="eastAsia" w:ascii="Arial" w:hAnsi="Times New Roman" w:cs="Arial"/>
          <w:color w:val="auto"/>
          <w:kern w:val="0"/>
          <w:sz w:val="26"/>
          <w:szCs w:val="26"/>
          <w:highlight w:val="none"/>
          <w:lang w:val="en-US" w:eastAsia="zh-CN"/>
        </w:rPr>
        <w:t>06</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11</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1026167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39）</w:t>
      </w:r>
      <w:r>
        <w:rPr>
          <w:rFonts w:hint="eastAsia" w:ascii="Arial" w:hAnsi="Times New Roman" w:eastAsia="宋体" w:cs="Arial"/>
          <w:color w:val="auto"/>
          <w:kern w:val="0"/>
          <w:sz w:val="26"/>
          <w:szCs w:val="26"/>
          <w:highlight w:val="none"/>
        </w:rPr>
        <w:t>《国务院办公厅关于加强饮用水安全保障工作的通知》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国发办</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2005</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45</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5BF6E41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40）</w:t>
      </w:r>
      <w:r>
        <w:rPr>
          <w:rFonts w:hint="eastAsia" w:ascii="Arial" w:hAnsi="Times New Roman" w:eastAsia="宋体" w:cs="Arial"/>
          <w:color w:val="auto"/>
          <w:kern w:val="0"/>
          <w:sz w:val="26"/>
          <w:szCs w:val="26"/>
          <w:highlight w:val="none"/>
        </w:rPr>
        <w:t>《关于加强规划环境影响评价与建设项目环境影响评价联动工作的意见》</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环发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2015</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178</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2016</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4</w:t>
      </w:r>
      <w:r>
        <w:rPr>
          <w:rFonts w:hint="eastAsia" w:ascii="Arial" w:hAnsi="Times New Roman" w:eastAsia="宋体" w:cs="Arial"/>
          <w:color w:val="auto"/>
          <w:kern w:val="0"/>
          <w:sz w:val="26"/>
          <w:szCs w:val="26"/>
          <w:highlight w:val="none"/>
        </w:rPr>
        <w:t>日起施行；</w:t>
      </w:r>
    </w:p>
    <w:p w14:paraId="127EFEA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41）</w:t>
      </w:r>
      <w:r>
        <w:rPr>
          <w:rFonts w:hint="eastAsia" w:ascii="Arial" w:hAnsi="Times New Roman" w:eastAsia="宋体" w:cs="Arial"/>
          <w:color w:val="auto"/>
          <w:kern w:val="0"/>
          <w:sz w:val="26"/>
          <w:szCs w:val="26"/>
          <w:highlight w:val="none"/>
          <w:lang w:eastAsia="zh-CN"/>
        </w:rPr>
        <w:t>《关于</w:t>
      </w:r>
      <w:r>
        <w:rPr>
          <w:rFonts w:hint="eastAsia" w:ascii="Arial" w:cs="Arial"/>
          <w:color w:val="auto"/>
          <w:kern w:val="0"/>
          <w:sz w:val="26"/>
          <w:szCs w:val="26"/>
          <w:highlight w:val="none"/>
          <w:lang w:eastAsia="zh-CN"/>
        </w:rPr>
        <w:t>一</w:t>
      </w:r>
      <w:r>
        <w:rPr>
          <w:rFonts w:hint="eastAsia" w:ascii="Arial" w:hAnsi="Times New Roman" w:eastAsia="宋体" w:cs="Arial"/>
          <w:color w:val="auto"/>
          <w:kern w:val="0"/>
          <w:sz w:val="26"/>
          <w:szCs w:val="26"/>
          <w:highlight w:val="none"/>
          <w:lang w:eastAsia="zh-CN"/>
        </w:rPr>
        <w:t>进步加强分散式饮用水水源地环境保护工作的通知》</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环办</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2010</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132号</w:t>
      </w:r>
      <w:r>
        <w:rPr>
          <w:rFonts w:hint="eastAsia" w:ascii="Arial" w:cs="Arial"/>
          <w:color w:val="auto"/>
          <w:kern w:val="0"/>
          <w:sz w:val="26"/>
          <w:szCs w:val="26"/>
          <w:highlight w:val="none"/>
          <w:lang w:eastAsia="zh-CN"/>
        </w:rPr>
        <w:t>）；</w:t>
      </w:r>
    </w:p>
    <w:p w14:paraId="6973A71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42）</w:t>
      </w:r>
      <w:r>
        <w:rPr>
          <w:rFonts w:hint="eastAsia" w:ascii="Arial" w:hAnsi="Times New Roman" w:eastAsia="宋体" w:cs="Arial"/>
          <w:color w:val="auto"/>
          <w:kern w:val="0"/>
          <w:sz w:val="26"/>
          <w:szCs w:val="26"/>
          <w:highlight w:val="none"/>
          <w:lang w:eastAsia="zh-CN"/>
        </w:rPr>
        <w:t>《饮用水水源保护区污染防治管理规定》</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环境保护令第16号文件修改，2010年</w:t>
      </w:r>
      <w:r>
        <w:rPr>
          <w:rFonts w:hint="eastAsia" w:ascii="Arial" w:cs="Arial"/>
          <w:color w:val="auto"/>
          <w:kern w:val="0"/>
          <w:sz w:val="26"/>
          <w:szCs w:val="26"/>
          <w:highlight w:val="none"/>
          <w:lang w:eastAsia="zh-CN"/>
        </w:rPr>
        <w:t>）；</w:t>
      </w:r>
    </w:p>
    <w:p w14:paraId="19A5A52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43）</w:t>
      </w:r>
      <w:r>
        <w:rPr>
          <w:rFonts w:hint="eastAsia" w:ascii="Arial" w:hAnsi="Times New Roman" w:eastAsia="宋体" w:cs="Arial"/>
          <w:color w:val="auto"/>
          <w:kern w:val="0"/>
          <w:sz w:val="26"/>
          <w:szCs w:val="26"/>
          <w:highlight w:val="none"/>
          <w:lang w:eastAsia="zh-CN"/>
        </w:rPr>
        <w:t>《关于加强环境噪声污染防治工作改善城乡声环境质量的指导意见》</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环发</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2010</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144号</w:t>
      </w:r>
      <w:r>
        <w:rPr>
          <w:rFonts w:hint="eastAsia" w:ascii="Arial" w:cs="Arial"/>
          <w:color w:val="auto"/>
          <w:kern w:val="0"/>
          <w:sz w:val="26"/>
          <w:szCs w:val="26"/>
          <w:highlight w:val="none"/>
          <w:lang w:eastAsia="zh-CN"/>
        </w:rPr>
        <w:t>）；</w:t>
      </w:r>
    </w:p>
    <w:p w14:paraId="4F2E1C4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44）</w:t>
      </w:r>
      <w:r>
        <w:rPr>
          <w:rFonts w:hint="eastAsia" w:ascii="Arial" w:hAnsi="Times New Roman" w:eastAsia="宋体" w:cs="Arial"/>
          <w:color w:val="auto"/>
          <w:kern w:val="0"/>
          <w:sz w:val="26"/>
          <w:szCs w:val="26"/>
          <w:highlight w:val="none"/>
          <w:lang w:eastAsia="zh-CN"/>
        </w:rPr>
        <w:t>《集中式地表饮用水水源地环境应急管理工作指南</w:t>
      </w:r>
      <w:r>
        <w:rPr>
          <w:rFonts w:hint="eastAsia" w:ascii="宋体" w:hAnsi="宋体" w:eastAsia="宋体" w:cs="宋体"/>
          <w:color w:val="auto"/>
          <w:kern w:val="0"/>
          <w:sz w:val="26"/>
          <w:szCs w:val="26"/>
          <w:highlight w:val="none"/>
          <w:lang w:eastAsia="zh-CN"/>
        </w:rPr>
        <w:t>(试行)</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环办</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2011</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93号</w:t>
      </w:r>
      <w:r>
        <w:rPr>
          <w:rFonts w:hint="eastAsia" w:ascii="Arial" w:cs="Arial"/>
          <w:color w:val="auto"/>
          <w:kern w:val="0"/>
          <w:sz w:val="26"/>
          <w:szCs w:val="26"/>
          <w:highlight w:val="none"/>
          <w:lang w:eastAsia="zh-CN"/>
        </w:rPr>
        <w:t>）；</w:t>
      </w:r>
    </w:p>
    <w:p w14:paraId="7F00438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45</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《关于进一步加强环境影响评价管理防范环境风险的通知》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环发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77</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7</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rPr>
        <w:t>日施行；</w:t>
      </w:r>
    </w:p>
    <w:p w14:paraId="5A9CDA1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46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《关于切实加强风险防范严格环境影响评价管理的通知》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环发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98</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8</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8</w:t>
      </w:r>
      <w:r>
        <w:rPr>
          <w:rFonts w:hint="eastAsia" w:ascii="Arial" w:hAnsi="Times New Roman" w:eastAsia="宋体" w:cs="Arial"/>
          <w:color w:val="auto"/>
          <w:kern w:val="0"/>
          <w:sz w:val="26"/>
          <w:szCs w:val="26"/>
          <w:highlight w:val="none"/>
        </w:rPr>
        <w:t>日施行；</w:t>
      </w:r>
    </w:p>
    <w:p w14:paraId="781BDA3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47）</w:t>
      </w:r>
      <w:r>
        <w:rPr>
          <w:rFonts w:hint="eastAsia" w:ascii="Arial" w:hAnsi="Times New Roman" w:eastAsia="宋体" w:cs="Arial"/>
          <w:color w:val="auto"/>
          <w:kern w:val="0"/>
          <w:sz w:val="26"/>
          <w:szCs w:val="26"/>
          <w:highlight w:val="none"/>
          <w:lang w:eastAsia="zh-CN"/>
        </w:rPr>
        <w:t>《关于进一步加强水生生物资源保护严格环境影响评价管理的通知</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环发</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2013</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86号</w:t>
      </w:r>
      <w:r>
        <w:rPr>
          <w:rFonts w:hint="eastAsia" w:ascii="Arial" w:cs="Arial"/>
          <w:color w:val="auto"/>
          <w:kern w:val="0"/>
          <w:sz w:val="26"/>
          <w:szCs w:val="26"/>
          <w:highlight w:val="none"/>
          <w:lang w:eastAsia="zh-CN"/>
        </w:rPr>
        <w:t>）；</w:t>
      </w:r>
    </w:p>
    <w:p w14:paraId="3D27A98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48）《关于发布湖（库）富营养化防治技术政策的公告》（公告2017年第51号）；</w:t>
      </w:r>
    </w:p>
    <w:p w14:paraId="3E45219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（49）《关于印发&lt;长江经济带生态环境保护规划&gt;的通知》（</w:t>
      </w:r>
      <w:r>
        <w:rPr>
          <w:rFonts w:hint="eastAsia" w:ascii="Arial" w:hAnsi="Times New Roman" w:cs="Arial"/>
          <w:color w:val="auto"/>
          <w:kern w:val="0"/>
          <w:sz w:val="26"/>
          <w:szCs w:val="26"/>
          <w:highlight w:val="none"/>
          <w:lang w:eastAsia="zh-CN"/>
        </w:rPr>
        <w:t>环规财〔201</w:t>
      </w:r>
      <w:r>
        <w:rPr>
          <w:rFonts w:hint="eastAsia" w:ascii="Arial" w:hAnsi="Times New Roman" w:cs="Arial"/>
          <w:color w:val="auto"/>
          <w:kern w:val="0"/>
          <w:sz w:val="26"/>
          <w:szCs w:val="26"/>
          <w:highlight w:val="none"/>
          <w:lang w:val="en-US" w:eastAsia="zh-CN"/>
        </w:rPr>
        <w:t>7</w:t>
      </w:r>
      <w:r>
        <w:rPr>
          <w:rFonts w:hint="eastAsia" w:ascii="Arial" w:hAnsi="Times New Roman" w:cs="Arial"/>
          <w:color w:val="auto"/>
          <w:kern w:val="0"/>
          <w:sz w:val="26"/>
          <w:szCs w:val="26"/>
          <w:highlight w:val="none"/>
          <w:lang w:eastAsia="zh-CN"/>
        </w:rPr>
        <w:t>〕8</w:t>
      </w:r>
      <w:r>
        <w:rPr>
          <w:rFonts w:hint="eastAsia" w:ascii="Arial" w:hAnsi="Times New Roman" w:cs="Arial"/>
          <w:color w:val="auto"/>
          <w:kern w:val="0"/>
          <w:sz w:val="26"/>
          <w:szCs w:val="26"/>
          <w:highlight w:val="none"/>
          <w:lang w:val="en-US" w:eastAsia="zh-CN"/>
        </w:rPr>
        <w:t>8</w:t>
      </w:r>
      <w:r>
        <w:rPr>
          <w:rFonts w:hint="eastAsia" w:ascii="Arial" w:hAnsi="Times New Roman" w:cs="Arial"/>
          <w:color w:val="auto"/>
          <w:kern w:val="0"/>
          <w:sz w:val="26"/>
          <w:szCs w:val="26"/>
          <w:highlight w:val="none"/>
          <w:lang w:eastAsia="zh-CN"/>
        </w:rPr>
        <w:t>号）；</w:t>
      </w:r>
    </w:p>
    <w:p w14:paraId="5FD02B8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50）《关于印发&lt;长江保护修复攻坚战行动计划&gt;的通知》（</w:t>
      </w:r>
      <w:r>
        <w:rPr>
          <w:rFonts w:hint="eastAsia" w:ascii="Arial" w:hAnsi="Times New Roman" w:cs="Arial"/>
          <w:color w:val="auto"/>
          <w:kern w:val="0"/>
          <w:sz w:val="26"/>
          <w:szCs w:val="26"/>
          <w:highlight w:val="none"/>
          <w:lang w:eastAsia="zh-CN"/>
        </w:rPr>
        <w:t>环水体〔201</w:t>
      </w:r>
      <w:r>
        <w:rPr>
          <w:rFonts w:hint="eastAsia" w:ascii="Arial" w:hAnsi="Times New Roman" w:cs="Arial"/>
          <w:color w:val="auto"/>
          <w:kern w:val="0"/>
          <w:sz w:val="26"/>
          <w:szCs w:val="26"/>
          <w:highlight w:val="none"/>
          <w:lang w:val="en-US" w:eastAsia="zh-CN"/>
        </w:rPr>
        <w:t>8</w:t>
      </w:r>
      <w:r>
        <w:rPr>
          <w:rFonts w:hint="eastAsia" w:ascii="Arial" w:hAnsi="Times New Roman"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181</w:t>
      </w:r>
      <w:r>
        <w:rPr>
          <w:rFonts w:hint="eastAsia" w:ascii="Arial" w:hAnsi="Times New Roman" w:cs="Arial"/>
          <w:color w:val="auto"/>
          <w:kern w:val="0"/>
          <w:sz w:val="26"/>
          <w:szCs w:val="26"/>
          <w:highlight w:val="none"/>
          <w:lang w:eastAsia="zh-CN"/>
        </w:rPr>
        <w:t>号）；</w:t>
      </w:r>
    </w:p>
    <w:p w14:paraId="1D34177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51）《国家重点保护野生动物名录》（国家林业和草原局、农业农村部公告2021年第3号）；</w:t>
      </w:r>
    </w:p>
    <w:p w14:paraId="27B0451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52）《国家重点保护野生动物名录》（国家林业和草原局、农业农村部公告2021年第15号）；</w:t>
      </w:r>
    </w:p>
    <w:p w14:paraId="32D10A7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53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《中共中央办公厅</w:t>
      </w:r>
      <w:r>
        <w:rPr>
          <w:rFonts w:ascii="Arial" w:hAnsi="Times New Roman" w:eastAsia="宋体" w:cs="Arial"/>
          <w:color w:val="auto"/>
          <w:kern w:val="0"/>
          <w:sz w:val="26"/>
          <w:szCs w:val="26"/>
          <w:highlight w:val="none"/>
        </w:rPr>
        <w:t xml:space="preserve"> </w:t>
      </w:r>
      <w:r>
        <w:rPr>
          <w:rFonts w:hint="eastAsia" w:ascii="Arial" w:hAnsi="Times New Roman" w:eastAsia="宋体" w:cs="Arial"/>
          <w:color w:val="auto"/>
          <w:kern w:val="0"/>
          <w:sz w:val="26"/>
          <w:szCs w:val="26"/>
          <w:highlight w:val="none"/>
        </w:rPr>
        <w:t>国务院办公厅印发</w:t>
      </w:r>
      <w:r>
        <w:rPr>
          <w:rFonts w:ascii="Arial" w:hAnsi="Times New Roman" w:eastAsia="宋体" w:cs="Arial"/>
          <w:color w:val="auto"/>
          <w:kern w:val="0"/>
          <w:sz w:val="26"/>
          <w:szCs w:val="26"/>
          <w:highlight w:val="none"/>
        </w:rPr>
        <w:t>&lt;</w:t>
      </w:r>
      <w:r>
        <w:rPr>
          <w:rFonts w:hint="eastAsia" w:ascii="Arial" w:hAnsi="Times New Roman" w:eastAsia="宋体" w:cs="Arial"/>
          <w:color w:val="auto"/>
          <w:kern w:val="0"/>
          <w:sz w:val="26"/>
          <w:szCs w:val="26"/>
          <w:highlight w:val="none"/>
        </w:rPr>
        <w:t>关于在国土空间规划中统筹划定落实三条控制线的指导意见</w:t>
      </w:r>
      <w:r>
        <w:rPr>
          <w:rFonts w:ascii="Arial" w:hAnsi="Times New Roman" w:eastAsia="宋体" w:cs="Arial"/>
          <w:color w:val="auto"/>
          <w:kern w:val="0"/>
          <w:sz w:val="26"/>
          <w:szCs w:val="26"/>
          <w:highlight w:val="none"/>
        </w:rPr>
        <w:t>&gt;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2019</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11</w:t>
      </w:r>
      <w:r>
        <w:rPr>
          <w:rFonts w:hint="eastAsia" w:ascii="Arial" w:hAnsi="Times New Roman" w:eastAsia="宋体" w:cs="Arial"/>
          <w:color w:val="auto"/>
          <w:kern w:val="0"/>
          <w:sz w:val="26"/>
          <w:szCs w:val="26"/>
          <w:highlight w:val="none"/>
        </w:rPr>
        <w:t>月；</w:t>
      </w:r>
    </w:p>
    <w:p w14:paraId="62FF939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54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《中共中央办公厅、国务院办公厅印发</w:t>
      </w:r>
      <w:r>
        <w:rPr>
          <w:rFonts w:ascii="Arial" w:hAnsi="Times New Roman" w:eastAsia="宋体" w:cs="Arial"/>
          <w:color w:val="auto"/>
          <w:kern w:val="0"/>
          <w:sz w:val="26"/>
          <w:szCs w:val="26"/>
          <w:highlight w:val="none"/>
        </w:rPr>
        <w:t>&lt;</w:t>
      </w:r>
      <w:r>
        <w:rPr>
          <w:rFonts w:hint="eastAsia" w:ascii="Arial" w:hAnsi="Times New Roman" w:eastAsia="宋体" w:cs="Arial"/>
          <w:color w:val="auto"/>
          <w:kern w:val="0"/>
          <w:sz w:val="26"/>
          <w:szCs w:val="26"/>
          <w:highlight w:val="none"/>
        </w:rPr>
        <w:t>关于划定并严守生态保护红线的若干意见</w:t>
      </w:r>
      <w:r>
        <w:rPr>
          <w:rFonts w:ascii="Arial" w:hAnsi="Times New Roman" w:eastAsia="宋体" w:cs="Arial"/>
          <w:color w:val="auto"/>
          <w:kern w:val="0"/>
          <w:sz w:val="26"/>
          <w:szCs w:val="26"/>
          <w:highlight w:val="none"/>
        </w:rPr>
        <w:t>&gt;</w:t>
      </w:r>
      <w:r>
        <w:rPr>
          <w:rFonts w:hint="eastAsia" w:ascii="Arial" w:hAnsi="Times New Roman" w:eastAsia="宋体" w:cs="Arial"/>
          <w:color w:val="auto"/>
          <w:kern w:val="0"/>
          <w:sz w:val="26"/>
          <w:szCs w:val="26"/>
          <w:highlight w:val="none"/>
        </w:rPr>
        <w:t>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厅字</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2017</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w:t>
      </w:r>
    </w:p>
    <w:p w14:paraId="6D39C3C4">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ascii="Arial" w:hAnsi="Arial" w:eastAsia="宋体" w:cs="Arial"/>
          <w:b/>
          <w:color w:val="auto"/>
          <w:kern w:val="0"/>
          <w:sz w:val="26"/>
          <w:szCs w:val="20"/>
          <w:highlight w:val="none"/>
        </w:rPr>
      </w:pPr>
      <w:bookmarkStart w:id="18" w:name="_Toc36040977"/>
      <w:bookmarkStart w:id="19" w:name="_Toc34987778"/>
      <w:r>
        <w:rPr>
          <w:rFonts w:ascii="Arial" w:hAnsi="Arial" w:eastAsia="宋体" w:cs="Arial"/>
          <w:b/>
          <w:color w:val="auto"/>
          <w:kern w:val="0"/>
          <w:sz w:val="26"/>
          <w:szCs w:val="20"/>
          <w:highlight w:val="none"/>
        </w:rPr>
        <w:t>1.</w:t>
      </w:r>
      <w:r>
        <w:rPr>
          <w:rFonts w:hint="eastAsia" w:ascii="Arial" w:hAnsi="Arial" w:cs="Arial"/>
          <w:b/>
          <w:color w:val="auto"/>
          <w:kern w:val="0"/>
          <w:sz w:val="26"/>
          <w:szCs w:val="20"/>
          <w:highlight w:val="none"/>
          <w:lang w:val="en-US" w:eastAsia="zh-CN"/>
        </w:rPr>
        <w:t>3</w:t>
      </w:r>
      <w:r>
        <w:rPr>
          <w:rFonts w:ascii="Arial" w:hAnsi="Arial" w:eastAsia="宋体" w:cs="Arial"/>
          <w:b/>
          <w:color w:val="auto"/>
          <w:kern w:val="0"/>
          <w:sz w:val="26"/>
          <w:szCs w:val="20"/>
          <w:highlight w:val="none"/>
        </w:rPr>
        <w:t>.2 地方法规及规范性文件</w:t>
      </w:r>
      <w:bookmarkEnd w:id="18"/>
      <w:bookmarkEnd w:id="19"/>
    </w:p>
    <w:p w14:paraId="7B18121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（1）《重庆市环境保护条例》，2018年7月26日修正；</w:t>
      </w:r>
    </w:p>
    <w:p w14:paraId="44ABCE6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（2）《重庆市大气污染防治条例》，2021年5月27日修正；</w:t>
      </w:r>
    </w:p>
    <w:p w14:paraId="782C1CB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（3）《重庆市水污染防治条例》，2020年10月1日施行；</w:t>
      </w:r>
    </w:p>
    <w:p w14:paraId="0D385147">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（4）《重庆市噪声污染防治办法》，20</w:t>
      </w:r>
      <w:r>
        <w:rPr>
          <w:rFonts w:hint="eastAsia" w:ascii="Arial"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lang w:eastAsia="zh-CN"/>
        </w:rPr>
        <w:t>年</w:t>
      </w:r>
      <w:r>
        <w:rPr>
          <w:rFonts w:hint="eastAsia" w:ascii="Arial" w:cs="Arial"/>
          <w:color w:val="auto"/>
          <w:kern w:val="0"/>
          <w:sz w:val="26"/>
          <w:szCs w:val="26"/>
          <w:highlight w:val="none"/>
          <w:lang w:val="en-US" w:eastAsia="zh-CN"/>
        </w:rPr>
        <w:t>2月1日施行</w:t>
      </w:r>
      <w:r>
        <w:rPr>
          <w:rFonts w:hint="eastAsia" w:ascii="Arial" w:hAnsi="Times New Roman" w:eastAsia="宋体" w:cs="Arial"/>
          <w:color w:val="auto"/>
          <w:kern w:val="0"/>
          <w:sz w:val="26"/>
          <w:szCs w:val="26"/>
          <w:highlight w:val="none"/>
          <w:lang w:eastAsia="zh-CN"/>
        </w:rPr>
        <w:t>；</w:t>
      </w:r>
    </w:p>
    <w:p w14:paraId="58EEDDF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重庆市水资源管理条例（修订案）</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2022年5月1日起施行）；</w:t>
      </w:r>
    </w:p>
    <w:p w14:paraId="4CF658E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重庆市林业局</w:t>
      </w:r>
      <w:r>
        <w:rPr>
          <w:rFonts w:hint="eastAsia" w:ascii="Arial" w:cs="Arial"/>
          <w:color w:val="auto"/>
          <w:kern w:val="0"/>
          <w:sz w:val="26"/>
          <w:szCs w:val="26"/>
          <w:highlight w:val="none"/>
          <w:lang w:val="en-US" w:eastAsia="zh-CN"/>
        </w:rPr>
        <w:t xml:space="preserve"> 重庆市农业农村委员会关于印发《重庆市重点保护野生动物名录》和《重庆市重点保护野生植物名录》的通知（渝林规范</w:t>
      </w:r>
      <w:r>
        <w:rPr>
          <w:rFonts w:hint="eastAsia" w:ascii="Arial" w:hAnsi="Times New Roman" w:eastAsia="宋体" w:cs="Arial"/>
          <w:color w:val="auto"/>
          <w:kern w:val="0"/>
          <w:sz w:val="26"/>
          <w:szCs w:val="26"/>
          <w:highlight w:val="none"/>
          <w:lang w:eastAsia="zh-CN"/>
        </w:rPr>
        <w:t>〔20</w:t>
      </w:r>
      <w:r>
        <w:rPr>
          <w:rFonts w:hint="eastAsia" w:ascii="Arial" w:hAnsi="Times New Roman" w:eastAsia="宋体" w:cs="Arial"/>
          <w:color w:val="auto"/>
          <w:kern w:val="0"/>
          <w:sz w:val="26"/>
          <w:szCs w:val="26"/>
          <w:highlight w:val="none"/>
          <w:lang w:val="en-US" w:eastAsia="zh-CN"/>
        </w:rPr>
        <w:t>23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号</w:t>
      </w:r>
      <w:r>
        <w:rPr>
          <w:rFonts w:hint="eastAsia" w:ascii="Arial"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w:t>
      </w:r>
    </w:p>
    <w:p w14:paraId="3AA5E59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）《重庆市声环境功能区划分技术规范实施细则（试行）》（渝环〔2015〕429号）；</w:t>
      </w:r>
    </w:p>
    <w:p w14:paraId="4874BD0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）《重庆市环境空气质量功能区划分规定》（渝府发〔2016〕19号）；</w:t>
      </w:r>
    </w:p>
    <w:p w14:paraId="1CE0E77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）《重庆市人民政府关于贯彻落实大气污染防治行动计划的实施意见》（渝府发〔2013〕86号）；</w:t>
      </w:r>
    </w:p>
    <w:p w14:paraId="211E786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10</w:t>
      </w:r>
      <w:r>
        <w:rPr>
          <w:rFonts w:hint="eastAsia" w:ascii="Arial" w:hAnsi="Times New Roman" w:eastAsia="宋体" w:cs="Arial"/>
          <w:color w:val="auto"/>
          <w:kern w:val="0"/>
          <w:sz w:val="26"/>
          <w:szCs w:val="26"/>
          <w:highlight w:val="none"/>
          <w:lang w:eastAsia="zh-CN"/>
        </w:rPr>
        <w:t>）《重庆市人民政府批转重庆市地表水环境功能类别调整方案的通知》（渝府发〔2012〕4号）；</w:t>
      </w:r>
    </w:p>
    <w:p w14:paraId="65B3564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）《重庆市人民政府关于批转重庆市地表水环境功能类别局部调整方案的通知》（渝府〔2016〕43号）；</w:t>
      </w:r>
    </w:p>
    <w:p w14:paraId="0CCD026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）《重庆市</w:t>
      </w:r>
      <w:r>
        <w:rPr>
          <w:rFonts w:hint="eastAsia" w:ascii="Arial" w:cs="Arial"/>
          <w:color w:val="auto"/>
          <w:kern w:val="0"/>
          <w:sz w:val="26"/>
          <w:szCs w:val="26"/>
          <w:highlight w:val="none"/>
          <w:lang w:eastAsia="zh-CN"/>
        </w:rPr>
        <w:t>河道管理范围内建设项目管理办法（修订）</w:t>
      </w:r>
      <w:r>
        <w:rPr>
          <w:rFonts w:hint="eastAsia" w:ascii="Arial" w:hAnsi="Times New Roman" w:eastAsia="宋体" w:cs="Arial"/>
          <w:color w:val="auto"/>
          <w:kern w:val="0"/>
          <w:sz w:val="26"/>
          <w:szCs w:val="26"/>
          <w:highlight w:val="none"/>
          <w:lang w:eastAsia="zh-CN"/>
        </w:rPr>
        <w:t>》（渝府发〔20</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32</w:t>
      </w:r>
      <w:r>
        <w:rPr>
          <w:rFonts w:hint="eastAsia" w:ascii="Arial" w:hAnsi="Times New Roman" w:eastAsia="宋体" w:cs="Arial"/>
          <w:color w:val="auto"/>
          <w:kern w:val="0"/>
          <w:sz w:val="26"/>
          <w:szCs w:val="26"/>
          <w:highlight w:val="none"/>
          <w:lang w:eastAsia="zh-CN"/>
        </w:rPr>
        <w:t xml:space="preserve">号）； </w:t>
      </w:r>
    </w:p>
    <w:p w14:paraId="52EF150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）《重庆市人民政府</w:t>
      </w:r>
      <w:r>
        <w:rPr>
          <w:rFonts w:hint="eastAsia" w:ascii="Arial" w:cs="Arial"/>
          <w:color w:val="auto"/>
          <w:kern w:val="0"/>
          <w:sz w:val="26"/>
          <w:szCs w:val="26"/>
          <w:highlight w:val="none"/>
          <w:lang w:eastAsia="zh-CN"/>
        </w:rPr>
        <w:t>关于实行最严格水资源管理制度的实施意见</w:t>
      </w:r>
      <w:r>
        <w:rPr>
          <w:rFonts w:hint="eastAsia" w:ascii="Arial" w:hAnsi="Times New Roman" w:eastAsia="宋体" w:cs="Arial"/>
          <w:color w:val="auto"/>
          <w:kern w:val="0"/>
          <w:sz w:val="26"/>
          <w:szCs w:val="26"/>
          <w:highlight w:val="none"/>
          <w:lang w:eastAsia="zh-CN"/>
        </w:rPr>
        <w:t>》（渝府</w:t>
      </w:r>
      <w:r>
        <w:rPr>
          <w:rFonts w:hint="eastAsia" w:ascii="Arial" w:cs="Arial"/>
          <w:color w:val="auto"/>
          <w:kern w:val="0"/>
          <w:sz w:val="26"/>
          <w:szCs w:val="26"/>
          <w:highlight w:val="none"/>
          <w:lang w:eastAsia="zh-CN"/>
        </w:rPr>
        <w:t>发</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63</w:t>
      </w:r>
      <w:r>
        <w:rPr>
          <w:rFonts w:hint="eastAsia" w:ascii="Arial" w:hAnsi="Times New Roman" w:eastAsia="宋体" w:cs="Arial"/>
          <w:color w:val="auto"/>
          <w:kern w:val="0"/>
          <w:sz w:val="26"/>
          <w:szCs w:val="26"/>
          <w:highlight w:val="none"/>
          <w:lang w:eastAsia="zh-CN"/>
        </w:rPr>
        <w:t>号）；</w:t>
      </w:r>
    </w:p>
    <w:p w14:paraId="6CBD0BF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lang w:eastAsia="zh-CN"/>
        </w:rPr>
        <w:t>）《重庆市</w:t>
      </w:r>
      <w:r>
        <w:rPr>
          <w:rFonts w:hint="eastAsia" w:ascii="Arial" w:cs="Arial"/>
          <w:color w:val="auto"/>
          <w:kern w:val="0"/>
          <w:sz w:val="26"/>
          <w:szCs w:val="26"/>
          <w:highlight w:val="none"/>
          <w:lang w:eastAsia="zh-CN"/>
        </w:rPr>
        <w:t>人民政府关于加强集中式饮用水源保护工作的通知</w:t>
      </w:r>
      <w:r>
        <w:rPr>
          <w:rFonts w:hint="eastAsia" w:ascii="Arial" w:hAnsi="Times New Roman" w:eastAsia="宋体" w:cs="Arial"/>
          <w:color w:val="auto"/>
          <w:kern w:val="0"/>
          <w:sz w:val="26"/>
          <w:szCs w:val="26"/>
          <w:highlight w:val="none"/>
          <w:lang w:eastAsia="zh-CN"/>
        </w:rPr>
        <w:t>》</w:t>
      </w:r>
      <w:bookmarkStart w:id="20" w:name="gwz"/>
      <w:r>
        <w:rPr>
          <w:rFonts w:hint="eastAsia" w:ascii="Arial" w:hAnsi="Times New Roman" w:eastAsia="宋体" w:cs="Arial"/>
          <w:color w:val="auto"/>
          <w:kern w:val="0"/>
          <w:sz w:val="26"/>
          <w:szCs w:val="26"/>
          <w:highlight w:val="none"/>
          <w:lang w:eastAsia="zh-CN"/>
        </w:rPr>
        <w:t>（渝</w:t>
      </w:r>
      <w:r>
        <w:rPr>
          <w:rFonts w:hint="eastAsia" w:ascii="Arial" w:cs="Arial"/>
          <w:color w:val="auto"/>
          <w:kern w:val="0"/>
          <w:sz w:val="26"/>
          <w:szCs w:val="26"/>
          <w:highlight w:val="none"/>
          <w:lang w:eastAsia="zh-CN"/>
        </w:rPr>
        <w:t>府发</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63</w:t>
      </w:r>
      <w:r>
        <w:rPr>
          <w:rFonts w:hint="eastAsia" w:ascii="Arial" w:hAnsi="Times New Roman" w:eastAsia="宋体" w:cs="Arial"/>
          <w:color w:val="auto"/>
          <w:kern w:val="0"/>
          <w:sz w:val="26"/>
          <w:szCs w:val="26"/>
          <w:highlight w:val="none"/>
          <w:lang w:eastAsia="zh-CN"/>
        </w:rPr>
        <w:t>号</w:t>
      </w:r>
      <w:bookmarkEnd w:id="20"/>
      <w:r>
        <w:rPr>
          <w:rFonts w:hint="eastAsia" w:ascii="Arial" w:hAnsi="Times New Roman" w:eastAsia="宋体" w:cs="Arial"/>
          <w:color w:val="auto"/>
          <w:kern w:val="0"/>
          <w:sz w:val="26"/>
          <w:szCs w:val="26"/>
          <w:highlight w:val="none"/>
          <w:lang w:eastAsia="zh-CN"/>
        </w:rPr>
        <w:t>）；</w:t>
      </w:r>
    </w:p>
    <w:p w14:paraId="061278E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 《重庆市饮用水源污染防治办法》（重庆市人民政府令第159号）；</w:t>
      </w:r>
    </w:p>
    <w:p w14:paraId="14B5D017">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 《重庆市人民政府办公厅关于印发重庆市生态功能区保护和建设规划（2010</w:t>
      </w:r>
      <w:r>
        <w:rPr>
          <w:rFonts w:hint="eastAsia" w:ascii="Arial"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2030）的通知》，渝办发〔2011〕167号；</w:t>
      </w:r>
    </w:p>
    <w:p w14:paraId="04D4B8B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 《重庆市人民政府关于印发重庆市贯彻落实土壤污染防治行动计划工作方案的通知》（渝府发〔2016〕50号）；</w:t>
      </w:r>
    </w:p>
    <w:p w14:paraId="6F01185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）《四川省推动长江经济带发展领导小组办公室、重庆市推动长江经济带发展领导小组办公室关于印发〈四川省、重庆市长江经济带发展负面清单实施细则（试行，2022 年版）〉的通知》（川长江办〔2022〕17 号）；</w:t>
      </w:r>
    </w:p>
    <w:p w14:paraId="2407EF3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）《重庆市发展和改革委员会关于印发重庆市产业投资准入工作手册的通知》（渝发改</w:t>
      </w:r>
      <w:r>
        <w:rPr>
          <w:rFonts w:hint="eastAsia" w:ascii="Arial" w:cs="Arial"/>
          <w:color w:val="auto"/>
          <w:kern w:val="0"/>
          <w:sz w:val="26"/>
          <w:szCs w:val="26"/>
          <w:highlight w:val="none"/>
          <w:lang w:eastAsia="zh-CN"/>
        </w:rPr>
        <w:t>投资</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22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1436</w:t>
      </w:r>
      <w:r>
        <w:rPr>
          <w:rFonts w:hint="eastAsia" w:ascii="Arial" w:hAnsi="Times New Roman" w:eastAsia="宋体" w:cs="Arial"/>
          <w:color w:val="auto"/>
          <w:kern w:val="0"/>
          <w:sz w:val="26"/>
          <w:szCs w:val="26"/>
          <w:highlight w:val="none"/>
          <w:lang w:eastAsia="zh-CN"/>
        </w:rPr>
        <w:t>号） ；</w:t>
      </w:r>
    </w:p>
    <w:p w14:paraId="38B58A9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20</w:t>
      </w:r>
      <w:r>
        <w:rPr>
          <w:rFonts w:hint="eastAsia" w:ascii="Arial" w:hAnsi="Times New Roman" w:eastAsia="宋体" w:cs="Arial"/>
          <w:color w:val="auto"/>
          <w:kern w:val="0"/>
          <w:sz w:val="26"/>
          <w:szCs w:val="26"/>
          <w:highlight w:val="none"/>
          <w:lang w:eastAsia="zh-CN"/>
        </w:rPr>
        <w:t>） 《重庆市生态功能区划（修编）》（2009年2月10</w:t>
      </w:r>
      <w:r>
        <w:rPr>
          <w:rFonts w:hint="eastAsia" w:ascii="Arial" w:cs="Arial"/>
          <w:color w:val="auto"/>
          <w:kern w:val="0"/>
          <w:sz w:val="26"/>
          <w:szCs w:val="26"/>
          <w:highlight w:val="none"/>
          <w:lang w:val="en-US" w:eastAsia="zh-CN"/>
        </w:rPr>
        <w:t>日</w:t>
      </w:r>
      <w:r>
        <w:rPr>
          <w:rFonts w:hint="eastAsia" w:ascii="Arial" w:hAnsi="Times New Roman" w:eastAsia="宋体" w:cs="Arial"/>
          <w:color w:val="auto"/>
          <w:kern w:val="0"/>
          <w:sz w:val="26"/>
          <w:szCs w:val="26"/>
          <w:highlight w:val="none"/>
          <w:lang w:eastAsia="zh-CN"/>
        </w:rPr>
        <w:t>）；</w:t>
      </w:r>
    </w:p>
    <w:p w14:paraId="16FA55F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）《重庆市人民政府关于重庆市生态功能区划的批复》（渝府〔2006〕162号）；</w:t>
      </w:r>
    </w:p>
    <w:p w14:paraId="6DC9567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bookmarkStart w:id="21" w:name="tbx_bt"/>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重庆市发展和改革委员会</w:t>
      </w:r>
      <w:r>
        <w:rPr>
          <w:rFonts w:hint="eastAsia" w:ascii="Arial" w:cs="Arial"/>
          <w:color w:val="auto"/>
          <w:kern w:val="0"/>
          <w:sz w:val="26"/>
          <w:szCs w:val="26"/>
          <w:highlight w:val="none"/>
          <w:lang w:val="en-US" w:eastAsia="zh-CN"/>
        </w:rPr>
        <w:t xml:space="preserve"> 重庆市水利局 重庆市生态环境局 重庆市能源局印发关于严控新建水电项目的</w:t>
      </w:r>
      <w:r>
        <w:rPr>
          <w:rFonts w:hint="eastAsia" w:ascii="Arial" w:hAnsi="Times New Roman" w:eastAsia="宋体" w:cs="Arial"/>
          <w:color w:val="auto"/>
          <w:kern w:val="0"/>
          <w:sz w:val="26"/>
          <w:szCs w:val="26"/>
          <w:highlight w:val="none"/>
          <w:lang w:eastAsia="zh-CN"/>
        </w:rPr>
        <w:t>通知》（渝</w:t>
      </w:r>
      <w:r>
        <w:rPr>
          <w:rFonts w:hint="eastAsia" w:ascii="Arial" w:cs="Arial"/>
          <w:color w:val="auto"/>
          <w:kern w:val="0"/>
          <w:sz w:val="26"/>
          <w:szCs w:val="26"/>
          <w:highlight w:val="none"/>
          <w:lang w:eastAsia="zh-CN"/>
        </w:rPr>
        <w:t>发改能源</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19</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517</w:t>
      </w:r>
      <w:r>
        <w:rPr>
          <w:rFonts w:hint="eastAsia" w:ascii="Arial" w:hAnsi="Times New Roman" w:eastAsia="宋体" w:cs="Arial"/>
          <w:color w:val="auto"/>
          <w:kern w:val="0"/>
          <w:sz w:val="26"/>
          <w:szCs w:val="26"/>
          <w:highlight w:val="none"/>
          <w:lang w:eastAsia="zh-CN"/>
        </w:rPr>
        <w:t>号）；</w:t>
      </w:r>
      <w:bookmarkEnd w:id="21"/>
    </w:p>
    <w:p w14:paraId="202FFDE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《重庆市生态环境局关于印发</w:t>
      </w:r>
      <w:r>
        <w:rPr>
          <w:rFonts w:hint="eastAsia" w:ascii="Arial" w:cs="Arial"/>
          <w:color w:val="auto"/>
          <w:kern w:val="0"/>
          <w:sz w:val="26"/>
          <w:szCs w:val="26"/>
          <w:highlight w:val="none"/>
          <w:lang w:val="en-US" w:eastAsia="zh-CN"/>
        </w:rPr>
        <w:t>&lt;重庆市“三线一单”生态环境分区管控调整方案（2023年）的通知》（</w:t>
      </w:r>
      <w:r>
        <w:rPr>
          <w:rFonts w:hint="eastAsia" w:ascii="Arial" w:hAnsi="Times New Roman" w:eastAsia="宋体" w:cs="Arial"/>
          <w:color w:val="auto"/>
          <w:kern w:val="0"/>
          <w:sz w:val="26"/>
          <w:szCs w:val="26"/>
          <w:highlight w:val="none"/>
          <w:lang w:eastAsia="zh-CN"/>
        </w:rPr>
        <w:t>渝</w:t>
      </w:r>
      <w:r>
        <w:rPr>
          <w:rFonts w:hint="eastAsia" w:ascii="Arial" w:hAnsi="Times New Roman" w:cs="Arial"/>
          <w:color w:val="auto"/>
          <w:kern w:val="0"/>
          <w:sz w:val="26"/>
          <w:szCs w:val="26"/>
          <w:highlight w:val="none"/>
          <w:lang w:eastAsia="zh-CN"/>
        </w:rPr>
        <w:t>环规</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号）；</w:t>
      </w:r>
    </w:p>
    <w:p w14:paraId="78687B7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val="en-US" w:eastAsia="zh-CN"/>
        </w:rPr>
        <w:t>（24）《丰都县人民政府办公室关于印发&lt;丰都县“三线一单”生态环境分区管控调整方案（2023年）的通知》（</w:t>
      </w:r>
      <w:r>
        <w:rPr>
          <w:rFonts w:hint="eastAsia" w:ascii="Arial" w:hAnsi="Times New Roman" w:cs="Arial"/>
          <w:color w:val="auto"/>
          <w:kern w:val="0"/>
          <w:sz w:val="26"/>
          <w:szCs w:val="26"/>
          <w:highlight w:val="none"/>
          <w:lang w:eastAsia="zh-CN"/>
        </w:rPr>
        <w:t>丰都府办</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77</w:t>
      </w:r>
      <w:r>
        <w:rPr>
          <w:rFonts w:hint="eastAsia" w:ascii="Arial" w:hAnsi="Times New Roman" w:eastAsia="宋体" w:cs="Arial"/>
          <w:color w:val="auto"/>
          <w:kern w:val="0"/>
          <w:sz w:val="26"/>
          <w:szCs w:val="26"/>
          <w:highlight w:val="none"/>
          <w:lang w:eastAsia="zh-CN"/>
        </w:rPr>
        <w:t>号）；</w:t>
      </w:r>
    </w:p>
    <w:p w14:paraId="331F99B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）《重庆市人民政府关于印发重庆市国民经济和社会发展第十四个五年规划和二〇三五年远景目标纲要的通知》（渝府发〔2021〕6号）；</w:t>
      </w:r>
    </w:p>
    <w:p w14:paraId="7D38322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）《重庆市生态环境保护“十四五”规划（2021</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2025年）》（渝府发〔2022〕11号）；</w:t>
      </w:r>
    </w:p>
    <w:p w14:paraId="61B04C7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）《重庆市生态环境局关于印发&lt;规划环评“三线一单”符合性分析技术要点（试行）&gt;&lt;建设项目环评“三线一单”符合性分析技术要点（试行）&gt;的通知》（渝环函〔2022〕397号）</w:t>
      </w:r>
      <w:r>
        <w:rPr>
          <w:rFonts w:hint="eastAsia" w:ascii="Arial" w:cs="Arial"/>
          <w:color w:val="auto"/>
          <w:kern w:val="0"/>
          <w:sz w:val="26"/>
          <w:szCs w:val="26"/>
          <w:highlight w:val="none"/>
          <w:lang w:eastAsia="zh-CN"/>
        </w:rPr>
        <w:t>；</w:t>
      </w:r>
    </w:p>
    <w:p w14:paraId="2704424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cs="Arial"/>
          <w:color w:val="auto"/>
          <w:kern w:val="0"/>
          <w:sz w:val="26"/>
          <w:szCs w:val="26"/>
          <w:highlight w:val="none"/>
          <w:lang w:val="en-US" w:eastAsia="zh-CN"/>
        </w:rPr>
        <w:t>（28）</w:t>
      </w:r>
      <w:r>
        <w:rPr>
          <w:rFonts w:hint="eastAsia" w:ascii="Arial" w:hAnsi="Times New Roman" w:eastAsia="宋体" w:cs="Arial"/>
          <w:color w:val="auto"/>
          <w:kern w:val="0"/>
          <w:sz w:val="26"/>
          <w:szCs w:val="26"/>
          <w:highlight w:val="none"/>
          <w:lang w:eastAsia="zh-CN"/>
        </w:rPr>
        <w:t>《丰都县生态环境保护“十四五”规划和二〇三五年远景目标》（丰都府办〔2021〕61号）</w:t>
      </w:r>
    </w:p>
    <w:p w14:paraId="4B84D04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29）</w:t>
      </w:r>
      <w:r>
        <w:rPr>
          <w:rFonts w:hint="eastAsia" w:ascii="Arial" w:hAnsi="Times New Roman" w:eastAsia="宋体" w:cs="Arial"/>
          <w:color w:val="auto"/>
          <w:kern w:val="0"/>
          <w:sz w:val="26"/>
          <w:szCs w:val="26"/>
          <w:highlight w:val="none"/>
          <w:lang w:eastAsia="zh-CN"/>
        </w:rPr>
        <w:t>《重庆市三峡水库消落区管理办法》（渝府令〔2023〕358号）；</w:t>
      </w:r>
    </w:p>
    <w:p w14:paraId="5EE5D80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30）</w:t>
      </w:r>
      <w:r>
        <w:rPr>
          <w:rFonts w:hint="eastAsia" w:ascii="Arial" w:hAnsi="Times New Roman" w:eastAsia="宋体" w:cs="Arial"/>
          <w:color w:val="auto"/>
          <w:kern w:val="0"/>
          <w:sz w:val="26"/>
          <w:szCs w:val="26"/>
          <w:highlight w:val="none"/>
          <w:lang w:eastAsia="zh-CN"/>
        </w:rPr>
        <w:t>《丰都县国民经济和社会发展第十四个五年规划和</w:t>
      </w:r>
      <w:r>
        <w:rPr>
          <w:rFonts w:hint="eastAsia" w:ascii="Arial" w:cs="Arial"/>
          <w:color w:val="auto"/>
          <w:kern w:val="0"/>
          <w:sz w:val="26"/>
          <w:szCs w:val="26"/>
          <w:highlight w:val="none"/>
          <w:lang w:eastAsia="zh-CN"/>
        </w:rPr>
        <w:t>二〇三五年远景目标</w:t>
      </w:r>
      <w:r>
        <w:rPr>
          <w:rFonts w:hint="eastAsia" w:ascii="Arial" w:hAnsi="Times New Roman" w:eastAsia="宋体" w:cs="Arial"/>
          <w:color w:val="auto"/>
          <w:kern w:val="0"/>
          <w:sz w:val="26"/>
          <w:szCs w:val="26"/>
          <w:highlight w:val="none"/>
          <w:lang w:eastAsia="zh-CN"/>
        </w:rPr>
        <w:t>纲要》（丰都府办〔2021〕4号）</w:t>
      </w:r>
    </w:p>
    <w:p w14:paraId="3D782B9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31</w:t>
      </w:r>
      <w:r>
        <w:rPr>
          <w:rFonts w:hint="eastAsia" w:ascii="Arial" w:hAnsi="Times New Roman" w:eastAsia="宋体" w:cs="Arial"/>
          <w:color w:val="auto"/>
          <w:kern w:val="0"/>
          <w:sz w:val="26"/>
          <w:szCs w:val="26"/>
          <w:highlight w:val="none"/>
          <w:lang w:eastAsia="zh-CN"/>
        </w:rPr>
        <w:t>）《丰都县生态环境保护“十四五”规划和二〇三五年远景目标》（丰都府办〔2021〕61号）；</w:t>
      </w:r>
    </w:p>
    <w:p w14:paraId="01FD86D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32</w:t>
      </w:r>
      <w:r>
        <w:rPr>
          <w:rFonts w:hint="eastAsia" w:ascii="Arial" w:hAnsi="Times New Roman" w:eastAsia="宋体" w:cs="Arial"/>
          <w:color w:val="auto"/>
          <w:kern w:val="0"/>
          <w:sz w:val="26"/>
          <w:szCs w:val="26"/>
          <w:highlight w:val="none"/>
          <w:lang w:eastAsia="zh-CN"/>
        </w:rPr>
        <w:t>）《丰都县“十四五”水安全保障规划》（丰都府发〔2022〕2号）；</w:t>
      </w:r>
    </w:p>
    <w:p w14:paraId="04429CC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33</w:t>
      </w:r>
      <w:r>
        <w:rPr>
          <w:rFonts w:hint="eastAsia" w:ascii="Arial" w:hAnsi="Times New Roman" w:eastAsia="宋体" w:cs="Arial"/>
          <w:color w:val="auto"/>
          <w:kern w:val="0"/>
          <w:sz w:val="26"/>
          <w:szCs w:val="26"/>
          <w:highlight w:val="none"/>
          <w:lang w:eastAsia="zh-CN"/>
        </w:rPr>
        <w:t>）《丰都县水生态环境保护“十四五”规划》（丰都府办发〔2022〕22号）；</w:t>
      </w:r>
    </w:p>
    <w:p w14:paraId="7A8872A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34</w:t>
      </w:r>
      <w:r>
        <w:rPr>
          <w:rFonts w:hint="eastAsia" w:ascii="Arial" w:hAnsi="Times New Roman" w:eastAsia="宋体" w:cs="Arial"/>
          <w:color w:val="auto"/>
          <w:kern w:val="0"/>
          <w:sz w:val="26"/>
          <w:szCs w:val="26"/>
          <w:highlight w:val="none"/>
          <w:lang w:eastAsia="zh-CN"/>
        </w:rPr>
        <w:t>）《关于公布丰都县水土流失重点预防区和重点治理区复核划分成果的通知》（丰都府办发〔2018〕29号）</w:t>
      </w:r>
      <w:r>
        <w:rPr>
          <w:rFonts w:hint="eastAsia" w:ascii="Arial" w:hAnsi="Times New Roman" w:cs="Arial"/>
          <w:color w:val="auto"/>
          <w:kern w:val="0"/>
          <w:sz w:val="26"/>
          <w:szCs w:val="26"/>
          <w:highlight w:val="none"/>
          <w:lang w:eastAsia="zh-CN"/>
        </w:rPr>
        <w:t>；</w:t>
      </w:r>
    </w:p>
    <w:p w14:paraId="5A0396A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35</w:t>
      </w:r>
      <w:r>
        <w:rPr>
          <w:rFonts w:hint="eastAsia" w:ascii="Arial" w:hAnsi="Times New Roman" w:eastAsia="宋体" w:cs="Arial"/>
          <w:color w:val="auto"/>
          <w:kern w:val="0"/>
          <w:sz w:val="26"/>
          <w:szCs w:val="26"/>
          <w:highlight w:val="none"/>
          <w:lang w:eastAsia="zh-CN"/>
        </w:rPr>
        <w:t>）《重庆市人民政府办公厅关于调整各区县2030年用水总量控制目标的通知》（渝府办发〔2021〕147号）；</w:t>
      </w:r>
    </w:p>
    <w:p w14:paraId="0378FC6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36</w:t>
      </w:r>
      <w:r>
        <w:rPr>
          <w:rFonts w:hint="eastAsia" w:ascii="Arial" w:hAnsi="Times New Roman" w:eastAsia="宋体" w:cs="Arial"/>
          <w:color w:val="auto"/>
          <w:kern w:val="0"/>
          <w:sz w:val="26"/>
          <w:szCs w:val="26"/>
          <w:highlight w:val="none"/>
          <w:lang w:eastAsia="zh-CN"/>
        </w:rPr>
        <w:t>）《重庆市“十四五”用水总量和强度双控目标》；</w:t>
      </w:r>
    </w:p>
    <w:p w14:paraId="50FB131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37</w:t>
      </w:r>
      <w:r>
        <w:rPr>
          <w:rFonts w:hint="eastAsia" w:ascii="Arial" w:hAnsi="Times New Roman" w:eastAsia="宋体" w:cs="Arial"/>
          <w:color w:val="auto"/>
          <w:kern w:val="0"/>
          <w:sz w:val="26"/>
          <w:szCs w:val="26"/>
          <w:highlight w:val="none"/>
          <w:lang w:eastAsia="zh-CN"/>
        </w:rPr>
        <w:t>）《关于印发丰都县长江保护修复攻坚战实施方案的通知》（2020年1月10日）；</w:t>
      </w:r>
    </w:p>
    <w:p w14:paraId="40A304C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38</w:t>
      </w:r>
      <w:r>
        <w:rPr>
          <w:rFonts w:hint="eastAsia" w:ascii="Arial" w:hAnsi="Times New Roman" w:eastAsia="宋体" w:cs="Arial"/>
          <w:color w:val="auto"/>
          <w:kern w:val="0"/>
          <w:sz w:val="26"/>
          <w:szCs w:val="26"/>
          <w:highlight w:val="none"/>
          <w:lang w:eastAsia="zh-CN"/>
        </w:rPr>
        <w:t>）《重庆市水网建设规划》。</w:t>
      </w:r>
    </w:p>
    <w:p w14:paraId="30FC5FA4">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ascii="Arial" w:hAnsi="Arial" w:eastAsia="宋体" w:cs="Arial"/>
          <w:b/>
          <w:color w:val="auto"/>
          <w:kern w:val="0"/>
          <w:sz w:val="26"/>
          <w:szCs w:val="20"/>
          <w:highlight w:val="none"/>
        </w:rPr>
      </w:pPr>
      <w:bookmarkStart w:id="22" w:name="_Toc34987779"/>
      <w:bookmarkStart w:id="23" w:name="_Toc36040978"/>
      <w:r>
        <w:rPr>
          <w:rFonts w:ascii="Arial" w:hAnsi="Arial" w:eastAsia="宋体" w:cs="Arial"/>
          <w:b/>
          <w:color w:val="auto"/>
          <w:kern w:val="0"/>
          <w:sz w:val="26"/>
          <w:szCs w:val="20"/>
          <w:highlight w:val="none"/>
        </w:rPr>
        <w:t>1.</w:t>
      </w:r>
      <w:r>
        <w:rPr>
          <w:rFonts w:hint="eastAsia" w:ascii="Arial" w:hAnsi="Arial" w:cs="Arial"/>
          <w:b/>
          <w:color w:val="auto"/>
          <w:kern w:val="0"/>
          <w:sz w:val="26"/>
          <w:szCs w:val="20"/>
          <w:highlight w:val="none"/>
          <w:lang w:val="en-US" w:eastAsia="zh-CN"/>
        </w:rPr>
        <w:t>3</w:t>
      </w:r>
      <w:r>
        <w:rPr>
          <w:rFonts w:ascii="Arial" w:hAnsi="Arial" w:eastAsia="宋体" w:cs="Arial"/>
          <w:b/>
          <w:color w:val="auto"/>
          <w:kern w:val="0"/>
          <w:sz w:val="26"/>
          <w:szCs w:val="20"/>
          <w:highlight w:val="none"/>
        </w:rPr>
        <w:t xml:space="preserve">.3 </w:t>
      </w:r>
      <w:r>
        <w:rPr>
          <w:rFonts w:hint="eastAsia" w:ascii="Arial" w:hAnsi="Arial" w:eastAsia="宋体" w:cs="Arial"/>
          <w:b/>
          <w:color w:val="auto"/>
          <w:kern w:val="0"/>
          <w:sz w:val="26"/>
          <w:szCs w:val="20"/>
          <w:highlight w:val="none"/>
        </w:rPr>
        <w:t>环境影响评价技术规范和标准</w:t>
      </w:r>
      <w:bookmarkEnd w:id="22"/>
      <w:bookmarkEnd w:id="23"/>
    </w:p>
    <w:p w14:paraId="7C226AF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（1）《建设项目环境影响评价技术导则 总纲》（HJ2.1</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2016）；</w:t>
      </w:r>
    </w:p>
    <w:p w14:paraId="0765FC3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（2）《环境影响评价技术导则 声环境》（HJ2.4</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2021）；</w:t>
      </w:r>
    </w:p>
    <w:p w14:paraId="18D1A0E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（3）《环境影响评价技术导则 地表水环境》（HJ2.3</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2018）；</w:t>
      </w:r>
    </w:p>
    <w:p w14:paraId="6D11DC3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（4）《环境影响评价技术导则 生态影响》（HJ19</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2022）；</w:t>
      </w:r>
    </w:p>
    <w:p w14:paraId="64782E0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（5）《环境影响评价技术导则 大气环境》（HJ2.2</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2018）；</w:t>
      </w:r>
    </w:p>
    <w:p w14:paraId="5C08DA2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（6）《环境影响评价技术导则 地下水环境》（HJ610</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2016）；</w:t>
      </w:r>
    </w:p>
    <w:p w14:paraId="22B85AD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（7）《环境影响评价技术导则 土壤环境（试行）》（HJ964</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2018）；</w:t>
      </w:r>
    </w:p>
    <w:p w14:paraId="7095669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（8）《建设项目环境风险评价技术导则》（HJ169</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2018）；</w:t>
      </w:r>
    </w:p>
    <w:p w14:paraId="416D7B6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环境影响评价技术导则</w:t>
      </w:r>
      <w:r>
        <w:rPr>
          <w:rFonts w:hint="eastAsia" w:ascii="Arial" w:cs="Arial"/>
          <w:color w:val="auto"/>
          <w:kern w:val="0"/>
          <w:sz w:val="26"/>
          <w:szCs w:val="26"/>
          <w:highlight w:val="none"/>
          <w:lang w:val="en-US" w:eastAsia="zh-CN"/>
        </w:rPr>
        <w:t xml:space="preserve"> 水利水电工程</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HJ/T88-2003</w:t>
      </w:r>
      <w:r>
        <w:rPr>
          <w:rFonts w:hint="eastAsia" w:ascii="Arial" w:hAnsi="Times New Roman" w:eastAsia="宋体" w:cs="Arial"/>
          <w:color w:val="auto"/>
          <w:kern w:val="0"/>
          <w:sz w:val="26"/>
          <w:szCs w:val="26"/>
          <w:highlight w:val="none"/>
          <w:lang w:eastAsia="zh-CN"/>
        </w:rPr>
        <w:t>）；</w:t>
      </w:r>
    </w:p>
    <w:p w14:paraId="47650D2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0</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水利水电工程</w:t>
      </w:r>
      <w:r>
        <w:rPr>
          <w:rFonts w:hint="eastAsia" w:ascii="Arial" w:hAnsi="Times New Roman" w:eastAsia="宋体" w:cs="Arial"/>
          <w:color w:val="auto"/>
          <w:kern w:val="0"/>
          <w:sz w:val="26"/>
          <w:szCs w:val="26"/>
          <w:highlight w:val="none"/>
          <w:lang w:eastAsia="zh-CN"/>
        </w:rPr>
        <w:t>环境保护设计规范》（</w:t>
      </w:r>
      <w:r>
        <w:rPr>
          <w:rFonts w:hint="eastAsia" w:ascii="Arial" w:cs="Arial"/>
          <w:color w:val="auto"/>
          <w:kern w:val="0"/>
          <w:sz w:val="26"/>
          <w:szCs w:val="26"/>
          <w:highlight w:val="none"/>
          <w:lang w:val="en-US" w:eastAsia="zh-CN"/>
        </w:rPr>
        <w:t>SL492-2011</w:t>
      </w:r>
      <w:r>
        <w:rPr>
          <w:rFonts w:hint="eastAsia" w:ascii="Arial" w:hAnsi="Times New Roman" w:eastAsia="宋体" w:cs="Arial"/>
          <w:color w:val="auto"/>
          <w:kern w:val="0"/>
          <w:sz w:val="26"/>
          <w:szCs w:val="26"/>
          <w:highlight w:val="none"/>
          <w:lang w:eastAsia="zh-CN"/>
        </w:rPr>
        <w:t>）；</w:t>
      </w:r>
    </w:p>
    <w:p w14:paraId="6087667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《水利水电建设项目水资源论证导则》（</w:t>
      </w:r>
      <w:r>
        <w:rPr>
          <w:rFonts w:hint="eastAsia" w:ascii="Arial" w:cs="Arial"/>
          <w:color w:val="auto"/>
          <w:kern w:val="0"/>
          <w:sz w:val="26"/>
          <w:szCs w:val="26"/>
          <w:highlight w:val="none"/>
          <w:lang w:val="en-US" w:eastAsia="zh-CN"/>
        </w:rPr>
        <w:t>SL525-2011</w:t>
      </w:r>
      <w:r>
        <w:rPr>
          <w:rFonts w:hint="eastAsia" w:ascii="Arial" w:hAnsi="Times New Roman" w:eastAsia="宋体" w:cs="Arial"/>
          <w:color w:val="auto"/>
          <w:kern w:val="0"/>
          <w:sz w:val="26"/>
          <w:szCs w:val="26"/>
          <w:highlight w:val="none"/>
          <w:lang w:eastAsia="zh-CN"/>
        </w:rPr>
        <w:t>）；</w:t>
      </w:r>
    </w:p>
    <w:p w14:paraId="5C6AFD7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建设项目竣工环境保护验收技术规范</w:t>
      </w:r>
      <w:r>
        <w:rPr>
          <w:rFonts w:hint="eastAsia" w:ascii="Arial" w:cs="Arial"/>
          <w:color w:val="auto"/>
          <w:kern w:val="0"/>
          <w:sz w:val="26"/>
          <w:szCs w:val="26"/>
          <w:highlight w:val="none"/>
          <w:lang w:val="en-US" w:eastAsia="zh-CN"/>
        </w:rPr>
        <w:t xml:space="preserve"> 水利水电</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HJ464-2011）；</w:t>
      </w:r>
    </w:p>
    <w:p w14:paraId="18AD73F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kern w:val="0"/>
          <w:sz w:val="26"/>
          <w:szCs w:val="26"/>
          <w:highlight w:val="none"/>
          <w:lang w:val="en-US" w:eastAsia="zh-CN"/>
        </w:rPr>
      </w:pPr>
      <w:r>
        <w:rPr>
          <w:rFonts w:hint="eastAsia" w:ascii="Arial" w:cs="Arial"/>
          <w:color w:val="auto"/>
          <w:kern w:val="0"/>
          <w:sz w:val="26"/>
          <w:szCs w:val="26"/>
          <w:highlight w:val="none"/>
          <w:lang w:val="en-US" w:eastAsia="zh-CN"/>
        </w:rPr>
        <w:t>（13）《饮用水水源保护区划分技术规范》（HJ338-2018）；</w:t>
      </w:r>
    </w:p>
    <w:p w14:paraId="7FC0B4A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宋体" w:hAnsi="宋体" w:eastAsia="宋体" w:cs="宋体"/>
          <w:color w:val="auto"/>
          <w:kern w:val="0"/>
          <w:sz w:val="26"/>
          <w:szCs w:val="26"/>
          <w:highlight w:val="none"/>
          <w:lang w:val="en-US" w:eastAsia="zh-CN"/>
        </w:rPr>
      </w:pPr>
      <w:r>
        <w:rPr>
          <w:rFonts w:hint="eastAsia" w:ascii="Arial" w:cs="Arial"/>
          <w:color w:val="auto"/>
          <w:kern w:val="0"/>
          <w:sz w:val="26"/>
          <w:szCs w:val="26"/>
          <w:highlight w:val="none"/>
          <w:lang w:val="en-US" w:eastAsia="zh-CN"/>
        </w:rPr>
        <w:t>（14）《农村生活污染防</w:t>
      </w:r>
      <w:r>
        <w:rPr>
          <w:rFonts w:hint="eastAsia" w:ascii="Arial" w:hAnsi="Times New Roman" w:cs="Arial"/>
          <w:color w:val="auto"/>
          <w:kern w:val="0"/>
          <w:sz w:val="26"/>
          <w:szCs w:val="26"/>
          <w:highlight w:val="none"/>
          <w:lang w:val="en-US" w:eastAsia="zh-CN"/>
        </w:rPr>
        <w:t>治技术正常》（环发〔2010〕20号）；</w:t>
      </w:r>
    </w:p>
    <w:p w14:paraId="710A1EC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eastAsia="宋体" w:cs="Arial"/>
          <w:color w:val="auto"/>
          <w:kern w:val="0"/>
          <w:sz w:val="26"/>
          <w:szCs w:val="26"/>
          <w:highlight w:val="none"/>
          <w:lang w:val="en-US" w:eastAsia="zh-CN"/>
        </w:rPr>
        <w:t>（1</w:t>
      </w:r>
      <w:r>
        <w:rPr>
          <w:rFonts w:hint="eastAsia" w:ascii="Arial" w:hAnsi="Times New Roman"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val="en-US" w:eastAsia="zh-CN"/>
        </w:rPr>
        <w:t>）《区域生物多样性评价标准》</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 623-2011</w:t>
      </w:r>
      <w:r>
        <w:rPr>
          <w:rFonts w:hint="eastAsia" w:ascii="Arial" w:hAnsi="Times New Roman" w:cs="Arial"/>
          <w:color w:val="auto"/>
          <w:kern w:val="0"/>
          <w:sz w:val="26"/>
          <w:szCs w:val="26"/>
          <w:highlight w:val="none"/>
          <w:lang w:val="en-US" w:eastAsia="zh-CN"/>
        </w:rPr>
        <w:t>）；</w:t>
      </w:r>
    </w:p>
    <w:p w14:paraId="1EA857C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（16）</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内陆水域鱼类》</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HJ710.7-2014</w:t>
      </w:r>
      <w:r>
        <w:rPr>
          <w:rFonts w:hint="eastAsia" w:ascii="Arial" w:hAnsi="Times New Roman" w:cs="Arial"/>
          <w:color w:val="auto"/>
          <w:kern w:val="0"/>
          <w:sz w:val="26"/>
          <w:szCs w:val="26"/>
          <w:highlight w:val="none"/>
          <w:lang w:val="en-US" w:eastAsia="zh-CN"/>
        </w:rPr>
        <w:t>）；</w:t>
      </w:r>
    </w:p>
    <w:p w14:paraId="547D121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（17）</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淡水底栖大型无脊椎动物》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HJ710.7-</w:t>
      </w:r>
    </w:p>
    <w:p w14:paraId="3244326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eastAsia="宋体" w:cs="Arial"/>
          <w:color w:val="auto"/>
          <w:kern w:val="0"/>
          <w:sz w:val="26"/>
          <w:szCs w:val="26"/>
          <w:highlight w:val="none"/>
          <w:lang w:val="en-US" w:eastAsia="zh-CN"/>
        </w:rPr>
        <w:t>2014</w:t>
      </w:r>
      <w:r>
        <w:rPr>
          <w:rFonts w:hint="eastAsia" w:ascii="Arial" w:hAnsi="Times New Roman" w:cs="Arial"/>
          <w:color w:val="auto"/>
          <w:kern w:val="0"/>
          <w:sz w:val="26"/>
          <w:szCs w:val="26"/>
          <w:highlight w:val="none"/>
          <w:lang w:val="en-US" w:eastAsia="zh-CN"/>
        </w:rPr>
        <w:t>）；</w:t>
      </w:r>
    </w:p>
    <w:p w14:paraId="0EC4027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（18）</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陆生维管植物》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HJ710.1-2014</w:t>
      </w:r>
      <w:r>
        <w:rPr>
          <w:rFonts w:hint="eastAsia" w:ascii="Arial" w:hAnsi="Times New Roman" w:cs="Arial"/>
          <w:color w:val="auto"/>
          <w:kern w:val="0"/>
          <w:sz w:val="26"/>
          <w:szCs w:val="26"/>
          <w:highlight w:val="none"/>
          <w:lang w:val="en-US" w:eastAsia="zh-CN"/>
        </w:rPr>
        <w:t>）；</w:t>
      </w:r>
    </w:p>
    <w:p w14:paraId="124FEFE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（19）</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两栖动物》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HJ710.6-2014</w:t>
      </w:r>
      <w:r>
        <w:rPr>
          <w:rFonts w:hint="eastAsia" w:ascii="Arial" w:hAnsi="Times New Roman" w:cs="Arial"/>
          <w:color w:val="auto"/>
          <w:kern w:val="0"/>
          <w:sz w:val="26"/>
          <w:szCs w:val="26"/>
          <w:highlight w:val="none"/>
          <w:lang w:val="en-US" w:eastAsia="zh-CN"/>
        </w:rPr>
        <w:t>）；</w:t>
      </w:r>
    </w:p>
    <w:p w14:paraId="4CA86E0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（20）</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爬行动物》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HJ710.5-2014</w:t>
      </w:r>
      <w:r>
        <w:rPr>
          <w:rFonts w:hint="eastAsia" w:ascii="Arial" w:hAnsi="Times New Roman" w:cs="Arial"/>
          <w:color w:val="auto"/>
          <w:kern w:val="0"/>
          <w:sz w:val="26"/>
          <w:szCs w:val="26"/>
          <w:highlight w:val="none"/>
          <w:lang w:val="en-US" w:eastAsia="zh-CN"/>
        </w:rPr>
        <w:t>）；</w:t>
      </w:r>
    </w:p>
    <w:p w14:paraId="6C86FDE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（21）</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鸟类》</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HJ710.4-2014</w:t>
      </w:r>
      <w:r>
        <w:rPr>
          <w:rFonts w:hint="eastAsia" w:ascii="Arial" w:hAnsi="Times New Roman" w:cs="Arial"/>
          <w:color w:val="auto"/>
          <w:kern w:val="0"/>
          <w:sz w:val="26"/>
          <w:szCs w:val="26"/>
          <w:highlight w:val="none"/>
          <w:lang w:val="en-US" w:eastAsia="zh-CN"/>
        </w:rPr>
        <w:t>）；</w:t>
      </w:r>
    </w:p>
    <w:p w14:paraId="1B142C0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（22）</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陆生哺乳动物》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HJ710.3-2014</w:t>
      </w:r>
      <w:r>
        <w:rPr>
          <w:rFonts w:hint="eastAsia" w:ascii="Arial" w:hAnsi="Times New Roman" w:cs="Arial"/>
          <w:color w:val="auto"/>
          <w:kern w:val="0"/>
          <w:sz w:val="26"/>
          <w:szCs w:val="26"/>
          <w:highlight w:val="none"/>
          <w:lang w:val="en-US" w:eastAsia="zh-CN"/>
        </w:rPr>
        <w:t>）；</w:t>
      </w:r>
    </w:p>
    <w:p w14:paraId="0219D54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（23）</w:t>
      </w:r>
      <w:r>
        <w:rPr>
          <w:rFonts w:hint="eastAsia" w:ascii="Arial" w:hAnsi="Times New Roman" w:eastAsia="宋体" w:cs="Arial"/>
          <w:color w:val="auto"/>
          <w:kern w:val="0"/>
          <w:sz w:val="26"/>
          <w:szCs w:val="26"/>
          <w:highlight w:val="none"/>
          <w:lang w:val="en-US" w:eastAsia="zh-CN"/>
        </w:rPr>
        <w:t>《水库渔业资源调查规范》</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SL167-2014</w:t>
      </w:r>
      <w:r>
        <w:rPr>
          <w:rFonts w:hint="eastAsia" w:ascii="Arial" w:hAnsi="Times New Roman" w:cs="Arial"/>
          <w:color w:val="auto"/>
          <w:kern w:val="0"/>
          <w:sz w:val="26"/>
          <w:szCs w:val="26"/>
          <w:highlight w:val="none"/>
          <w:lang w:val="en-US" w:eastAsia="zh-CN"/>
        </w:rPr>
        <w:t>）；</w:t>
      </w:r>
    </w:p>
    <w:p w14:paraId="7A58BB6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lang w:val="en-US" w:eastAsia="zh-CN"/>
        </w:rPr>
        <w:t>《外来物种环境风险评估技术导则》</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 624-2011</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w:t>
      </w:r>
    </w:p>
    <w:p w14:paraId="79D325D0">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eastAsia="zh-CN"/>
        </w:rPr>
      </w:pPr>
      <w:bookmarkStart w:id="24" w:name="_Toc36040979"/>
      <w:bookmarkStart w:id="25" w:name="_Toc34987780"/>
      <w:r>
        <w:rPr>
          <w:rFonts w:hint="eastAsia" w:ascii="Arial" w:hAnsi="Arial" w:eastAsia="宋体" w:cs="Arial"/>
          <w:b/>
          <w:color w:val="auto"/>
          <w:kern w:val="0"/>
          <w:sz w:val="26"/>
          <w:szCs w:val="20"/>
          <w:highlight w:val="none"/>
          <w:lang w:eastAsia="zh-CN"/>
        </w:rPr>
        <w:t>1.</w:t>
      </w:r>
      <w:r>
        <w:rPr>
          <w:rFonts w:hint="eastAsia" w:ascii="Arial" w:hAnsi="Arial" w:cs="Arial"/>
          <w:b/>
          <w:color w:val="auto"/>
          <w:kern w:val="0"/>
          <w:sz w:val="26"/>
          <w:szCs w:val="20"/>
          <w:highlight w:val="none"/>
          <w:lang w:val="en-US" w:eastAsia="zh-CN"/>
        </w:rPr>
        <w:t>3</w:t>
      </w:r>
      <w:r>
        <w:rPr>
          <w:rFonts w:hint="eastAsia" w:ascii="Arial" w:hAnsi="Arial" w:eastAsia="宋体" w:cs="Arial"/>
          <w:b/>
          <w:color w:val="auto"/>
          <w:kern w:val="0"/>
          <w:sz w:val="26"/>
          <w:szCs w:val="20"/>
          <w:highlight w:val="none"/>
          <w:lang w:eastAsia="zh-CN"/>
        </w:rPr>
        <w:t xml:space="preserve">.4 </w:t>
      </w:r>
      <w:bookmarkEnd w:id="24"/>
      <w:bookmarkEnd w:id="25"/>
      <w:bookmarkStart w:id="26" w:name="_Toc36040980"/>
      <w:bookmarkStart w:id="27" w:name="_Toc34987781"/>
      <w:r>
        <w:rPr>
          <w:rFonts w:hint="eastAsia" w:ascii="Arial" w:hAnsi="Arial" w:eastAsia="宋体" w:cs="Arial"/>
          <w:b/>
          <w:color w:val="auto"/>
          <w:kern w:val="0"/>
          <w:sz w:val="26"/>
          <w:szCs w:val="20"/>
          <w:highlight w:val="none"/>
          <w:lang w:eastAsia="zh-CN"/>
        </w:rPr>
        <w:t>项目相关文件及技术资料</w:t>
      </w:r>
      <w:bookmarkEnd w:id="26"/>
      <w:bookmarkEnd w:id="27"/>
    </w:p>
    <w:p w14:paraId="732F5A3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Arial" w:eastAsia="宋体" w:cs="Arial"/>
          <w:color w:val="auto"/>
          <w:kern w:val="0"/>
          <w:sz w:val="26"/>
          <w:szCs w:val="26"/>
          <w:highlight w:val="none"/>
          <w:lang w:val="en-US" w:eastAsia="zh-CN"/>
        </w:rPr>
        <w:t>《丰都县海螺沟水库工程可行性研究报告》</w:t>
      </w:r>
      <w:r>
        <w:rPr>
          <w:rFonts w:hint="eastAsia" w:ascii="Arial" w:hAnsi="Times New Roman" w:eastAsia="宋体" w:cs="Arial"/>
          <w:color w:val="auto"/>
          <w:kern w:val="0"/>
          <w:sz w:val="26"/>
          <w:szCs w:val="26"/>
          <w:highlight w:val="none"/>
          <w:lang w:eastAsia="zh-CN"/>
        </w:rPr>
        <w:t>，2022年</w:t>
      </w:r>
      <w:r>
        <w:rPr>
          <w:rFonts w:hint="eastAsia" w:ascii="Arial"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月；</w:t>
      </w:r>
    </w:p>
    <w:p w14:paraId="1BF41F3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w:t>
      </w:r>
      <w:r>
        <w:rPr>
          <w:rFonts w:hint="eastAsia" w:ascii="Arial" w:hAnsi="Arial" w:eastAsia="宋体" w:cs="Arial"/>
          <w:color w:val="auto"/>
          <w:kern w:val="0"/>
          <w:sz w:val="26"/>
          <w:szCs w:val="26"/>
          <w:highlight w:val="none"/>
          <w:lang w:val="en-US" w:eastAsia="zh-CN"/>
        </w:rPr>
        <w:t>丰都县海螺沟水库工程</w:t>
      </w:r>
      <w:r>
        <w:rPr>
          <w:rFonts w:hint="eastAsia" w:ascii="Arial" w:hAnsi="Arial" w:cs="Arial"/>
          <w:color w:val="auto"/>
          <w:kern w:val="0"/>
          <w:sz w:val="26"/>
          <w:szCs w:val="26"/>
          <w:highlight w:val="none"/>
          <w:lang w:val="en-US" w:eastAsia="zh-CN"/>
        </w:rPr>
        <w:t>初步设计</w:t>
      </w:r>
      <w:r>
        <w:rPr>
          <w:rFonts w:hint="eastAsia" w:ascii="Arial" w:hAnsi="Arial" w:eastAsia="宋体" w:cs="Arial"/>
          <w:color w:val="auto"/>
          <w:kern w:val="0"/>
          <w:sz w:val="26"/>
          <w:szCs w:val="26"/>
          <w:highlight w:val="none"/>
          <w:lang w:val="en-US" w:eastAsia="zh-CN"/>
        </w:rPr>
        <w:t>报告</w:t>
      </w:r>
      <w:r>
        <w:rPr>
          <w:rFonts w:hint="eastAsia" w:ascii="Arial" w:hAnsi="Times New Roman" w:eastAsia="宋体" w:cs="Arial"/>
          <w:color w:val="auto"/>
          <w:kern w:val="0"/>
          <w:sz w:val="26"/>
          <w:szCs w:val="26"/>
          <w:highlight w:val="none"/>
          <w:lang w:eastAsia="zh-CN"/>
        </w:rPr>
        <w:t>》，202</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年</w:t>
      </w:r>
      <w:r>
        <w:rPr>
          <w:rFonts w:hint="eastAsia" w:ascii="Arial" w:hAnsi="Times New Roman" w:eastAsia="宋体" w:cs="Arial"/>
          <w:color w:val="auto"/>
          <w:kern w:val="0"/>
          <w:sz w:val="26"/>
          <w:szCs w:val="26"/>
          <w:highlight w:val="none"/>
          <w:lang w:val="en-US" w:eastAsia="zh-CN"/>
        </w:rPr>
        <w:t>1</w:t>
      </w:r>
      <w:r>
        <w:rPr>
          <w:rFonts w:hint="eastAsia" w:ascii="Arial" w:cs="Arial"/>
          <w:color w:val="auto"/>
          <w:kern w:val="0"/>
          <w:sz w:val="26"/>
          <w:szCs w:val="26"/>
          <w:highlight w:val="none"/>
          <w:lang w:val="en-US" w:eastAsia="zh-CN"/>
        </w:rPr>
        <w:t>0</w:t>
      </w:r>
      <w:r>
        <w:rPr>
          <w:rFonts w:hint="eastAsia" w:ascii="Arial" w:hAnsi="Times New Roman" w:eastAsia="宋体" w:cs="Arial"/>
          <w:color w:val="auto"/>
          <w:kern w:val="0"/>
          <w:sz w:val="26"/>
          <w:szCs w:val="26"/>
          <w:highlight w:val="none"/>
          <w:lang w:eastAsia="zh-CN"/>
        </w:rPr>
        <w:t>月；</w:t>
      </w:r>
    </w:p>
    <w:p w14:paraId="269A488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丰都县海螺沟水库工程建设用地压覆矿产资源评估报告</w:t>
      </w:r>
      <w:r>
        <w:rPr>
          <w:rFonts w:hint="eastAsia" w:ascii="Arial" w:hAnsi="Arial"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年</w:t>
      </w:r>
      <w:r>
        <w:rPr>
          <w:rFonts w:hint="eastAsia" w:ascii="Arial" w:cs="Arial"/>
          <w:color w:val="auto"/>
          <w:kern w:val="0"/>
          <w:sz w:val="26"/>
          <w:szCs w:val="26"/>
          <w:highlight w:val="none"/>
          <w:lang w:val="en-US" w:eastAsia="zh-CN"/>
        </w:rPr>
        <w:t>10</w:t>
      </w:r>
      <w:r>
        <w:rPr>
          <w:rFonts w:hint="eastAsia" w:ascii="Arial" w:hAnsi="Times New Roman" w:eastAsia="宋体" w:cs="Arial"/>
          <w:color w:val="auto"/>
          <w:kern w:val="0"/>
          <w:sz w:val="26"/>
          <w:szCs w:val="26"/>
          <w:highlight w:val="none"/>
          <w:lang w:eastAsia="zh-CN"/>
        </w:rPr>
        <w:t>月；</w:t>
      </w:r>
    </w:p>
    <w:p w14:paraId="71EDFBC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eastAsia="宋体" w:cs="Arial"/>
          <w:color w:val="auto"/>
          <w:kern w:val="0"/>
          <w:sz w:val="26"/>
          <w:szCs w:val="26"/>
          <w:highlight w:val="none"/>
          <w:lang w:val="en-US" w:eastAsia="zh-CN"/>
        </w:rPr>
        <w:t>（4）</w:t>
      </w:r>
      <w:r>
        <w:rPr>
          <w:rFonts w:hint="eastAsia" w:ascii="Arial" w:hAnsi="Arial" w:cs="Arial"/>
          <w:color w:val="auto"/>
          <w:kern w:val="0"/>
          <w:sz w:val="26"/>
          <w:szCs w:val="26"/>
          <w:highlight w:val="none"/>
          <w:lang w:val="en-US" w:eastAsia="zh-CN"/>
        </w:rPr>
        <w:t>《丰都县海螺沟水库工程拟使用林地可行性研究报告》</w:t>
      </w:r>
      <w:r>
        <w:rPr>
          <w:rFonts w:hint="eastAsia" w:ascii="Arial" w:hAnsi="Times New Roman" w:eastAsia="宋体" w:cs="Arial"/>
          <w:color w:val="auto"/>
          <w:kern w:val="0"/>
          <w:sz w:val="26"/>
          <w:szCs w:val="26"/>
          <w:highlight w:val="none"/>
          <w:lang w:val="en-US" w:eastAsia="zh-CN"/>
        </w:rPr>
        <w:t>，2023年</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val="en-US" w:eastAsia="zh-CN"/>
        </w:rPr>
        <w:t>月；</w:t>
      </w:r>
    </w:p>
    <w:p w14:paraId="47A7978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hAnsi="Times New Roman" w:eastAsia="宋体" w:cs="Arial"/>
          <w:color w:val="auto"/>
          <w:kern w:val="0"/>
          <w:sz w:val="26"/>
          <w:szCs w:val="26"/>
          <w:highlight w:val="none"/>
          <w:lang w:val="en-US" w:eastAsia="zh-CN"/>
        </w:rPr>
        <w:t>（</w:t>
      </w:r>
      <w:r>
        <w:rPr>
          <w:rFonts w:hint="eastAsia" w:ascii="Arial"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w:t>
      </w:r>
      <w:r>
        <w:rPr>
          <w:rFonts w:hint="eastAsia" w:ascii="Arial" w:hAnsi="Arial" w:eastAsia="宋体" w:cs="Arial"/>
          <w:color w:val="auto"/>
          <w:kern w:val="0"/>
          <w:sz w:val="26"/>
          <w:szCs w:val="26"/>
          <w:highlight w:val="none"/>
          <w:lang w:val="en-US" w:eastAsia="zh-CN"/>
        </w:rPr>
        <w:t>丰都县海螺沟水库工程建设征地移民安置规划报告</w:t>
      </w:r>
      <w:r>
        <w:rPr>
          <w:rFonts w:hint="eastAsia" w:ascii="Arial" w:hAnsi="Arial" w:cs="Arial"/>
          <w:color w:val="auto"/>
          <w:kern w:val="0"/>
          <w:sz w:val="26"/>
          <w:szCs w:val="26"/>
          <w:highlight w:val="none"/>
          <w:lang w:val="en-US" w:eastAsia="zh-CN"/>
        </w:rPr>
        <w:t>》，2024年1月；</w:t>
      </w:r>
    </w:p>
    <w:p w14:paraId="6D52F68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6）《重庆市渠溪河流域综合规划环境影响报告书》及其审查意见“丰环函</w:t>
      </w:r>
      <w:r>
        <w:rPr>
          <w:rFonts w:hint="default" w:ascii="Arial" w:hAnsi="Arial" w:eastAsia="宋体" w:cs="Arial"/>
          <w:color w:val="auto"/>
          <w:kern w:val="0"/>
          <w:sz w:val="26"/>
          <w:szCs w:val="26"/>
          <w:highlight w:val="none"/>
          <w:lang w:val="en-US" w:eastAsia="zh-CN"/>
        </w:rPr>
        <w:t>〔2025〕2号</w:t>
      </w:r>
      <w:r>
        <w:rPr>
          <w:rFonts w:hint="eastAsia" w:ascii="Arial" w:cs="Arial"/>
          <w:color w:val="auto"/>
          <w:kern w:val="0"/>
          <w:sz w:val="26"/>
          <w:szCs w:val="26"/>
          <w:highlight w:val="none"/>
          <w:lang w:val="en-US" w:eastAsia="zh-CN"/>
        </w:rPr>
        <w:t>”；</w:t>
      </w:r>
    </w:p>
    <w:p w14:paraId="3E51CC4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环境质量现状监测资料；</w:t>
      </w:r>
    </w:p>
    <w:p w14:paraId="038D7AA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val="en-US" w:eastAsia="zh-CN"/>
        </w:rPr>
        <w:t>（</w:t>
      </w:r>
      <w:r>
        <w:rPr>
          <w:rFonts w:hint="eastAsia" w:ascii="Arial"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）项目环境影响评价技术服务合同。</w:t>
      </w:r>
    </w:p>
    <w:p w14:paraId="48A7F747">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28" w:name="_Toc535931010"/>
      <w:bookmarkStart w:id="29" w:name="_Toc420942211"/>
      <w:bookmarkStart w:id="30" w:name="_Toc16550"/>
      <w:r>
        <w:rPr>
          <w:rFonts w:ascii="Arial" w:hAnsi="Arial" w:eastAsia="宋体" w:cs="Arial"/>
          <w:b/>
          <w:color w:val="auto"/>
          <w:kern w:val="0"/>
          <w:sz w:val="26"/>
          <w:szCs w:val="26"/>
          <w:highlight w:val="none"/>
          <w:lang w:val="en-US" w:eastAsia="zh-CN"/>
        </w:rPr>
        <w:t>1.</w:t>
      </w:r>
      <w:r>
        <w:rPr>
          <w:rFonts w:hint="eastAsia" w:ascii="Arial" w:hAnsi="Arial" w:eastAsia="宋体" w:cs="Arial"/>
          <w:b/>
          <w:color w:val="auto"/>
          <w:kern w:val="0"/>
          <w:sz w:val="26"/>
          <w:szCs w:val="26"/>
          <w:highlight w:val="none"/>
          <w:lang w:val="en-US" w:eastAsia="zh-CN"/>
        </w:rPr>
        <w:t>4</w:t>
      </w:r>
      <w:bookmarkEnd w:id="28"/>
      <w:bookmarkEnd w:id="29"/>
      <w:bookmarkEnd w:id="30"/>
      <w:bookmarkStart w:id="31" w:name="_Toc18862"/>
      <w:r>
        <w:rPr>
          <w:rFonts w:hint="eastAsia" w:ascii="Arial" w:hAnsi="Arial" w:eastAsia="宋体" w:cs="Arial"/>
          <w:b/>
          <w:color w:val="auto"/>
          <w:kern w:val="0"/>
          <w:sz w:val="26"/>
          <w:szCs w:val="26"/>
          <w:highlight w:val="none"/>
          <w:lang w:val="en-US" w:eastAsia="zh-CN"/>
        </w:rPr>
        <w:t>环境影响</w:t>
      </w:r>
      <w:r>
        <w:rPr>
          <w:rFonts w:hint="eastAsia" w:ascii="Arial" w:hAnsi="Arial" w:cs="Arial"/>
          <w:b/>
          <w:color w:val="auto"/>
          <w:kern w:val="0"/>
          <w:sz w:val="26"/>
          <w:szCs w:val="26"/>
          <w:highlight w:val="none"/>
          <w:lang w:val="en-US" w:eastAsia="zh-CN"/>
        </w:rPr>
        <w:t>因素</w:t>
      </w:r>
      <w:r>
        <w:rPr>
          <w:rFonts w:hint="eastAsia" w:ascii="Arial" w:hAnsi="Arial" w:eastAsia="宋体" w:cs="Arial"/>
          <w:b/>
          <w:color w:val="auto"/>
          <w:kern w:val="0"/>
          <w:sz w:val="26"/>
          <w:szCs w:val="26"/>
          <w:highlight w:val="none"/>
          <w:lang w:val="en-US" w:eastAsia="zh-CN"/>
        </w:rPr>
        <w:t>识别和评价因子</w:t>
      </w:r>
      <w:bookmarkEnd w:id="31"/>
      <w:r>
        <w:rPr>
          <w:rFonts w:hint="eastAsia" w:ascii="Arial" w:hAnsi="Arial" w:cs="Arial"/>
          <w:b/>
          <w:color w:val="auto"/>
          <w:kern w:val="0"/>
          <w:sz w:val="26"/>
          <w:szCs w:val="26"/>
          <w:highlight w:val="none"/>
          <w:lang w:val="en-US" w:eastAsia="zh-CN"/>
        </w:rPr>
        <w:t>筛选</w:t>
      </w:r>
      <w:r>
        <w:rPr>
          <w:rFonts w:ascii="Arial" w:hAnsi="Arial" w:eastAsia="宋体" w:cs="Arial"/>
          <w:b/>
          <w:color w:val="auto"/>
          <w:kern w:val="0"/>
          <w:sz w:val="26"/>
          <w:szCs w:val="26"/>
          <w:highlight w:val="none"/>
          <w:lang w:val="en-US" w:eastAsia="zh-CN"/>
        </w:rPr>
        <w:t xml:space="preserve"> </w:t>
      </w:r>
    </w:p>
    <w:p w14:paraId="258080C7">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32" w:name="_Toc36040986"/>
      <w:bookmarkStart w:id="33" w:name="_Toc34987787"/>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4</w:t>
      </w:r>
      <w:r>
        <w:rPr>
          <w:rFonts w:hint="eastAsia" w:ascii="Arial" w:hAnsi="Arial" w:eastAsia="宋体" w:cs="Arial"/>
          <w:b/>
          <w:color w:val="auto"/>
          <w:kern w:val="0"/>
          <w:sz w:val="26"/>
          <w:szCs w:val="20"/>
          <w:highlight w:val="none"/>
          <w:lang w:val="en-US" w:eastAsia="zh-CN"/>
        </w:rPr>
        <w:t>.1环境影响</w:t>
      </w:r>
      <w:bookmarkEnd w:id="32"/>
      <w:bookmarkEnd w:id="33"/>
      <w:r>
        <w:rPr>
          <w:rFonts w:hint="eastAsia" w:ascii="Arial" w:hAnsi="Arial" w:cs="Arial"/>
          <w:b/>
          <w:color w:val="auto"/>
          <w:kern w:val="0"/>
          <w:sz w:val="26"/>
          <w:szCs w:val="20"/>
          <w:highlight w:val="none"/>
          <w:lang w:val="en-US" w:eastAsia="zh-CN"/>
        </w:rPr>
        <w:t>因素识别</w:t>
      </w:r>
    </w:p>
    <w:p w14:paraId="664A6CF2">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拟建项目属于新建工程，坝址、渠道等建设区地质条件好，占地及评价范围内不涉及自然保护区、风景名胜区、森林公园、水产种质资源保护区、饮用水源保护区、生态保护红线等生态敏感区，但占地涉及基本农田、公益林。根据环境现状监测结果，区域环境质量现状均可满足相应标准限值要求。</w:t>
      </w:r>
    </w:p>
    <w:p w14:paraId="32BD99F8">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拟建项目外环境对工程建设的制约因素分析结果详见表1.4-1所示。</w:t>
      </w:r>
    </w:p>
    <w:p w14:paraId="09B59560">
      <w:pPr>
        <w:pStyle w:val="1085"/>
        <w:keepNext w:val="0"/>
        <w:keepLines w:val="0"/>
        <w:pageBreakBefore w:val="0"/>
        <w:widowControl w:val="0"/>
        <w:kinsoku/>
        <w:wordWrap/>
        <w:overflowPunct/>
        <w:topLinePunct w:val="0"/>
        <w:autoSpaceDE/>
        <w:autoSpaceDN/>
        <w:bidi w:val="0"/>
        <w:adjustRightInd/>
        <w:snapToGrid w:val="0"/>
        <w:spacing w:line="480" w:lineRule="exact"/>
        <w:textAlignment w:val="auto"/>
        <w:rPr>
          <w:rFonts w:hint="default" w:ascii="Arial" w:hAnsi="Arial" w:eastAsia="宋体" w:cs="Arial"/>
          <w:sz w:val="26"/>
          <w:szCs w:val="26"/>
          <w:lang w:val="en-US" w:eastAsia="zh-CN"/>
        </w:rPr>
      </w:pPr>
      <w:r>
        <w:rPr>
          <w:rFonts w:hint="default" w:ascii="Arial" w:hAnsi="Arial" w:eastAsia="宋体" w:cs="Arial"/>
          <w:sz w:val="26"/>
          <w:szCs w:val="26"/>
        </w:rPr>
        <w:t>表1.</w:t>
      </w:r>
      <w:r>
        <w:rPr>
          <w:rFonts w:hint="eastAsia" w:ascii="Arial" w:hAnsi="Arial" w:cs="Arial"/>
          <w:sz w:val="26"/>
          <w:szCs w:val="26"/>
          <w:lang w:val="en-US" w:eastAsia="zh-CN"/>
        </w:rPr>
        <w:t>4</w:t>
      </w:r>
      <w:r>
        <w:rPr>
          <w:rFonts w:hint="default" w:ascii="Arial" w:hAnsi="Arial" w:eastAsia="宋体" w:cs="Arial"/>
          <w:sz w:val="26"/>
          <w:szCs w:val="26"/>
          <w:lang w:val="en-US" w:eastAsia="zh-CN"/>
        </w:rPr>
        <w:t>-</w:t>
      </w:r>
      <w:r>
        <w:rPr>
          <w:rFonts w:hint="default" w:ascii="Arial" w:hAnsi="Arial" w:eastAsia="宋体" w:cs="Arial"/>
          <w:sz w:val="26"/>
          <w:szCs w:val="26"/>
        </w:rPr>
        <w:t xml:space="preserve">1  </w:t>
      </w:r>
      <w:r>
        <w:rPr>
          <w:rFonts w:hint="eastAsia" w:ascii="Arial" w:hAnsi="Arial" w:cs="Arial"/>
          <w:sz w:val="26"/>
          <w:szCs w:val="26"/>
          <w:lang w:val="en-US" w:eastAsia="zh-CN"/>
        </w:rPr>
        <w:t>外环境对工程的制约因素识别表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070"/>
        <w:gridCol w:w="1303"/>
        <w:gridCol w:w="1067"/>
        <w:gridCol w:w="1951"/>
        <w:gridCol w:w="1509"/>
      </w:tblGrid>
      <w:tr w14:paraId="75BB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493F573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序号</w:t>
            </w:r>
          </w:p>
        </w:tc>
        <w:tc>
          <w:tcPr>
            <w:tcW w:w="2070" w:type="dxa"/>
          </w:tcPr>
          <w:p w14:paraId="0AC3AB6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外环境因素</w:t>
            </w:r>
          </w:p>
        </w:tc>
        <w:tc>
          <w:tcPr>
            <w:tcW w:w="1303" w:type="dxa"/>
          </w:tcPr>
          <w:p w14:paraId="29FB94A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制约程度</w:t>
            </w:r>
          </w:p>
        </w:tc>
        <w:tc>
          <w:tcPr>
            <w:tcW w:w="1067" w:type="dxa"/>
          </w:tcPr>
          <w:p w14:paraId="14FCF7B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序号</w:t>
            </w:r>
          </w:p>
        </w:tc>
        <w:tc>
          <w:tcPr>
            <w:tcW w:w="1951" w:type="dxa"/>
          </w:tcPr>
          <w:p w14:paraId="220769B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外环境因素</w:t>
            </w:r>
          </w:p>
        </w:tc>
        <w:tc>
          <w:tcPr>
            <w:tcW w:w="1509" w:type="dxa"/>
          </w:tcPr>
          <w:p w14:paraId="43887B7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制约程度</w:t>
            </w:r>
          </w:p>
        </w:tc>
      </w:tr>
      <w:tr w14:paraId="70F1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05B5BD9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w:t>
            </w:r>
          </w:p>
        </w:tc>
        <w:tc>
          <w:tcPr>
            <w:tcW w:w="2070" w:type="dxa"/>
          </w:tcPr>
          <w:p w14:paraId="49BE099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气候资源</w:t>
            </w:r>
          </w:p>
        </w:tc>
        <w:tc>
          <w:tcPr>
            <w:tcW w:w="1303" w:type="dxa"/>
          </w:tcPr>
          <w:p w14:paraId="77932C7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26DF11E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11</w:t>
            </w:r>
          </w:p>
        </w:tc>
        <w:tc>
          <w:tcPr>
            <w:tcW w:w="1951" w:type="dxa"/>
          </w:tcPr>
          <w:p w14:paraId="47BFE8B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地表水质量</w:t>
            </w:r>
          </w:p>
        </w:tc>
        <w:tc>
          <w:tcPr>
            <w:tcW w:w="1509" w:type="dxa"/>
            <w:shd w:val="clear" w:color="auto" w:fill="auto"/>
            <w:vAlign w:val="top"/>
          </w:tcPr>
          <w:p w14:paraId="7020C79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1AA4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7FD3BAA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2</w:t>
            </w:r>
          </w:p>
        </w:tc>
        <w:tc>
          <w:tcPr>
            <w:tcW w:w="2070" w:type="dxa"/>
          </w:tcPr>
          <w:p w14:paraId="609F97B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地形地貌</w:t>
            </w:r>
          </w:p>
        </w:tc>
        <w:tc>
          <w:tcPr>
            <w:tcW w:w="1303" w:type="dxa"/>
          </w:tcPr>
          <w:p w14:paraId="2F5CBD2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503B3A1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12</w:t>
            </w:r>
          </w:p>
        </w:tc>
        <w:tc>
          <w:tcPr>
            <w:tcW w:w="1951" w:type="dxa"/>
          </w:tcPr>
          <w:p w14:paraId="54E5411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声环境质量</w:t>
            </w:r>
          </w:p>
        </w:tc>
        <w:tc>
          <w:tcPr>
            <w:tcW w:w="1509" w:type="dxa"/>
            <w:shd w:val="clear" w:color="auto" w:fill="auto"/>
            <w:vAlign w:val="top"/>
          </w:tcPr>
          <w:p w14:paraId="0748526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437E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31D1057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3</w:t>
            </w:r>
          </w:p>
        </w:tc>
        <w:tc>
          <w:tcPr>
            <w:tcW w:w="2070" w:type="dxa"/>
          </w:tcPr>
          <w:p w14:paraId="79FE380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工程地质</w:t>
            </w:r>
          </w:p>
        </w:tc>
        <w:tc>
          <w:tcPr>
            <w:tcW w:w="1303" w:type="dxa"/>
          </w:tcPr>
          <w:p w14:paraId="5631884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7630B37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13</w:t>
            </w:r>
          </w:p>
        </w:tc>
        <w:tc>
          <w:tcPr>
            <w:tcW w:w="1951" w:type="dxa"/>
          </w:tcPr>
          <w:p w14:paraId="6D03803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地下水环境质量</w:t>
            </w:r>
          </w:p>
        </w:tc>
        <w:tc>
          <w:tcPr>
            <w:tcW w:w="1509" w:type="dxa"/>
            <w:shd w:val="clear" w:color="auto" w:fill="auto"/>
            <w:vAlign w:val="top"/>
          </w:tcPr>
          <w:p w14:paraId="3B7E64B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58AA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3B95D93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4</w:t>
            </w:r>
          </w:p>
        </w:tc>
        <w:tc>
          <w:tcPr>
            <w:tcW w:w="2070" w:type="dxa"/>
          </w:tcPr>
          <w:p w14:paraId="22DCAE3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地表水文</w:t>
            </w:r>
          </w:p>
        </w:tc>
        <w:tc>
          <w:tcPr>
            <w:tcW w:w="1303" w:type="dxa"/>
            <w:shd w:val="clear" w:color="auto" w:fill="auto"/>
            <w:vAlign w:val="top"/>
          </w:tcPr>
          <w:p w14:paraId="08AB09E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7FC22D0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14</w:t>
            </w:r>
          </w:p>
        </w:tc>
        <w:tc>
          <w:tcPr>
            <w:tcW w:w="1951" w:type="dxa"/>
          </w:tcPr>
          <w:p w14:paraId="1B92792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土壤环境质量</w:t>
            </w:r>
          </w:p>
        </w:tc>
        <w:tc>
          <w:tcPr>
            <w:tcW w:w="1509" w:type="dxa"/>
            <w:shd w:val="clear" w:color="auto" w:fill="auto"/>
            <w:vAlign w:val="top"/>
          </w:tcPr>
          <w:p w14:paraId="1DF7CBB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674B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51575BA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5</w:t>
            </w:r>
          </w:p>
        </w:tc>
        <w:tc>
          <w:tcPr>
            <w:tcW w:w="2070" w:type="dxa"/>
          </w:tcPr>
          <w:p w14:paraId="374FDD3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土地资源</w:t>
            </w:r>
          </w:p>
        </w:tc>
        <w:tc>
          <w:tcPr>
            <w:tcW w:w="1303" w:type="dxa"/>
            <w:shd w:val="clear" w:color="auto" w:fill="auto"/>
            <w:vAlign w:val="top"/>
          </w:tcPr>
          <w:p w14:paraId="6DABE88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4D82A1A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15</w:t>
            </w:r>
          </w:p>
        </w:tc>
        <w:tc>
          <w:tcPr>
            <w:tcW w:w="1951" w:type="dxa"/>
          </w:tcPr>
          <w:p w14:paraId="033C22D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交通运输</w:t>
            </w:r>
          </w:p>
        </w:tc>
        <w:tc>
          <w:tcPr>
            <w:tcW w:w="1509" w:type="dxa"/>
            <w:shd w:val="clear" w:color="auto" w:fill="auto"/>
            <w:vAlign w:val="top"/>
          </w:tcPr>
          <w:p w14:paraId="03DB7AD2">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704D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257DB6F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6</w:t>
            </w:r>
          </w:p>
        </w:tc>
        <w:tc>
          <w:tcPr>
            <w:tcW w:w="2070" w:type="dxa"/>
          </w:tcPr>
          <w:p w14:paraId="660F0EA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陆生动植物资源</w:t>
            </w:r>
          </w:p>
        </w:tc>
        <w:tc>
          <w:tcPr>
            <w:tcW w:w="1303" w:type="dxa"/>
            <w:shd w:val="clear" w:color="auto" w:fill="auto"/>
            <w:vAlign w:val="top"/>
          </w:tcPr>
          <w:p w14:paraId="4713D77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5ED4543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16</w:t>
            </w:r>
          </w:p>
        </w:tc>
        <w:tc>
          <w:tcPr>
            <w:tcW w:w="1951" w:type="dxa"/>
          </w:tcPr>
          <w:p w14:paraId="0300D94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电力供给</w:t>
            </w:r>
          </w:p>
        </w:tc>
        <w:tc>
          <w:tcPr>
            <w:tcW w:w="1509" w:type="dxa"/>
            <w:shd w:val="clear" w:color="auto" w:fill="auto"/>
            <w:vAlign w:val="top"/>
          </w:tcPr>
          <w:p w14:paraId="7C7DC49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2900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682C012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7</w:t>
            </w:r>
          </w:p>
        </w:tc>
        <w:tc>
          <w:tcPr>
            <w:tcW w:w="2070" w:type="dxa"/>
          </w:tcPr>
          <w:p w14:paraId="30866F6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水生动植物资源</w:t>
            </w:r>
          </w:p>
        </w:tc>
        <w:tc>
          <w:tcPr>
            <w:tcW w:w="1303" w:type="dxa"/>
            <w:shd w:val="clear" w:color="auto" w:fill="auto"/>
            <w:vAlign w:val="top"/>
          </w:tcPr>
          <w:p w14:paraId="36033CD2">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2B56604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17</w:t>
            </w:r>
          </w:p>
        </w:tc>
        <w:tc>
          <w:tcPr>
            <w:tcW w:w="1951" w:type="dxa"/>
          </w:tcPr>
          <w:p w14:paraId="0C215E7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医疗卫生</w:t>
            </w:r>
          </w:p>
        </w:tc>
        <w:tc>
          <w:tcPr>
            <w:tcW w:w="1509" w:type="dxa"/>
            <w:shd w:val="clear" w:color="auto" w:fill="auto"/>
            <w:vAlign w:val="top"/>
          </w:tcPr>
          <w:p w14:paraId="6B25E56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7C31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08F0858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8</w:t>
            </w:r>
          </w:p>
        </w:tc>
        <w:tc>
          <w:tcPr>
            <w:tcW w:w="2070" w:type="dxa"/>
          </w:tcPr>
          <w:p w14:paraId="3F87CBD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自然资源</w:t>
            </w:r>
          </w:p>
        </w:tc>
        <w:tc>
          <w:tcPr>
            <w:tcW w:w="1303" w:type="dxa"/>
            <w:shd w:val="clear" w:color="auto" w:fill="auto"/>
            <w:vAlign w:val="top"/>
          </w:tcPr>
          <w:p w14:paraId="5FF6607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5344283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18</w:t>
            </w:r>
          </w:p>
        </w:tc>
        <w:tc>
          <w:tcPr>
            <w:tcW w:w="1951" w:type="dxa"/>
          </w:tcPr>
          <w:p w14:paraId="66FC08A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生产生活用水</w:t>
            </w:r>
          </w:p>
        </w:tc>
        <w:tc>
          <w:tcPr>
            <w:tcW w:w="1509" w:type="dxa"/>
            <w:shd w:val="clear" w:color="auto" w:fill="auto"/>
            <w:vAlign w:val="top"/>
          </w:tcPr>
          <w:p w14:paraId="47D6F4E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6D50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54A4AE9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9</w:t>
            </w:r>
          </w:p>
        </w:tc>
        <w:tc>
          <w:tcPr>
            <w:tcW w:w="2070" w:type="dxa"/>
          </w:tcPr>
          <w:p w14:paraId="2EBAC27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水土流失</w:t>
            </w:r>
          </w:p>
        </w:tc>
        <w:tc>
          <w:tcPr>
            <w:tcW w:w="1303" w:type="dxa"/>
            <w:shd w:val="clear" w:color="auto" w:fill="auto"/>
            <w:vAlign w:val="top"/>
          </w:tcPr>
          <w:p w14:paraId="1EDA828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中度</w:t>
            </w:r>
          </w:p>
        </w:tc>
        <w:tc>
          <w:tcPr>
            <w:tcW w:w="1067" w:type="dxa"/>
          </w:tcPr>
          <w:p w14:paraId="22A17C6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19</w:t>
            </w:r>
          </w:p>
        </w:tc>
        <w:tc>
          <w:tcPr>
            <w:tcW w:w="1951" w:type="dxa"/>
          </w:tcPr>
          <w:p w14:paraId="420C58F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经济水平</w:t>
            </w:r>
          </w:p>
        </w:tc>
        <w:tc>
          <w:tcPr>
            <w:tcW w:w="1509" w:type="dxa"/>
            <w:shd w:val="clear" w:color="auto" w:fill="auto"/>
            <w:vAlign w:val="top"/>
          </w:tcPr>
          <w:p w14:paraId="300A8C2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7FC5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39A6EE6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10</w:t>
            </w:r>
          </w:p>
        </w:tc>
        <w:tc>
          <w:tcPr>
            <w:tcW w:w="2070" w:type="dxa"/>
          </w:tcPr>
          <w:p w14:paraId="7D2F2C9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基本农田、公益林</w:t>
            </w:r>
          </w:p>
        </w:tc>
        <w:tc>
          <w:tcPr>
            <w:tcW w:w="1303" w:type="dxa"/>
          </w:tcPr>
          <w:p w14:paraId="149DB5C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重度</w:t>
            </w:r>
          </w:p>
        </w:tc>
        <w:tc>
          <w:tcPr>
            <w:tcW w:w="1067" w:type="dxa"/>
          </w:tcPr>
          <w:p w14:paraId="2C53597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20</w:t>
            </w:r>
          </w:p>
        </w:tc>
        <w:tc>
          <w:tcPr>
            <w:tcW w:w="1951" w:type="dxa"/>
          </w:tcPr>
          <w:p w14:paraId="5585017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人力资源</w:t>
            </w:r>
          </w:p>
        </w:tc>
        <w:tc>
          <w:tcPr>
            <w:tcW w:w="1509" w:type="dxa"/>
            <w:shd w:val="clear" w:color="auto" w:fill="auto"/>
            <w:vAlign w:val="top"/>
          </w:tcPr>
          <w:p w14:paraId="6C7EEF5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bl>
    <w:p w14:paraId="65AE7B7F">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textAlignment w:val="auto"/>
        <w:rPr>
          <w:rFonts w:hint="eastAsia" w:ascii="Arial" w:hAnsi="Arial" w:eastAsia="宋体" w:cs="Arial"/>
          <w:kern w:val="0"/>
          <w:sz w:val="26"/>
          <w:szCs w:val="26"/>
          <w:lang w:val="en-US" w:eastAsia="zh-CN" w:bidi="ar-SA"/>
        </w:rPr>
      </w:pPr>
    </w:p>
    <w:p w14:paraId="226B779A">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由表1.4-1可知，拟建项目所处区域环境质量现状对工程的制约较小，主要制约因素体现为基本农田、公益林。</w:t>
      </w:r>
    </w:p>
    <w:p w14:paraId="1A0C7052">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4</w:t>
      </w: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2项目建设对外环境的影响因素</w:t>
      </w:r>
    </w:p>
    <w:p w14:paraId="6D82E6DF">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海螺沟水库作为区域重要水利设施、主要工程任务为供水和灌溉。工程施工内容包括场地开挖、坝体砌筑、弃渣堆放、管线铺设等。通过工程分析及环境概况调查，工程对环境的影响因素及程度详见表1.4-2所示。</w:t>
      </w:r>
    </w:p>
    <w:p w14:paraId="5563E05E">
      <w:pPr>
        <w:pStyle w:val="1085"/>
        <w:keepNext w:val="0"/>
        <w:keepLines w:val="0"/>
        <w:pageBreakBefore w:val="0"/>
        <w:widowControl w:val="0"/>
        <w:kinsoku/>
        <w:wordWrap/>
        <w:overflowPunct/>
        <w:topLinePunct w:val="0"/>
        <w:autoSpaceDE/>
        <w:autoSpaceDN/>
        <w:bidi w:val="0"/>
        <w:adjustRightInd/>
        <w:snapToGrid w:val="0"/>
        <w:spacing w:line="480" w:lineRule="exact"/>
        <w:textAlignment w:val="auto"/>
        <w:rPr>
          <w:rFonts w:hint="eastAsia" w:ascii="Arial" w:hAnsi="Arial" w:eastAsia="宋体" w:cs="Arial"/>
          <w:sz w:val="26"/>
          <w:szCs w:val="26"/>
          <w:lang w:val="en-US" w:eastAsia="zh-CN"/>
        </w:rPr>
      </w:pPr>
      <w:r>
        <w:rPr>
          <w:rFonts w:hint="default" w:ascii="Arial" w:hAnsi="Arial" w:eastAsia="宋体" w:cs="Arial"/>
          <w:sz w:val="26"/>
          <w:szCs w:val="26"/>
        </w:rPr>
        <w:t>表1.</w:t>
      </w:r>
      <w:r>
        <w:rPr>
          <w:rFonts w:hint="eastAsia" w:ascii="Arial" w:hAnsi="Arial" w:cs="Arial"/>
          <w:sz w:val="26"/>
          <w:szCs w:val="26"/>
          <w:lang w:val="en-US" w:eastAsia="zh-CN"/>
        </w:rPr>
        <w:t>4</w:t>
      </w:r>
      <w:r>
        <w:rPr>
          <w:rFonts w:hint="eastAsia" w:ascii="Arial" w:hAnsi="Arial" w:eastAsia="宋体" w:cs="Arial"/>
          <w:sz w:val="26"/>
          <w:szCs w:val="26"/>
          <w:lang w:val="en-US" w:eastAsia="zh-CN"/>
        </w:rPr>
        <w:t>-2</w:t>
      </w:r>
      <w:r>
        <w:rPr>
          <w:rFonts w:hint="default" w:ascii="Arial" w:hAnsi="Arial" w:eastAsia="宋体" w:cs="Arial"/>
          <w:sz w:val="26"/>
          <w:szCs w:val="26"/>
        </w:rPr>
        <w:t xml:space="preserve">  </w:t>
      </w:r>
      <w:r>
        <w:rPr>
          <w:rFonts w:hint="eastAsia" w:ascii="Arial" w:hAnsi="Arial" w:eastAsia="宋体" w:cs="Arial"/>
          <w:sz w:val="26"/>
          <w:szCs w:val="26"/>
          <w:lang w:val="en-US" w:eastAsia="zh-CN"/>
        </w:rPr>
        <w:t>工程</w:t>
      </w:r>
      <w:r>
        <w:rPr>
          <w:rFonts w:hint="eastAsia" w:ascii="Arial" w:hAnsi="Arial" w:cs="Arial"/>
          <w:sz w:val="26"/>
          <w:szCs w:val="26"/>
          <w:lang w:val="en-US" w:eastAsia="zh-CN"/>
        </w:rPr>
        <w:t>环境影响因子识别表</w:t>
      </w:r>
    </w:p>
    <w:tbl>
      <w:tblPr>
        <w:tblStyle w:val="78"/>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978"/>
        <w:gridCol w:w="3390"/>
        <w:gridCol w:w="2025"/>
      </w:tblGrid>
      <w:tr w14:paraId="1E8B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943" w:type="dxa"/>
            <w:vAlign w:val="center"/>
          </w:tcPr>
          <w:p w14:paraId="0285F58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bookmarkStart w:id="34" w:name="_Toc153001396"/>
            <w:bookmarkStart w:id="35" w:name="_Toc146903030"/>
            <w:bookmarkStart w:id="36" w:name="_Toc146896382"/>
            <w:bookmarkStart w:id="37" w:name="_Toc153714774"/>
            <w:bookmarkStart w:id="38" w:name="_Toc153620013"/>
            <w:bookmarkStart w:id="39" w:name="_Toc153001750"/>
            <w:bookmarkStart w:id="40" w:name="_Toc153658350"/>
            <w:bookmarkStart w:id="41" w:name="_Toc34987788"/>
            <w:bookmarkStart w:id="42" w:name="_Toc262031646"/>
            <w:bookmarkStart w:id="43" w:name="_Toc36040987"/>
            <w:bookmarkStart w:id="44" w:name="_Toc291082023"/>
            <w:bookmarkStart w:id="45" w:name="_Toc160453700"/>
            <w:bookmarkStart w:id="46" w:name="_Toc182739750"/>
            <w:bookmarkStart w:id="47" w:name="_Toc33946635"/>
            <w:bookmarkStart w:id="48" w:name="_Toc376727515"/>
            <w:bookmarkStart w:id="49" w:name="_Toc35415832"/>
            <w:bookmarkStart w:id="50" w:name="_Toc376718317"/>
            <w:r>
              <w:rPr>
                <w:rFonts w:hint="eastAsia" w:ascii="Arial" w:hAnsi="Arial" w:eastAsia="宋体" w:cs="Arial"/>
                <w:kern w:val="0"/>
                <w:sz w:val="22"/>
                <w:szCs w:val="22"/>
                <w:vertAlign w:val="baseline"/>
                <w:lang w:val="en-US" w:eastAsia="zh-CN" w:bidi="ar-SA"/>
              </w:rPr>
              <w:t>时段</w:t>
            </w:r>
          </w:p>
        </w:tc>
        <w:tc>
          <w:tcPr>
            <w:tcW w:w="1978" w:type="dxa"/>
            <w:vAlign w:val="center"/>
          </w:tcPr>
          <w:p w14:paraId="200F108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工程环节</w:t>
            </w:r>
          </w:p>
        </w:tc>
        <w:tc>
          <w:tcPr>
            <w:tcW w:w="3390" w:type="dxa"/>
            <w:vAlign w:val="center"/>
          </w:tcPr>
          <w:p w14:paraId="24FBFC4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可能产生的环境影响</w:t>
            </w:r>
          </w:p>
        </w:tc>
        <w:tc>
          <w:tcPr>
            <w:tcW w:w="2025" w:type="dxa"/>
            <w:vAlign w:val="center"/>
          </w:tcPr>
          <w:p w14:paraId="3638021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影响因子</w:t>
            </w:r>
          </w:p>
        </w:tc>
      </w:tr>
      <w:tr w14:paraId="07C0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restart"/>
            <w:vAlign w:val="center"/>
          </w:tcPr>
          <w:p w14:paraId="088127C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施工期</w:t>
            </w:r>
          </w:p>
        </w:tc>
        <w:tc>
          <w:tcPr>
            <w:tcW w:w="1978" w:type="dxa"/>
            <w:vMerge w:val="restart"/>
            <w:vAlign w:val="center"/>
          </w:tcPr>
          <w:p w14:paraId="34CB899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土石方工程（包括土石方开挖、岩石爆破、洞挖）</w:t>
            </w:r>
          </w:p>
        </w:tc>
        <w:tc>
          <w:tcPr>
            <w:tcW w:w="3390" w:type="dxa"/>
            <w:vAlign w:val="center"/>
          </w:tcPr>
          <w:p w14:paraId="50C8834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植被破坏</w:t>
            </w:r>
          </w:p>
        </w:tc>
        <w:tc>
          <w:tcPr>
            <w:tcW w:w="2025" w:type="dxa"/>
            <w:vMerge w:val="restart"/>
            <w:vAlign w:val="center"/>
          </w:tcPr>
          <w:p w14:paraId="585B4FA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生态环境、景观、土壤环境</w:t>
            </w:r>
          </w:p>
        </w:tc>
      </w:tr>
      <w:tr w14:paraId="207F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Merge w:val="continue"/>
            <w:vAlign w:val="center"/>
          </w:tcPr>
          <w:p w14:paraId="3D0FC7A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20B3122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2517818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水土流失</w:t>
            </w:r>
          </w:p>
        </w:tc>
        <w:tc>
          <w:tcPr>
            <w:tcW w:w="2025" w:type="dxa"/>
            <w:vMerge w:val="continue"/>
            <w:vAlign w:val="center"/>
          </w:tcPr>
          <w:p w14:paraId="360E6E5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r>
      <w:tr w14:paraId="1B73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25195CE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33C2767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69A8185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陆生动物栖息环境变化</w:t>
            </w:r>
          </w:p>
        </w:tc>
        <w:tc>
          <w:tcPr>
            <w:tcW w:w="2025" w:type="dxa"/>
            <w:vMerge w:val="continue"/>
            <w:vAlign w:val="center"/>
          </w:tcPr>
          <w:p w14:paraId="65340CF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r>
      <w:tr w14:paraId="4A2B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6533586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7D0C2F2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7BF5A4B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山体结构破坏</w:t>
            </w:r>
          </w:p>
        </w:tc>
        <w:tc>
          <w:tcPr>
            <w:tcW w:w="2025" w:type="dxa"/>
            <w:vAlign w:val="center"/>
          </w:tcPr>
          <w:p w14:paraId="0EBB6B0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地质环境</w:t>
            </w:r>
          </w:p>
        </w:tc>
      </w:tr>
      <w:tr w14:paraId="6469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5C36142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7B32870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4200B00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噪声</w:t>
            </w:r>
          </w:p>
        </w:tc>
        <w:tc>
          <w:tcPr>
            <w:tcW w:w="2025" w:type="dxa"/>
            <w:vAlign w:val="center"/>
          </w:tcPr>
          <w:p w14:paraId="5275881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w:t>
            </w:r>
          </w:p>
        </w:tc>
      </w:tr>
      <w:tr w14:paraId="15BA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49D3C95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6D61DA2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6655CE6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扬尘</w:t>
            </w:r>
          </w:p>
        </w:tc>
        <w:tc>
          <w:tcPr>
            <w:tcW w:w="2025" w:type="dxa"/>
            <w:vAlign w:val="center"/>
          </w:tcPr>
          <w:p w14:paraId="57AC099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大气环境</w:t>
            </w:r>
          </w:p>
        </w:tc>
      </w:tr>
      <w:tr w14:paraId="1B4C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1F6FE60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535F286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6924526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工程占地</w:t>
            </w:r>
          </w:p>
        </w:tc>
        <w:tc>
          <w:tcPr>
            <w:tcW w:w="2025" w:type="dxa"/>
            <w:vAlign w:val="center"/>
          </w:tcPr>
          <w:p w14:paraId="79AD17F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生态和土壤环境</w:t>
            </w:r>
          </w:p>
        </w:tc>
      </w:tr>
      <w:tr w14:paraId="09D1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0BBA255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6D1CE86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40D9033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河流水质SS浓度升高，石油类污染，水生生境变化</w:t>
            </w:r>
          </w:p>
        </w:tc>
        <w:tc>
          <w:tcPr>
            <w:tcW w:w="2025" w:type="dxa"/>
            <w:vAlign w:val="center"/>
          </w:tcPr>
          <w:p w14:paraId="353EAFA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水环境和生态环境</w:t>
            </w:r>
          </w:p>
        </w:tc>
      </w:tr>
      <w:tr w14:paraId="2EF1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2376F6F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7FCE9E4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55111432">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弃渣</w:t>
            </w:r>
          </w:p>
        </w:tc>
        <w:tc>
          <w:tcPr>
            <w:tcW w:w="2025" w:type="dxa"/>
            <w:vAlign w:val="center"/>
          </w:tcPr>
          <w:p w14:paraId="0F6C77E2">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景观和生态环境</w:t>
            </w:r>
          </w:p>
        </w:tc>
      </w:tr>
      <w:tr w14:paraId="1F14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26ABFE5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restart"/>
            <w:vAlign w:val="center"/>
          </w:tcPr>
          <w:p w14:paraId="48534DE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砌筑工程（包括坝体及其他构筑物浇筑，坝体土石填筑）</w:t>
            </w:r>
          </w:p>
          <w:p w14:paraId="1C49A3E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C6C612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扬尘</w:t>
            </w:r>
          </w:p>
        </w:tc>
        <w:tc>
          <w:tcPr>
            <w:tcW w:w="2025" w:type="dxa"/>
            <w:vAlign w:val="center"/>
          </w:tcPr>
          <w:p w14:paraId="55F2802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大气环境</w:t>
            </w:r>
          </w:p>
        </w:tc>
      </w:tr>
      <w:tr w14:paraId="3D04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4D6DB51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54BB36F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013488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噪声</w:t>
            </w:r>
          </w:p>
        </w:tc>
        <w:tc>
          <w:tcPr>
            <w:tcW w:w="2025" w:type="dxa"/>
            <w:vAlign w:val="center"/>
          </w:tcPr>
          <w:p w14:paraId="0AE2CFA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w:t>
            </w:r>
          </w:p>
        </w:tc>
      </w:tr>
      <w:tr w14:paraId="20E3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140A627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7BF76B4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2D7D0AA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施工废水</w:t>
            </w:r>
          </w:p>
        </w:tc>
        <w:tc>
          <w:tcPr>
            <w:tcW w:w="2025" w:type="dxa"/>
            <w:vAlign w:val="center"/>
          </w:tcPr>
          <w:p w14:paraId="7A5A0EF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水环境</w:t>
            </w:r>
          </w:p>
        </w:tc>
      </w:tr>
      <w:tr w14:paraId="4F0A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14CCEB9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3CCF84B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163184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植被破坏</w:t>
            </w:r>
          </w:p>
        </w:tc>
        <w:tc>
          <w:tcPr>
            <w:tcW w:w="2025" w:type="dxa"/>
            <w:vAlign w:val="center"/>
          </w:tcPr>
          <w:p w14:paraId="73FFE90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生态和土壤环境</w:t>
            </w:r>
          </w:p>
        </w:tc>
      </w:tr>
      <w:tr w14:paraId="0566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47E62FC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restart"/>
            <w:vAlign w:val="center"/>
          </w:tcPr>
          <w:p w14:paraId="4194EB7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材料运输、堆放</w:t>
            </w:r>
          </w:p>
        </w:tc>
        <w:tc>
          <w:tcPr>
            <w:tcW w:w="3390" w:type="dxa"/>
            <w:shd w:val="clear" w:color="auto" w:fill="auto"/>
            <w:vAlign w:val="center"/>
          </w:tcPr>
          <w:p w14:paraId="0C07E6A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扬尘</w:t>
            </w:r>
          </w:p>
        </w:tc>
        <w:tc>
          <w:tcPr>
            <w:tcW w:w="2025" w:type="dxa"/>
            <w:vAlign w:val="center"/>
          </w:tcPr>
          <w:p w14:paraId="488B088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大气环境</w:t>
            </w:r>
          </w:p>
        </w:tc>
      </w:tr>
      <w:tr w14:paraId="5E07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6572454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1C14CD1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5DF5C5B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噪声</w:t>
            </w:r>
          </w:p>
        </w:tc>
        <w:tc>
          <w:tcPr>
            <w:tcW w:w="2025" w:type="dxa"/>
            <w:vAlign w:val="center"/>
          </w:tcPr>
          <w:p w14:paraId="16A861E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w:t>
            </w:r>
          </w:p>
        </w:tc>
      </w:tr>
      <w:tr w14:paraId="77D0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243BB21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0996D54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265CD58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植被破坏</w:t>
            </w:r>
          </w:p>
        </w:tc>
        <w:tc>
          <w:tcPr>
            <w:tcW w:w="2025" w:type="dxa"/>
            <w:vAlign w:val="center"/>
          </w:tcPr>
          <w:p w14:paraId="2ADA922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景观、土壤及生态环境</w:t>
            </w:r>
          </w:p>
        </w:tc>
      </w:tr>
      <w:tr w14:paraId="1B37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7E36A0B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0E51D02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A53C12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水土流失</w:t>
            </w:r>
          </w:p>
        </w:tc>
        <w:tc>
          <w:tcPr>
            <w:tcW w:w="2025" w:type="dxa"/>
            <w:vAlign w:val="center"/>
          </w:tcPr>
          <w:p w14:paraId="5780243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地质、土壤和生态环境</w:t>
            </w:r>
          </w:p>
        </w:tc>
      </w:tr>
      <w:tr w14:paraId="2B98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6E1FAAB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Align w:val="center"/>
          </w:tcPr>
          <w:p w14:paraId="088BA31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钢筋、木材加工</w:t>
            </w:r>
          </w:p>
        </w:tc>
        <w:tc>
          <w:tcPr>
            <w:tcW w:w="3390" w:type="dxa"/>
            <w:vAlign w:val="center"/>
          </w:tcPr>
          <w:p w14:paraId="0304F77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噪声</w:t>
            </w:r>
          </w:p>
        </w:tc>
        <w:tc>
          <w:tcPr>
            <w:tcW w:w="2025" w:type="dxa"/>
            <w:vAlign w:val="center"/>
          </w:tcPr>
          <w:p w14:paraId="2361AE4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w:t>
            </w:r>
          </w:p>
        </w:tc>
      </w:tr>
      <w:tr w14:paraId="5F9C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4E4D571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restart"/>
            <w:vAlign w:val="center"/>
          </w:tcPr>
          <w:p w14:paraId="6D9A851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施工场地和施工便道</w:t>
            </w:r>
          </w:p>
        </w:tc>
        <w:tc>
          <w:tcPr>
            <w:tcW w:w="3390" w:type="dxa"/>
            <w:vAlign w:val="center"/>
          </w:tcPr>
          <w:p w14:paraId="124B638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植被破坏、临时占地</w:t>
            </w:r>
          </w:p>
        </w:tc>
        <w:tc>
          <w:tcPr>
            <w:tcW w:w="2025" w:type="dxa"/>
            <w:vMerge w:val="restart"/>
            <w:vAlign w:val="center"/>
          </w:tcPr>
          <w:p w14:paraId="231EAA8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地质、土壤和生态环境</w:t>
            </w:r>
          </w:p>
        </w:tc>
      </w:tr>
      <w:tr w14:paraId="2AF4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15A78C3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2E91544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109CEE3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水土流失</w:t>
            </w:r>
          </w:p>
        </w:tc>
        <w:tc>
          <w:tcPr>
            <w:tcW w:w="2025" w:type="dxa"/>
            <w:vMerge w:val="continue"/>
            <w:vAlign w:val="center"/>
          </w:tcPr>
          <w:p w14:paraId="3954247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r>
      <w:tr w14:paraId="60AB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0A5EC81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141FF86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EF265C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植被带状或斑状裸露</w:t>
            </w:r>
          </w:p>
        </w:tc>
        <w:tc>
          <w:tcPr>
            <w:tcW w:w="2025" w:type="dxa"/>
            <w:vAlign w:val="center"/>
          </w:tcPr>
          <w:p w14:paraId="5FFFB4F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景观和生态环境</w:t>
            </w:r>
          </w:p>
        </w:tc>
      </w:tr>
      <w:tr w14:paraId="2B93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0782A44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3AC87CC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1E004F8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生活污水、生活垃圾</w:t>
            </w:r>
          </w:p>
        </w:tc>
        <w:tc>
          <w:tcPr>
            <w:tcW w:w="2025" w:type="dxa"/>
            <w:vAlign w:val="center"/>
          </w:tcPr>
          <w:p w14:paraId="5CD4C44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水环境</w:t>
            </w:r>
          </w:p>
        </w:tc>
      </w:tr>
      <w:tr w14:paraId="167E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restart"/>
            <w:vAlign w:val="center"/>
          </w:tcPr>
          <w:p w14:paraId="1987DAF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运营期</w:t>
            </w:r>
          </w:p>
        </w:tc>
        <w:tc>
          <w:tcPr>
            <w:tcW w:w="1978" w:type="dxa"/>
            <w:vMerge w:val="restart"/>
            <w:vAlign w:val="center"/>
          </w:tcPr>
          <w:p w14:paraId="184D269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农业供水、居民供水</w:t>
            </w:r>
          </w:p>
        </w:tc>
        <w:tc>
          <w:tcPr>
            <w:tcW w:w="3390" w:type="dxa"/>
            <w:vAlign w:val="center"/>
          </w:tcPr>
          <w:p w14:paraId="2AE6372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改善农业耕地条件</w:t>
            </w:r>
          </w:p>
        </w:tc>
        <w:tc>
          <w:tcPr>
            <w:tcW w:w="2025" w:type="dxa"/>
            <w:vMerge w:val="restart"/>
            <w:vAlign w:val="center"/>
          </w:tcPr>
          <w:p w14:paraId="70DF152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社会经济环境</w:t>
            </w:r>
          </w:p>
        </w:tc>
      </w:tr>
      <w:tr w14:paraId="0A23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7FB1EF1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2273D58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43FB928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改善居民饮水质量</w:t>
            </w:r>
          </w:p>
        </w:tc>
        <w:tc>
          <w:tcPr>
            <w:tcW w:w="2025" w:type="dxa"/>
            <w:vMerge w:val="continue"/>
            <w:vAlign w:val="center"/>
          </w:tcPr>
          <w:p w14:paraId="5B737C8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r>
      <w:tr w14:paraId="42D5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2F10CAA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Align w:val="center"/>
          </w:tcPr>
          <w:p w14:paraId="193079E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工程管理</w:t>
            </w:r>
          </w:p>
        </w:tc>
        <w:tc>
          <w:tcPr>
            <w:tcW w:w="3390" w:type="dxa"/>
            <w:shd w:val="clear" w:color="auto" w:fill="auto"/>
            <w:vAlign w:val="center"/>
          </w:tcPr>
          <w:p w14:paraId="69EF899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生活污水、生活垃圾</w:t>
            </w:r>
          </w:p>
        </w:tc>
        <w:tc>
          <w:tcPr>
            <w:tcW w:w="2025" w:type="dxa"/>
            <w:shd w:val="clear" w:color="auto" w:fill="auto"/>
            <w:vAlign w:val="center"/>
          </w:tcPr>
          <w:p w14:paraId="7CF3323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水环境</w:t>
            </w:r>
          </w:p>
        </w:tc>
      </w:tr>
      <w:tr w14:paraId="0332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79D5ECB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restart"/>
            <w:vAlign w:val="center"/>
          </w:tcPr>
          <w:p w14:paraId="7389FDB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拦河蓄水</w:t>
            </w:r>
          </w:p>
        </w:tc>
        <w:tc>
          <w:tcPr>
            <w:tcW w:w="3390" w:type="dxa"/>
            <w:vAlign w:val="center"/>
          </w:tcPr>
          <w:p w14:paraId="767BB2A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河流流速、流量及水资源分布变化；形成减水段以及低温水下泄，影响农业生产和水生生物生境和阻隔其种质交流。</w:t>
            </w:r>
          </w:p>
        </w:tc>
        <w:tc>
          <w:tcPr>
            <w:tcW w:w="2025" w:type="dxa"/>
            <w:vAlign w:val="center"/>
          </w:tcPr>
          <w:p w14:paraId="7DD3E83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水文</w:t>
            </w:r>
          </w:p>
          <w:p w14:paraId="59872507">
            <w:pPr>
              <w:jc w:val="center"/>
              <w:rPr>
                <w:rFonts w:hint="eastAsia" w:ascii="Arial" w:hAnsi="Arial" w:cs="Arial"/>
                <w:kern w:val="0"/>
                <w:sz w:val="22"/>
                <w:szCs w:val="22"/>
                <w:vertAlign w:val="baseline"/>
                <w:lang w:val="en-US" w:eastAsia="zh-CN" w:bidi="ar-SA"/>
              </w:rPr>
            </w:pPr>
            <w:r>
              <w:rPr>
                <w:rFonts w:hint="eastAsia" w:ascii="Arial" w:hAnsi="Arial" w:cs="Arial"/>
                <w:kern w:val="0"/>
                <w:sz w:val="22"/>
                <w:szCs w:val="22"/>
                <w:vertAlign w:val="baseline"/>
                <w:lang w:val="en-US" w:eastAsia="zh-CN" w:bidi="ar-SA"/>
              </w:rPr>
              <w:t>水生生态</w:t>
            </w:r>
          </w:p>
          <w:p w14:paraId="329FC6C2">
            <w:pPr>
              <w:jc w:val="center"/>
              <w:rPr>
                <w:rFonts w:hint="default" w:ascii="Arial" w:hAnsi="Arial" w:cs="Arial"/>
                <w:kern w:val="0"/>
                <w:sz w:val="22"/>
                <w:szCs w:val="22"/>
                <w:vertAlign w:val="baseline"/>
                <w:lang w:val="en-US" w:eastAsia="zh-CN" w:bidi="ar-SA"/>
              </w:rPr>
            </w:pPr>
            <w:r>
              <w:rPr>
                <w:rFonts w:hint="eastAsia" w:ascii="Arial" w:hAnsi="Arial" w:cs="Arial"/>
                <w:kern w:val="0"/>
                <w:sz w:val="22"/>
                <w:szCs w:val="22"/>
                <w:vertAlign w:val="baseline"/>
                <w:lang w:val="en-US" w:eastAsia="zh-CN" w:bidi="ar-SA"/>
              </w:rPr>
              <w:t>农业生态</w:t>
            </w:r>
          </w:p>
        </w:tc>
      </w:tr>
      <w:tr w14:paraId="58F5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004ED2B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306283E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4A84EC0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水体富营养化、低温水下泄</w:t>
            </w:r>
          </w:p>
        </w:tc>
        <w:tc>
          <w:tcPr>
            <w:tcW w:w="2025" w:type="dxa"/>
            <w:vAlign w:val="center"/>
          </w:tcPr>
          <w:p w14:paraId="157DDB8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水文</w:t>
            </w:r>
          </w:p>
          <w:p w14:paraId="0D2B65A8">
            <w:pPr>
              <w:jc w:val="center"/>
              <w:rPr>
                <w:rFonts w:hint="default"/>
                <w:lang w:val="en-US" w:eastAsia="zh-CN"/>
              </w:rPr>
            </w:pPr>
            <w:r>
              <w:rPr>
                <w:rFonts w:hint="eastAsia" w:ascii="Arial" w:hAnsi="Arial" w:cs="Arial"/>
                <w:kern w:val="0"/>
                <w:sz w:val="22"/>
                <w:szCs w:val="22"/>
                <w:vertAlign w:val="baseline"/>
                <w:lang w:val="en-US" w:eastAsia="zh-CN" w:bidi="ar-SA"/>
              </w:rPr>
              <w:t>坝后水生生态</w:t>
            </w:r>
          </w:p>
        </w:tc>
      </w:tr>
      <w:tr w14:paraId="3F13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2A11B34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2BCB6BB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1118D2C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泥沙淤积</w:t>
            </w:r>
          </w:p>
        </w:tc>
        <w:tc>
          <w:tcPr>
            <w:tcW w:w="2025" w:type="dxa"/>
            <w:vAlign w:val="center"/>
          </w:tcPr>
          <w:p w14:paraId="1AF935C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水文</w:t>
            </w:r>
          </w:p>
        </w:tc>
      </w:tr>
    </w:tbl>
    <w:p w14:paraId="5496AF6B">
      <w:pPr>
        <w:keepNext w:val="0"/>
        <w:keepLines w:val="0"/>
        <w:pageBreakBefore w:val="0"/>
        <w:widowControl w:val="0"/>
        <w:kinsoku/>
        <w:wordWrap/>
        <w:overflowPunct/>
        <w:topLinePunct w:val="0"/>
        <w:autoSpaceDE/>
        <w:autoSpaceDN/>
        <w:bidi w:val="0"/>
        <w:adjustRightInd/>
        <w:snapToGrid/>
        <w:spacing w:line="240" w:lineRule="exact"/>
        <w:textAlignment w:val="auto"/>
        <w:rPr>
          <w:sz w:val="24"/>
          <w:szCs w:val="24"/>
        </w:rPr>
      </w:pPr>
    </w:p>
    <w:p w14:paraId="241D1E2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由表1.4-2识别结果可知，拟建项目施工期对外环境的影响主要体现在工程占地、各类建构筑物施工对生态环境的破坏，和引起各环境因素的污染；运营期主要是拦河蓄水对水生生态环境的影响。</w:t>
      </w:r>
    </w:p>
    <w:p w14:paraId="7B73C2DA">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4</w:t>
      </w:r>
      <w:r>
        <w:rPr>
          <w:rFonts w:hint="eastAsia" w:ascii="Arial" w:hAnsi="Arial" w:eastAsia="宋体" w:cs="Arial"/>
          <w:b/>
          <w:color w:val="auto"/>
          <w:kern w:val="0"/>
          <w:sz w:val="26"/>
          <w:szCs w:val="20"/>
          <w:highlight w:val="none"/>
          <w:lang w:val="en-US" w:eastAsia="zh-CN"/>
        </w:rPr>
        <w:t>.</w:t>
      </w:r>
      <w:bookmarkEnd w:id="34"/>
      <w:bookmarkEnd w:id="35"/>
      <w:bookmarkEnd w:id="36"/>
      <w:bookmarkEnd w:id="37"/>
      <w:bookmarkEnd w:id="38"/>
      <w:bookmarkEnd w:id="39"/>
      <w:bookmarkEnd w:id="40"/>
      <w:bookmarkEnd w:id="41"/>
      <w:bookmarkEnd w:id="42"/>
      <w:bookmarkEnd w:id="43"/>
      <w:bookmarkEnd w:id="44"/>
      <w:bookmarkEnd w:id="45"/>
      <w:bookmarkEnd w:id="46"/>
      <w:r>
        <w:rPr>
          <w:rFonts w:hint="eastAsia" w:ascii="Arial" w:hAnsi="Arial" w:cs="Arial"/>
          <w:b/>
          <w:color w:val="auto"/>
          <w:kern w:val="0"/>
          <w:sz w:val="26"/>
          <w:szCs w:val="20"/>
          <w:highlight w:val="none"/>
          <w:lang w:val="en-US" w:eastAsia="zh-CN"/>
        </w:rPr>
        <w:t>3环境要素及环境因子识别</w:t>
      </w:r>
    </w:p>
    <w:p w14:paraId="6331CB4F">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en-US" w:eastAsia="zh-CN" w:bidi="ar-SA"/>
        </w:rPr>
        <w:sectPr>
          <w:footerReference r:id="rId15" w:type="default"/>
          <w:pgSz w:w="12240" w:h="15840"/>
          <w:pgMar w:top="1440" w:right="1701" w:bottom="1276" w:left="1701" w:header="794" w:footer="720" w:gutter="0"/>
          <w:pgBorders>
            <w:top w:val="none" w:sz="0" w:space="0"/>
            <w:left w:val="none" w:sz="0" w:space="0"/>
            <w:bottom w:val="none" w:sz="0" w:space="0"/>
            <w:right w:val="none" w:sz="0" w:space="0"/>
          </w:pgBorders>
          <w:pgNumType w:fmt="decimal" w:start="1"/>
          <w:cols w:space="720" w:num="1"/>
        </w:sectPr>
      </w:pPr>
      <w:r>
        <w:rPr>
          <w:rFonts w:hint="eastAsia" w:ascii="Arial" w:hAnsi="Arial" w:eastAsia="宋体" w:cs="Arial"/>
          <w:kern w:val="0"/>
          <w:sz w:val="26"/>
          <w:szCs w:val="26"/>
          <w:lang w:val="en-US" w:eastAsia="zh-CN" w:bidi="ar-SA"/>
        </w:rPr>
        <w:t>根据拟建项目施工及运行情况，结合工程地区环境功能和各类环境因子的重要性以及可能受影响程度，在环境影响因素分析的基础上，采用矩阵法，从环境要素和影响区域两方面进行环境因子的识别和筛选。</w:t>
      </w:r>
    </w:p>
    <w:p w14:paraId="1290293B">
      <w:pPr>
        <w:pStyle w:val="1085"/>
        <w:keepNext w:val="0"/>
        <w:keepLines w:val="0"/>
        <w:pageBreakBefore w:val="0"/>
        <w:widowControl w:val="0"/>
        <w:kinsoku/>
        <w:wordWrap/>
        <w:overflowPunct/>
        <w:topLinePunct w:val="0"/>
        <w:autoSpaceDE/>
        <w:autoSpaceDN/>
        <w:bidi w:val="0"/>
        <w:adjustRightInd/>
        <w:snapToGrid w:val="0"/>
        <w:spacing w:line="480" w:lineRule="exact"/>
        <w:textAlignment w:val="auto"/>
        <w:rPr>
          <w:rFonts w:hint="eastAsia" w:ascii="Arial" w:hAnsi="Arial" w:cs="Arial"/>
          <w:sz w:val="26"/>
          <w:szCs w:val="26"/>
          <w:lang w:val="en-US" w:eastAsia="zh-CN"/>
        </w:rPr>
      </w:pPr>
      <w:r>
        <w:rPr>
          <w:rFonts w:hint="default" w:ascii="Arial" w:hAnsi="Arial" w:eastAsia="宋体" w:cs="Arial"/>
          <w:sz w:val="26"/>
          <w:szCs w:val="26"/>
        </w:rPr>
        <w:t>表1.</w:t>
      </w:r>
      <w:r>
        <w:rPr>
          <w:rFonts w:hint="eastAsia" w:ascii="Arial" w:hAnsi="Arial" w:cs="Arial"/>
          <w:sz w:val="26"/>
          <w:szCs w:val="26"/>
          <w:lang w:val="en-US" w:eastAsia="zh-CN"/>
        </w:rPr>
        <w:t>4</w:t>
      </w:r>
      <w:r>
        <w:rPr>
          <w:rFonts w:hint="eastAsia" w:ascii="Arial" w:hAnsi="Arial" w:eastAsia="宋体" w:cs="Arial"/>
          <w:sz w:val="26"/>
          <w:szCs w:val="26"/>
          <w:lang w:val="en-US" w:eastAsia="zh-CN"/>
        </w:rPr>
        <w:t>-</w:t>
      </w:r>
      <w:r>
        <w:rPr>
          <w:rFonts w:hint="eastAsia" w:ascii="Arial" w:hAnsi="Arial" w:cs="Arial"/>
          <w:sz w:val="26"/>
          <w:szCs w:val="26"/>
          <w:lang w:val="en-US" w:eastAsia="zh-CN"/>
        </w:rPr>
        <w:t>3</w:t>
      </w:r>
      <w:r>
        <w:rPr>
          <w:rFonts w:hint="default" w:ascii="Arial" w:hAnsi="Arial" w:eastAsia="宋体" w:cs="Arial"/>
          <w:sz w:val="26"/>
          <w:szCs w:val="26"/>
        </w:rPr>
        <w:t xml:space="preserve">  </w:t>
      </w:r>
      <w:r>
        <w:rPr>
          <w:rFonts w:hint="eastAsia" w:ascii="Arial" w:hAnsi="Arial" w:eastAsia="宋体" w:cs="Arial"/>
          <w:sz w:val="26"/>
          <w:szCs w:val="26"/>
          <w:lang w:val="en-US" w:eastAsia="zh-CN"/>
        </w:rPr>
        <w:t>工程</w:t>
      </w:r>
      <w:r>
        <w:rPr>
          <w:rFonts w:hint="eastAsia" w:ascii="Arial" w:hAnsi="Arial" w:cs="Arial"/>
          <w:sz w:val="26"/>
          <w:szCs w:val="26"/>
          <w:lang w:val="en-US" w:eastAsia="zh-CN"/>
        </w:rPr>
        <w:t>环境要素影响识别矩阵表</w:t>
      </w:r>
    </w:p>
    <w:tbl>
      <w:tblPr>
        <w:tblStyle w:val="1893"/>
        <w:tblW w:w="14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1499"/>
        <w:gridCol w:w="600"/>
        <w:gridCol w:w="600"/>
        <w:gridCol w:w="600"/>
        <w:gridCol w:w="600"/>
        <w:gridCol w:w="600"/>
        <w:gridCol w:w="570"/>
        <w:gridCol w:w="589"/>
        <w:gridCol w:w="889"/>
        <w:gridCol w:w="630"/>
        <w:gridCol w:w="649"/>
        <w:gridCol w:w="689"/>
        <w:gridCol w:w="649"/>
        <w:gridCol w:w="659"/>
        <w:gridCol w:w="650"/>
        <w:gridCol w:w="659"/>
        <w:gridCol w:w="649"/>
        <w:gridCol w:w="660"/>
        <w:gridCol w:w="654"/>
      </w:tblGrid>
      <w:tr w14:paraId="76162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2603" w:type="dxa"/>
            <w:gridSpan w:val="2"/>
            <w:vMerge w:val="restart"/>
            <w:tcBorders>
              <w:bottom w:val="nil"/>
              <w:tl2br w:val="single" w:color="000000" w:sz="4" w:space="0"/>
            </w:tcBorders>
            <w:vAlign w:val="center"/>
          </w:tcPr>
          <w:p w14:paraId="0DDB778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right"/>
              <w:textAlignment w:val="auto"/>
              <w:outlineLvl w:val="2"/>
              <w:rPr>
                <w:rFonts w:hint="default" w:ascii="Arial" w:hAnsi="Arial" w:cs="Arial"/>
                <w:sz w:val="22"/>
                <w:szCs w:val="22"/>
              </w:rPr>
            </w:pPr>
            <w:r>
              <w:rPr>
                <w:rFonts w:hint="default" w:ascii="Arial" w:hAnsi="Arial" w:cs="Arial"/>
                <w:spacing w:val="-2"/>
                <w:sz w:val="22"/>
                <w:szCs w:val="22"/>
              </w:rPr>
              <w:t>环境要素</w:t>
            </w:r>
          </w:p>
          <w:p w14:paraId="64E7097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68F9F3B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left"/>
              <w:textAlignment w:val="auto"/>
              <w:rPr>
                <w:rFonts w:hint="default" w:ascii="Arial" w:hAnsi="Arial" w:cs="Arial"/>
                <w:sz w:val="22"/>
                <w:szCs w:val="22"/>
              </w:rPr>
            </w:pPr>
            <w:r>
              <w:rPr>
                <w:rFonts w:hint="default" w:ascii="Arial" w:hAnsi="Arial" w:cs="Arial"/>
                <w:spacing w:val="-3"/>
                <w:sz w:val="22"/>
                <w:szCs w:val="22"/>
              </w:rPr>
              <w:t>环节</w:t>
            </w:r>
          </w:p>
        </w:tc>
        <w:tc>
          <w:tcPr>
            <w:tcW w:w="1800" w:type="dxa"/>
            <w:gridSpan w:val="3"/>
            <w:vAlign w:val="center"/>
          </w:tcPr>
          <w:p w14:paraId="43E951BA">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水文情势</w:t>
            </w:r>
          </w:p>
        </w:tc>
        <w:tc>
          <w:tcPr>
            <w:tcW w:w="1200" w:type="dxa"/>
            <w:gridSpan w:val="2"/>
            <w:vAlign w:val="center"/>
          </w:tcPr>
          <w:p w14:paraId="72FD5BAB">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2"/>
                <w:sz w:val="22"/>
                <w:szCs w:val="22"/>
              </w:rPr>
              <w:t>地表水</w:t>
            </w:r>
          </w:p>
        </w:tc>
        <w:tc>
          <w:tcPr>
            <w:tcW w:w="1159" w:type="dxa"/>
            <w:gridSpan w:val="2"/>
            <w:vAlign w:val="center"/>
          </w:tcPr>
          <w:p w14:paraId="01A28C5D">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2"/>
                <w:sz w:val="22"/>
                <w:szCs w:val="22"/>
              </w:rPr>
              <w:t>地下水</w:t>
            </w:r>
          </w:p>
        </w:tc>
        <w:tc>
          <w:tcPr>
            <w:tcW w:w="2857" w:type="dxa"/>
            <w:gridSpan w:val="4"/>
            <w:vAlign w:val="center"/>
          </w:tcPr>
          <w:p w14:paraId="4FC13CCE">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2"/>
                <w:sz w:val="22"/>
                <w:szCs w:val="22"/>
              </w:rPr>
              <w:t>生态环境</w:t>
            </w:r>
          </w:p>
        </w:tc>
        <w:tc>
          <w:tcPr>
            <w:tcW w:w="649" w:type="dxa"/>
            <w:vMerge w:val="restart"/>
            <w:tcBorders>
              <w:bottom w:val="nil"/>
            </w:tcBorders>
            <w:vAlign w:val="center"/>
          </w:tcPr>
          <w:p w14:paraId="4661AE87">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5"/>
                <w:sz w:val="22"/>
                <w:szCs w:val="22"/>
              </w:rPr>
              <w:t>声环</w:t>
            </w:r>
          </w:p>
          <w:p w14:paraId="29127106">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z w:val="22"/>
                <w:szCs w:val="22"/>
              </w:rPr>
              <w:t>境</w:t>
            </w:r>
          </w:p>
        </w:tc>
        <w:tc>
          <w:tcPr>
            <w:tcW w:w="659" w:type="dxa"/>
            <w:vMerge w:val="restart"/>
            <w:tcBorders>
              <w:bottom w:val="nil"/>
            </w:tcBorders>
            <w:vAlign w:val="center"/>
          </w:tcPr>
          <w:p w14:paraId="5A29D751">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6"/>
                <w:sz w:val="22"/>
                <w:szCs w:val="22"/>
              </w:rPr>
              <w:t>大气</w:t>
            </w:r>
            <w:r>
              <w:rPr>
                <w:rFonts w:hint="default" w:ascii="Arial" w:hAnsi="Arial" w:cs="Arial"/>
                <w:sz w:val="22"/>
                <w:szCs w:val="22"/>
              </w:rPr>
              <w:t xml:space="preserve"> </w:t>
            </w:r>
            <w:r>
              <w:rPr>
                <w:rFonts w:hint="default" w:ascii="Arial" w:hAnsi="Arial" w:cs="Arial"/>
                <w:spacing w:val="-3"/>
                <w:sz w:val="22"/>
                <w:szCs w:val="22"/>
              </w:rPr>
              <w:t>环境</w:t>
            </w:r>
          </w:p>
        </w:tc>
        <w:tc>
          <w:tcPr>
            <w:tcW w:w="650" w:type="dxa"/>
            <w:vMerge w:val="restart"/>
            <w:tcBorders>
              <w:bottom w:val="nil"/>
            </w:tcBorders>
            <w:vAlign w:val="center"/>
          </w:tcPr>
          <w:p w14:paraId="3BCCDE51">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固体</w:t>
            </w:r>
            <w:r>
              <w:rPr>
                <w:rFonts w:hint="default" w:ascii="Arial" w:hAnsi="Arial" w:cs="Arial"/>
                <w:sz w:val="22"/>
                <w:szCs w:val="22"/>
              </w:rPr>
              <w:t xml:space="preserve"> </w:t>
            </w:r>
            <w:r>
              <w:rPr>
                <w:rFonts w:hint="default" w:ascii="Arial" w:hAnsi="Arial" w:cs="Arial"/>
                <w:spacing w:val="-2"/>
                <w:sz w:val="22"/>
                <w:szCs w:val="22"/>
              </w:rPr>
              <w:t>废物</w:t>
            </w:r>
          </w:p>
        </w:tc>
        <w:tc>
          <w:tcPr>
            <w:tcW w:w="659" w:type="dxa"/>
            <w:vMerge w:val="restart"/>
            <w:tcBorders>
              <w:bottom w:val="nil"/>
            </w:tcBorders>
            <w:vAlign w:val="center"/>
          </w:tcPr>
          <w:p w14:paraId="3A1B54F2">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5"/>
                <w:sz w:val="22"/>
                <w:szCs w:val="22"/>
              </w:rPr>
              <w:t>人群</w:t>
            </w:r>
            <w:r>
              <w:rPr>
                <w:rFonts w:hint="default" w:ascii="Arial" w:hAnsi="Arial" w:cs="Arial"/>
                <w:sz w:val="22"/>
                <w:szCs w:val="22"/>
              </w:rPr>
              <w:t xml:space="preserve"> </w:t>
            </w:r>
            <w:r>
              <w:rPr>
                <w:rFonts w:hint="default" w:ascii="Arial" w:hAnsi="Arial" w:cs="Arial"/>
                <w:spacing w:val="-5"/>
                <w:sz w:val="22"/>
                <w:szCs w:val="22"/>
              </w:rPr>
              <w:t>健康</w:t>
            </w:r>
          </w:p>
        </w:tc>
        <w:tc>
          <w:tcPr>
            <w:tcW w:w="1309" w:type="dxa"/>
            <w:gridSpan w:val="2"/>
            <w:vAlign w:val="center"/>
          </w:tcPr>
          <w:p w14:paraId="2927BE28">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3"/>
                <w:sz w:val="22"/>
                <w:szCs w:val="22"/>
              </w:rPr>
              <w:t>土壤</w:t>
            </w:r>
          </w:p>
        </w:tc>
        <w:tc>
          <w:tcPr>
            <w:tcW w:w="654" w:type="dxa"/>
            <w:vMerge w:val="restart"/>
            <w:tcBorders>
              <w:bottom w:val="nil"/>
            </w:tcBorders>
            <w:vAlign w:val="center"/>
          </w:tcPr>
          <w:p w14:paraId="3C58EC9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7B9EDB8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5"/>
                <w:sz w:val="22"/>
                <w:szCs w:val="22"/>
              </w:rPr>
              <w:t>移民</w:t>
            </w:r>
          </w:p>
        </w:tc>
      </w:tr>
      <w:tr w14:paraId="67ED8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2603" w:type="dxa"/>
            <w:gridSpan w:val="2"/>
            <w:vMerge w:val="continue"/>
            <w:tcBorders>
              <w:top w:val="nil"/>
              <w:tl2br w:val="single" w:color="000000" w:sz="4" w:space="0"/>
            </w:tcBorders>
            <w:vAlign w:val="center"/>
          </w:tcPr>
          <w:p w14:paraId="604620C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E2C423A">
            <w:pPr>
              <w:pStyle w:val="2102"/>
              <w:keepNext w:val="0"/>
              <w:keepLines w:val="0"/>
              <w:pageBreakBefore w:val="0"/>
              <w:widowControl w:val="0"/>
              <w:kinsoku/>
              <w:wordWrap/>
              <w:overflowPunct/>
              <w:topLinePunct w:val="0"/>
              <w:autoSpaceDE/>
              <w:autoSpaceDN/>
              <w:bidi w:val="0"/>
              <w:adjustRightInd/>
              <w:snapToGrid/>
              <w:spacing w:line="300" w:lineRule="exact"/>
              <w:ind w:leftChars="0" w:firstLine="0" w:firstLineChars="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流量</w:t>
            </w:r>
          </w:p>
        </w:tc>
        <w:tc>
          <w:tcPr>
            <w:tcW w:w="600" w:type="dxa"/>
            <w:vAlign w:val="center"/>
          </w:tcPr>
          <w:p w14:paraId="1F942D92">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ascii="Arial" w:hAnsi="Arial" w:eastAsia="宋体" w:cs="Arial"/>
                <w:spacing w:val="-5"/>
                <w:sz w:val="22"/>
                <w:szCs w:val="22"/>
                <w:lang w:eastAsia="zh-CN"/>
              </w:rPr>
            </w:pPr>
            <w:r>
              <w:rPr>
                <w:rFonts w:hint="eastAsia" w:ascii="Arial" w:hAnsi="Arial" w:eastAsia="宋体" w:cs="Arial"/>
                <w:spacing w:val="-5"/>
                <w:sz w:val="22"/>
                <w:szCs w:val="22"/>
                <w:lang w:eastAsia="zh-CN"/>
              </w:rPr>
              <w:t>泥沙</w:t>
            </w:r>
          </w:p>
        </w:tc>
        <w:tc>
          <w:tcPr>
            <w:tcW w:w="600" w:type="dxa"/>
            <w:vAlign w:val="center"/>
          </w:tcPr>
          <w:p w14:paraId="2D171082">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水位</w:t>
            </w:r>
          </w:p>
        </w:tc>
        <w:tc>
          <w:tcPr>
            <w:tcW w:w="600" w:type="dxa"/>
            <w:vAlign w:val="center"/>
          </w:tcPr>
          <w:p w14:paraId="50A36E03">
            <w:pPr>
              <w:pStyle w:val="2102"/>
              <w:autoSpaceDE w:val="0"/>
              <w:autoSpaceDN w:val="0"/>
              <w:bidi w:val="0"/>
              <w:jc w:val="center"/>
              <w:rPr>
                <w:rFonts w:hint="default" w:ascii="Arial" w:hAnsi="Arial" w:eastAsia="宋体" w:cs="Arial"/>
                <w:spacing w:val="-5"/>
                <w:szCs w:val="22"/>
              </w:rPr>
            </w:pPr>
            <w:r>
              <w:rPr>
                <w:rFonts w:hint="default"/>
              </w:rPr>
              <w:t>水温</w:t>
            </w:r>
          </w:p>
        </w:tc>
        <w:tc>
          <w:tcPr>
            <w:tcW w:w="600" w:type="dxa"/>
            <w:vAlign w:val="center"/>
          </w:tcPr>
          <w:p w14:paraId="71555763">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水质</w:t>
            </w:r>
          </w:p>
        </w:tc>
        <w:tc>
          <w:tcPr>
            <w:tcW w:w="570" w:type="dxa"/>
            <w:vAlign w:val="center"/>
          </w:tcPr>
          <w:p w14:paraId="4E68D7DC">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水质</w:t>
            </w:r>
          </w:p>
        </w:tc>
        <w:tc>
          <w:tcPr>
            <w:tcW w:w="589" w:type="dxa"/>
            <w:vAlign w:val="center"/>
          </w:tcPr>
          <w:p w14:paraId="7446B5A4">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水位</w:t>
            </w:r>
          </w:p>
        </w:tc>
        <w:tc>
          <w:tcPr>
            <w:tcW w:w="889" w:type="dxa"/>
            <w:vAlign w:val="center"/>
          </w:tcPr>
          <w:p w14:paraId="66BA4871">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生态完 整性</w:t>
            </w:r>
          </w:p>
        </w:tc>
        <w:tc>
          <w:tcPr>
            <w:tcW w:w="630" w:type="dxa"/>
            <w:vAlign w:val="center"/>
          </w:tcPr>
          <w:p w14:paraId="4F2F1EA0">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陆生</w:t>
            </w:r>
            <w:r>
              <w:rPr>
                <w:rFonts w:hint="default" w:ascii="Arial" w:hAnsi="Arial" w:cs="Arial"/>
                <w:sz w:val="22"/>
                <w:szCs w:val="22"/>
              </w:rPr>
              <w:t xml:space="preserve"> </w:t>
            </w:r>
            <w:r>
              <w:rPr>
                <w:rFonts w:hint="default" w:ascii="Arial" w:hAnsi="Arial" w:cs="Arial"/>
                <w:spacing w:val="-3"/>
                <w:sz w:val="22"/>
                <w:szCs w:val="22"/>
              </w:rPr>
              <w:t>植物</w:t>
            </w:r>
          </w:p>
        </w:tc>
        <w:tc>
          <w:tcPr>
            <w:tcW w:w="649" w:type="dxa"/>
            <w:vAlign w:val="center"/>
          </w:tcPr>
          <w:p w14:paraId="5AC928AA">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陆生</w:t>
            </w:r>
            <w:r>
              <w:rPr>
                <w:rFonts w:hint="default" w:ascii="Arial" w:hAnsi="Arial" w:cs="Arial"/>
                <w:sz w:val="22"/>
                <w:szCs w:val="22"/>
              </w:rPr>
              <w:t xml:space="preserve"> </w:t>
            </w:r>
            <w:r>
              <w:rPr>
                <w:rFonts w:hint="default" w:ascii="Arial" w:hAnsi="Arial" w:cs="Arial"/>
                <w:spacing w:val="-3"/>
                <w:sz w:val="22"/>
                <w:szCs w:val="22"/>
              </w:rPr>
              <w:t>动物</w:t>
            </w:r>
          </w:p>
        </w:tc>
        <w:tc>
          <w:tcPr>
            <w:tcW w:w="689" w:type="dxa"/>
            <w:vAlign w:val="center"/>
          </w:tcPr>
          <w:p w14:paraId="3EC36518">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水生</w:t>
            </w:r>
            <w:r>
              <w:rPr>
                <w:rFonts w:hint="default" w:ascii="Arial" w:hAnsi="Arial" w:cs="Arial"/>
                <w:sz w:val="22"/>
                <w:szCs w:val="22"/>
              </w:rPr>
              <w:t xml:space="preserve"> </w:t>
            </w:r>
            <w:r>
              <w:rPr>
                <w:rFonts w:hint="default" w:ascii="Arial" w:hAnsi="Arial" w:cs="Arial"/>
                <w:spacing w:val="5"/>
                <w:sz w:val="22"/>
                <w:szCs w:val="22"/>
              </w:rPr>
              <w:t>生物</w:t>
            </w:r>
          </w:p>
        </w:tc>
        <w:tc>
          <w:tcPr>
            <w:tcW w:w="649" w:type="dxa"/>
            <w:vMerge w:val="continue"/>
            <w:tcBorders>
              <w:top w:val="nil"/>
            </w:tcBorders>
            <w:vAlign w:val="center"/>
          </w:tcPr>
          <w:p w14:paraId="5319F262">
            <w:pPr>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p>
        </w:tc>
        <w:tc>
          <w:tcPr>
            <w:tcW w:w="659" w:type="dxa"/>
            <w:vMerge w:val="continue"/>
            <w:tcBorders>
              <w:top w:val="nil"/>
            </w:tcBorders>
            <w:vAlign w:val="center"/>
          </w:tcPr>
          <w:p w14:paraId="40CDD6ED">
            <w:pPr>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p>
        </w:tc>
        <w:tc>
          <w:tcPr>
            <w:tcW w:w="650" w:type="dxa"/>
            <w:vMerge w:val="continue"/>
            <w:tcBorders>
              <w:top w:val="nil"/>
            </w:tcBorders>
            <w:vAlign w:val="center"/>
          </w:tcPr>
          <w:p w14:paraId="6F6A7949">
            <w:pPr>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p>
        </w:tc>
        <w:tc>
          <w:tcPr>
            <w:tcW w:w="659" w:type="dxa"/>
            <w:vMerge w:val="continue"/>
            <w:tcBorders>
              <w:top w:val="nil"/>
            </w:tcBorders>
            <w:vAlign w:val="center"/>
          </w:tcPr>
          <w:p w14:paraId="6CF46831">
            <w:pPr>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p>
        </w:tc>
        <w:tc>
          <w:tcPr>
            <w:tcW w:w="649" w:type="dxa"/>
            <w:vAlign w:val="center"/>
          </w:tcPr>
          <w:p w14:paraId="05783600">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5"/>
                <w:sz w:val="22"/>
                <w:szCs w:val="22"/>
              </w:rPr>
              <w:t>土壤</w:t>
            </w:r>
            <w:r>
              <w:rPr>
                <w:rFonts w:hint="default" w:ascii="Arial" w:hAnsi="Arial" w:cs="Arial"/>
                <w:sz w:val="22"/>
                <w:szCs w:val="22"/>
              </w:rPr>
              <w:t xml:space="preserve"> </w:t>
            </w:r>
            <w:r>
              <w:rPr>
                <w:rFonts w:hint="default" w:ascii="Arial" w:hAnsi="Arial" w:cs="Arial"/>
                <w:spacing w:val="-5"/>
                <w:sz w:val="22"/>
                <w:szCs w:val="22"/>
              </w:rPr>
              <w:t>环境</w:t>
            </w:r>
          </w:p>
        </w:tc>
        <w:tc>
          <w:tcPr>
            <w:tcW w:w="660" w:type="dxa"/>
            <w:vAlign w:val="center"/>
          </w:tcPr>
          <w:p w14:paraId="33E47283">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5"/>
                <w:sz w:val="22"/>
                <w:szCs w:val="22"/>
              </w:rPr>
              <w:t>土地</w:t>
            </w:r>
            <w:r>
              <w:rPr>
                <w:rFonts w:hint="default" w:ascii="Arial" w:hAnsi="Arial" w:cs="Arial"/>
                <w:sz w:val="22"/>
                <w:szCs w:val="22"/>
              </w:rPr>
              <w:t xml:space="preserve"> </w:t>
            </w:r>
            <w:r>
              <w:rPr>
                <w:rFonts w:hint="default" w:ascii="Arial" w:hAnsi="Arial" w:cs="Arial"/>
                <w:spacing w:val="4"/>
                <w:sz w:val="22"/>
                <w:szCs w:val="22"/>
              </w:rPr>
              <w:t>资源</w:t>
            </w:r>
          </w:p>
        </w:tc>
        <w:tc>
          <w:tcPr>
            <w:tcW w:w="654" w:type="dxa"/>
            <w:vMerge w:val="continue"/>
            <w:tcBorders>
              <w:top w:val="nil"/>
            </w:tcBorders>
            <w:vAlign w:val="center"/>
          </w:tcPr>
          <w:p w14:paraId="6DC0F1D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482F7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restart"/>
            <w:tcBorders>
              <w:bottom w:val="nil"/>
            </w:tcBorders>
            <w:vAlign w:val="center"/>
          </w:tcPr>
          <w:p w14:paraId="308D06A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3D795D7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4890085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施工期</w:t>
            </w:r>
          </w:p>
        </w:tc>
        <w:tc>
          <w:tcPr>
            <w:tcW w:w="1499" w:type="dxa"/>
            <w:vAlign w:val="center"/>
          </w:tcPr>
          <w:p w14:paraId="320E263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枢纽工程</w:t>
            </w:r>
          </w:p>
        </w:tc>
        <w:tc>
          <w:tcPr>
            <w:tcW w:w="600" w:type="dxa"/>
            <w:vAlign w:val="center"/>
          </w:tcPr>
          <w:p w14:paraId="757FEC7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B0573C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A33A68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3A46A4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2F94EB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2130EF1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7EFF33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59ED283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7183310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3EDFCD7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68EB2D6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170600D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2E5D6AF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5E67977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4BBE2F3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D0E3E7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60" w:type="dxa"/>
            <w:vAlign w:val="center"/>
          </w:tcPr>
          <w:p w14:paraId="3CA9C20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0FDF3C5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3CA9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104" w:type="dxa"/>
            <w:vMerge w:val="continue"/>
            <w:tcBorders>
              <w:top w:val="nil"/>
              <w:bottom w:val="nil"/>
            </w:tcBorders>
            <w:vAlign w:val="center"/>
          </w:tcPr>
          <w:p w14:paraId="2E753FF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01E998C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供水工程</w:t>
            </w:r>
          </w:p>
        </w:tc>
        <w:tc>
          <w:tcPr>
            <w:tcW w:w="600" w:type="dxa"/>
            <w:vAlign w:val="center"/>
          </w:tcPr>
          <w:p w14:paraId="2FDD524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7E6E3E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693B54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083D1BE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EA4B82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1542A5B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1E49793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6A5B111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2010087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1451FE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7AB3FE6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69BCA43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4F7BEDC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4EADFCC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637FED7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3DEC31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775EC84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7376318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26A70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continue"/>
            <w:tcBorders>
              <w:top w:val="nil"/>
              <w:bottom w:val="nil"/>
            </w:tcBorders>
            <w:vAlign w:val="center"/>
          </w:tcPr>
          <w:p w14:paraId="0C2034A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04276D9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施工人员活动</w:t>
            </w:r>
          </w:p>
        </w:tc>
        <w:tc>
          <w:tcPr>
            <w:tcW w:w="600" w:type="dxa"/>
            <w:vAlign w:val="center"/>
          </w:tcPr>
          <w:p w14:paraId="0AE2A0A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ED3C82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70789F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05A9C2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53F22E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1A9BB43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F57355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0C031D8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2871221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562DC9B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0359BDE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18EE24B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53BDD70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656C7E4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4C24963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268DB6A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4A2B6D9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02109FB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53867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104" w:type="dxa"/>
            <w:vMerge w:val="continue"/>
            <w:tcBorders>
              <w:top w:val="nil"/>
              <w:bottom w:val="nil"/>
            </w:tcBorders>
            <w:vAlign w:val="center"/>
          </w:tcPr>
          <w:p w14:paraId="07B052C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49600E2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施工交通</w:t>
            </w:r>
          </w:p>
        </w:tc>
        <w:tc>
          <w:tcPr>
            <w:tcW w:w="600" w:type="dxa"/>
            <w:vAlign w:val="center"/>
          </w:tcPr>
          <w:p w14:paraId="32D8BA6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AF8C44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4E6C88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DD1F67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73A813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70" w:type="dxa"/>
            <w:vAlign w:val="center"/>
          </w:tcPr>
          <w:p w14:paraId="56B3F2B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9550AD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679CE3F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69C6FE1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E08172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6F01AF4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2880013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7379076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0FD4097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262B5B9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7541A00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58F903A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6827E28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073C7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04" w:type="dxa"/>
            <w:vMerge w:val="continue"/>
            <w:tcBorders>
              <w:top w:val="nil"/>
            </w:tcBorders>
            <w:vAlign w:val="center"/>
          </w:tcPr>
          <w:p w14:paraId="5248EA6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3F00603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施工机械</w:t>
            </w:r>
          </w:p>
        </w:tc>
        <w:tc>
          <w:tcPr>
            <w:tcW w:w="600" w:type="dxa"/>
            <w:vAlign w:val="center"/>
          </w:tcPr>
          <w:p w14:paraId="588C607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CEA1EA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ECB6EA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6CA991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359A32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5A55D9E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3E844B8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7530630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2CA22AF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03B377D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89" w:type="dxa"/>
            <w:vAlign w:val="center"/>
          </w:tcPr>
          <w:p w14:paraId="4A40EB0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27A2E57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2D4DE4A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22956BA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FA78F7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2BAC7D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22A4642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3839AC5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6F04B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04" w:type="dxa"/>
            <w:vMerge w:val="restart"/>
            <w:tcBorders>
              <w:bottom w:val="nil"/>
            </w:tcBorders>
            <w:vAlign w:val="center"/>
          </w:tcPr>
          <w:p w14:paraId="59EE7E7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pacing w:val="4"/>
                <w:sz w:val="22"/>
                <w:szCs w:val="22"/>
              </w:rPr>
            </w:pPr>
            <w:r>
              <w:rPr>
                <w:rFonts w:hint="default" w:ascii="Arial" w:hAnsi="Arial" w:cs="Arial"/>
                <w:spacing w:val="4"/>
                <w:sz w:val="22"/>
                <w:szCs w:val="22"/>
              </w:rPr>
              <w:t>淹没与</w:t>
            </w:r>
          </w:p>
          <w:p w14:paraId="387C2E1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占</w:t>
            </w:r>
            <w:r>
              <w:rPr>
                <w:rFonts w:hint="default" w:ascii="Arial" w:hAnsi="Arial" w:cs="Arial"/>
                <w:sz w:val="22"/>
                <w:szCs w:val="22"/>
              </w:rPr>
              <w:t xml:space="preserve"> 地</w:t>
            </w:r>
          </w:p>
        </w:tc>
        <w:tc>
          <w:tcPr>
            <w:tcW w:w="1499" w:type="dxa"/>
            <w:vAlign w:val="center"/>
          </w:tcPr>
          <w:p w14:paraId="2CBEFFD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水库淹没</w:t>
            </w:r>
          </w:p>
        </w:tc>
        <w:tc>
          <w:tcPr>
            <w:tcW w:w="600" w:type="dxa"/>
            <w:vAlign w:val="center"/>
          </w:tcPr>
          <w:p w14:paraId="4459FFE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ADED38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BBA22A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68BDF97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42E0D9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3269C8C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2DBE16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0DD6A1A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7AC13B6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609974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72CB9ED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57A43B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0E1EBA1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5EA231A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4304077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574A923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3628ABA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249FFC1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r>
      <w:tr w14:paraId="20A3B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1104" w:type="dxa"/>
            <w:vMerge w:val="continue"/>
            <w:tcBorders>
              <w:top w:val="nil"/>
            </w:tcBorders>
            <w:vAlign w:val="center"/>
          </w:tcPr>
          <w:p w14:paraId="43D95F6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2131967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工程占地</w:t>
            </w:r>
          </w:p>
        </w:tc>
        <w:tc>
          <w:tcPr>
            <w:tcW w:w="600" w:type="dxa"/>
            <w:vAlign w:val="center"/>
          </w:tcPr>
          <w:p w14:paraId="1320F01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62E8B1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B791E5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086505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022F597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70" w:type="dxa"/>
            <w:vAlign w:val="center"/>
          </w:tcPr>
          <w:p w14:paraId="27E68EE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207C5F2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08F9184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3114509D">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6144B61E">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3996033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270754B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69E7C85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1653929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74F8D76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01F8EC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15C2F15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3232494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r>
      <w:tr w14:paraId="70DF0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restart"/>
            <w:tcBorders>
              <w:bottom w:val="nil"/>
            </w:tcBorders>
            <w:vAlign w:val="center"/>
          </w:tcPr>
          <w:p w14:paraId="0D3E47E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28BE1CB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运行期</w:t>
            </w:r>
          </w:p>
        </w:tc>
        <w:tc>
          <w:tcPr>
            <w:tcW w:w="1499" w:type="dxa"/>
            <w:vAlign w:val="center"/>
          </w:tcPr>
          <w:p w14:paraId="2266C52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水库蓄水</w:t>
            </w:r>
          </w:p>
        </w:tc>
        <w:tc>
          <w:tcPr>
            <w:tcW w:w="600" w:type="dxa"/>
            <w:vAlign w:val="center"/>
          </w:tcPr>
          <w:p w14:paraId="7111994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47448C4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6517EFC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130E2BF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516E9B5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5BC289F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35F77F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2894FF7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46A456B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2C7F28F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70C61C6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3F02AA6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0682E9E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5DA214C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B5F439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2A447EB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5F0069D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21B62D0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7F205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104" w:type="dxa"/>
            <w:vMerge w:val="continue"/>
            <w:tcBorders>
              <w:top w:val="nil"/>
              <w:bottom w:val="nil"/>
            </w:tcBorders>
            <w:vAlign w:val="center"/>
          </w:tcPr>
          <w:p w14:paraId="6547602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75D2009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水文情势变化</w:t>
            </w:r>
          </w:p>
        </w:tc>
        <w:tc>
          <w:tcPr>
            <w:tcW w:w="600" w:type="dxa"/>
            <w:vAlign w:val="center"/>
          </w:tcPr>
          <w:p w14:paraId="337719A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34621E2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655B58A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4DBB6E3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35ACFD3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499F8B2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1151EFB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889" w:type="dxa"/>
            <w:vAlign w:val="center"/>
          </w:tcPr>
          <w:p w14:paraId="5FB8EFF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51D50F0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082971B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89" w:type="dxa"/>
            <w:vAlign w:val="center"/>
          </w:tcPr>
          <w:p w14:paraId="070FF30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71539B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26FF83A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42B69BA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2733E39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A2781A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666A277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1E26636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76E9F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continue"/>
            <w:tcBorders>
              <w:top w:val="nil"/>
            </w:tcBorders>
            <w:vAlign w:val="center"/>
          </w:tcPr>
          <w:p w14:paraId="36B00AD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03D83AB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大坝阻隔</w:t>
            </w:r>
          </w:p>
        </w:tc>
        <w:tc>
          <w:tcPr>
            <w:tcW w:w="600" w:type="dxa"/>
            <w:vAlign w:val="center"/>
          </w:tcPr>
          <w:p w14:paraId="11C066A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B9224B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3B04722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F662C1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CBDF6A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70" w:type="dxa"/>
            <w:vAlign w:val="center"/>
          </w:tcPr>
          <w:p w14:paraId="2110CCE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505D3BA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1EFFD61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6D3D3CE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DD04DA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89" w:type="dxa"/>
            <w:vAlign w:val="center"/>
          </w:tcPr>
          <w:p w14:paraId="5C8692D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AE1DA0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2C9D81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638B5A0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4BF7492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778916B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7C02D64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36C3F5E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509B3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104" w:type="dxa"/>
            <w:vAlign w:val="center"/>
          </w:tcPr>
          <w:p w14:paraId="00FBD19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移民安置</w:t>
            </w:r>
          </w:p>
        </w:tc>
        <w:tc>
          <w:tcPr>
            <w:tcW w:w="1499" w:type="dxa"/>
            <w:vAlign w:val="center"/>
          </w:tcPr>
          <w:p w14:paraId="2B8E990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BCF196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E1CD6F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B06356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F2C01E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B23E51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3EB5010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0545F76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5C63989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7FC28DC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688798D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334DB56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5817834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FD1B32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42EEB05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1FB40F5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6D2856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60" w:type="dxa"/>
            <w:vAlign w:val="center"/>
          </w:tcPr>
          <w:p w14:paraId="1E85672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685A071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r>
      <w:tr w14:paraId="5E341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104" w:type="dxa"/>
            <w:vMerge w:val="restart"/>
            <w:tcBorders>
              <w:bottom w:val="nil"/>
            </w:tcBorders>
            <w:vAlign w:val="center"/>
          </w:tcPr>
          <w:p w14:paraId="1A570C7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1511EAF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723DA99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影响范围</w:t>
            </w:r>
          </w:p>
        </w:tc>
        <w:tc>
          <w:tcPr>
            <w:tcW w:w="1499" w:type="dxa"/>
            <w:vAlign w:val="center"/>
          </w:tcPr>
          <w:p w14:paraId="1C1F72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库区淹没</w:t>
            </w:r>
          </w:p>
        </w:tc>
        <w:tc>
          <w:tcPr>
            <w:tcW w:w="600" w:type="dxa"/>
            <w:vAlign w:val="center"/>
          </w:tcPr>
          <w:p w14:paraId="1B22DDF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1FDD71D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19FC928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5DD0F0B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620B76F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2EA1A7E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6B8ED70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257D891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3AA1000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14FD1BE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22222D2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089148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69B6A70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005D013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10AC84C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120BD59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60" w:type="dxa"/>
            <w:vAlign w:val="center"/>
          </w:tcPr>
          <w:p w14:paraId="5C7FAB1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59C704E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r>
      <w:tr w14:paraId="642BB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continue"/>
            <w:tcBorders>
              <w:top w:val="nil"/>
              <w:bottom w:val="nil"/>
            </w:tcBorders>
            <w:vAlign w:val="center"/>
          </w:tcPr>
          <w:p w14:paraId="2BAF680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3FA5189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坝下影响区</w:t>
            </w:r>
          </w:p>
        </w:tc>
        <w:tc>
          <w:tcPr>
            <w:tcW w:w="600" w:type="dxa"/>
            <w:vAlign w:val="center"/>
          </w:tcPr>
          <w:p w14:paraId="5F614F0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297C464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33628E3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5F15147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440CF40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0BFE6F4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61CDAD4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44BF9BD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662D440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60DB43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3C017B2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270F534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7E9BDCD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62BEB5B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4A1845D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A96EAC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50D9D8A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100B782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43C1E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continue"/>
            <w:tcBorders>
              <w:top w:val="nil"/>
              <w:bottom w:val="nil"/>
            </w:tcBorders>
            <w:vAlign w:val="center"/>
          </w:tcPr>
          <w:p w14:paraId="725B98E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7AFA11C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供水工程</w:t>
            </w:r>
          </w:p>
        </w:tc>
        <w:tc>
          <w:tcPr>
            <w:tcW w:w="600" w:type="dxa"/>
            <w:vAlign w:val="center"/>
          </w:tcPr>
          <w:p w14:paraId="6749E16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4DE49C0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66C6DC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0898C64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F96C9D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376B48B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89" w:type="dxa"/>
            <w:vAlign w:val="center"/>
          </w:tcPr>
          <w:p w14:paraId="5271AF6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889" w:type="dxa"/>
            <w:vAlign w:val="center"/>
          </w:tcPr>
          <w:p w14:paraId="03A4477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4497D69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7F1FB84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63C5518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5D1C4A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96B5D4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38D0BBD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05D6834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357DD98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4140BD9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075717B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3791F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104" w:type="dxa"/>
            <w:vMerge w:val="continue"/>
            <w:tcBorders>
              <w:top w:val="nil"/>
              <w:bottom w:val="nil"/>
            </w:tcBorders>
            <w:vAlign w:val="center"/>
          </w:tcPr>
          <w:p w14:paraId="4A441A8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2B9CAB8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移民安置</w:t>
            </w:r>
          </w:p>
        </w:tc>
        <w:tc>
          <w:tcPr>
            <w:tcW w:w="600" w:type="dxa"/>
            <w:vAlign w:val="center"/>
          </w:tcPr>
          <w:p w14:paraId="1435043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B4474D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7A6B50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3B0561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94F51D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425923B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0714DC3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1406597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7FB0D49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1DA33F9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89" w:type="dxa"/>
            <w:vAlign w:val="center"/>
          </w:tcPr>
          <w:p w14:paraId="1E081B4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6375483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097236A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539BC42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7F202D1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67826DF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14AEF4A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190991C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72AE7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104" w:type="dxa"/>
            <w:vMerge w:val="continue"/>
            <w:tcBorders>
              <w:top w:val="nil"/>
            </w:tcBorders>
            <w:vAlign w:val="center"/>
          </w:tcPr>
          <w:p w14:paraId="650C59E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0D04F49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施工区</w:t>
            </w:r>
          </w:p>
        </w:tc>
        <w:tc>
          <w:tcPr>
            <w:tcW w:w="600" w:type="dxa"/>
            <w:vAlign w:val="center"/>
          </w:tcPr>
          <w:p w14:paraId="634D7D5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71F69D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829CB7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22F41A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0D38C39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5C7FE7C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7B057B6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475AFE6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2D3BF01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7D521F5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270E36B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35F8334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68474B5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7983EB7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62E16A7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1432AE2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615994B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2F6811E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bl>
    <w:p w14:paraId="1FE6FE5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sz w:val="22"/>
          <w:szCs w:val="22"/>
          <w:lang w:val="en-US" w:eastAsia="zh-CN"/>
        </w:rPr>
        <w:t>注：△表示影响较小，◎表示影响中等，▲表示影响大</w:t>
      </w:r>
    </w:p>
    <w:p w14:paraId="58D0B39D">
      <w:pPr>
        <w:rPr>
          <w:rFonts w:hint="eastAsia"/>
          <w:lang w:val="en-US" w:eastAsia="zh-CN"/>
        </w:rPr>
        <w:sectPr>
          <w:pgSz w:w="15840" w:h="12240" w:orient="landscape"/>
          <w:pgMar w:top="1701" w:right="1440" w:bottom="1701" w:left="1276" w:header="1077" w:footer="1134" w:gutter="0"/>
          <w:pgBorders>
            <w:top w:val="none" w:sz="0" w:space="0"/>
            <w:left w:val="none" w:sz="0" w:space="0"/>
            <w:bottom w:val="none" w:sz="0" w:space="0"/>
            <w:right w:val="none" w:sz="0" w:space="0"/>
          </w:pgBorders>
          <w:pgNumType w:fmt="decimal"/>
          <w:cols w:space="720" w:num="1"/>
        </w:sectPr>
      </w:pPr>
    </w:p>
    <w:p w14:paraId="17B62CBE">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从表1.4-3可知，本项目在施工期间主要不利影响表现在对环境空气、环境噪声、生态环境的影响；运营期间主要不利影响表现在对水文情势和水生生态影响。</w:t>
      </w:r>
    </w:p>
    <w:p w14:paraId="62F98E3E">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4</w:t>
      </w: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4环境影响要素及影响因子筛选</w:t>
      </w:r>
    </w:p>
    <w:bookmarkEnd w:id="47"/>
    <w:bookmarkEnd w:id="48"/>
    <w:bookmarkEnd w:id="49"/>
    <w:bookmarkEnd w:id="50"/>
    <w:p w14:paraId="1F13362A">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根据当地环境特征及前文识别结果，确定拟建项目环境评价因子如下：</w:t>
      </w:r>
    </w:p>
    <w:p w14:paraId="362F9658">
      <w:pPr>
        <w:pStyle w:val="2082"/>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hint="default"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（1）现状评价因子</w:t>
      </w:r>
    </w:p>
    <w:p w14:paraId="73A4F306">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default" w:ascii="Arial" w:hAnsi="Arial" w:eastAsia="宋体" w:cs="Arial"/>
          <w:color w:val="auto"/>
          <w:kern w:val="0"/>
          <w:sz w:val="26"/>
          <w:szCs w:val="26"/>
          <w:lang w:val="en-US" w:eastAsia="zh-CN" w:bidi="ar-SA"/>
        </w:rPr>
      </w:pPr>
      <w:r>
        <w:rPr>
          <w:rFonts w:hint="eastAsia" w:ascii="Arial" w:hAnsi="Arial" w:eastAsia="宋体" w:cs="Arial"/>
          <w:b/>
          <w:bCs/>
          <w:color w:val="auto"/>
          <w:kern w:val="0"/>
          <w:sz w:val="26"/>
          <w:szCs w:val="26"/>
          <w:lang w:val="en-US" w:eastAsia="zh-CN" w:bidi="ar-SA"/>
        </w:rPr>
        <w:t>大气环境：</w:t>
      </w:r>
      <w:r>
        <w:rPr>
          <w:rFonts w:hint="eastAsia" w:ascii="Arial" w:hAnsi="Arial" w:eastAsia="宋体" w:cs="Arial"/>
          <w:color w:val="auto"/>
          <w:kern w:val="0"/>
          <w:sz w:val="26"/>
          <w:szCs w:val="26"/>
          <w:lang w:val="en-US" w:eastAsia="zh-CN" w:bidi="ar-SA"/>
        </w:rPr>
        <w:t>SO</w:t>
      </w:r>
      <w:r>
        <w:rPr>
          <w:rFonts w:hint="eastAsia" w:ascii="Arial" w:hAnsi="Arial" w:eastAsia="宋体" w:cs="Arial"/>
          <w:color w:val="auto"/>
          <w:kern w:val="0"/>
          <w:sz w:val="26"/>
          <w:szCs w:val="26"/>
          <w:vertAlign w:val="subscript"/>
          <w:lang w:val="en-US" w:eastAsia="zh-CN" w:bidi="ar-SA"/>
        </w:rPr>
        <w:t>2</w:t>
      </w:r>
      <w:r>
        <w:rPr>
          <w:rFonts w:hint="eastAsia" w:ascii="Arial" w:hAnsi="Arial" w:eastAsia="宋体" w:cs="Arial"/>
          <w:color w:val="auto"/>
          <w:kern w:val="0"/>
          <w:sz w:val="26"/>
          <w:szCs w:val="26"/>
          <w:lang w:val="en-US" w:eastAsia="zh-CN" w:bidi="ar-SA"/>
        </w:rPr>
        <w:t>、PM</w:t>
      </w:r>
      <w:r>
        <w:rPr>
          <w:rFonts w:hint="eastAsia" w:ascii="Arial" w:hAnsi="Arial" w:eastAsia="宋体" w:cs="Arial"/>
          <w:color w:val="auto"/>
          <w:kern w:val="0"/>
          <w:sz w:val="26"/>
          <w:szCs w:val="26"/>
          <w:vertAlign w:val="subscript"/>
          <w:lang w:val="en-US" w:eastAsia="zh-CN" w:bidi="ar-SA"/>
        </w:rPr>
        <w:t>10</w:t>
      </w:r>
      <w:r>
        <w:rPr>
          <w:rFonts w:hint="eastAsia" w:ascii="Arial" w:hAnsi="Arial" w:eastAsia="宋体" w:cs="Arial"/>
          <w:color w:val="auto"/>
          <w:kern w:val="0"/>
          <w:sz w:val="26"/>
          <w:szCs w:val="26"/>
          <w:lang w:val="en-US" w:eastAsia="zh-CN" w:bidi="ar-SA"/>
        </w:rPr>
        <w:t>、PM</w:t>
      </w:r>
      <w:r>
        <w:rPr>
          <w:rFonts w:hint="eastAsia" w:ascii="Arial" w:hAnsi="Arial" w:eastAsia="宋体" w:cs="Arial"/>
          <w:color w:val="auto"/>
          <w:kern w:val="0"/>
          <w:sz w:val="26"/>
          <w:szCs w:val="26"/>
          <w:vertAlign w:val="subscript"/>
          <w:lang w:val="en-US" w:eastAsia="zh-CN" w:bidi="ar-SA"/>
        </w:rPr>
        <w:t>2.5</w:t>
      </w:r>
      <w:r>
        <w:rPr>
          <w:rFonts w:hint="eastAsia" w:ascii="Arial" w:hAnsi="Arial" w:eastAsia="宋体" w:cs="Arial"/>
          <w:color w:val="auto"/>
          <w:kern w:val="0"/>
          <w:sz w:val="26"/>
          <w:szCs w:val="26"/>
          <w:lang w:val="en-US" w:eastAsia="zh-CN" w:bidi="ar-SA"/>
        </w:rPr>
        <w:t>、CO、O</w:t>
      </w:r>
      <w:r>
        <w:rPr>
          <w:rFonts w:hint="eastAsia" w:ascii="Arial" w:hAnsi="Arial" w:eastAsia="宋体" w:cs="Arial"/>
          <w:color w:val="auto"/>
          <w:kern w:val="0"/>
          <w:sz w:val="26"/>
          <w:szCs w:val="26"/>
          <w:vertAlign w:val="subscript"/>
          <w:lang w:val="en-US" w:eastAsia="zh-CN" w:bidi="ar-SA"/>
        </w:rPr>
        <w:t>3</w:t>
      </w:r>
      <w:r>
        <w:rPr>
          <w:rFonts w:hint="eastAsia" w:ascii="Arial" w:hAnsi="Arial" w:eastAsia="宋体" w:cs="Arial"/>
          <w:color w:val="auto"/>
          <w:kern w:val="0"/>
          <w:sz w:val="26"/>
          <w:szCs w:val="26"/>
          <w:lang w:val="en-US" w:eastAsia="zh-CN" w:bidi="ar-SA"/>
        </w:rPr>
        <w:t>、NO</w:t>
      </w:r>
      <w:r>
        <w:rPr>
          <w:rFonts w:hint="eastAsia" w:ascii="Arial" w:hAnsi="Arial" w:eastAsia="宋体" w:cs="Arial"/>
          <w:color w:val="auto"/>
          <w:kern w:val="0"/>
          <w:sz w:val="26"/>
          <w:szCs w:val="26"/>
          <w:vertAlign w:val="subscript"/>
          <w:lang w:val="en-US" w:eastAsia="zh-CN" w:bidi="ar-SA"/>
        </w:rPr>
        <w:t>2</w:t>
      </w:r>
      <w:r>
        <w:rPr>
          <w:rFonts w:hint="eastAsia" w:ascii="Arial" w:hAnsi="Arial" w:eastAsia="宋体" w:cs="Arial"/>
          <w:color w:val="auto"/>
          <w:kern w:val="0"/>
          <w:sz w:val="26"/>
          <w:szCs w:val="26"/>
          <w:lang w:val="en-US" w:eastAsia="zh-CN" w:bidi="ar-SA"/>
        </w:rPr>
        <w:t>；</w:t>
      </w:r>
    </w:p>
    <w:p w14:paraId="75CF448F">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color w:val="auto"/>
          <w:kern w:val="0"/>
          <w:sz w:val="26"/>
          <w:szCs w:val="26"/>
          <w:lang w:val="en-US" w:eastAsia="zh-CN" w:bidi="ar-SA"/>
        </w:rPr>
      </w:pPr>
      <w:r>
        <w:rPr>
          <w:rFonts w:hint="eastAsia" w:ascii="Arial" w:hAnsi="Arial" w:eastAsia="宋体" w:cs="Arial"/>
          <w:b/>
          <w:bCs/>
          <w:color w:val="auto"/>
          <w:kern w:val="0"/>
          <w:sz w:val="26"/>
          <w:szCs w:val="26"/>
          <w:lang w:val="en-US" w:eastAsia="zh-CN" w:bidi="ar-SA"/>
        </w:rPr>
        <w:t>声环境：</w:t>
      </w:r>
      <w:r>
        <w:rPr>
          <w:rFonts w:hint="eastAsia" w:ascii="Arial" w:hAnsi="Arial" w:eastAsia="宋体" w:cs="Arial"/>
          <w:color w:val="auto"/>
          <w:kern w:val="0"/>
          <w:sz w:val="26"/>
          <w:szCs w:val="26"/>
          <w:lang w:val="en-US" w:eastAsia="zh-CN" w:bidi="ar-SA"/>
        </w:rPr>
        <w:t>等效连续A声级；</w:t>
      </w:r>
    </w:p>
    <w:p w14:paraId="06D36526">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default" w:ascii="Arial" w:hAnsi="Arial" w:eastAsia="宋体" w:cs="Arial"/>
          <w:kern w:val="0"/>
          <w:sz w:val="26"/>
          <w:szCs w:val="26"/>
          <w:lang w:val="en-US" w:eastAsia="zh-CN" w:bidi="ar-SA"/>
        </w:rPr>
      </w:pPr>
      <w:r>
        <w:rPr>
          <w:rFonts w:hint="default" w:ascii="Arial" w:hAnsi="Arial" w:eastAsia="宋体" w:cs="Arial"/>
          <w:b/>
          <w:bCs/>
          <w:kern w:val="0"/>
          <w:sz w:val="26"/>
          <w:szCs w:val="26"/>
          <w:lang w:val="en-US" w:eastAsia="zh-CN" w:bidi="ar-SA"/>
        </w:rPr>
        <w:t>地表水：</w:t>
      </w:r>
      <w:r>
        <w:rPr>
          <w:rFonts w:hint="default" w:ascii="Arial" w:hAnsi="Arial" w:eastAsia="宋体" w:cs="Arial"/>
          <w:color w:val="auto"/>
          <w:sz w:val="26"/>
          <w:szCs w:val="26"/>
          <w:lang w:val="en-US" w:eastAsia="zh-CN"/>
        </w:rPr>
        <w:t>流量、流速、pH、水温、DO、高锰酸盐指数、COD、BOD</w:t>
      </w:r>
      <w:r>
        <w:rPr>
          <w:rFonts w:hint="default" w:ascii="Arial" w:hAnsi="Arial" w:eastAsia="宋体" w:cs="Arial"/>
          <w:color w:val="auto"/>
          <w:sz w:val="26"/>
          <w:szCs w:val="26"/>
          <w:vertAlign w:val="subscript"/>
          <w:lang w:val="en-US" w:eastAsia="zh-CN"/>
        </w:rPr>
        <w:t>5</w:t>
      </w:r>
      <w:r>
        <w:rPr>
          <w:rFonts w:hint="default" w:ascii="Arial" w:hAnsi="Arial" w:eastAsia="宋体" w:cs="Arial"/>
          <w:color w:val="auto"/>
          <w:sz w:val="26"/>
          <w:szCs w:val="26"/>
          <w:lang w:val="en-US" w:eastAsia="zh-CN"/>
        </w:rPr>
        <w:t>、</w:t>
      </w:r>
      <w:r>
        <w:rPr>
          <w:rFonts w:hint="default" w:ascii="Arial" w:hAnsi="Arial" w:eastAsia="宋体" w:cs="Arial"/>
          <w:color w:val="auto"/>
          <w:sz w:val="26"/>
          <w:szCs w:val="26"/>
        </w:rPr>
        <w:t>NH</w:t>
      </w:r>
      <w:r>
        <w:rPr>
          <w:rFonts w:hint="default" w:ascii="Arial" w:hAnsi="Arial" w:eastAsia="宋体" w:cs="Arial"/>
          <w:color w:val="auto"/>
          <w:sz w:val="26"/>
          <w:szCs w:val="26"/>
          <w:vertAlign w:val="subscript"/>
        </w:rPr>
        <w:t>3</w:t>
      </w:r>
      <w:r>
        <w:rPr>
          <w:rFonts w:hint="default" w:ascii="Arial" w:hAnsi="Arial" w:eastAsia="宋体" w:cs="Arial"/>
          <w:color w:val="auto"/>
          <w:sz w:val="26"/>
          <w:szCs w:val="26"/>
        </w:rPr>
        <w:t>-N</w:t>
      </w:r>
      <w:r>
        <w:rPr>
          <w:rFonts w:hint="default" w:ascii="Arial" w:hAnsi="Arial" w:eastAsia="宋体" w:cs="Arial"/>
          <w:color w:val="auto"/>
          <w:sz w:val="26"/>
          <w:szCs w:val="26"/>
          <w:lang w:val="en-US" w:eastAsia="zh-CN"/>
        </w:rPr>
        <w:t>、总氮、总磷、铜、锌、氟化物、硒、砷、汞、镉、六价铬、铅、氰化物、挥发酚、石油类、LAS、硫化物、粪大肠菌群、硫酸盐、氯化物、硝酸盐、铁、锰、叶绿素a、透明度</w:t>
      </w:r>
      <w:r>
        <w:rPr>
          <w:rFonts w:hint="eastAsia" w:ascii="Arial" w:hAnsi="Arial" w:eastAsia="宋体" w:cs="Arial"/>
          <w:color w:val="auto"/>
          <w:sz w:val="26"/>
          <w:szCs w:val="26"/>
          <w:lang w:val="en-US" w:eastAsia="zh-CN"/>
        </w:rPr>
        <w:t>；</w:t>
      </w:r>
    </w:p>
    <w:p w14:paraId="661FCB62">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地下水：</w:t>
      </w:r>
      <w:r>
        <w:rPr>
          <w:rFonts w:hint="eastAsia" w:ascii="Arial" w:hAnsi="Arial" w:eastAsia="宋体" w:cs="Arial"/>
          <w:kern w:val="0"/>
          <w:sz w:val="26"/>
          <w:szCs w:val="26"/>
          <w:lang w:val="en-US" w:eastAsia="zh-CN" w:bidi="ar-SA"/>
        </w:rPr>
        <w:t>水位、pH、溶解性总固体、耗氧量、氨氮、硝酸盐、亚硝酸盐、挥发性酚类、氰化物、氟化物、砷、汞、六价铬、总硬度、铅、镉、铁、锰、硫酸盐、总大肠菌群、细菌总数、氯</w:t>
      </w:r>
      <w:r>
        <w:rPr>
          <w:rFonts w:hint="default" w:ascii="Arial" w:hAnsi="Arial" w:eastAsia="宋体" w:cs="Arial"/>
          <w:kern w:val="0"/>
          <w:sz w:val="26"/>
          <w:szCs w:val="26"/>
          <w:lang w:val="en-US" w:eastAsia="zh-CN" w:bidi="ar-SA"/>
        </w:rPr>
        <w:t>化物、石油类、COD、</w:t>
      </w:r>
      <w:r>
        <w:rPr>
          <w:rFonts w:hint="default" w:ascii="Arial" w:hAnsi="Arial" w:cs="Arial"/>
          <w:bCs/>
          <w:snapToGrid w:val="0"/>
          <w:color w:val="auto"/>
          <w:kern w:val="0"/>
          <w:sz w:val="26"/>
          <w:szCs w:val="26"/>
          <w:highlight w:val="none"/>
        </w:rPr>
        <w:t>K</w:t>
      </w:r>
      <w:r>
        <w:rPr>
          <w:rFonts w:hint="default" w:ascii="Arial" w:hAnsi="Arial" w:cs="Arial"/>
          <w:bCs/>
          <w:snapToGrid w:val="0"/>
          <w:color w:val="auto"/>
          <w:kern w:val="0"/>
          <w:sz w:val="26"/>
          <w:szCs w:val="26"/>
          <w:highlight w:val="none"/>
          <w:vertAlign w:val="superscript"/>
        </w:rPr>
        <w:t>+</w:t>
      </w:r>
      <w:r>
        <w:rPr>
          <w:rFonts w:hint="default" w:ascii="Arial" w:hAnsi="Arial" w:cs="Arial"/>
          <w:bCs/>
          <w:snapToGrid w:val="0"/>
          <w:color w:val="auto"/>
          <w:kern w:val="0"/>
          <w:sz w:val="26"/>
          <w:szCs w:val="26"/>
          <w:highlight w:val="none"/>
        </w:rPr>
        <w:t>、Na</w:t>
      </w:r>
      <w:r>
        <w:rPr>
          <w:rFonts w:hint="default" w:ascii="Arial" w:hAnsi="Arial" w:cs="Arial"/>
          <w:bCs/>
          <w:snapToGrid w:val="0"/>
          <w:color w:val="auto"/>
          <w:kern w:val="0"/>
          <w:sz w:val="26"/>
          <w:szCs w:val="26"/>
          <w:highlight w:val="none"/>
          <w:vertAlign w:val="superscript"/>
        </w:rPr>
        <w:t>+</w:t>
      </w:r>
      <w:r>
        <w:rPr>
          <w:rFonts w:hint="default" w:ascii="Arial" w:hAnsi="Arial" w:cs="Arial"/>
          <w:bCs/>
          <w:snapToGrid w:val="0"/>
          <w:color w:val="auto"/>
          <w:kern w:val="0"/>
          <w:sz w:val="26"/>
          <w:szCs w:val="26"/>
          <w:highlight w:val="none"/>
        </w:rPr>
        <w:t>、Ca</w:t>
      </w:r>
      <w:r>
        <w:rPr>
          <w:rFonts w:hint="default" w:ascii="Arial" w:hAnsi="Arial" w:cs="Arial"/>
          <w:bCs/>
          <w:snapToGrid w:val="0"/>
          <w:color w:val="auto"/>
          <w:kern w:val="0"/>
          <w:sz w:val="26"/>
          <w:szCs w:val="26"/>
          <w:highlight w:val="none"/>
          <w:vertAlign w:val="superscript"/>
        </w:rPr>
        <w:t>2+</w:t>
      </w:r>
      <w:r>
        <w:rPr>
          <w:rFonts w:hint="default" w:ascii="Arial" w:hAnsi="Arial" w:cs="Arial"/>
          <w:bCs/>
          <w:snapToGrid w:val="0"/>
          <w:color w:val="auto"/>
          <w:kern w:val="0"/>
          <w:sz w:val="26"/>
          <w:szCs w:val="26"/>
          <w:highlight w:val="none"/>
        </w:rPr>
        <w:t>、Mg</w:t>
      </w:r>
      <w:r>
        <w:rPr>
          <w:rFonts w:hint="default" w:ascii="Arial" w:hAnsi="Arial" w:cs="Arial"/>
          <w:bCs/>
          <w:snapToGrid w:val="0"/>
          <w:color w:val="auto"/>
          <w:kern w:val="0"/>
          <w:sz w:val="26"/>
          <w:szCs w:val="26"/>
          <w:highlight w:val="none"/>
          <w:vertAlign w:val="superscript"/>
        </w:rPr>
        <w:t>2+</w:t>
      </w:r>
      <w:r>
        <w:rPr>
          <w:rFonts w:hint="default" w:ascii="Arial" w:hAnsi="Arial" w:cs="Arial"/>
          <w:snapToGrid w:val="0"/>
          <w:color w:val="auto"/>
          <w:kern w:val="0"/>
          <w:sz w:val="26"/>
          <w:szCs w:val="26"/>
          <w:highlight w:val="none"/>
        </w:rPr>
        <w:t>、Cl-、SO</w:t>
      </w:r>
      <w:r>
        <w:rPr>
          <w:rFonts w:hint="default" w:ascii="Arial" w:hAnsi="Arial" w:cs="Arial"/>
          <w:snapToGrid w:val="0"/>
          <w:color w:val="auto"/>
          <w:kern w:val="0"/>
          <w:sz w:val="26"/>
          <w:szCs w:val="26"/>
          <w:highlight w:val="none"/>
          <w:vertAlign w:val="subscript"/>
        </w:rPr>
        <w:t>4</w:t>
      </w:r>
      <w:r>
        <w:rPr>
          <w:rFonts w:hint="default" w:ascii="Arial" w:hAnsi="Arial" w:cs="Arial"/>
          <w:snapToGrid w:val="0"/>
          <w:color w:val="auto"/>
          <w:kern w:val="0"/>
          <w:sz w:val="26"/>
          <w:szCs w:val="26"/>
          <w:highlight w:val="none"/>
          <w:vertAlign w:val="superscript"/>
        </w:rPr>
        <w:t>2-</w:t>
      </w:r>
      <w:r>
        <w:rPr>
          <w:rFonts w:hint="default" w:ascii="Arial" w:hAnsi="Arial" w:cs="Arial"/>
          <w:snapToGrid w:val="0"/>
          <w:color w:val="auto"/>
          <w:kern w:val="0"/>
          <w:sz w:val="26"/>
          <w:szCs w:val="26"/>
          <w:highlight w:val="none"/>
          <w:lang w:bidi="ar"/>
        </w:rPr>
        <w:t>、</w:t>
      </w:r>
      <w:r>
        <w:rPr>
          <w:rFonts w:hint="default" w:ascii="Arial" w:hAnsi="Arial" w:cs="Arial"/>
          <w:snapToGrid w:val="0"/>
          <w:color w:val="auto"/>
          <w:kern w:val="0"/>
          <w:sz w:val="26"/>
          <w:szCs w:val="26"/>
          <w:highlight w:val="none"/>
        </w:rPr>
        <w:t>CO</w:t>
      </w:r>
      <w:r>
        <w:rPr>
          <w:rFonts w:hint="default" w:ascii="Arial" w:hAnsi="Arial" w:cs="Arial"/>
          <w:snapToGrid w:val="0"/>
          <w:color w:val="auto"/>
          <w:kern w:val="0"/>
          <w:sz w:val="26"/>
          <w:szCs w:val="26"/>
          <w:highlight w:val="none"/>
          <w:vertAlign w:val="subscript"/>
        </w:rPr>
        <w:t>3</w:t>
      </w:r>
      <w:r>
        <w:rPr>
          <w:rFonts w:hint="default" w:ascii="Arial" w:hAnsi="Arial" w:cs="Arial"/>
          <w:snapToGrid w:val="0"/>
          <w:color w:val="auto"/>
          <w:kern w:val="0"/>
          <w:sz w:val="26"/>
          <w:szCs w:val="26"/>
          <w:highlight w:val="none"/>
          <w:vertAlign w:val="superscript"/>
        </w:rPr>
        <w:t>2-</w:t>
      </w:r>
      <w:r>
        <w:rPr>
          <w:rFonts w:hint="default" w:ascii="Arial" w:hAnsi="Arial" w:cs="Arial"/>
          <w:snapToGrid w:val="0"/>
          <w:color w:val="auto"/>
          <w:kern w:val="0"/>
          <w:sz w:val="26"/>
          <w:szCs w:val="26"/>
          <w:highlight w:val="none"/>
        </w:rPr>
        <w:t>、HCO</w:t>
      </w:r>
      <w:r>
        <w:rPr>
          <w:rFonts w:hint="default" w:ascii="Arial" w:hAnsi="Arial" w:cs="Arial"/>
          <w:snapToGrid w:val="0"/>
          <w:color w:val="auto"/>
          <w:kern w:val="0"/>
          <w:sz w:val="26"/>
          <w:szCs w:val="26"/>
          <w:highlight w:val="none"/>
          <w:vertAlign w:val="subscript"/>
        </w:rPr>
        <w:t>3</w:t>
      </w:r>
      <w:r>
        <w:rPr>
          <w:rFonts w:hint="default" w:ascii="Arial" w:hAnsi="Arial" w:cs="Arial"/>
          <w:snapToGrid w:val="0"/>
          <w:color w:val="auto"/>
          <w:kern w:val="0"/>
          <w:sz w:val="26"/>
          <w:szCs w:val="26"/>
          <w:highlight w:val="none"/>
          <w:vertAlign w:val="superscript"/>
        </w:rPr>
        <w:t>-</w:t>
      </w:r>
      <w:r>
        <w:rPr>
          <w:rFonts w:hint="default" w:ascii="Arial" w:hAnsi="Arial" w:eastAsia="宋体" w:cs="Arial"/>
          <w:kern w:val="0"/>
          <w:sz w:val="26"/>
          <w:szCs w:val="26"/>
          <w:lang w:val="en-US" w:eastAsia="zh-CN" w:bidi="ar-SA"/>
        </w:rPr>
        <w:t>；</w:t>
      </w:r>
    </w:p>
    <w:p w14:paraId="4AFE98F2">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土壤环境</w:t>
      </w:r>
      <w:r>
        <w:rPr>
          <w:rFonts w:hint="eastAsia" w:ascii="Arial" w:hAnsi="Arial" w:eastAsia="宋体" w:cs="Arial"/>
          <w:kern w:val="0"/>
          <w:sz w:val="26"/>
          <w:szCs w:val="26"/>
          <w:lang w:val="en-US" w:eastAsia="zh-CN" w:bidi="ar-SA"/>
        </w:rPr>
        <w:t>：pH、含盐量、镉、汞、砷、铅、铬、铜、镍、锌；</w:t>
      </w:r>
    </w:p>
    <w:p w14:paraId="4FB8F3B7">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底泥：</w:t>
      </w:r>
      <w:r>
        <w:rPr>
          <w:rFonts w:hint="eastAsia" w:ascii="Arial" w:hAnsi="Arial" w:eastAsia="宋体" w:cs="Arial"/>
          <w:kern w:val="0"/>
          <w:sz w:val="26"/>
          <w:szCs w:val="26"/>
          <w:lang w:val="en-US" w:eastAsia="zh-CN" w:bidi="ar-SA"/>
        </w:rPr>
        <w:t>pH、含盐量、砷、镉、铬、汞、铅、铜、镍、锌；</w:t>
      </w:r>
    </w:p>
    <w:p w14:paraId="6175C83B">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生态环境：</w:t>
      </w:r>
      <w:r>
        <w:rPr>
          <w:rFonts w:hint="eastAsia" w:ascii="Arial" w:hAnsi="Arial" w:eastAsia="宋体" w:cs="Arial"/>
          <w:kern w:val="0"/>
          <w:sz w:val="26"/>
          <w:szCs w:val="26"/>
          <w:lang w:val="en-US" w:eastAsia="zh-CN" w:bidi="ar-SA"/>
        </w:rPr>
        <w:t>陆生生物、水生生物、生态景观、水土流失、土地利用、生态环境敏感区等。</w:t>
      </w:r>
    </w:p>
    <w:p w14:paraId="6EFA782A">
      <w:pPr>
        <w:pStyle w:val="2082"/>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（2）施工期预测、分析评价因子</w:t>
      </w:r>
    </w:p>
    <w:p w14:paraId="2F392643">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环境空气：</w:t>
      </w:r>
      <w:r>
        <w:rPr>
          <w:rFonts w:hint="eastAsia" w:ascii="Arial" w:hAnsi="Arial" w:eastAsia="宋体" w:cs="Arial"/>
          <w:kern w:val="0"/>
          <w:sz w:val="26"/>
          <w:szCs w:val="26"/>
          <w:lang w:val="en-US" w:eastAsia="zh-CN" w:bidi="ar-SA"/>
        </w:rPr>
        <w:t>扬尘、燃油废气等；</w:t>
      </w:r>
    </w:p>
    <w:p w14:paraId="6C9BB284">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地表水：</w:t>
      </w:r>
      <w:r>
        <w:rPr>
          <w:rFonts w:hint="eastAsia" w:ascii="Arial" w:hAnsi="Arial" w:eastAsia="宋体" w:cs="Arial"/>
          <w:kern w:val="0"/>
          <w:sz w:val="26"/>
          <w:szCs w:val="26"/>
          <w:lang w:val="en-US" w:eastAsia="zh-CN" w:bidi="ar-SA"/>
        </w:rPr>
        <w:t>SS、石油类、COD、NH</w:t>
      </w:r>
      <w:r>
        <w:rPr>
          <w:rFonts w:hint="eastAsia" w:ascii="Arial" w:hAnsi="Arial" w:eastAsia="宋体" w:cs="Arial"/>
          <w:kern w:val="0"/>
          <w:sz w:val="26"/>
          <w:szCs w:val="26"/>
          <w:vertAlign w:val="subscript"/>
          <w:lang w:val="en-US" w:eastAsia="zh-CN" w:bidi="ar-SA"/>
        </w:rPr>
        <w:t>3</w:t>
      </w:r>
      <w:r>
        <w:rPr>
          <w:rFonts w:hint="eastAsia" w:ascii="Arial" w:hAnsi="Arial" w:eastAsia="宋体" w:cs="Arial"/>
          <w:kern w:val="0"/>
          <w:sz w:val="26"/>
          <w:szCs w:val="26"/>
          <w:lang w:val="en-US" w:eastAsia="zh-CN" w:bidi="ar-SA"/>
        </w:rPr>
        <w:t>-N、动植物油等；</w:t>
      </w:r>
    </w:p>
    <w:p w14:paraId="6E900230">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地下水：</w:t>
      </w:r>
      <w:r>
        <w:rPr>
          <w:rFonts w:hint="eastAsia" w:ascii="Arial" w:hAnsi="Arial" w:eastAsia="宋体" w:cs="Arial"/>
          <w:kern w:val="0"/>
          <w:sz w:val="26"/>
          <w:szCs w:val="26"/>
          <w:lang w:val="en-US" w:eastAsia="zh-CN" w:bidi="ar-SA"/>
        </w:rPr>
        <w:t>施工开挖及生活、生产废水影响；</w:t>
      </w:r>
    </w:p>
    <w:p w14:paraId="6BDC380F">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声环境：</w:t>
      </w:r>
      <w:r>
        <w:rPr>
          <w:rFonts w:hint="eastAsia" w:ascii="Arial" w:hAnsi="Arial" w:eastAsia="宋体" w:cs="Arial"/>
          <w:kern w:val="0"/>
          <w:sz w:val="26"/>
          <w:szCs w:val="26"/>
          <w:lang w:val="en-US" w:eastAsia="zh-CN" w:bidi="ar-SA"/>
        </w:rPr>
        <w:t>机械噪声、交通噪声；</w:t>
      </w:r>
    </w:p>
    <w:p w14:paraId="2E275A78">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振动：</w:t>
      </w:r>
      <w:r>
        <w:rPr>
          <w:rFonts w:hint="eastAsia" w:ascii="Arial" w:hAnsi="Arial" w:eastAsia="宋体" w:cs="Arial"/>
          <w:kern w:val="0"/>
          <w:sz w:val="26"/>
          <w:szCs w:val="26"/>
          <w:lang w:val="en-US" w:eastAsia="zh-CN" w:bidi="ar-SA"/>
        </w:rPr>
        <w:t>挖掘机、潜孔钻、打桩机等设备施工振动；</w:t>
      </w:r>
    </w:p>
    <w:p w14:paraId="755098AA">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b w:val="0"/>
          <w:bCs w:val="0"/>
          <w:kern w:val="0"/>
          <w:sz w:val="26"/>
          <w:szCs w:val="26"/>
          <w:lang w:val="en-US" w:eastAsia="zh-CN" w:bidi="ar-SA"/>
        </w:rPr>
      </w:pPr>
      <w:r>
        <w:rPr>
          <w:rFonts w:hint="eastAsia" w:ascii="Arial" w:hAnsi="Arial" w:eastAsia="宋体" w:cs="Arial"/>
          <w:b/>
          <w:bCs/>
          <w:kern w:val="0"/>
          <w:sz w:val="26"/>
          <w:szCs w:val="26"/>
          <w:lang w:val="en-US" w:eastAsia="zh-CN" w:bidi="ar-SA"/>
        </w:rPr>
        <w:t>土壤：</w:t>
      </w:r>
      <w:r>
        <w:rPr>
          <w:rFonts w:hint="eastAsia" w:ascii="Arial" w:hAnsi="Arial" w:eastAsia="宋体" w:cs="Arial"/>
          <w:b w:val="0"/>
          <w:bCs w:val="0"/>
          <w:kern w:val="0"/>
          <w:sz w:val="26"/>
          <w:szCs w:val="26"/>
          <w:lang w:val="en-US" w:eastAsia="zh-CN" w:bidi="ar-SA"/>
        </w:rPr>
        <w:t>土地资源、结构、质地等；</w:t>
      </w:r>
    </w:p>
    <w:p w14:paraId="5DD58FD2">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固体废物：</w:t>
      </w:r>
      <w:r>
        <w:rPr>
          <w:rFonts w:hint="eastAsia" w:ascii="Arial" w:hAnsi="Arial" w:eastAsia="宋体" w:cs="Arial"/>
          <w:kern w:val="0"/>
          <w:sz w:val="26"/>
          <w:szCs w:val="26"/>
          <w:lang w:val="en-US" w:eastAsia="zh-CN" w:bidi="ar-SA"/>
        </w:rPr>
        <w:t>弃渣、生活垃圾、建筑垃圾；</w:t>
      </w:r>
    </w:p>
    <w:p w14:paraId="19B79E7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b w:val="0"/>
          <w:bCs w:val="0"/>
          <w:kern w:val="0"/>
          <w:sz w:val="26"/>
          <w:szCs w:val="26"/>
          <w:lang w:val="en-US" w:eastAsia="zh-CN" w:bidi="ar-SA"/>
        </w:rPr>
      </w:pPr>
      <w:r>
        <w:rPr>
          <w:rFonts w:hint="eastAsia" w:ascii="Arial" w:hAnsi="Arial" w:eastAsia="宋体" w:cs="Arial"/>
          <w:b/>
          <w:bCs/>
          <w:kern w:val="0"/>
          <w:sz w:val="26"/>
          <w:szCs w:val="26"/>
          <w:lang w:val="en-US" w:eastAsia="zh-CN" w:bidi="ar-SA"/>
        </w:rPr>
        <w:t>生态环境：</w:t>
      </w:r>
      <w:r>
        <w:rPr>
          <w:rFonts w:hint="eastAsia" w:ascii="Arial" w:hAnsi="Arial" w:eastAsia="宋体" w:cs="Arial"/>
          <w:b w:val="0"/>
          <w:bCs w:val="0"/>
          <w:kern w:val="0"/>
          <w:sz w:val="26"/>
          <w:szCs w:val="26"/>
          <w:lang w:val="en-US" w:eastAsia="zh-CN" w:bidi="ar-SA"/>
        </w:rPr>
        <w:t>工程占地、陆域生态环境、水生生态环境、水土流失、景观影响等；</w:t>
      </w:r>
    </w:p>
    <w:p w14:paraId="163EFF04">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人群健康：</w:t>
      </w:r>
      <w:r>
        <w:rPr>
          <w:rFonts w:hint="eastAsia" w:ascii="Arial" w:hAnsi="Arial" w:eastAsia="宋体" w:cs="Arial"/>
          <w:b w:val="0"/>
          <w:bCs w:val="0"/>
          <w:kern w:val="0"/>
          <w:sz w:val="26"/>
          <w:szCs w:val="26"/>
          <w:lang w:val="en-US" w:eastAsia="zh-CN" w:bidi="ar-SA"/>
        </w:rPr>
        <w:t>传染疾病。</w:t>
      </w:r>
    </w:p>
    <w:p w14:paraId="673329DF">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（3）营运期预测、分析评价因子</w:t>
      </w:r>
    </w:p>
    <w:p w14:paraId="4F51419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eastAsia="宋体" w:cs="Arial"/>
          <w:kern w:val="0"/>
          <w:sz w:val="26"/>
          <w:szCs w:val="26"/>
          <w:lang w:val="en-US" w:eastAsia="zh-CN" w:bidi="ar-SA"/>
        </w:rPr>
      </w:pPr>
      <w:r>
        <w:rPr>
          <w:rFonts w:hint="eastAsia" w:ascii="Arial" w:hAnsi="Arial" w:eastAsia="宋体" w:cs="Arial"/>
          <w:b/>
          <w:bCs/>
          <w:kern w:val="0"/>
          <w:sz w:val="26"/>
          <w:szCs w:val="26"/>
          <w:lang w:val="fr-FR" w:eastAsia="zh-CN" w:bidi="ar-SA"/>
        </w:rPr>
        <w:t>地表水：</w:t>
      </w:r>
      <w:r>
        <w:rPr>
          <w:rFonts w:hint="eastAsia" w:ascii="Arial" w:hAnsi="Arial" w:eastAsia="宋体" w:cs="Arial"/>
          <w:kern w:val="0"/>
          <w:sz w:val="26"/>
          <w:szCs w:val="26"/>
          <w:lang w:val="en-US" w:eastAsia="zh-CN" w:bidi="ar-SA"/>
        </w:rPr>
        <w:t>COD、NH</w:t>
      </w:r>
      <w:r>
        <w:rPr>
          <w:rFonts w:hint="eastAsia" w:ascii="Arial" w:hAnsi="Arial" w:eastAsia="宋体" w:cs="Arial"/>
          <w:kern w:val="0"/>
          <w:sz w:val="26"/>
          <w:szCs w:val="26"/>
          <w:vertAlign w:val="subscript"/>
          <w:lang w:val="en-US" w:eastAsia="zh-CN" w:bidi="ar-SA"/>
        </w:rPr>
        <w:t>3</w:t>
      </w:r>
      <w:r>
        <w:rPr>
          <w:rFonts w:hint="eastAsia" w:ascii="Arial" w:hAnsi="Arial" w:eastAsia="宋体" w:cs="Arial"/>
          <w:kern w:val="0"/>
          <w:sz w:val="26"/>
          <w:szCs w:val="26"/>
          <w:lang w:val="en-US" w:eastAsia="zh-CN" w:bidi="ar-SA"/>
        </w:rPr>
        <w:t>-N、总磷、总氮、水温、叶绿素a；</w:t>
      </w:r>
    </w:p>
    <w:p w14:paraId="7239401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b/>
          <w:bCs/>
          <w:kern w:val="0"/>
          <w:sz w:val="26"/>
          <w:szCs w:val="26"/>
          <w:lang w:val="fr-FR" w:eastAsia="zh-CN" w:bidi="ar-SA"/>
        </w:rPr>
        <w:t>地下水：</w:t>
      </w:r>
      <w:r>
        <w:rPr>
          <w:rFonts w:hint="eastAsia" w:ascii="Arial" w:hAnsi="Arial" w:eastAsia="宋体" w:cs="Arial"/>
          <w:kern w:val="0"/>
          <w:sz w:val="26"/>
          <w:szCs w:val="26"/>
          <w:lang w:val="fr-FR" w:eastAsia="zh-CN" w:bidi="ar-SA"/>
        </w:rPr>
        <w:t>水质、水位；</w:t>
      </w:r>
    </w:p>
    <w:p w14:paraId="0CA2236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b/>
          <w:bCs/>
          <w:kern w:val="0"/>
          <w:sz w:val="26"/>
          <w:szCs w:val="26"/>
          <w:lang w:val="fr-FR" w:eastAsia="zh-CN" w:bidi="ar-SA"/>
        </w:rPr>
        <w:t>土壤：</w:t>
      </w:r>
      <w:r>
        <w:rPr>
          <w:rFonts w:hint="eastAsia" w:ascii="Arial" w:hAnsi="Arial" w:eastAsia="宋体" w:cs="Arial"/>
          <w:kern w:val="0"/>
          <w:sz w:val="26"/>
          <w:szCs w:val="26"/>
          <w:lang w:val="fr-FR" w:eastAsia="zh-CN" w:bidi="ar-SA"/>
        </w:rPr>
        <w:t>盐碱化</w:t>
      </w:r>
      <w:r>
        <w:rPr>
          <w:rFonts w:hint="eastAsia" w:ascii="Arial" w:hAnsi="Arial" w:eastAsia="宋体" w:cs="Arial"/>
          <w:kern w:val="0"/>
          <w:sz w:val="26"/>
          <w:szCs w:val="26"/>
          <w:vertAlign w:val="baseline"/>
          <w:lang w:val="fr-FR" w:eastAsia="zh-CN" w:bidi="ar-SA"/>
        </w:rPr>
        <w:t>；</w:t>
      </w:r>
    </w:p>
    <w:p w14:paraId="0CEF4B8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b/>
          <w:bCs/>
          <w:kern w:val="0"/>
          <w:sz w:val="26"/>
          <w:szCs w:val="26"/>
          <w:lang w:val="fr-FR" w:eastAsia="zh-CN" w:bidi="ar-SA"/>
        </w:rPr>
        <w:t>固体废物：</w:t>
      </w:r>
      <w:r>
        <w:rPr>
          <w:rFonts w:hint="eastAsia" w:ascii="Arial" w:hAnsi="Arial" w:eastAsia="宋体" w:cs="Arial"/>
          <w:kern w:val="0"/>
          <w:sz w:val="26"/>
          <w:szCs w:val="26"/>
          <w:lang w:val="fr-FR" w:eastAsia="zh-CN" w:bidi="ar-SA"/>
        </w:rPr>
        <w:t>生活垃圾、库区漂浮物等；</w:t>
      </w:r>
    </w:p>
    <w:p w14:paraId="73A7501E">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b/>
          <w:bCs/>
          <w:kern w:val="0"/>
          <w:sz w:val="26"/>
          <w:szCs w:val="26"/>
          <w:lang w:val="fr-FR" w:eastAsia="zh-CN" w:bidi="ar-SA"/>
        </w:rPr>
        <w:t>生态环境：</w:t>
      </w:r>
      <w:r>
        <w:rPr>
          <w:rFonts w:hint="eastAsia" w:ascii="Arial" w:hAnsi="Arial" w:eastAsia="宋体" w:cs="Arial"/>
          <w:kern w:val="0"/>
          <w:sz w:val="26"/>
          <w:szCs w:val="26"/>
          <w:lang w:val="fr-FR" w:eastAsia="zh-CN" w:bidi="ar-SA"/>
        </w:rPr>
        <w:t>水土流失、水文情势、局地气候、水库水温、河流水质、泥沙淤积、野生动植物资源、土地利用等。</w:t>
      </w:r>
    </w:p>
    <w:p w14:paraId="649EDD88">
      <w:pPr>
        <w:keepNext w:val="0"/>
        <w:keepLines w:val="0"/>
        <w:pageBreakBefore w:val="0"/>
        <w:widowControl w:val="0"/>
        <w:kinsoku/>
        <w:wordWrap/>
        <w:overflowPunct/>
        <w:topLinePunct w:val="0"/>
        <w:autoSpaceDE/>
        <w:autoSpaceDN/>
        <w:bidi w:val="0"/>
        <w:spacing w:line="46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51" w:name="_Toc21981"/>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5</w:t>
      </w:r>
      <w:r>
        <w:rPr>
          <w:rFonts w:hint="eastAsia" w:ascii="Arial" w:hAnsi="Arial" w:eastAsia="宋体" w:cs="Arial"/>
          <w:b/>
          <w:color w:val="auto"/>
          <w:kern w:val="0"/>
          <w:sz w:val="26"/>
          <w:szCs w:val="26"/>
          <w:highlight w:val="none"/>
          <w:lang w:val="en-US" w:eastAsia="zh-CN"/>
        </w:rPr>
        <w:t>评价标准</w:t>
      </w:r>
      <w:bookmarkEnd w:id="51"/>
    </w:p>
    <w:p w14:paraId="0A5EC869">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bookmarkStart w:id="52" w:name="_Toc36040990"/>
      <w:bookmarkStart w:id="53" w:name="_Toc34987791"/>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5</w:t>
      </w:r>
      <w:r>
        <w:rPr>
          <w:rFonts w:hint="eastAsia" w:ascii="Arial" w:hAnsi="Arial" w:eastAsia="宋体" w:cs="Arial"/>
          <w:b/>
          <w:color w:val="auto"/>
          <w:kern w:val="0"/>
          <w:sz w:val="26"/>
          <w:szCs w:val="20"/>
          <w:highlight w:val="none"/>
          <w:lang w:val="en-US" w:eastAsia="zh-CN"/>
        </w:rPr>
        <w:t>.1</w:t>
      </w:r>
      <w:bookmarkEnd w:id="52"/>
      <w:bookmarkEnd w:id="53"/>
      <w:r>
        <w:rPr>
          <w:rFonts w:hint="eastAsia" w:ascii="Arial" w:hAnsi="Arial" w:eastAsia="宋体" w:cs="Arial"/>
          <w:b/>
          <w:color w:val="auto"/>
          <w:kern w:val="0"/>
          <w:sz w:val="26"/>
          <w:szCs w:val="20"/>
          <w:highlight w:val="none"/>
          <w:lang w:val="en-US" w:eastAsia="zh-CN"/>
        </w:rPr>
        <w:t>环境质量标准</w:t>
      </w:r>
    </w:p>
    <w:p w14:paraId="6D2E58CD">
      <w:pPr>
        <w:keepNext w:val="0"/>
        <w:keepLines w:val="0"/>
        <w:pageBreakBefore w:val="0"/>
        <w:widowControl w:val="0"/>
        <w:kinsoku/>
        <w:wordWrap/>
        <w:overflowPunct/>
        <w:topLinePunct w:val="0"/>
        <w:autoSpaceDE/>
        <w:autoSpaceDN/>
        <w:bidi w:val="0"/>
        <w:spacing w:line="460" w:lineRule="exact"/>
        <w:ind w:firstLine="384" w:firstLineChars="147"/>
        <w:jc w:val="both"/>
        <w:textAlignment w:val="auto"/>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（1）环境空气</w:t>
      </w:r>
    </w:p>
    <w:p w14:paraId="765389F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kern w:val="0"/>
          <w:sz w:val="26"/>
          <w:szCs w:val="26"/>
          <w:lang w:val="fr-FR" w:eastAsia="zh-CN" w:bidi="ar-SA"/>
        </w:rPr>
        <w:t>本项目选址位于丰都县双龙镇田家山村，根据《重庆市环境空气质量功能区划分规定》（渝府发</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2016</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19号），本项目所在区域为二类功能区，执行《环境空气质量标准》（GB3095-2012）二级标准。具体标准值分别见表1.</w:t>
      </w:r>
      <w:r>
        <w:rPr>
          <w:rFonts w:hint="eastAsia" w:ascii="Arial" w:hAnsi="Arial" w:eastAsia="宋体" w:cs="Arial"/>
          <w:kern w:val="0"/>
          <w:sz w:val="26"/>
          <w:szCs w:val="26"/>
          <w:lang w:val="en-US" w:eastAsia="zh-CN" w:bidi="ar-SA"/>
        </w:rPr>
        <w:t>5</w:t>
      </w:r>
      <w:r>
        <w:rPr>
          <w:rFonts w:hint="eastAsia" w:ascii="Arial" w:hAnsi="Arial" w:eastAsia="宋体" w:cs="Arial"/>
          <w:kern w:val="0"/>
          <w:sz w:val="26"/>
          <w:szCs w:val="26"/>
          <w:lang w:val="fr-FR" w:eastAsia="zh-CN" w:bidi="ar-SA"/>
        </w:rPr>
        <w:t>-</w:t>
      </w:r>
      <w:r>
        <w:rPr>
          <w:rFonts w:hint="eastAsia" w:ascii="Arial" w:hAnsi="Arial" w:eastAsia="宋体" w:cs="Arial"/>
          <w:kern w:val="0"/>
          <w:sz w:val="26"/>
          <w:szCs w:val="26"/>
          <w:lang w:val="en-US" w:eastAsia="zh-CN" w:bidi="ar-SA"/>
        </w:rPr>
        <w:t>1</w:t>
      </w:r>
      <w:r>
        <w:rPr>
          <w:rFonts w:hint="eastAsia" w:ascii="Arial" w:hAnsi="Arial" w:eastAsia="宋体" w:cs="Arial"/>
          <w:kern w:val="0"/>
          <w:sz w:val="26"/>
          <w:szCs w:val="26"/>
          <w:lang w:val="fr-FR" w:eastAsia="zh-CN" w:bidi="ar-SA"/>
        </w:rPr>
        <w:t>。</w:t>
      </w:r>
    </w:p>
    <w:p w14:paraId="68200B7F">
      <w:pPr>
        <w:pStyle w:val="185"/>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Arial" w:hAnsi="Arial" w:cs="Arial"/>
          <w:sz w:val="26"/>
          <w:szCs w:val="26"/>
        </w:rPr>
      </w:pPr>
      <w:r>
        <w:rPr>
          <w:rFonts w:hint="default" w:ascii="Arial" w:hAnsi="Arial" w:cs="Arial"/>
          <w:sz w:val="26"/>
          <w:szCs w:val="26"/>
        </w:rPr>
        <w:t xml:space="preserve">  表1.</w:t>
      </w:r>
      <w:r>
        <w:rPr>
          <w:rFonts w:hint="default" w:ascii="Arial" w:hAnsi="Arial" w:cs="Arial"/>
          <w:sz w:val="26"/>
          <w:szCs w:val="26"/>
          <w:lang w:val="en-US" w:eastAsia="zh-CN"/>
        </w:rPr>
        <w:t>6-1</w:t>
      </w:r>
      <w:r>
        <w:rPr>
          <w:rFonts w:hint="default" w:ascii="Arial" w:hAnsi="Arial" w:cs="Arial"/>
          <w:sz w:val="26"/>
          <w:szCs w:val="26"/>
        </w:rPr>
        <w:t xml:space="preserve"> 环境空气质量标准</w:t>
      </w:r>
      <w:r>
        <w:rPr>
          <w:rFonts w:hint="eastAsia" w:ascii="宋体" w:hAnsi="宋体" w:eastAsia="宋体" w:cs="宋体"/>
          <w:color w:val="000000"/>
          <w:sz w:val="26"/>
          <w:szCs w:val="26"/>
        </w:rPr>
        <w:t>(</w:t>
      </w:r>
      <w:r>
        <w:rPr>
          <w:rFonts w:hint="default" w:ascii="Arial" w:hAnsi="Arial" w:cs="Arial"/>
          <w:color w:val="000000"/>
          <w:sz w:val="26"/>
          <w:szCs w:val="26"/>
        </w:rPr>
        <w:t>GB3095-2012</w:t>
      </w:r>
      <w:r>
        <w:rPr>
          <w:rFonts w:hint="eastAsia" w:ascii="宋体" w:hAnsi="宋体" w:eastAsia="宋体" w:cs="宋体"/>
          <w:color w:val="000000"/>
          <w:sz w:val="26"/>
          <w:szCs w:val="26"/>
        </w:rPr>
        <w:t>)</w:t>
      </w:r>
    </w:p>
    <w:tbl>
      <w:tblPr>
        <w:tblStyle w:val="77"/>
        <w:tblW w:w="46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5"/>
        <w:gridCol w:w="1188"/>
        <w:gridCol w:w="1047"/>
        <w:gridCol w:w="2148"/>
        <w:gridCol w:w="3094"/>
      </w:tblGrid>
      <w:tr w14:paraId="2FBE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jc w:val="center"/>
        </w:trPr>
        <w:tc>
          <w:tcPr>
            <w:tcW w:w="491" w:type="pct"/>
            <w:vMerge w:val="restart"/>
            <w:tcBorders>
              <w:tl2br w:val="nil"/>
              <w:tr2bl w:val="nil"/>
            </w:tcBorders>
            <w:noWrap w:val="0"/>
            <w:vAlign w:val="center"/>
          </w:tcPr>
          <w:p w14:paraId="31C21F5C">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序号</w:t>
            </w:r>
          </w:p>
        </w:tc>
        <w:tc>
          <w:tcPr>
            <w:tcW w:w="716" w:type="pct"/>
            <w:vMerge w:val="restart"/>
            <w:tcBorders>
              <w:tl2br w:val="nil"/>
              <w:tr2bl w:val="nil"/>
            </w:tcBorders>
            <w:noWrap w:val="0"/>
            <w:vAlign w:val="center"/>
          </w:tcPr>
          <w:p w14:paraId="1206316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污染物</w:t>
            </w:r>
          </w:p>
        </w:tc>
        <w:tc>
          <w:tcPr>
            <w:tcW w:w="631" w:type="pct"/>
            <w:vMerge w:val="restart"/>
            <w:tcBorders>
              <w:tl2br w:val="nil"/>
              <w:tr2bl w:val="nil"/>
            </w:tcBorders>
            <w:noWrap w:val="0"/>
            <w:vAlign w:val="center"/>
          </w:tcPr>
          <w:p w14:paraId="7B5FA6A1">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单位</w:t>
            </w:r>
          </w:p>
        </w:tc>
        <w:tc>
          <w:tcPr>
            <w:tcW w:w="1295" w:type="pct"/>
            <w:tcBorders>
              <w:tl2br w:val="nil"/>
              <w:tr2bl w:val="nil"/>
            </w:tcBorders>
            <w:noWrap w:val="0"/>
            <w:vAlign w:val="center"/>
          </w:tcPr>
          <w:p w14:paraId="04B8844C">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取值时间</w:t>
            </w:r>
          </w:p>
        </w:tc>
        <w:tc>
          <w:tcPr>
            <w:tcW w:w="1865" w:type="pct"/>
            <w:tcBorders>
              <w:tl2br w:val="nil"/>
              <w:tr2bl w:val="nil"/>
            </w:tcBorders>
            <w:noWrap w:val="0"/>
            <w:vAlign w:val="center"/>
          </w:tcPr>
          <w:p w14:paraId="2389DA9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auto"/>
                <w:sz w:val="22"/>
                <w:szCs w:val="22"/>
              </w:rPr>
            </w:pPr>
            <w:r>
              <w:rPr>
                <w:rFonts w:hint="default" w:ascii="Arial" w:hAnsi="Arial" w:cs="Arial"/>
                <w:color w:val="auto"/>
                <w:sz w:val="22"/>
                <w:szCs w:val="22"/>
              </w:rPr>
              <w:t>标准限值</w:t>
            </w:r>
          </w:p>
        </w:tc>
      </w:tr>
      <w:tr w14:paraId="77C1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4845BE94">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w:t>
            </w:r>
          </w:p>
        </w:tc>
        <w:tc>
          <w:tcPr>
            <w:tcW w:w="716" w:type="pct"/>
            <w:vMerge w:val="restart"/>
            <w:tcBorders>
              <w:tl2br w:val="nil"/>
              <w:tr2bl w:val="nil"/>
            </w:tcBorders>
            <w:noWrap w:val="0"/>
            <w:vAlign w:val="center"/>
          </w:tcPr>
          <w:p w14:paraId="40B625FA">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SO</w:t>
            </w:r>
            <w:r>
              <w:rPr>
                <w:rFonts w:hint="default" w:ascii="Arial" w:hAnsi="Arial" w:cs="Arial"/>
                <w:color w:val="000000"/>
                <w:sz w:val="22"/>
                <w:szCs w:val="22"/>
                <w:vertAlign w:val="subscript"/>
              </w:rPr>
              <w:t>2</w:t>
            </w:r>
          </w:p>
        </w:tc>
        <w:tc>
          <w:tcPr>
            <w:tcW w:w="631" w:type="pct"/>
            <w:vMerge w:val="restart"/>
            <w:tcBorders>
              <w:tl2br w:val="nil"/>
              <w:tr2bl w:val="nil"/>
            </w:tcBorders>
            <w:noWrap w:val="0"/>
            <w:vAlign w:val="center"/>
          </w:tcPr>
          <w:p w14:paraId="5790130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0B06867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5796824C">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60</w:t>
            </w:r>
          </w:p>
        </w:tc>
      </w:tr>
      <w:tr w14:paraId="7D52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5EE42AD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4F3914B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708E81A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404461B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342E3D98">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150</w:t>
            </w:r>
          </w:p>
        </w:tc>
      </w:tr>
      <w:tr w14:paraId="7C2B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1DC018B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1B6AF70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1A8A26B1">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3765317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1小时平均</w:t>
            </w:r>
          </w:p>
        </w:tc>
        <w:tc>
          <w:tcPr>
            <w:tcW w:w="1865" w:type="pct"/>
            <w:tcBorders>
              <w:tl2br w:val="nil"/>
              <w:tr2bl w:val="nil"/>
            </w:tcBorders>
            <w:noWrap w:val="0"/>
            <w:vAlign w:val="center"/>
          </w:tcPr>
          <w:p w14:paraId="3DFBEF9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500</w:t>
            </w:r>
          </w:p>
        </w:tc>
      </w:tr>
      <w:tr w14:paraId="3FA9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39D1067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w:t>
            </w:r>
          </w:p>
        </w:tc>
        <w:tc>
          <w:tcPr>
            <w:tcW w:w="716" w:type="pct"/>
            <w:vMerge w:val="restart"/>
            <w:tcBorders>
              <w:tl2br w:val="nil"/>
              <w:tr2bl w:val="nil"/>
            </w:tcBorders>
            <w:noWrap w:val="0"/>
            <w:vAlign w:val="center"/>
          </w:tcPr>
          <w:p w14:paraId="7F8923A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NO</w:t>
            </w:r>
            <w:r>
              <w:rPr>
                <w:rFonts w:hint="default" w:ascii="Arial" w:hAnsi="Arial" w:cs="Arial"/>
                <w:color w:val="000000"/>
                <w:sz w:val="22"/>
                <w:szCs w:val="22"/>
                <w:vertAlign w:val="subscript"/>
              </w:rPr>
              <w:t>2</w:t>
            </w:r>
          </w:p>
        </w:tc>
        <w:tc>
          <w:tcPr>
            <w:tcW w:w="631" w:type="pct"/>
            <w:vMerge w:val="restart"/>
            <w:tcBorders>
              <w:tl2br w:val="nil"/>
              <w:tr2bl w:val="nil"/>
            </w:tcBorders>
            <w:noWrap w:val="0"/>
            <w:vAlign w:val="center"/>
          </w:tcPr>
          <w:p w14:paraId="43A41C8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3CA8AE2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05FD46B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40</w:t>
            </w:r>
          </w:p>
        </w:tc>
      </w:tr>
      <w:tr w14:paraId="46B1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1F717A1D">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5C85A52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118CBD9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43EBE5F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1EDA0770">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80</w:t>
            </w:r>
          </w:p>
        </w:tc>
      </w:tr>
      <w:tr w14:paraId="2A61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065A682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4B1A83F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2C72A53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1DFEBC8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1小时平均</w:t>
            </w:r>
          </w:p>
        </w:tc>
        <w:tc>
          <w:tcPr>
            <w:tcW w:w="1865" w:type="pct"/>
            <w:tcBorders>
              <w:tl2br w:val="nil"/>
              <w:tr2bl w:val="nil"/>
            </w:tcBorders>
            <w:noWrap w:val="0"/>
            <w:vAlign w:val="center"/>
          </w:tcPr>
          <w:p w14:paraId="10D4E5F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200</w:t>
            </w:r>
          </w:p>
        </w:tc>
      </w:tr>
      <w:tr w14:paraId="2494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7F4DFCE0">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3</w:t>
            </w:r>
          </w:p>
        </w:tc>
        <w:tc>
          <w:tcPr>
            <w:tcW w:w="716" w:type="pct"/>
            <w:vMerge w:val="restart"/>
            <w:tcBorders>
              <w:tl2br w:val="nil"/>
              <w:tr2bl w:val="nil"/>
            </w:tcBorders>
            <w:noWrap w:val="0"/>
            <w:vAlign w:val="center"/>
          </w:tcPr>
          <w:p w14:paraId="61708ED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PM</w:t>
            </w:r>
            <w:r>
              <w:rPr>
                <w:rFonts w:hint="default" w:ascii="Arial" w:hAnsi="Arial" w:cs="Arial"/>
                <w:color w:val="000000"/>
                <w:sz w:val="22"/>
                <w:szCs w:val="22"/>
                <w:vertAlign w:val="subscript"/>
              </w:rPr>
              <w:t>2.5</w:t>
            </w:r>
          </w:p>
        </w:tc>
        <w:tc>
          <w:tcPr>
            <w:tcW w:w="631" w:type="pct"/>
            <w:vMerge w:val="restart"/>
            <w:tcBorders>
              <w:tl2br w:val="nil"/>
              <w:tr2bl w:val="nil"/>
            </w:tcBorders>
            <w:noWrap w:val="0"/>
            <w:vAlign w:val="center"/>
          </w:tcPr>
          <w:p w14:paraId="0F7AD0CD">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26990324">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3772A0F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35</w:t>
            </w:r>
          </w:p>
        </w:tc>
      </w:tr>
      <w:tr w14:paraId="736B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1" w:type="pct"/>
            <w:vMerge w:val="continue"/>
            <w:tcBorders>
              <w:tl2br w:val="nil"/>
              <w:tr2bl w:val="nil"/>
            </w:tcBorders>
            <w:noWrap w:val="0"/>
            <w:vAlign w:val="center"/>
          </w:tcPr>
          <w:p w14:paraId="06B2F1A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3AE19BE1">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01EF3FFA">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2CC9156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1FFB727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75</w:t>
            </w:r>
          </w:p>
        </w:tc>
      </w:tr>
      <w:tr w14:paraId="3C52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53DA0344">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4</w:t>
            </w:r>
          </w:p>
        </w:tc>
        <w:tc>
          <w:tcPr>
            <w:tcW w:w="716" w:type="pct"/>
            <w:vMerge w:val="restart"/>
            <w:tcBorders>
              <w:tl2br w:val="nil"/>
              <w:tr2bl w:val="nil"/>
            </w:tcBorders>
            <w:noWrap w:val="0"/>
            <w:vAlign w:val="center"/>
          </w:tcPr>
          <w:p w14:paraId="4E721CC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PM</w:t>
            </w:r>
            <w:r>
              <w:rPr>
                <w:rFonts w:hint="default" w:ascii="Arial" w:hAnsi="Arial" w:cs="Arial"/>
                <w:color w:val="000000"/>
                <w:sz w:val="22"/>
                <w:szCs w:val="22"/>
                <w:vertAlign w:val="subscript"/>
              </w:rPr>
              <w:t>10</w:t>
            </w:r>
          </w:p>
        </w:tc>
        <w:tc>
          <w:tcPr>
            <w:tcW w:w="631" w:type="pct"/>
            <w:vMerge w:val="restart"/>
            <w:tcBorders>
              <w:tl2br w:val="nil"/>
              <w:tr2bl w:val="nil"/>
            </w:tcBorders>
            <w:noWrap w:val="0"/>
            <w:vAlign w:val="center"/>
          </w:tcPr>
          <w:p w14:paraId="2D69147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0DA7B50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6952A448">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70</w:t>
            </w:r>
          </w:p>
        </w:tc>
      </w:tr>
      <w:tr w14:paraId="0C74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3651C33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0679337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3B8F4A5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38EC642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78C481F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150</w:t>
            </w:r>
          </w:p>
        </w:tc>
      </w:tr>
      <w:tr w14:paraId="18CD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0641752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5</w:t>
            </w:r>
          </w:p>
        </w:tc>
        <w:tc>
          <w:tcPr>
            <w:tcW w:w="716" w:type="pct"/>
            <w:vMerge w:val="restart"/>
            <w:tcBorders>
              <w:tl2br w:val="nil"/>
              <w:tr2bl w:val="nil"/>
            </w:tcBorders>
            <w:noWrap w:val="0"/>
            <w:vAlign w:val="center"/>
          </w:tcPr>
          <w:p w14:paraId="3BAD27C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CO</w:t>
            </w:r>
          </w:p>
        </w:tc>
        <w:tc>
          <w:tcPr>
            <w:tcW w:w="631" w:type="pct"/>
            <w:vMerge w:val="restart"/>
            <w:tcBorders>
              <w:tl2br w:val="nil"/>
              <w:tr2bl w:val="nil"/>
            </w:tcBorders>
            <w:noWrap w:val="0"/>
            <w:vAlign w:val="center"/>
          </w:tcPr>
          <w:p w14:paraId="045302A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mg/m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40939F4D">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1A215EF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4</w:t>
            </w:r>
          </w:p>
        </w:tc>
      </w:tr>
      <w:tr w14:paraId="34E4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60D8EAD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4285BCD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4DE4E8A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5770200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11F286C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10</w:t>
            </w:r>
          </w:p>
        </w:tc>
      </w:tr>
      <w:tr w14:paraId="6167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jc w:val="center"/>
        </w:trPr>
        <w:tc>
          <w:tcPr>
            <w:tcW w:w="491" w:type="pct"/>
            <w:vMerge w:val="restart"/>
            <w:tcBorders>
              <w:tl2br w:val="nil"/>
              <w:tr2bl w:val="nil"/>
            </w:tcBorders>
            <w:noWrap w:val="0"/>
            <w:vAlign w:val="center"/>
          </w:tcPr>
          <w:p w14:paraId="2F2CFC5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6</w:t>
            </w:r>
          </w:p>
        </w:tc>
        <w:tc>
          <w:tcPr>
            <w:tcW w:w="716" w:type="pct"/>
            <w:vMerge w:val="restart"/>
            <w:tcBorders>
              <w:tl2br w:val="nil"/>
              <w:tr2bl w:val="nil"/>
            </w:tcBorders>
            <w:noWrap w:val="0"/>
            <w:vAlign w:val="center"/>
          </w:tcPr>
          <w:p w14:paraId="32CF712A">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O</w:t>
            </w:r>
            <w:r>
              <w:rPr>
                <w:rFonts w:hint="default" w:ascii="Arial" w:hAnsi="Arial" w:cs="Arial"/>
                <w:color w:val="000000"/>
                <w:sz w:val="22"/>
                <w:szCs w:val="22"/>
                <w:vertAlign w:val="subscript"/>
              </w:rPr>
              <w:t>3</w:t>
            </w:r>
          </w:p>
        </w:tc>
        <w:tc>
          <w:tcPr>
            <w:tcW w:w="631" w:type="pct"/>
            <w:vMerge w:val="restart"/>
            <w:tcBorders>
              <w:tl2br w:val="nil"/>
              <w:tr2bl w:val="nil"/>
            </w:tcBorders>
            <w:noWrap w:val="0"/>
            <w:vAlign w:val="center"/>
          </w:tcPr>
          <w:p w14:paraId="0069D6F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69153321">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日最大8小时平均</w:t>
            </w:r>
          </w:p>
        </w:tc>
        <w:tc>
          <w:tcPr>
            <w:tcW w:w="1865" w:type="pct"/>
            <w:tcBorders>
              <w:tl2br w:val="nil"/>
              <w:tr2bl w:val="nil"/>
            </w:tcBorders>
            <w:noWrap w:val="0"/>
            <w:vAlign w:val="center"/>
          </w:tcPr>
          <w:p w14:paraId="2711C1B8">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160</w:t>
            </w:r>
          </w:p>
        </w:tc>
      </w:tr>
      <w:tr w14:paraId="46DE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2459519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2C1953C0">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3F12BAC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15D9DF3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1小时平均</w:t>
            </w:r>
          </w:p>
        </w:tc>
        <w:tc>
          <w:tcPr>
            <w:tcW w:w="1865" w:type="pct"/>
            <w:tcBorders>
              <w:tl2br w:val="nil"/>
              <w:tr2bl w:val="nil"/>
            </w:tcBorders>
            <w:noWrap w:val="0"/>
            <w:vAlign w:val="center"/>
          </w:tcPr>
          <w:p w14:paraId="1AB77A1A">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200</w:t>
            </w:r>
          </w:p>
        </w:tc>
      </w:tr>
    </w:tbl>
    <w:p w14:paraId="5A69FC2F">
      <w:pPr>
        <w:keepNext w:val="0"/>
        <w:keepLines w:val="0"/>
        <w:pageBreakBefore w:val="0"/>
        <w:widowControl w:val="0"/>
        <w:kinsoku/>
        <w:wordWrap/>
        <w:overflowPunct/>
        <w:topLinePunct w:val="0"/>
        <w:autoSpaceDE/>
        <w:autoSpaceDN/>
        <w:bidi w:val="0"/>
        <w:adjustRightInd/>
        <w:snapToGrid/>
        <w:spacing w:line="240" w:lineRule="exact"/>
        <w:ind w:firstLine="384" w:firstLineChars="147"/>
        <w:jc w:val="both"/>
        <w:textAlignment w:val="auto"/>
        <w:rPr>
          <w:rFonts w:hint="eastAsia" w:ascii="Arial" w:hAnsi="Arial" w:eastAsia="宋体" w:cs="Arial"/>
          <w:b/>
          <w:bCs/>
          <w:kern w:val="0"/>
          <w:sz w:val="26"/>
          <w:szCs w:val="26"/>
          <w:lang w:val="en-US" w:eastAsia="zh-CN" w:bidi="ar-SA"/>
        </w:rPr>
      </w:pPr>
    </w:p>
    <w:p w14:paraId="449DA8CE">
      <w:pPr>
        <w:spacing w:line="460" w:lineRule="exact"/>
        <w:ind w:firstLine="384" w:firstLineChars="147"/>
        <w:jc w:val="both"/>
        <w:rPr>
          <w:rFonts w:hint="default"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（2）地表水环境</w:t>
      </w:r>
    </w:p>
    <w:p w14:paraId="4CCF6398">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fr-FR" w:eastAsia="zh-CN" w:bidi="ar-SA"/>
        </w:rPr>
      </w:pPr>
      <w:bookmarkStart w:id="54" w:name="OLE_LINK3"/>
      <w:r>
        <w:rPr>
          <w:rFonts w:hint="eastAsia" w:ascii="Arial" w:hAnsi="Arial" w:eastAsia="宋体" w:cs="Arial"/>
          <w:kern w:val="0"/>
          <w:sz w:val="26"/>
          <w:szCs w:val="26"/>
          <w:lang w:val="fr-FR" w:eastAsia="zh-CN" w:bidi="ar-SA"/>
        </w:rPr>
        <w:t>海螺沟水库所在水系属渠溪河，所在河段为海螺沟，</w:t>
      </w:r>
      <w:r>
        <w:rPr>
          <w:rFonts w:hint="eastAsia" w:ascii="Arial" w:hAnsi="Arial" w:cs="Arial"/>
          <w:color w:val="auto"/>
          <w:kern w:val="0"/>
          <w:sz w:val="26"/>
          <w:szCs w:val="26"/>
          <w:highlight w:val="none"/>
          <w:lang w:val="en-US" w:eastAsia="zh-CN"/>
        </w:rPr>
        <w:t>为</w:t>
      </w:r>
      <w:r>
        <w:rPr>
          <w:rFonts w:hint="eastAsia" w:ascii="Arial" w:hAnsi="Arial" w:eastAsia="宋体" w:cs="Arial"/>
          <w:color w:val="auto"/>
          <w:kern w:val="0"/>
          <w:sz w:val="26"/>
          <w:szCs w:val="26"/>
          <w:highlight w:val="none"/>
          <w:lang w:val="en-US" w:eastAsia="zh-CN"/>
        </w:rPr>
        <w:t>渠溪河左岸一级支流双龙河</w:t>
      </w:r>
      <w:r>
        <w:rPr>
          <w:rFonts w:hint="eastAsia" w:ascii="Arial" w:hAnsi="Arial" w:cs="Arial"/>
          <w:color w:val="auto"/>
          <w:kern w:val="0"/>
          <w:sz w:val="26"/>
          <w:szCs w:val="26"/>
          <w:highlight w:val="none"/>
          <w:lang w:val="en-US" w:eastAsia="zh-CN"/>
        </w:rPr>
        <w:t>右岸一级支流高洞桥河左岸一级</w:t>
      </w:r>
      <w:r>
        <w:rPr>
          <w:rFonts w:hint="eastAsia" w:ascii="Arial" w:hAnsi="Arial" w:eastAsia="宋体" w:cs="Arial"/>
          <w:color w:val="auto"/>
          <w:kern w:val="0"/>
          <w:sz w:val="26"/>
          <w:szCs w:val="26"/>
          <w:highlight w:val="none"/>
          <w:lang w:val="en-US" w:eastAsia="zh-CN"/>
        </w:rPr>
        <w:t>支流</w:t>
      </w:r>
      <w:r>
        <w:rPr>
          <w:rFonts w:hint="eastAsia" w:ascii="Arial" w:hAnsi="Arial" w:eastAsia="宋体" w:cs="Arial"/>
          <w:kern w:val="0"/>
          <w:sz w:val="26"/>
          <w:szCs w:val="26"/>
          <w:lang w:val="fr-FR" w:eastAsia="zh-CN" w:bidi="ar-SA"/>
        </w:rPr>
        <w:t>。根据《重庆市人民政府批转重庆市地表水环境功能类别调整方案的通知》（渝府发〔2012〕4号），渠溪河为</w:t>
      </w:r>
      <w:r>
        <w:rPr>
          <w:rFonts w:hint="eastAsia" w:ascii="Arial" w:hAnsi="Arial" w:eastAsia="宋体" w:cs="Arial"/>
          <w:kern w:val="0"/>
          <w:sz w:val="26"/>
          <w:szCs w:val="26"/>
          <w:lang w:val="en-US" w:eastAsia="zh-CN" w:bidi="ar-SA"/>
        </w:rPr>
        <w:t>Ⅲ类水体，</w:t>
      </w:r>
      <w:r>
        <w:rPr>
          <w:rFonts w:hint="eastAsia" w:ascii="Arial" w:hAnsi="Arial" w:eastAsia="宋体" w:cs="Arial"/>
          <w:kern w:val="0"/>
          <w:sz w:val="26"/>
          <w:szCs w:val="26"/>
          <w:lang w:val="fr-FR" w:eastAsia="zh-CN" w:bidi="ar-SA"/>
        </w:rPr>
        <w:t>海螺沟、高洞桥河、双龙河均无环境功能区划，故参照渠溪河</w:t>
      </w:r>
      <w:r>
        <w:rPr>
          <w:rFonts w:hint="eastAsia" w:ascii="Arial" w:hAnsi="Arial" w:eastAsia="宋体" w:cs="Arial"/>
          <w:kern w:val="0"/>
          <w:sz w:val="26"/>
          <w:szCs w:val="26"/>
          <w:lang w:val="en-US" w:eastAsia="zh-CN" w:bidi="ar-SA"/>
        </w:rPr>
        <w:t>执行</w:t>
      </w:r>
      <w:r>
        <w:rPr>
          <w:rFonts w:hint="eastAsia" w:ascii="Arial" w:hAnsi="Arial" w:eastAsia="宋体" w:cs="Arial"/>
          <w:kern w:val="0"/>
          <w:sz w:val="26"/>
          <w:szCs w:val="26"/>
          <w:lang w:val="fr-FR" w:eastAsia="zh-CN" w:bidi="ar-SA"/>
        </w:rPr>
        <w:t>《地表水环境质量标准》（GB 3838</w:t>
      </w:r>
      <w:r>
        <w:rPr>
          <w:rFonts w:hint="eastAsia" w:ascii="Arial" w:hAnsi="Arial" w:eastAsia="宋体" w:cs="Arial"/>
          <w:kern w:val="0"/>
          <w:sz w:val="26"/>
          <w:szCs w:val="26"/>
          <w:lang w:val="en-US" w:eastAsia="zh-CN" w:bidi="ar-SA"/>
        </w:rPr>
        <w:t>-</w:t>
      </w:r>
      <w:r>
        <w:rPr>
          <w:rFonts w:hint="eastAsia" w:ascii="Arial" w:hAnsi="Arial" w:eastAsia="宋体" w:cs="Arial"/>
          <w:kern w:val="0"/>
          <w:sz w:val="26"/>
          <w:szCs w:val="26"/>
          <w:lang w:val="fr-FR" w:eastAsia="zh-CN" w:bidi="ar-SA"/>
        </w:rPr>
        <w:t>2002）中</w:t>
      </w:r>
      <w:r>
        <w:rPr>
          <w:rFonts w:hint="eastAsia" w:ascii="Arial" w:hAnsi="Arial" w:eastAsia="宋体" w:cs="Arial"/>
          <w:kern w:val="0"/>
          <w:sz w:val="26"/>
          <w:szCs w:val="26"/>
          <w:lang w:val="en-US" w:eastAsia="zh-CN" w:bidi="ar-SA"/>
        </w:rPr>
        <w:t>Ⅲ类标准。同时本项目建成后具有农灌功能，故库区水质还应满足《农田灌溉水质标准》（GB5084-2005）中限值要求。经对比，</w:t>
      </w:r>
      <w:r>
        <w:rPr>
          <w:rFonts w:hint="eastAsia" w:ascii="Arial" w:hAnsi="Arial" w:eastAsia="宋体" w:cs="Arial"/>
          <w:kern w:val="0"/>
          <w:sz w:val="26"/>
          <w:szCs w:val="26"/>
          <w:lang w:val="fr-FR" w:eastAsia="zh-CN" w:bidi="ar-SA"/>
        </w:rPr>
        <w:t>《地表水环境质量标准》（GB 3838</w:t>
      </w:r>
      <w:r>
        <w:rPr>
          <w:rFonts w:hint="eastAsia" w:ascii="Arial" w:hAnsi="Arial" w:eastAsia="宋体" w:cs="Arial"/>
          <w:kern w:val="0"/>
          <w:sz w:val="26"/>
          <w:szCs w:val="26"/>
          <w:lang w:val="en-US" w:eastAsia="zh-CN" w:bidi="ar-SA"/>
        </w:rPr>
        <w:t>-</w:t>
      </w:r>
      <w:r>
        <w:rPr>
          <w:rFonts w:hint="eastAsia" w:ascii="Arial" w:hAnsi="Arial" w:eastAsia="宋体" w:cs="Arial"/>
          <w:kern w:val="0"/>
          <w:sz w:val="26"/>
          <w:szCs w:val="26"/>
          <w:lang w:val="fr-FR" w:eastAsia="zh-CN" w:bidi="ar-SA"/>
        </w:rPr>
        <w:t>2002）中</w:t>
      </w:r>
      <w:r>
        <w:rPr>
          <w:rFonts w:hint="eastAsia" w:ascii="Arial" w:hAnsi="Arial" w:eastAsia="宋体" w:cs="Arial"/>
          <w:kern w:val="0"/>
          <w:sz w:val="26"/>
          <w:szCs w:val="26"/>
          <w:lang w:val="en-US" w:eastAsia="zh-CN" w:bidi="ar-SA"/>
        </w:rPr>
        <w:t>Ⅲ类标准限值总体严于《农田灌溉水质标准》（GB5084-2005）中限值要求，故本项目地表水质执行</w:t>
      </w:r>
      <w:r>
        <w:rPr>
          <w:rFonts w:hint="eastAsia" w:ascii="Arial" w:hAnsi="Arial" w:eastAsia="宋体" w:cs="Arial"/>
          <w:kern w:val="0"/>
          <w:sz w:val="26"/>
          <w:szCs w:val="26"/>
          <w:lang w:val="fr-FR" w:eastAsia="zh-CN" w:bidi="ar-SA"/>
        </w:rPr>
        <w:t>《地表水环境质量标准》（GB 3838</w:t>
      </w:r>
      <w:r>
        <w:rPr>
          <w:rFonts w:hint="eastAsia" w:ascii="Arial" w:hAnsi="Arial" w:eastAsia="宋体" w:cs="Arial"/>
          <w:kern w:val="0"/>
          <w:sz w:val="26"/>
          <w:szCs w:val="26"/>
          <w:lang w:val="en-US" w:eastAsia="zh-CN" w:bidi="ar-SA"/>
        </w:rPr>
        <w:t>-</w:t>
      </w:r>
      <w:r>
        <w:rPr>
          <w:rFonts w:hint="eastAsia" w:ascii="Arial" w:hAnsi="Arial" w:eastAsia="宋体" w:cs="Arial"/>
          <w:kern w:val="0"/>
          <w:sz w:val="26"/>
          <w:szCs w:val="26"/>
          <w:lang w:val="fr-FR" w:eastAsia="zh-CN" w:bidi="ar-SA"/>
        </w:rPr>
        <w:t>2002）中</w:t>
      </w:r>
      <w:r>
        <w:rPr>
          <w:rFonts w:hint="eastAsia" w:ascii="Arial" w:hAnsi="Arial" w:eastAsia="宋体" w:cs="Arial"/>
          <w:kern w:val="0"/>
          <w:sz w:val="26"/>
          <w:szCs w:val="26"/>
          <w:lang w:val="en-US" w:eastAsia="zh-CN" w:bidi="ar-SA"/>
        </w:rPr>
        <w:t>Ⅲ类标准。详见表1.5-2所示。</w:t>
      </w:r>
    </w:p>
    <w:bookmarkEnd w:id="54"/>
    <w:p w14:paraId="2A069BF8">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-2  地表水环境质量标准   单位：mg/L</w:t>
      </w:r>
    </w:p>
    <w:tbl>
      <w:tblPr>
        <w:tblStyle w:val="1893"/>
        <w:tblW w:w="84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1694"/>
        <w:gridCol w:w="1115"/>
        <w:gridCol w:w="6"/>
        <w:gridCol w:w="772"/>
        <w:gridCol w:w="2711"/>
        <w:gridCol w:w="6"/>
        <w:gridCol w:w="1429"/>
        <w:gridCol w:w="16"/>
      </w:tblGrid>
      <w:tr w14:paraId="573A1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728" w:type="dxa"/>
            <w:tcBorders>
              <w:bottom w:val="nil"/>
            </w:tcBorders>
            <w:vAlign w:val="center"/>
          </w:tcPr>
          <w:p w14:paraId="03D30E5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序号</w:t>
            </w:r>
          </w:p>
        </w:tc>
        <w:tc>
          <w:tcPr>
            <w:tcW w:w="1694" w:type="dxa"/>
            <w:tcBorders>
              <w:bottom w:val="nil"/>
            </w:tcBorders>
            <w:vAlign w:val="center"/>
          </w:tcPr>
          <w:p w14:paraId="623FFF6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污染物名称</w:t>
            </w:r>
          </w:p>
        </w:tc>
        <w:tc>
          <w:tcPr>
            <w:tcW w:w="1115" w:type="dxa"/>
            <w:vAlign w:val="center"/>
          </w:tcPr>
          <w:p w14:paraId="7CD9C52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标准值</w:t>
            </w:r>
          </w:p>
        </w:tc>
        <w:tc>
          <w:tcPr>
            <w:tcW w:w="778" w:type="dxa"/>
            <w:gridSpan w:val="2"/>
            <w:tcBorders>
              <w:bottom w:val="nil"/>
            </w:tcBorders>
            <w:vAlign w:val="center"/>
          </w:tcPr>
          <w:p w14:paraId="038CFC6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序号</w:t>
            </w:r>
          </w:p>
        </w:tc>
        <w:tc>
          <w:tcPr>
            <w:tcW w:w="2711" w:type="dxa"/>
            <w:tcBorders>
              <w:bottom w:val="nil"/>
            </w:tcBorders>
            <w:vAlign w:val="center"/>
          </w:tcPr>
          <w:p w14:paraId="34BBBFA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污染物名称</w:t>
            </w:r>
          </w:p>
        </w:tc>
        <w:tc>
          <w:tcPr>
            <w:tcW w:w="1451" w:type="dxa"/>
            <w:gridSpan w:val="3"/>
            <w:vAlign w:val="center"/>
          </w:tcPr>
          <w:p w14:paraId="5394211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标准值</w:t>
            </w:r>
          </w:p>
        </w:tc>
      </w:tr>
      <w:tr w14:paraId="76883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28" w:type="dxa"/>
            <w:vAlign w:val="center"/>
          </w:tcPr>
          <w:p w14:paraId="40AA1A3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1</w:t>
            </w:r>
          </w:p>
        </w:tc>
        <w:tc>
          <w:tcPr>
            <w:tcW w:w="1694" w:type="dxa"/>
            <w:vAlign w:val="center"/>
          </w:tcPr>
          <w:p w14:paraId="437859F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pH</w:t>
            </w:r>
          </w:p>
        </w:tc>
        <w:tc>
          <w:tcPr>
            <w:tcW w:w="1115" w:type="dxa"/>
            <w:vAlign w:val="center"/>
          </w:tcPr>
          <w:p w14:paraId="2BC30B3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6~9</w:t>
            </w:r>
          </w:p>
        </w:tc>
        <w:tc>
          <w:tcPr>
            <w:tcW w:w="778" w:type="dxa"/>
            <w:gridSpan w:val="2"/>
            <w:vAlign w:val="center"/>
          </w:tcPr>
          <w:p w14:paraId="04EE467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15</w:t>
            </w:r>
          </w:p>
        </w:tc>
        <w:tc>
          <w:tcPr>
            <w:tcW w:w="2711" w:type="dxa"/>
            <w:vAlign w:val="center"/>
          </w:tcPr>
          <w:p w14:paraId="7435BDB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砷</w:t>
            </w:r>
          </w:p>
        </w:tc>
        <w:tc>
          <w:tcPr>
            <w:tcW w:w="1451" w:type="dxa"/>
            <w:gridSpan w:val="3"/>
            <w:vAlign w:val="center"/>
          </w:tcPr>
          <w:p w14:paraId="48B6C60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5"/>
                <w:sz w:val="22"/>
                <w:szCs w:val="22"/>
              </w:rPr>
              <w:t>0.05</w:t>
            </w:r>
          </w:p>
        </w:tc>
      </w:tr>
      <w:tr w14:paraId="640C7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728" w:type="dxa"/>
            <w:vAlign w:val="center"/>
          </w:tcPr>
          <w:p w14:paraId="4088328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2</w:t>
            </w:r>
          </w:p>
        </w:tc>
        <w:tc>
          <w:tcPr>
            <w:tcW w:w="1694" w:type="dxa"/>
            <w:vAlign w:val="center"/>
          </w:tcPr>
          <w:p w14:paraId="0B5CF1F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溶解氧</w:t>
            </w:r>
          </w:p>
        </w:tc>
        <w:tc>
          <w:tcPr>
            <w:tcW w:w="1121" w:type="dxa"/>
            <w:gridSpan w:val="2"/>
            <w:vAlign w:val="center"/>
          </w:tcPr>
          <w:p w14:paraId="5CE48FF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10"/>
                <w:sz w:val="22"/>
                <w:szCs w:val="22"/>
              </w:rPr>
              <w:t>≥</w:t>
            </w:r>
            <w:r>
              <w:rPr>
                <w:rFonts w:hint="default" w:ascii="Arial" w:hAnsi="Arial" w:cs="Arial"/>
                <w:spacing w:val="-10"/>
                <w:sz w:val="22"/>
                <w:szCs w:val="22"/>
              </w:rPr>
              <w:t>5</w:t>
            </w:r>
          </w:p>
        </w:tc>
        <w:tc>
          <w:tcPr>
            <w:tcW w:w="772" w:type="dxa"/>
            <w:vAlign w:val="center"/>
          </w:tcPr>
          <w:p w14:paraId="1710B7F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16</w:t>
            </w:r>
          </w:p>
        </w:tc>
        <w:tc>
          <w:tcPr>
            <w:tcW w:w="2717" w:type="dxa"/>
            <w:gridSpan w:val="2"/>
            <w:vAlign w:val="center"/>
          </w:tcPr>
          <w:p w14:paraId="2630184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铅</w:t>
            </w:r>
          </w:p>
        </w:tc>
        <w:tc>
          <w:tcPr>
            <w:tcW w:w="1445" w:type="dxa"/>
            <w:gridSpan w:val="2"/>
            <w:vAlign w:val="center"/>
          </w:tcPr>
          <w:p w14:paraId="75CBE8F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5"/>
                <w:sz w:val="22"/>
                <w:szCs w:val="22"/>
              </w:rPr>
              <w:t>0.05</w:t>
            </w:r>
          </w:p>
        </w:tc>
      </w:tr>
      <w:tr w14:paraId="02144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728" w:type="dxa"/>
            <w:vAlign w:val="center"/>
          </w:tcPr>
          <w:p w14:paraId="14B1094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3</w:t>
            </w:r>
          </w:p>
        </w:tc>
        <w:tc>
          <w:tcPr>
            <w:tcW w:w="1694" w:type="dxa"/>
            <w:vAlign w:val="center"/>
          </w:tcPr>
          <w:p w14:paraId="794F5DF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化学需氧量</w:t>
            </w:r>
          </w:p>
        </w:tc>
        <w:tc>
          <w:tcPr>
            <w:tcW w:w="1121" w:type="dxa"/>
            <w:gridSpan w:val="2"/>
            <w:vAlign w:val="center"/>
          </w:tcPr>
          <w:p w14:paraId="2F43BAB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20</w:t>
            </w:r>
          </w:p>
        </w:tc>
        <w:tc>
          <w:tcPr>
            <w:tcW w:w="772" w:type="dxa"/>
            <w:vAlign w:val="center"/>
          </w:tcPr>
          <w:p w14:paraId="22B37C1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17</w:t>
            </w:r>
          </w:p>
        </w:tc>
        <w:tc>
          <w:tcPr>
            <w:tcW w:w="2717" w:type="dxa"/>
            <w:gridSpan w:val="2"/>
            <w:vAlign w:val="center"/>
          </w:tcPr>
          <w:p w14:paraId="7776D8B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镉</w:t>
            </w:r>
          </w:p>
        </w:tc>
        <w:tc>
          <w:tcPr>
            <w:tcW w:w="1445" w:type="dxa"/>
            <w:gridSpan w:val="2"/>
            <w:vAlign w:val="center"/>
          </w:tcPr>
          <w:p w14:paraId="3D230D0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4"/>
                <w:sz w:val="22"/>
                <w:szCs w:val="22"/>
              </w:rPr>
              <w:t>0.005</w:t>
            </w:r>
          </w:p>
        </w:tc>
      </w:tr>
      <w:tr w14:paraId="42E4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728" w:type="dxa"/>
            <w:vAlign w:val="center"/>
          </w:tcPr>
          <w:p w14:paraId="7BE8027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4</w:t>
            </w:r>
          </w:p>
        </w:tc>
        <w:tc>
          <w:tcPr>
            <w:tcW w:w="1694" w:type="dxa"/>
            <w:vAlign w:val="center"/>
          </w:tcPr>
          <w:p w14:paraId="6D81A51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2"/>
                <w:sz w:val="22"/>
                <w:szCs w:val="22"/>
                <w:lang w:eastAsia="zh-CN"/>
              </w:rPr>
              <w:t>五日</w:t>
            </w:r>
            <w:r>
              <w:rPr>
                <w:rFonts w:hint="default" w:ascii="Arial" w:hAnsi="Arial" w:cs="Arial"/>
                <w:spacing w:val="-2"/>
                <w:sz w:val="22"/>
                <w:szCs w:val="22"/>
              </w:rPr>
              <w:t>生化需氧量</w:t>
            </w:r>
          </w:p>
        </w:tc>
        <w:tc>
          <w:tcPr>
            <w:tcW w:w="1121" w:type="dxa"/>
            <w:gridSpan w:val="2"/>
            <w:vAlign w:val="center"/>
          </w:tcPr>
          <w:p w14:paraId="275F145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8"/>
                <w:sz w:val="22"/>
                <w:szCs w:val="22"/>
              </w:rPr>
              <w:t>≤</w:t>
            </w:r>
            <w:r>
              <w:rPr>
                <w:rFonts w:hint="default" w:ascii="Arial" w:hAnsi="Arial" w:cs="Arial"/>
                <w:spacing w:val="-8"/>
                <w:sz w:val="22"/>
                <w:szCs w:val="22"/>
              </w:rPr>
              <w:t>4</w:t>
            </w:r>
          </w:p>
        </w:tc>
        <w:tc>
          <w:tcPr>
            <w:tcW w:w="772" w:type="dxa"/>
            <w:vAlign w:val="center"/>
          </w:tcPr>
          <w:p w14:paraId="58B7EF0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18</w:t>
            </w:r>
          </w:p>
        </w:tc>
        <w:tc>
          <w:tcPr>
            <w:tcW w:w="2717" w:type="dxa"/>
            <w:gridSpan w:val="2"/>
            <w:vAlign w:val="center"/>
          </w:tcPr>
          <w:p w14:paraId="78C2164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铜</w:t>
            </w:r>
          </w:p>
        </w:tc>
        <w:tc>
          <w:tcPr>
            <w:tcW w:w="1445" w:type="dxa"/>
            <w:gridSpan w:val="2"/>
            <w:vAlign w:val="center"/>
          </w:tcPr>
          <w:p w14:paraId="338BBF1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r>
      <w:tr w14:paraId="08336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728" w:type="dxa"/>
            <w:vAlign w:val="center"/>
          </w:tcPr>
          <w:p w14:paraId="02EBC31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5</w:t>
            </w:r>
          </w:p>
        </w:tc>
        <w:tc>
          <w:tcPr>
            <w:tcW w:w="1694" w:type="dxa"/>
            <w:vAlign w:val="center"/>
          </w:tcPr>
          <w:p w14:paraId="16736C5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氨氮</w:t>
            </w:r>
          </w:p>
        </w:tc>
        <w:tc>
          <w:tcPr>
            <w:tcW w:w="1121" w:type="dxa"/>
            <w:gridSpan w:val="2"/>
            <w:vAlign w:val="center"/>
          </w:tcPr>
          <w:p w14:paraId="201842D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c>
          <w:tcPr>
            <w:tcW w:w="772" w:type="dxa"/>
            <w:vAlign w:val="center"/>
          </w:tcPr>
          <w:p w14:paraId="2108120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19</w:t>
            </w:r>
          </w:p>
        </w:tc>
        <w:tc>
          <w:tcPr>
            <w:tcW w:w="2717" w:type="dxa"/>
            <w:gridSpan w:val="2"/>
            <w:vAlign w:val="center"/>
          </w:tcPr>
          <w:p w14:paraId="10BE091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锌</w:t>
            </w:r>
          </w:p>
        </w:tc>
        <w:tc>
          <w:tcPr>
            <w:tcW w:w="1445" w:type="dxa"/>
            <w:gridSpan w:val="2"/>
            <w:vAlign w:val="center"/>
          </w:tcPr>
          <w:p w14:paraId="2DB512B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r>
      <w:tr w14:paraId="14973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728" w:type="dxa"/>
            <w:vAlign w:val="center"/>
          </w:tcPr>
          <w:p w14:paraId="7C252C7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6</w:t>
            </w:r>
          </w:p>
        </w:tc>
        <w:tc>
          <w:tcPr>
            <w:tcW w:w="1694" w:type="dxa"/>
            <w:vAlign w:val="center"/>
          </w:tcPr>
          <w:p w14:paraId="4D690AB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挥发酚</w:t>
            </w:r>
          </w:p>
        </w:tc>
        <w:tc>
          <w:tcPr>
            <w:tcW w:w="1121" w:type="dxa"/>
            <w:gridSpan w:val="2"/>
            <w:vAlign w:val="center"/>
          </w:tcPr>
          <w:p w14:paraId="698312B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2"/>
                <w:sz w:val="22"/>
                <w:szCs w:val="22"/>
              </w:rPr>
              <w:t>0.005</w:t>
            </w:r>
          </w:p>
        </w:tc>
        <w:tc>
          <w:tcPr>
            <w:tcW w:w="772" w:type="dxa"/>
            <w:vAlign w:val="center"/>
          </w:tcPr>
          <w:p w14:paraId="0C04647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w:t>
            </w:r>
          </w:p>
        </w:tc>
        <w:tc>
          <w:tcPr>
            <w:tcW w:w="2717" w:type="dxa"/>
            <w:gridSpan w:val="2"/>
            <w:vAlign w:val="center"/>
          </w:tcPr>
          <w:p w14:paraId="78DEDD9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阴离子表面活性剂</w:t>
            </w:r>
          </w:p>
        </w:tc>
        <w:tc>
          <w:tcPr>
            <w:tcW w:w="1445" w:type="dxa"/>
            <w:gridSpan w:val="2"/>
            <w:vAlign w:val="center"/>
          </w:tcPr>
          <w:p w14:paraId="623DA5E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0.2</w:t>
            </w:r>
          </w:p>
        </w:tc>
      </w:tr>
      <w:tr w14:paraId="1A31D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728" w:type="dxa"/>
            <w:vAlign w:val="center"/>
          </w:tcPr>
          <w:p w14:paraId="09D701A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7</w:t>
            </w:r>
          </w:p>
        </w:tc>
        <w:tc>
          <w:tcPr>
            <w:tcW w:w="1694" w:type="dxa"/>
            <w:vAlign w:val="center"/>
          </w:tcPr>
          <w:p w14:paraId="765B8D8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硫化物</w:t>
            </w:r>
          </w:p>
        </w:tc>
        <w:tc>
          <w:tcPr>
            <w:tcW w:w="1121" w:type="dxa"/>
            <w:gridSpan w:val="2"/>
            <w:vAlign w:val="center"/>
          </w:tcPr>
          <w:p w14:paraId="19E1F7B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4"/>
                <w:position w:val="-2"/>
                <w:sz w:val="22"/>
                <w:szCs w:val="22"/>
              </w:rPr>
              <w:t>0.2</w:t>
            </w:r>
          </w:p>
        </w:tc>
        <w:tc>
          <w:tcPr>
            <w:tcW w:w="772" w:type="dxa"/>
            <w:vAlign w:val="center"/>
          </w:tcPr>
          <w:p w14:paraId="6521D26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21</w:t>
            </w:r>
          </w:p>
        </w:tc>
        <w:tc>
          <w:tcPr>
            <w:tcW w:w="2717" w:type="dxa"/>
            <w:gridSpan w:val="2"/>
            <w:vAlign w:val="center"/>
          </w:tcPr>
          <w:p w14:paraId="6497DC4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4"/>
                <w:sz w:val="22"/>
                <w:szCs w:val="22"/>
              </w:rPr>
              <w:t>粪大肠菌群</w:t>
            </w:r>
            <w:r>
              <w:rPr>
                <w:rFonts w:hint="eastAsia" w:ascii="宋体" w:hAnsi="宋体" w:eastAsia="宋体" w:cs="宋体"/>
                <w:spacing w:val="4"/>
                <w:sz w:val="22"/>
                <w:szCs w:val="22"/>
              </w:rPr>
              <w:t>(</w:t>
            </w:r>
            <w:r>
              <w:rPr>
                <w:rFonts w:hint="default" w:ascii="Arial" w:hAnsi="Arial" w:cs="Arial"/>
                <w:spacing w:val="4"/>
                <w:sz w:val="22"/>
                <w:szCs w:val="22"/>
              </w:rPr>
              <w:t>个/L</w:t>
            </w:r>
            <w:r>
              <w:rPr>
                <w:rFonts w:hint="eastAsia" w:ascii="宋体" w:hAnsi="宋体" w:eastAsia="宋体" w:cs="宋体"/>
                <w:spacing w:val="4"/>
                <w:sz w:val="22"/>
                <w:szCs w:val="22"/>
              </w:rPr>
              <w:t>)</w:t>
            </w:r>
          </w:p>
        </w:tc>
        <w:tc>
          <w:tcPr>
            <w:tcW w:w="1445" w:type="dxa"/>
            <w:gridSpan w:val="2"/>
            <w:vAlign w:val="center"/>
          </w:tcPr>
          <w:p w14:paraId="3E56F72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4"/>
                <w:sz w:val="22"/>
                <w:szCs w:val="22"/>
              </w:rPr>
              <w:t>10000</w:t>
            </w:r>
          </w:p>
        </w:tc>
      </w:tr>
      <w:tr w14:paraId="15412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728" w:type="dxa"/>
            <w:vAlign w:val="center"/>
          </w:tcPr>
          <w:p w14:paraId="2C8A984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8</w:t>
            </w:r>
          </w:p>
        </w:tc>
        <w:tc>
          <w:tcPr>
            <w:tcW w:w="1694" w:type="dxa"/>
            <w:vAlign w:val="center"/>
          </w:tcPr>
          <w:p w14:paraId="0430DD5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4"/>
                <w:sz w:val="22"/>
                <w:szCs w:val="22"/>
              </w:rPr>
              <w:t>总磷</w:t>
            </w:r>
          </w:p>
        </w:tc>
        <w:tc>
          <w:tcPr>
            <w:tcW w:w="1121" w:type="dxa"/>
            <w:gridSpan w:val="2"/>
            <w:vAlign w:val="center"/>
          </w:tcPr>
          <w:p w14:paraId="3E72F32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3"/>
                <w:sz w:val="22"/>
                <w:szCs w:val="22"/>
                <w:lang w:eastAsia="zh-CN"/>
              </w:rPr>
              <w:t>≤</w:t>
            </w:r>
            <w:r>
              <w:rPr>
                <w:rFonts w:hint="default" w:ascii="Arial" w:hAnsi="Arial" w:cs="Arial"/>
                <w:spacing w:val="3"/>
                <w:sz w:val="22"/>
                <w:szCs w:val="22"/>
              </w:rPr>
              <w:t>0.2</w:t>
            </w:r>
          </w:p>
        </w:tc>
        <w:tc>
          <w:tcPr>
            <w:tcW w:w="772" w:type="dxa"/>
            <w:vAlign w:val="center"/>
          </w:tcPr>
          <w:p w14:paraId="132170C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22</w:t>
            </w:r>
          </w:p>
        </w:tc>
        <w:tc>
          <w:tcPr>
            <w:tcW w:w="2717" w:type="dxa"/>
            <w:gridSpan w:val="2"/>
            <w:vAlign w:val="center"/>
          </w:tcPr>
          <w:p w14:paraId="725FD60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4"/>
                <w:sz w:val="22"/>
                <w:szCs w:val="22"/>
              </w:rPr>
              <w:t>总氮</w:t>
            </w:r>
          </w:p>
        </w:tc>
        <w:tc>
          <w:tcPr>
            <w:tcW w:w="1445" w:type="dxa"/>
            <w:gridSpan w:val="2"/>
            <w:vAlign w:val="center"/>
          </w:tcPr>
          <w:p w14:paraId="2F37290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r>
      <w:tr w14:paraId="535EC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728" w:type="dxa"/>
            <w:vAlign w:val="center"/>
          </w:tcPr>
          <w:p w14:paraId="6C417A0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9</w:t>
            </w:r>
          </w:p>
        </w:tc>
        <w:tc>
          <w:tcPr>
            <w:tcW w:w="1694" w:type="dxa"/>
            <w:vAlign w:val="center"/>
          </w:tcPr>
          <w:p w14:paraId="2971C88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3"/>
                <w:sz w:val="22"/>
                <w:szCs w:val="22"/>
              </w:rPr>
              <w:t>铬</w:t>
            </w:r>
            <w:r>
              <w:rPr>
                <w:rFonts w:hint="eastAsia" w:ascii="宋体" w:hAnsi="宋体" w:eastAsia="宋体" w:cs="宋体"/>
                <w:spacing w:val="-13"/>
                <w:sz w:val="22"/>
                <w:szCs w:val="22"/>
              </w:rPr>
              <w:t xml:space="preserve"> (</w:t>
            </w:r>
            <w:r>
              <w:rPr>
                <w:rFonts w:hint="eastAsia" w:ascii="宋体" w:hAnsi="宋体" w:eastAsia="宋体" w:cs="宋体"/>
                <w:spacing w:val="-34"/>
                <w:sz w:val="22"/>
                <w:szCs w:val="22"/>
              </w:rPr>
              <w:t xml:space="preserve"> </w:t>
            </w:r>
            <w:r>
              <w:rPr>
                <w:rFonts w:hint="eastAsia" w:ascii="宋体" w:hAnsi="宋体" w:eastAsia="宋体" w:cs="宋体"/>
                <w:spacing w:val="-13"/>
                <w:sz w:val="22"/>
                <w:szCs w:val="22"/>
              </w:rPr>
              <w:t>六</w:t>
            </w:r>
            <w:r>
              <w:rPr>
                <w:rFonts w:hint="eastAsia" w:ascii="宋体" w:hAnsi="宋体" w:eastAsia="宋体" w:cs="宋体"/>
                <w:spacing w:val="-38"/>
                <w:sz w:val="22"/>
                <w:szCs w:val="22"/>
              </w:rPr>
              <w:t xml:space="preserve"> </w:t>
            </w:r>
            <w:r>
              <w:rPr>
                <w:rFonts w:hint="eastAsia" w:ascii="宋体" w:hAnsi="宋体" w:eastAsia="宋体" w:cs="宋体"/>
                <w:spacing w:val="-13"/>
                <w:sz w:val="22"/>
                <w:szCs w:val="22"/>
              </w:rPr>
              <w:t>价</w:t>
            </w:r>
            <w:r>
              <w:rPr>
                <w:rFonts w:hint="eastAsia" w:ascii="宋体" w:hAnsi="宋体" w:eastAsia="宋体" w:cs="宋体"/>
                <w:spacing w:val="-39"/>
                <w:sz w:val="22"/>
                <w:szCs w:val="22"/>
              </w:rPr>
              <w:t xml:space="preserve"> </w:t>
            </w:r>
            <w:r>
              <w:rPr>
                <w:rFonts w:hint="eastAsia" w:ascii="宋体" w:hAnsi="宋体" w:eastAsia="宋体" w:cs="宋体"/>
                <w:spacing w:val="-13"/>
                <w:sz w:val="22"/>
                <w:szCs w:val="22"/>
              </w:rPr>
              <w:t>)</w:t>
            </w:r>
          </w:p>
        </w:tc>
        <w:tc>
          <w:tcPr>
            <w:tcW w:w="1121" w:type="dxa"/>
            <w:gridSpan w:val="2"/>
            <w:vAlign w:val="center"/>
          </w:tcPr>
          <w:p w14:paraId="6C756A1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5"/>
                <w:sz w:val="22"/>
                <w:szCs w:val="22"/>
                <w:lang w:eastAsia="zh-CN"/>
              </w:rPr>
              <w:t>≤</w:t>
            </w:r>
            <w:r>
              <w:rPr>
                <w:rFonts w:hint="default" w:ascii="Arial" w:hAnsi="Arial" w:cs="Arial"/>
                <w:spacing w:val="-5"/>
                <w:sz w:val="22"/>
                <w:szCs w:val="22"/>
              </w:rPr>
              <w:t>0.05</w:t>
            </w:r>
          </w:p>
        </w:tc>
        <w:tc>
          <w:tcPr>
            <w:tcW w:w="772" w:type="dxa"/>
            <w:vAlign w:val="center"/>
          </w:tcPr>
          <w:p w14:paraId="4643F1F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23</w:t>
            </w:r>
          </w:p>
        </w:tc>
        <w:tc>
          <w:tcPr>
            <w:tcW w:w="2717" w:type="dxa"/>
            <w:gridSpan w:val="2"/>
            <w:vAlign w:val="center"/>
          </w:tcPr>
          <w:p w14:paraId="47679B4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硒</w:t>
            </w:r>
          </w:p>
        </w:tc>
        <w:tc>
          <w:tcPr>
            <w:tcW w:w="1445" w:type="dxa"/>
            <w:gridSpan w:val="2"/>
            <w:vAlign w:val="center"/>
          </w:tcPr>
          <w:p w14:paraId="47A4616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5"/>
                <w:sz w:val="22"/>
                <w:szCs w:val="22"/>
              </w:rPr>
              <w:t>0.01</w:t>
            </w:r>
          </w:p>
        </w:tc>
      </w:tr>
      <w:tr w14:paraId="698BA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111" w:hRule="atLeast"/>
          <w:jc w:val="center"/>
        </w:trPr>
        <w:tc>
          <w:tcPr>
            <w:tcW w:w="728" w:type="dxa"/>
            <w:vAlign w:val="center"/>
          </w:tcPr>
          <w:p w14:paraId="3931963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10</w:t>
            </w:r>
          </w:p>
        </w:tc>
        <w:tc>
          <w:tcPr>
            <w:tcW w:w="1694" w:type="dxa"/>
            <w:vAlign w:val="center"/>
          </w:tcPr>
          <w:p w14:paraId="1E2FC78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石油类</w:t>
            </w:r>
          </w:p>
        </w:tc>
        <w:tc>
          <w:tcPr>
            <w:tcW w:w="1121" w:type="dxa"/>
            <w:gridSpan w:val="2"/>
            <w:vAlign w:val="center"/>
          </w:tcPr>
          <w:p w14:paraId="7CB796D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5"/>
                <w:sz w:val="22"/>
                <w:szCs w:val="22"/>
                <w:lang w:eastAsia="zh-CN"/>
              </w:rPr>
              <w:t>≤</w:t>
            </w:r>
            <w:r>
              <w:rPr>
                <w:rFonts w:hint="default" w:ascii="Arial" w:hAnsi="Arial" w:cs="Arial"/>
                <w:spacing w:val="-5"/>
                <w:sz w:val="22"/>
                <w:szCs w:val="22"/>
              </w:rPr>
              <w:t>0.05</w:t>
            </w:r>
          </w:p>
        </w:tc>
        <w:tc>
          <w:tcPr>
            <w:tcW w:w="772" w:type="dxa"/>
            <w:vAlign w:val="center"/>
          </w:tcPr>
          <w:p w14:paraId="4A2968C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24</w:t>
            </w:r>
          </w:p>
        </w:tc>
        <w:tc>
          <w:tcPr>
            <w:tcW w:w="2717" w:type="dxa"/>
            <w:gridSpan w:val="2"/>
            <w:vAlign w:val="center"/>
          </w:tcPr>
          <w:p w14:paraId="69E88ED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硫酸盐*</w:t>
            </w:r>
          </w:p>
        </w:tc>
        <w:tc>
          <w:tcPr>
            <w:tcW w:w="1429" w:type="dxa"/>
            <w:vAlign w:val="center"/>
          </w:tcPr>
          <w:p w14:paraId="64E6FAD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5"/>
                <w:sz w:val="22"/>
                <w:szCs w:val="22"/>
              </w:rPr>
              <w:t>250</w:t>
            </w:r>
          </w:p>
        </w:tc>
      </w:tr>
      <w:tr w14:paraId="547F3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244" w:hRule="atLeast"/>
          <w:jc w:val="center"/>
        </w:trPr>
        <w:tc>
          <w:tcPr>
            <w:tcW w:w="728" w:type="dxa"/>
            <w:vAlign w:val="center"/>
          </w:tcPr>
          <w:p w14:paraId="6B1F697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11</w:t>
            </w:r>
          </w:p>
        </w:tc>
        <w:tc>
          <w:tcPr>
            <w:tcW w:w="1694" w:type="dxa"/>
            <w:vAlign w:val="center"/>
          </w:tcPr>
          <w:p w14:paraId="3325C8E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氟化物</w:t>
            </w:r>
          </w:p>
        </w:tc>
        <w:tc>
          <w:tcPr>
            <w:tcW w:w="1121" w:type="dxa"/>
            <w:gridSpan w:val="2"/>
            <w:vAlign w:val="center"/>
          </w:tcPr>
          <w:p w14:paraId="5231DDC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1.0</w:t>
            </w:r>
          </w:p>
        </w:tc>
        <w:tc>
          <w:tcPr>
            <w:tcW w:w="772" w:type="dxa"/>
            <w:vAlign w:val="center"/>
          </w:tcPr>
          <w:p w14:paraId="73A1EDF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w:t>
            </w:r>
          </w:p>
        </w:tc>
        <w:tc>
          <w:tcPr>
            <w:tcW w:w="2717" w:type="dxa"/>
            <w:gridSpan w:val="2"/>
            <w:vAlign w:val="center"/>
          </w:tcPr>
          <w:p w14:paraId="3ECC884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氯化物*</w:t>
            </w:r>
          </w:p>
        </w:tc>
        <w:tc>
          <w:tcPr>
            <w:tcW w:w="1429" w:type="dxa"/>
            <w:vAlign w:val="center"/>
          </w:tcPr>
          <w:p w14:paraId="6B1D46D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3"/>
                <w:sz w:val="22"/>
                <w:szCs w:val="22"/>
              </w:rPr>
              <w:t>250</w:t>
            </w:r>
          </w:p>
        </w:tc>
      </w:tr>
      <w:tr w14:paraId="5159C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223" w:hRule="atLeast"/>
          <w:jc w:val="center"/>
        </w:trPr>
        <w:tc>
          <w:tcPr>
            <w:tcW w:w="728" w:type="dxa"/>
            <w:vAlign w:val="center"/>
          </w:tcPr>
          <w:p w14:paraId="5982A48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12</w:t>
            </w:r>
          </w:p>
        </w:tc>
        <w:tc>
          <w:tcPr>
            <w:tcW w:w="1694" w:type="dxa"/>
            <w:vAlign w:val="center"/>
          </w:tcPr>
          <w:p w14:paraId="06F0082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氰化物</w:t>
            </w:r>
          </w:p>
        </w:tc>
        <w:tc>
          <w:tcPr>
            <w:tcW w:w="1121" w:type="dxa"/>
            <w:gridSpan w:val="2"/>
            <w:vAlign w:val="center"/>
          </w:tcPr>
          <w:p w14:paraId="52297E5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3"/>
                <w:sz w:val="22"/>
                <w:szCs w:val="22"/>
                <w:lang w:eastAsia="zh-CN"/>
              </w:rPr>
              <w:t>≤</w:t>
            </w:r>
            <w:r>
              <w:rPr>
                <w:rFonts w:hint="default" w:ascii="Arial" w:hAnsi="Arial" w:cs="Arial"/>
                <w:spacing w:val="-3"/>
                <w:sz w:val="22"/>
                <w:szCs w:val="22"/>
              </w:rPr>
              <w:t>0.2</w:t>
            </w:r>
          </w:p>
        </w:tc>
        <w:tc>
          <w:tcPr>
            <w:tcW w:w="772" w:type="dxa"/>
            <w:vAlign w:val="center"/>
          </w:tcPr>
          <w:p w14:paraId="579EE0B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26</w:t>
            </w:r>
          </w:p>
        </w:tc>
        <w:tc>
          <w:tcPr>
            <w:tcW w:w="2717" w:type="dxa"/>
            <w:gridSpan w:val="2"/>
            <w:vAlign w:val="center"/>
          </w:tcPr>
          <w:p w14:paraId="0D02B7F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硝酸盐氮*</w:t>
            </w:r>
          </w:p>
        </w:tc>
        <w:tc>
          <w:tcPr>
            <w:tcW w:w="1429" w:type="dxa"/>
            <w:vAlign w:val="center"/>
          </w:tcPr>
          <w:p w14:paraId="19D8DA8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r>
      <w:tr w14:paraId="36A34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179" w:hRule="atLeast"/>
          <w:jc w:val="center"/>
        </w:trPr>
        <w:tc>
          <w:tcPr>
            <w:tcW w:w="728" w:type="dxa"/>
            <w:vAlign w:val="center"/>
          </w:tcPr>
          <w:p w14:paraId="5EC99B0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13</w:t>
            </w:r>
          </w:p>
        </w:tc>
        <w:tc>
          <w:tcPr>
            <w:tcW w:w="1694" w:type="dxa"/>
            <w:vAlign w:val="center"/>
          </w:tcPr>
          <w:p w14:paraId="38BCD37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汞</w:t>
            </w:r>
          </w:p>
        </w:tc>
        <w:tc>
          <w:tcPr>
            <w:tcW w:w="1121" w:type="dxa"/>
            <w:gridSpan w:val="2"/>
            <w:vAlign w:val="center"/>
          </w:tcPr>
          <w:p w14:paraId="0EAB43F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4"/>
                <w:sz w:val="22"/>
                <w:szCs w:val="22"/>
                <w:lang w:eastAsia="zh-CN"/>
              </w:rPr>
              <w:t>≤</w:t>
            </w:r>
            <w:r>
              <w:rPr>
                <w:rFonts w:hint="default" w:ascii="Arial" w:hAnsi="Arial" w:cs="Arial"/>
                <w:spacing w:val="-4"/>
                <w:sz w:val="22"/>
                <w:szCs w:val="22"/>
              </w:rPr>
              <w:t>0.0001</w:t>
            </w:r>
          </w:p>
        </w:tc>
        <w:tc>
          <w:tcPr>
            <w:tcW w:w="772" w:type="dxa"/>
            <w:vAlign w:val="center"/>
          </w:tcPr>
          <w:p w14:paraId="0A8492B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27</w:t>
            </w:r>
          </w:p>
        </w:tc>
        <w:tc>
          <w:tcPr>
            <w:tcW w:w="2717" w:type="dxa"/>
            <w:gridSpan w:val="2"/>
            <w:vAlign w:val="center"/>
          </w:tcPr>
          <w:p w14:paraId="0DEAB7F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铁*</w:t>
            </w:r>
          </w:p>
        </w:tc>
        <w:tc>
          <w:tcPr>
            <w:tcW w:w="1429" w:type="dxa"/>
            <w:vAlign w:val="center"/>
          </w:tcPr>
          <w:p w14:paraId="7D4CB1C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0.3</w:t>
            </w:r>
          </w:p>
        </w:tc>
      </w:tr>
      <w:tr w14:paraId="1C3F3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309" w:hRule="atLeast"/>
          <w:jc w:val="center"/>
        </w:trPr>
        <w:tc>
          <w:tcPr>
            <w:tcW w:w="728" w:type="dxa"/>
            <w:vAlign w:val="center"/>
          </w:tcPr>
          <w:p w14:paraId="1B79FF0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14</w:t>
            </w:r>
          </w:p>
        </w:tc>
        <w:tc>
          <w:tcPr>
            <w:tcW w:w="1694" w:type="dxa"/>
            <w:vAlign w:val="center"/>
          </w:tcPr>
          <w:p w14:paraId="7B612D0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pacing w:val="-2"/>
                <w:sz w:val="22"/>
                <w:szCs w:val="22"/>
                <w:lang w:eastAsia="zh-CN"/>
              </w:rPr>
              <w:t>高锰酸盐指数</w:t>
            </w:r>
          </w:p>
        </w:tc>
        <w:tc>
          <w:tcPr>
            <w:tcW w:w="1121" w:type="dxa"/>
            <w:gridSpan w:val="2"/>
            <w:vAlign w:val="center"/>
          </w:tcPr>
          <w:p w14:paraId="7830C11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8"/>
                <w:sz w:val="22"/>
                <w:szCs w:val="22"/>
                <w:lang w:eastAsia="zh-CN"/>
              </w:rPr>
              <w:t>≤</w:t>
            </w:r>
            <w:r>
              <w:rPr>
                <w:rFonts w:hint="default" w:ascii="Arial" w:hAnsi="Arial" w:cs="Arial"/>
                <w:spacing w:val="-8"/>
                <w:sz w:val="22"/>
                <w:szCs w:val="22"/>
              </w:rPr>
              <w:t>6</w:t>
            </w:r>
          </w:p>
        </w:tc>
        <w:tc>
          <w:tcPr>
            <w:tcW w:w="772" w:type="dxa"/>
            <w:vAlign w:val="center"/>
          </w:tcPr>
          <w:p w14:paraId="5461439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28</w:t>
            </w:r>
          </w:p>
        </w:tc>
        <w:tc>
          <w:tcPr>
            <w:tcW w:w="2717" w:type="dxa"/>
            <w:gridSpan w:val="2"/>
            <w:vAlign w:val="center"/>
          </w:tcPr>
          <w:p w14:paraId="0CC0438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锰*</w:t>
            </w:r>
          </w:p>
        </w:tc>
        <w:tc>
          <w:tcPr>
            <w:tcW w:w="1429" w:type="dxa"/>
            <w:vAlign w:val="center"/>
          </w:tcPr>
          <w:p w14:paraId="34553C3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0.1</w:t>
            </w:r>
          </w:p>
        </w:tc>
      </w:tr>
    </w:tbl>
    <w:p w14:paraId="657A67B2">
      <w:pPr>
        <w:pStyle w:val="31"/>
        <w:keepNext w:val="0"/>
        <w:keepLines w:val="0"/>
        <w:pageBreakBefore w:val="0"/>
        <w:widowControl w:val="0"/>
        <w:kinsoku/>
        <w:wordWrap/>
        <w:overflowPunct/>
        <w:topLinePunct w:val="0"/>
        <w:autoSpaceDE/>
        <w:autoSpaceDN/>
        <w:bidi w:val="0"/>
        <w:adjustRightInd/>
        <w:snapToGrid/>
        <w:spacing w:before="0" w:line="300" w:lineRule="exact"/>
        <w:ind w:left="0"/>
        <w:jc w:val="both"/>
        <w:textAlignment w:val="auto"/>
        <w:rPr>
          <w:rFonts w:hint="default" w:ascii="Arial" w:hAnsi="Arial" w:eastAsia="宋体" w:cs="Arial"/>
          <w:b/>
          <w:bCs/>
          <w:color w:val="000000"/>
          <w:kern w:val="0"/>
          <w:sz w:val="26"/>
          <w:szCs w:val="26"/>
          <w:lang w:val="en-US" w:eastAsia="zh-CN" w:bidi="ar-SA"/>
        </w:rPr>
      </w:pPr>
      <w:r>
        <w:rPr>
          <w:rFonts w:hint="eastAsia" w:ascii="Arial" w:hAnsi="Arial" w:cs="Arial"/>
          <w:b/>
          <w:bCs/>
          <w:color w:val="000000"/>
          <w:kern w:val="0"/>
          <w:sz w:val="22"/>
          <w:szCs w:val="22"/>
          <w:lang w:val="en-US" w:eastAsia="zh-CN" w:bidi="ar-SA"/>
        </w:rPr>
        <w:t>注：*为集中式生活饮用水地表水源地补充项目</w:t>
      </w:r>
    </w:p>
    <w:p w14:paraId="64DF9D24">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textAlignment w:val="auto"/>
        <w:rPr>
          <w:rFonts w:hint="eastAsia" w:ascii="Arial" w:hAnsi="Arial" w:eastAsia="宋体" w:cs="Arial"/>
          <w:kern w:val="0"/>
          <w:sz w:val="26"/>
          <w:szCs w:val="26"/>
          <w:lang w:val="en-US" w:eastAsia="zh-CN" w:bidi="ar-SA"/>
        </w:rPr>
      </w:pPr>
    </w:p>
    <w:p w14:paraId="4F3C34CE">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 xml:space="preserve">（3）声环境 </w:t>
      </w:r>
    </w:p>
    <w:p w14:paraId="112E03D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color w:val="auto"/>
          <w:sz w:val="26"/>
          <w:szCs w:val="26"/>
          <w:lang w:val="en-US" w:eastAsia="zh-CN"/>
        </w:rPr>
      </w:pPr>
      <w:r>
        <w:rPr>
          <w:rFonts w:hint="eastAsia" w:ascii="Arial" w:hAnsi="Arial" w:cs="Arial"/>
          <w:color w:val="auto"/>
          <w:sz w:val="26"/>
          <w:szCs w:val="26"/>
          <w:lang w:val="fr-FR" w:eastAsia="zh-CN"/>
        </w:rPr>
        <w:t>根据《丰都县声环境功能区划调整方案》（丰都府办发〔</w:t>
      </w:r>
      <w:r>
        <w:rPr>
          <w:rFonts w:hint="eastAsia" w:ascii="Arial" w:hAnsi="Arial" w:cs="Arial"/>
          <w:color w:val="auto"/>
          <w:sz w:val="26"/>
          <w:szCs w:val="26"/>
          <w:lang w:val="en-US" w:eastAsia="zh-CN"/>
        </w:rPr>
        <w:t>2023</w:t>
      </w:r>
      <w:r>
        <w:rPr>
          <w:rFonts w:hint="eastAsia" w:ascii="Arial" w:hAnsi="Arial" w:cs="Arial"/>
          <w:color w:val="auto"/>
          <w:sz w:val="26"/>
          <w:szCs w:val="26"/>
          <w:lang w:val="fr-FR" w:eastAsia="zh-CN"/>
        </w:rPr>
        <w:t>〕</w:t>
      </w:r>
      <w:r>
        <w:rPr>
          <w:rFonts w:hint="eastAsia" w:ascii="Arial" w:hAnsi="Arial" w:cs="Arial"/>
          <w:color w:val="auto"/>
          <w:sz w:val="26"/>
          <w:szCs w:val="26"/>
          <w:lang w:val="en-US" w:eastAsia="zh-CN"/>
        </w:rPr>
        <w:t>23号），本项目枢纽工程选址位于双龙镇田家山村，属于乡村区域，为一类功能区，执行《声环境质量标准》（GB3096-2008）中1类标准。输水管线沿线分布有交通干线，为二类功能区，执行《声环境质量标准》（GB3096-2008）中2类标准。详见表1.5-3所示。</w:t>
      </w:r>
    </w:p>
    <w:p w14:paraId="3EE41E21">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3</w:t>
      </w:r>
      <w:r>
        <w:rPr>
          <w:rFonts w:hint="eastAsia" w:ascii="Arial" w:hAnsi="Arial" w:eastAsia="宋体" w:cs="Arial"/>
          <w:b/>
          <w:bCs/>
          <w:color w:val="000000"/>
          <w:kern w:val="0"/>
          <w:sz w:val="26"/>
          <w:szCs w:val="26"/>
          <w:lang w:val="en-US" w:eastAsia="zh-CN" w:bidi="ar-SA"/>
        </w:rPr>
        <w:t xml:space="preserve">  声环境质量标准   单位：dB（A）</w:t>
      </w:r>
    </w:p>
    <w:tbl>
      <w:tblPr>
        <w:tblStyle w:val="77"/>
        <w:tblW w:w="487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98"/>
        <w:gridCol w:w="2458"/>
        <w:gridCol w:w="2634"/>
        <w:gridCol w:w="2629"/>
      </w:tblGrid>
      <w:tr w14:paraId="68234C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1" w:hRule="atLeast"/>
          <w:tblHeader/>
          <w:jc w:val="center"/>
        </w:trPr>
        <w:tc>
          <w:tcPr>
            <w:tcW w:w="623" w:type="pct"/>
            <w:vMerge w:val="restart"/>
            <w:tcBorders>
              <w:bottom w:val="single" w:color="000000" w:sz="4" w:space="0"/>
              <w:right w:val="single" w:color="000000" w:sz="4" w:space="0"/>
            </w:tcBorders>
            <w:shd w:val="clear" w:color="auto" w:fill="auto"/>
            <w:noWrap w:val="0"/>
            <w:vAlign w:val="center"/>
          </w:tcPr>
          <w:p w14:paraId="71E14DEE">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eastAsia="宋体" w:cs="Arial"/>
                <w:sz w:val="22"/>
                <w:szCs w:val="22"/>
                <w:lang w:eastAsia="zh-CN"/>
              </w:rPr>
            </w:pPr>
            <w:r>
              <w:rPr>
                <w:rFonts w:hint="eastAsia" w:ascii="Arial" w:hAnsi="Arial" w:cs="Arial"/>
                <w:sz w:val="22"/>
                <w:szCs w:val="22"/>
                <w:lang w:eastAsia="zh-CN"/>
              </w:rPr>
              <w:t>声环境功能类别</w:t>
            </w:r>
          </w:p>
        </w:tc>
        <w:tc>
          <w:tcPr>
            <w:tcW w:w="2886" w:type="pct"/>
            <w:gridSpan w:val="2"/>
            <w:tcBorders>
              <w:left w:val="single" w:color="000000" w:sz="4" w:space="0"/>
              <w:bottom w:val="single" w:color="000000" w:sz="4" w:space="0"/>
              <w:right w:val="single" w:color="000000" w:sz="4" w:space="0"/>
            </w:tcBorders>
            <w:shd w:val="clear" w:color="auto" w:fill="auto"/>
            <w:noWrap w:val="0"/>
            <w:vAlign w:val="center"/>
          </w:tcPr>
          <w:p w14:paraId="3E24765F">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rPr>
            </w:pPr>
            <w:r>
              <w:rPr>
                <w:rFonts w:hint="eastAsia" w:ascii="Arial" w:hAnsi="Arial" w:eastAsia="宋体" w:cs="Arial"/>
                <w:sz w:val="22"/>
                <w:szCs w:val="22"/>
                <w:lang w:eastAsia="zh-CN"/>
              </w:rPr>
              <w:t>标准限值</w:t>
            </w:r>
          </w:p>
        </w:tc>
        <w:tc>
          <w:tcPr>
            <w:tcW w:w="1490" w:type="pct"/>
            <w:vMerge w:val="restart"/>
            <w:tcBorders>
              <w:left w:val="single" w:color="000000" w:sz="4" w:space="0"/>
              <w:right w:val="single" w:color="000000" w:sz="12" w:space="0"/>
            </w:tcBorders>
            <w:shd w:val="clear" w:color="auto" w:fill="auto"/>
            <w:noWrap w:val="0"/>
            <w:vAlign w:val="center"/>
          </w:tcPr>
          <w:p w14:paraId="2CDEFA41">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eastAsia="宋体" w:cs="Arial"/>
                <w:sz w:val="22"/>
                <w:szCs w:val="22"/>
                <w:lang w:eastAsia="zh-CN"/>
              </w:rPr>
            </w:pPr>
            <w:r>
              <w:rPr>
                <w:rFonts w:hint="eastAsia" w:ascii="Arial" w:hAnsi="Arial" w:cs="Arial"/>
                <w:sz w:val="22"/>
                <w:szCs w:val="22"/>
                <w:lang w:eastAsia="zh-CN"/>
              </w:rPr>
              <w:t>标准名称</w:t>
            </w:r>
          </w:p>
        </w:tc>
      </w:tr>
      <w:tr w14:paraId="2853B0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9" w:hRule="atLeast"/>
          <w:tblHeader/>
          <w:jc w:val="center"/>
        </w:trPr>
        <w:tc>
          <w:tcPr>
            <w:tcW w:w="623" w:type="pct"/>
            <w:vMerge w:val="continue"/>
            <w:tcBorders>
              <w:top w:val="single" w:color="000000" w:sz="4" w:space="0"/>
              <w:bottom w:val="single" w:color="000000" w:sz="4" w:space="0"/>
              <w:right w:val="single" w:color="000000" w:sz="4" w:space="0"/>
            </w:tcBorders>
            <w:shd w:val="clear" w:color="auto" w:fill="auto"/>
            <w:noWrap w:val="0"/>
            <w:vAlign w:val="center"/>
          </w:tcPr>
          <w:p w14:paraId="2B2BBD4B">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cs="Arial"/>
                <w:sz w:val="22"/>
                <w:szCs w:val="22"/>
                <w:lang w:eastAsia="zh-CN"/>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E03A1">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eastAsia="宋体" w:cs="Arial"/>
                <w:sz w:val="22"/>
                <w:szCs w:val="22"/>
                <w:lang w:val="en-US" w:eastAsia="zh-CN"/>
              </w:rPr>
            </w:pPr>
            <w:r>
              <w:rPr>
                <w:rFonts w:hint="eastAsia" w:ascii="Arial" w:hAnsi="Arial" w:eastAsia="宋体" w:cs="Arial"/>
                <w:sz w:val="22"/>
                <w:szCs w:val="22"/>
                <w:lang w:eastAsia="zh-CN"/>
              </w:rPr>
              <w:t>昼间</w:t>
            </w:r>
          </w:p>
        </w:tc>
        <w:tc>
          <w:tcPr>
            <w:tcW w:w="149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58517">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eastAsia="宋体" w:cs="Arial"/>
                <w:sz w:val="22"/>
                <w:szCs w:val="22"/>
                <w:lang w:eastAsia="zh-CN"/>
              </w:rPr>
            </w:pPr>
            <w:r>
              <w:rPr>
                <w:rFonts w:hint="eastAsia" w:ascii="Arial" w:hAnsi="Arial" w:cs="Arial"/>
                <w:sz w:val="22"/>
                <w:szCs w:val="22"/>
                <w:lang w:eastAsia="zh-CN"/>
              </w:rPr>
              <w:t>夜间</w:t>
            </w:r>
          </w:p>
        </w:tc>
        <w:tc>
          <w:tcPr>
            <w:tcW w:w="1490" w:type="pct"/>
            <w:vMerge w:val="continue"/>
            <w:tcBorders>
              <w:left w:val="single" w:color="000000" w:sz="4" w:space="0"/>
              <w:bottom w:val="single" w:color="000000" w:sz="4" w:space="0"/>
              <w:right w:val="single" w:color="000000" w:sz="12" w:space="0"/>
            </w:tcBorders>
            <w:shd w:val="clear" w:color="auto" w:fill="auto"/>
            <w:noWrap w:val="0"/>
            <w:vAlign w:val="center"/>
          </w:tcPr>
          <w:p w14:paraId="66A76F06">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rPr>
            </w:pPr>
          </w:p>
        </w:tc>
      </w:tr>
      <w:tr w14:paraId="3380FD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tblHeader/>
          <w:jc w:val="center"/>
        </w:trPr>
        <w:tc>
          <w:tcPr>
            <w:tcW w:w="623" w:type="pct"/>
            <w:tcBorders>
              <w:top w:val="single" w:color="000000" w:sz="4" w:space="0"/>
              <w:bottom w:val="single" w:color="000000" w:sz="4" w:space="0"/>
              <w:right w:val="single" w:color="000000" w:sz="4" w:space="0"/>
            </w:tcBorders>
            <w:shd w:val="clear" w:color="auto" w:fill="auto"/>
            <w:noWrap w:val="0"/>
            <w:vAlign w:val="center"/>
          </w:tcPr>
          <w:p w14:paraId="30CAB029">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1类</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D988C">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55</w:t>
            </w:r>
          </w:p>
        </w:tc>
        <w:tc>
          <w:tcPr>
            <w:tcW w:w="149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C413B">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45</w:t>
            </w:r>
          </w:p>
        </w:tc>
        <w:tc>
          <w:tcPr>
            <w:tcW w:w="1490" w:type="pct"/>
            <w:vMerge w:val="restart"/>
            <w:tcBorders>
              <w:top w:val="single" w:color="000000" w:sz="4" w:space="0"/>
              <w:left w:val="single" w:color="000000" w:sz="4" w:space="0"/>
              <w:right w:val="single" w:color="000000" w:sz="12" w:space="0"/>
            </w:tcBorders>
            <w:shd w:val="clear" w:color="auto" w:fill="auto"/>
            <w:noWrap w:val="0"/>
            <w:vAlign w:val="center"/>
          </w:tcPr>
          <w:p w14:paraId="37AACC74">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eastAsia="zh-CN"/>
              </w:rPr>
              <w:t>《声环境质量标准》（</w:t>
            </w:r>
            <w:r>
              <w:rPr>
                <w:rFonts w:hint="eastAsia" w:ascii="Arial" w:hAnsi="Arial" w:cs="Arial"/>
                <w:sz w:val="22"/>
                <w:szCs w:val="22"/>
                <w:lang w:val="en-US" w:eastAsia="zh-CN"/>
              </w:rPr>
              <w:t>GB3096-2008）</w:t>
            </w:r>
          </w:p>
        </w:tc>
      </w:tr>
      <w:tr w14:paraId="1E77A0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tblHeader/>
          <w:jc w:val="center"/>
        </w:trPr>
        <w:tc>
          <w:tcPr>
            <w:tcW w:w="623" w:type="pct"/>
            <w:tcBorders>
              <w:top w:val="single" w:color="000000" w:sz="4" w:space="0"/>
              <w:bottom w:val="single" w:color="000000" w:sz="4" w:space="0"/>
              <w:right w:val="single" w:color="000000" w:sz="4" w:space="0"/>
            </w:tcBorders>
            <w:shd w:val="clear" w:color="auto" w:fill="auto"/>
            <w:noWrap w:val="0"/>
            <w:vAlign w:val="center"/>
          </w:tcPr>
          <w:p w14:paraId="165A1E55">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2类</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76143">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60</w:t>
            </w:r>
          </w:p>
        </w:tc>
        <w:tc>
          <w:tcPr>
            <w:tcW w:w="149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3A084">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50</w:t>
            </w:r>
          </w:p>
        </w:tc>
        <w:tc>
          <w:tcPr>
            <w:tcW w:w="1490" w:type="pct"/>
            <w:vMerge w:val="continue"/>
            <w:tcBorders>
              <w:left w:val="single" w:color="000000" w:sz="4" w:space="0"/>
              <w:right w:val="single" w:color="000000" w:sz="12" w:space="0"/>
            </w:tcBorders>
            <w:shd w:val="clear" w:color="auto" w:fill="auto"/>
            <w:noWrap w:val="0"/>
            <w:vAlign w:val="center"/>
          </w:tcPr>
          <w:p w14:paraId="4DEABD22">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cs="Arial"/>
                <w:sz w:val="22"/>
                <w:szCs w:val="22"/>
                <w:lang w:eastAsia="zh-CN"/>
              </w:rPr>
            </w:pPr>
          </w:p>
        </w:tc>
      </w:tr>
    </w:tbl>
    <w:p w14:paraId="54178FC8">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sz w:val="26"/>
          <w:szCs w:val="26"/>
          <w:lang w:eastAsia="zh-CN"/>
        </w:rPr>
      </w:pPr>
    </w:p>
    <w:p w14:paraId="2D7F6E9D">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（4）</w:t>
      </w:r>
      <w:r>
        <w:rPr>
          <w:rFonts w:hint="eastAsia" w:ascii="Arial" w:hAnsi="Arial" w:cs="Arial"/>
          <w:b/>
          <w:bCs/>
          <w:kern w:val="0"/>
          <w:sz w:val="26"/>
          <w:szCs w:val="26"/>
          <w:lang w:val="en-US" w:eastAsia="zh-CN" w:bidi="ar-SA"/>
        </w:rPr>
        <w:t>地下水</w:t>
      </w:r>
      <w:r>
        <w:rPr>
          <w:rFonts w:hint="eastAsia" w:ascii="Arial" w:hAnsi="Arial" w:eastAsia="宋体" w:cs="Arial"/>
          <w:b/>
          <w:bCs/>
          <w:kern w:val="0"/>
          <w:sz w:val="26"/>
          <w:szCs w:val="26"/>
          <w:lang w:val="en-US" w:eastAsia="zh-CN" w:bidi="ar-SA"/>
        </w:rPr>
        <w:t xml:space="preserve"> </w:t>
      </w:r>
    </w:p>
    <w:p w14:paraId="014DCCA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default" w:ascii="Arial" w:hAnsi="Arial" w:eastAsia="宋体" w:cs="Arial"/>
          <w:sz w:val="26"/>
          <w:szCs w:val="26"/>
          <w:lang w:val="en-US" w:eastAsia="zh-CN"/>
        </w:rPr>
        <w:t>根据《环境影响评价技术导则</w:t>
      </w:r>
      <w:r>
        <w:rPr>
          <w:rFonts w:hint="eastAsia" w:ascii="Arial" w:hAnsi="Arial" w:cs="Arial"/>
          <w:sz w:val="26"/>
          <w:szCs w:val="26"/>
          <w:lang w:val="en-US" w:eastAsia="zh-CN"/>
        </w:rPr>
        <w:t xml:space="preserve"> </w:t>
      </w:r>
      <w:r>
        <w:rPr>
          <w:rFonts w:hint="default" w:ascii="Arial" w:hAnsi="Arial" w:eastAsia="宋体" w:cs="Arial"/>
          <w:sz w:val="26"/>
          <w:szCs w:val="26"/>
          <w:lang w:val="en-US" w:eastAsia="zh-CN"/>
        </w:rPr>
        <w:t>地下水环境》</w:t>
      </w:r>
      <w:r>
        <w:rPr>
          <w:rFonts w:hint="eastAsia" w:ascii="Arial" w:hAnsi="Arial" w:cs="Arial"/>
          <w:sz w:val="26"/>
          <w:szCs w:val="26"/>
          <w:lang w:val="en-US" w:eastAsia="zh-CN"/>
        </w:rPr>
        <w:t>（</w:t>
      </w:r>
      <w:r>
        <w:rPr>
          <w:rFonts w:hint="default" w:ascii="Arial" w:hAnsi="Arial" w:eastAsia="宋体" w:cs="Arial"/>
          <w:sz w:val="26"/>
          <w:szCs w:val="26"/>
          <w:lang w:val="en-US" w:eastAsia="zh-CN"/>
        </w:rPr>
        <w:t>HJ 610-2016</w:t>
      </w:r>
      <w:r>
        <w:rPr>
          <w:rFonts w:hint="eastAsia" w:ascii="Arial" w:hAnsi="Arial" w:cs="Arial"/>
          <w:sz w:val="26"/>
          <w:szCs w:val="26"/>
          <w:lang w:val="en-US" w:eastAsia="zh-CN"/>
        </w:rPr>
        <w:t>）</w:t>
      </w:r>
      <w:r>
        <w:rPr>
          <w:rFonts w:hint="default" w:ascii="Arial" w:hAnsi="Arial" w:eastAsia="宋体" w:cs="Arial"/>
          <w:sz w:val="26"/>
          <w:szCs w:val="26"/>
          <w:lang w:val="en-US" w:eastAsia="zh-CN"/>
        </w:rPr>
        <w:t>和《地下水质量标准》</w:t>
      </w:r>
      <w:r>
        <w:rPr>
          <w:rFonts w:hint="eastAsia" w:ascii="Arial" w:hAnsi="Arial" w:cs="Arial"/>
          <w:sz w:val="26"/>
          <w:szCs w:val="26"/>
          <w:lang w:val="en-US" w:eastAsia="zh-CN"/>
        </w:rPr>
        <w:t>（</w:t>
      </w:r>
      <w:r>
        <w:rPr>
          <w:rFonts w:hint="default" w:ascii="Arial" w:hAnsi="Arial" w:eastAsia="宋体" w:cs="Arial"/>
          <w:sz w:val="26"/>
          <w:szCs w:val="26"/>
          <w:lang w:val="en-US" w:eastAsia="zh-CN"/>
        </w:rPr>
        <w:t>GB/T14848-2017</w:t>
      </w:r>
      <w:r>
        <w:rPr>
          <w:rFonts w:hint="eastAsia" w:ascii="Arial" w:hAnsi="Arial" w:cs="Arial"/>
          <w:sz w:val="26"/>
          <w:szCs w:val="26"/>
          <w:lang w:val="en-US" w:eastAsia="zh-CN"/>
        </w:rPr>
        <w:t>），</w:t>
      </w:r>
      <w:r>
        <w:rPr>
          <w:rFonts w:hint="default" w:ascii="Arial" w:hAnsi="Arial" w:eastAsia="宋体" w:cs="Arial"/>
          <w:sz w:val="26"/>
          <w:szCs w:val="26"/>
          <w:lang w:val="en-US" w:eastAsia="zh-CN"/>
        </w:rPr>
        <w:t>拟建项目地下水执行地下水质量分类指标Ⅲ类指标。</w:t>
      </w:r>
      <w:r>
        <w:rPr>
          <w:rFonts w:hint="eastAsia" w:ascii="Arial" w:hAnsi="Arial" w:cs="Arial"/>
          <w:sz w:val="26"/>
          <w:szCs w:val="26"/>
          <w:lang w:val="en-US" w:eastAsia="zh-CN"/>
        </w:rPr>
        <w:t>详见表1.5-4所示。</w:t>
      </w:r>
    </w:p>
    <w:p w14:paraId="2C75C2C4">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4</w:t>
      </w:r>
      <w:r>
        <w:rPr>
          <w:rFonts w:hint="eastAsia" w:ascii="Arial" w:hAnsi="Arial" w:eastAsia="宋体" w:cs="Arial"/>
          <w:b/>
          <w:bCs/>
          <w:color w:val="000000"/>
          <w:kern w:val="0"/>
          <w:sz w:val="26"/>
          <w:szCs w:val="26"/>
          <w:lang w:val="en-US" w:eastAsia="zh-CN" w:bidi="ar-SA"/>
        </w:rPr>
        <w:t xml:space="preserve"> </w:t>
      </w:r>
      <w:r>
        <w:rPr>
          <w:rFonts w:hint="eastAsia" w:ascii="Arial" w:hAnsi="Arial" w:cs="Arial"/>
          <w:b/>
          <w:bCs/>
          <w:color w:val="000000"/>
          <w:kern w:val="0"/>
          <w:sz w:val="26"/>
          <w:szCs w:val="26"/>
          <w:lang w:val="en-US" w:eastAsia="zh-CN" w:bidi="ar-SA"/>
        </w:rPr>
        <w:t xml:space="preserve"> 地下水质量</w:t>
      </w:r>
      <w:r>
        <w:rPr>
          <w:rFonts w:hint="eastAsia" w:ascii="Arial" w:hAnsi="Arial" w:eastAsia="宋体" w:cs="Arial"/>
          <w:b/>
          <w:bCs/>
          <w:color w:val="000000"/>
          <w:kern w:val="0"/>
          <w:sz w:val="26"/>
          <w:szCs w:val="26"/>
          <w:lang w:val="en-US" w:eastAsia="zh-CN" w:bidi="ar-SA"/>
        </w:rPr>
        <w:t>标准   单位：</w:t>
      </w:r>
      <w:r>
        <w:rPr>
          <w:rFonts w:hint="eastAsia" w:ascii="Arial" w:hAnsi="Arial" w:cs="Arial"/>
          <w:b/>
          <w:bCs/>
          <w:color w:val="000000"/>
          <w:kern w:val="0"/>
          <w:sz w:val="26"/>
          <w:szCs w:val="26"/>
          <w:lang w:val="en-US" w:eastAsia="zh-CN" w:bidi="ar-SA"/>
        </w:rPr>
        <w:t>mg/L</w:t>
      </w:r>
    </w:p>
    <w:tbl>
      <w:tblPr>
        <w:tblStyle w:val="189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3"/>
        <w:gridCol w:w="3696"/>
        <w:gridCol w:w="3731"/>
      </w:tblGrid>
      <w:tr w14:paraId="09004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573" w:type="dxa"/>
            <w:vAlign w:val="center"/>
          </w:tcPr>
          <w:p w14:paraId="243F198F">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序号</w:t>
            </w:r>
          </w:p>
        </w:tc>
        <w:tc>
          <w:tcPr>
            <w:tcW w:w="3696" w:type="dxa"/>
            <w:vAlign w:val="center"/>
          </w:tcPr>
          <w:p w14:paraId="4C6E740A">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污染物</w:t>
            </w:r>
          </w:p>
        </w:tc>
        <w:tc>
          <w:tcPr>
            <w:tcW w:w="3731" w:type="dxa"/>
            <w:vAlign w:val="center"/>
          </w:tcPr>
          <w:p w14:paraId="0EE223CB">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Ⅲ类指标</w:t>
            </w:r>
          </w:p>
        </w:tc>
      </w:tr>
      <w:tr w14:paraId="2CB5E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1573" w:type="dxa"/>
            <w:vAlign w:val="center"/>
          </w:tcPr>
          <w:p w14:paraId="1F60B85E">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outlineLvl w:val="1"/>
              <w:rPr>
                <w:rFonts w:hint="default" w:ascii="Arial" w:hAnsi="Arial" w:cs="Arial"/>
                <w:sz w:val="22"/>
                <w:szCs w:val="22"/>
              </w:rPr>
            </w:pPr>
            <w:r>
              <w:rPr>
                <w:rFonts w:hint="default" w:ascii="Arial" w:hAnsi="Arial" w:cs="Arial"/>
                <w:sz w:val="22"/>
                <w:szCs w:val="22"/>
              </w:rPr>
              <w:t>1</w:t>
            </w:r>
          </w:p>
        </w:tc>
        <w:tc>
          <w:tcPr>
            <w:tcW w:w="3696" w:type="dxa"/>
            <w:vAlign w:val="center"/>
          </w:tcPr>
          <w:p w14:paraId="2D3DCC6A">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pH</w:t>
            </w:r>
          </w:p>
        </w:tc>
        <w:tc>
          <w:tcPr>
            <w:tcW w:w="3731" w:type="dxa"/>
            <w:vAlign w:val="center"/>
          </w:tcPr>
          <w:p w14:paraId="11430A2C">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6.5~～8.5</w:t>
            </w:r>
          </w:p>
        </w:tc>
      </w:tr>
      <w:tr w14:paraId="79F71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61F2B0CF">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2</w:t>
            </w:r>
          </w:p>
        </w:tc>
        <w:tc>
          <w:tcPr>
            <w:tcW w:w="3696" w:type="dxa"/>
            <w:vAlign w:val="center"/>
          </w:tcPr>
          <w:p w14:paraId="4E918F5F">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硝酸盐</w:t>
            </w:r>
          </w:p>
        </w:tc>
        <w:tc>
          <w:tcPr>
            <w:tcW w:w="3731" w:type="dxa"/>
            <w:vAlign w:val="center"/>
          </w:tcPr>
          <w:p w14:paraId="711B1403">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20</w:t>
            </w:r>
          </w:p>
        </w:tc>
      </w:tr>
      <w:tr w14:paraId="2C5F7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39513FFE">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3</w:t>
            </w:r>
          </w:p>
        </w:tc>
        <w:tc>
          <w:tcPr>
            <w:tcW w:w="3696" w:type="dxa"/>
            <w:vAlign w:val="center"/>
          </w:tcPr>
          <w:p w14:paraId="6B2C5C72">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氯化物</w:t>
            </w:r>
          </w:p>
        </w:tc>
        <w:tc>
          <w:tcPr>
            <w:tcW w:w="3731" w:type="dxa"/>
            <w:vAlign w:val="center"/>
          </w:tcPr>
          <w:p w14:paraId="34911AAC">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5"/>
                <w:sz w:val="22"/>
                <w:szCs w:val="22"/>
              </w:rPr>
              <w:t>250</w:t>
            </w:r>
          </w:p>
        </w:tc>
      </w:tr>
      <w:tr w14:paraId="29BF2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573" w:type="dxa"/>
            <w:vAlign w:val="center"/>
          </w:tcPr>
          <w:p w14:paraId="5B670956">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4</w:t>
            </w:r>
          </w:p>
        </w:tc>
        <w:tc>
          <w:tcPr>
            <w:tcW w:w="3696" w:type="dxa"/>
            <w:vAlign w:val="center"/>
          </w:tcPr>
          <w:p w14:paraId="4D7EF9A6">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硫酸盐</w:t>
            </w:r>
          </w:p>
        </w:tc>
        <w:tc>
          <w:tcPr>
            <w:tcW w:w="3731" w:type="dxa"/>
            <w:vAlign w:val="center"/>
          </w:tcPr>
          <w:p w14:paraId="3F2C7256">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宋体" w:hAnsi="宋体" w:eastAsia="宋体" w:cs="宋体"/>
                <w:spacing w:val="-3"/>
                <w:sz w:val="22"/>
                <w:szCs w:val="22"/>
              </w:rPr>
              <w:t>&lt;</w:t>
            </w:r>
            <w:r>
              <w:rPr>
                <w:rFonts w:hint="default" w:ascii="Arial" w:hAnsi="Arial" w:cs="Arial"/>
                <w:spacing w:val="-3"/>
                <w:sz w:val="22"/>
                <w:szCs w:val="22"/>
              </w:rPr>
              <w:t>250</w:t>
            </w:r>
          </w:p>
        </w:tc>
      </w:tr>
      <w:tr w14:paraId="49BE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573" w:type="dxa"/>
            <w:vAlign w:val="center"/>
          </w:tcPr>
          <w:p w14:paraId="56EFFC69">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5</w:t>
            </w:r>
          </w:p>
        </w:tc>
        <w:tc>
          <w:tcPr>
            <w:tcW w:w="3696" w:type="dxa"/>
            <w:vAlign w:val="center"/>
          </w:tcPr>
          <w:p w14:paraId="459EFFAD">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氨氮</w:t>
            </w:r>
          </w:p>
        </w:tc>
        <w:tc>
          <w:tcPr>
            <w:tcW w:w="3731" w:type="dxa"/>
            <w:vAlign w:val="center"/>
          </w:tcPr>
          <w:p w14:paraId="2D429722">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0.5</w:t>
            </w:r>
          </w:p>
        </w:tc>
      </w:tr>
      <w:tr w14:paraId="156F2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327A0391">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6</w:t>
            </w:r>
          </w:p>
        </w:tc>
        <w:tc>
          <w:tcPr>
            <w:tcW w:w="3696" w:type="dxa"/>
            <w:vAlign w:val="center"/>
          </w:tcPr>
          <w:p w14:paraId="3C3F1133">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总大肠菌群</w:t>
            </w:r>
          </w:p>
        </w:tc>
        <w:tc>
          <w:tcPr>
            <w:tcW w:w="3731" w:type="dxa"/>
            <w:vAlign w:val="center"/>
          </w:tcPr>
          <w:p w14:paraId="11252925">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4"/>
                <w:sz w:val="22"/>
                <w:szCs w:val="22"/>
                <w:lang w:eastAsia="zh-CN"/>
              </w:rPr>
              <w:t>≤</w:t>
            </w:r>
            <w:r>
              <w:rPr>
                <w:rFonts w:hint="default" w:ascii="Arial" w:hAnsi="Arial" w:cs="Arial"/>
                <w:spacing w:val="4"/>
                <w:sz w:val="22"/>
                <w:szCs w:val="22"/>
              </w:rPr>
              <w:t>3.0</w:t>
            </w:r>
            <w:r>
              <w:rPr>
                <w:rFonts w:hint="eastAsia" w:ascii="宋体" w:hAnsi="宋体" w:eastAsia="宋体" w:cs="宋体"/>
                <w:spacing w:val="4"/>
                <w:sz w:val="22"/>
                <w:szCs w:val="22"/>
              </w:rPr>
              <w:t>(</w:t>
            </w:r>
            <w:r>
              <w:rPr>
                <w:rFonts w:hint="default" w:ascii="Arial" w:hAnsi="Arial" w:cs="Arial"/>
                <w:spacing w:val="4"/>
                <w:sz w:val="22"/>
                <w:szCs w:val="22"/>
              </w:rPr>
              <w:t>个/L</w:t>
            </w:r>
            <w:r>
              <w:rPr>
                <w:rFonts w:hint="eastAsia" w:ascii="宋体" w:hAnsi="宋体" w:eastAsia="宋体" w:cs="宋体"/>
                <w:spacing w:val="4"/>
                <w:sz w:val="22"/>
                <w:szCs w:val="22"/>
              </w:rPr>
              <w:t>)</w:t>
            </w:r>
          </w:p>
        </w:tc>
      </w:tr>
      <w:tr w14:paraId="1A449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4D20D8C0">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7</w:t>
            </w:r>
          </w:p>
        </w:tc>
        <w:tc>
          <w:tcPr>
            <w:tcW w:w="3696" w:type="dxa"/>
            <w:vAlign w:val="center"/>
          </w:tcPr>
          <w:p w14:paraId="4D859DB7">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高锰酸盐指数</w:t>
            </w:r>
          </w:p>
        </w:tc>
        <w:tc>
          <w:tcPr>
            <w:tcW w:w="3731" w:type="dxa"/>
            <w:vAlign w:val="center"/>
          </w:tcPr>
          <w:p w14:paraId="221353D5">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3.0</w:t>
            </w:r>
          </w:p>
        </w:tc>
      </w:tr>
      <w:tr w14:paraId="0D55D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573" w:type="dxa"/>
            <w:vAlign w:val="center"/>
          </w:tcPr>
          <w:p w14:paraId="025A2DFA">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8</w:t>
            </w:r>
          </w:p>
        </w:tc>
        <w:tc>
          <w:tcPr>
            <w:tcW w:w="3696" w:type="dxa"/>
            <w:vAlign w:val="center"/>
          </w:tcPr>
          <w:p w14:paraId="43BF916A">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总硬度</w:t>
            </w:r>
          </w:p>
        </w:tc>
        <w:tc>
          <w:tcPr>
            <w:tcW w:w="3731" w:type="dxa"/>
            <w:vAlign w:val="center"/>
          </w:tcPr>
          <w:p w14:paraId="76162E0D">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5"/>
                <w:sz w:val="22"/>
                <w:szCs w:val="22"/>
                <w:lang w:eastAsia="zh-CN"/>
              </w:rPr>
              <w:t>≤</w:t>
            </w:r>
            <w:r>
              <w:rPr>
                <w:rFonts w:hint="default" w:ascii="Arial" w:hAnsi="Arial" w:cs="Arial"/>
                <w:spacing w:val="-5"/>
                <w:sz w:val="22"/>
                <w:szCs w:val="22"/>
              </w:rPr>
              <w:t>450</w:t>
            </w:r>
          </w:p>
        </w:tc>
      </w:tr>
      <w:tr w14:paraId="389BD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573" w:type="dxa"/>
            <w:vAlign w:val="center"/>
          </w:tcPr>
          <w:p w14:paraId="48229BB4">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9</w:t>
            </w:r>
          </w:p>
        </w:tc>
        <w:tc>
          <w:tcPr>
            <w:tcW w:w="3696" w:type="dxa"/>
            <w:vAlign w:val="center"/>
          </w:tcPr>
          <w:p w14:paraId="0742EBCC">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亚硝酸盐</w:t>
            </w:r>
          </w:p>
        </w:tc>
        <w:tc>
          <w:tcPr>
            <w:tcW w:w="3731" w:type="dxa"/>
            <w:vAlign w:val="center"/>
          </w:tcPr>
          <w:p w14:paraId="62F0F57C">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2"/>
                <w:sz w:val="22"/>
                <w:szCs w:val="22"/>
                <w:lang w:eastAsia="zh-CN"/>
              </w:rPr>
              <w:t>≤</w:t>
            </w:r>
            <w:r>
              <w:rPr>
                <w:rFonts w:hint="default" w:ascii="Arial" w:hAnsi="Arial" w:cs="Arial"/>
                <w:spacing w:val="-2"/>
                <w:sz w:val="22"/>
                <w:szCs w:val="22"/>
              </w:rPr>
              <w:t>1.00</w:t>
            </w:r>
          </w:p>
        </w:tc>
      </w:tr>
      <w:tr w14:paraId="1536D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7F01C8A3">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10</w:t>
            </w:r>
          </w:p>
        </w:tc>
        <w:tc>
          <w:tcPr>
            <w:tcW w:w="3696" w:type="dxa"/>
            <w:vAlign w:val="center"/>
          </w:tcPr>
          <w:p w14:paraId="76E809D8">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铁</w:t>
            </w:r>
          </w:p>
        </w:tc>
        <w:tc>
          <w:tcPr>
            <w:tcW w:w="3731" w:type="dxa"/>
            <w:vAlign w:val="center"/>
          </w:tcPr>
          <w:p w14:paraId="57B3B33E">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0.3</w:t>
            </w:r>
          </w:p>
        </w:tc>
      </w:tr>
      <w:tr w14:paraId="7FA21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09B833B1">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11</w:t>
            </w:r>
          </w:p>
        </w:tc>
        <w:tc>
          <w:tcPr>
            <w:tcW w:w="3696" w:type="dxa"/>
            <w:vAlign w:val="center"/>
          </w:tcPr>
          <w:p w14:paraId="0ACEBD98">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锰</w:t>
            </w:r>
          </w:p>
        </w:tc>
        <w:tc>
          <w:tcPr>
            <w:tcW w:w="3731" w:type="dxa"/>
            <w:vAlign w:val="center"/>
          </w:tcPr>
          <w:p w14:paraId="5FB9D12D">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2"/>
                <w:sz w:val="22"/>
                <w:szCs w:val="22"/>
                <w:lang w:eastAsia="zh-CN"/>
              </w:rPr>
              <w:t>≤</w:t>
            </w:r>
            <w:r>
              <w:rPr>
                <w:rFonts w:hint="default" w:ascii="Arial" w:hAnsi="Arial" w:cs="Arial"/>
                <w:spacing w:val="-2"/>
                <w:sz w:val="22"/>
                <w:szCs w:val="22"/>
              </w:rPr>
              <w:t>0.10</w:t>
            </w:r>
          </w:p>
        </w:tc>
      </w:tr>
      <w:tr w14:paraId="59679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573" w:type="dxa"/>
            <w:vAlign w:val="center"/>
          </w:tcPr>
          <w:p w14:paraId="13BEBD37">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12</w:t>
            </w:r>
          </w:p>
        </w:tc>
        <w:tc>
          <w:tcPr>
            <w:tcW w:w="3696" w:type="dxa"/>
            <w:vAlign w:val="center"/>
          </w:tcPr>
          <w:p w14:paraId="25BA2A98">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溶解性总固体</w:t>
            </w:r>
          </w:p>
        </w:tc>
        <w:tc>
          <w:tcPr>
            <w:tcW w:w="3731" w:type="dxa"/>
            <w:vAlign w:val="center"/>
          </w:tcPr>
          <w:p w14:paraId="281C0D84">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&lt;1000</w:t>
            </w:r>
          </w:p>
        </w:tc>
      </w:tr>
    </w:tbl>
    <w:p w14:paraId="3E48C4C6">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eastAsia="宋体" w:cs="Arial"/>
          <w:sz w:val="26"/>
          <w:szCs w:val="26"/>
          <w:lang w:val="en-US" w:eastAsia="zh-CN"/>
        </w:rPr>
      </w:pPr>
    </w:p>
    <w:p w14:paraId="5683F977">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w:t>
      </w:r>
      <w:r>
        <w:rPr>
          <w:rFonts w:hint="eastAsia" w:ascii="Arial" w:hAnsi="Arial" w:cs="Arial"/>
          <w:b/>
          <w:bCs/>
          <w:kern w:val="0"/>
          <w:sz w:val="26"/>
          <w:szCs w:val="26"/>
          <w:lang w:val="en-US" w:eastAsia="zh-CN" w:bidi="ar-SA"/>
        </w:rPr>
        <w:t>5</w:t>
      </w:r>
      <w:r>
        <w:rPr>
          <w:rFonts w:hint="eastAsia" w:ascii="Arial" w:hAnsi="Arial" w:eastAsia="宋体" w:cs="Arial"/>
          <w:b/>
          <w:bCs/>
          <w:kern w:val="0"/>
          <w:sz w:val="26"/>
          <w:szCs w:val="26"/>
          <w:lang w:val="en-US" w:eastAsia="zh-CN" w:bidi="ar-SA"/>
        </w:rPr>
        <w:t>）</w:t>
      </w:r>
      <w:r>
        <w:rPr>
          <w:rFonts w:hint="eastAsia" w:ascii="Arial" w:hAnsi="Arial" w:cs="Arial"/>
          <w:b/>
          <w:bCs/>
          <w:kern w:val="0"/>
          <w:sz w:val="26"/>
          <w:szCs w:val="26"/>
          <w:lang w:val="en-US" w:eastAsia="zh-CN" w:bidi="ar-SA"/>
        </w:rPr>
        <w:t>土壤环境</w:t>
      </w:r>
      <w:r>
        <w:rPr>
          <w:rFonts w:hint="eastAsia" w:ascii="Arial" w:hAnsi="Arial" w:eastAsia="宋体" w:cs="Arial"/>
          <w:b/>
          <w:bCs/>
          <w:kern w:val="0"/>
          <w:sz w:val="26"/>
          <w:szCs w:val="26"/>
          <w:lang w:val="en-US" w:eastAsia="zh-CN" w:bidi="ar-SA"/>
        </w:rPr>
        <w:t xml:space="preserve"> </w:t>
      </w:r>
    </w:p>
    <w:p w14:paraId="15228FF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eastAsia" w:ascii="Arial" w:hAnsi="Arial" w:eastAsia="宋体" w:cs="Arial"/>
          <w:sz w:val="26"/>
          <w:szCs w:val="26"/>
          <w:lang w:val="en-US" w:eastAsia="zh-CN"/>
        </w:rPr>
        <w:t>本项目所在地现状为农用地，且未开工建设，故土壤环境执行《土壤环境质量</w:t>
      </w:r>
      <w:r>
        <w:rPr>
          <w:rFonts w:hint="eastAsia" w:ascii="Arial" w:hAnsi="Arial" w:cs="Arial"/>
          <w:sz w:val="26"/>
          <w:szCs w:val="26"/>
          <w:lang w:val="en-US" w:eastAsia="zh-CN"/>
        </w:rPr>
        <w:t xml:space="preserve"> </w:t>
      </w:r>
      <w:r>
        <w:rPr>
          <w:rFonts w:hint="eastAsia" w:ascii="Arial" w:hAnsi="Arial" w:eastAsia="宋体" w:cs="Arial"/>
          <w:sz w:val="26"/>
          <w:szCs w:val="26"/>
          <w:lang w:val="en-US" w:eastAsia="zh-CN"/>
        </w:rPr>
        <w:t>农用地土壤污染风险管控标准</w:t>
      </w:r>
      <w:r>
        <w:rPr>
          <w:rFonts w:hint="eastAsia" w:ascii="宋体" w:hAnsi="宋体" w:eastAsia="宋体" w:cs="宋体"/>
          <w:sz w:val="26"/>
          <w:szCs w:val="26"/>
          <w:lang w:val="en-US" w:eastAsia="zh-CN"/>
        </w:rPr>
        <w:t>(试行)》(</w:t>
      </w:r>
      <w:r>
        <w:rPr>
          <w:rFonts w:hint="eastAsia" w:ascii="Arial" w:hAnsi="Arial" w:eastAsia="宋体" w:cs="Arial"/>
          <w:sz w:val="26"/>
          <w:szCs w:val="26"/>
          <w:lang w:val="en-US" w:eastAsia="zh-CN"/>
        </w:rPr>
        <w:t>GB15618-2018</w:t>
      </w:r>
      <w:r>
        <w:rPr>
          <w:rFonts w:hint="eastAsia" w:ascii="宋体" w:hAnsi="宋体" w:eastAsia="宋体" w:cs="宋体"/>
          <w:sz w:val="26"/>
          <w:szCs w:val="26"/>
          <w:lang w:val="en-US" w:eastAsia="zh-CN"/>
        </w:rPr>
        <w:t>)</w:t>
      </w:r>
      <w:r>
        <w:rPr>
          <w:rFonts w:hint="eastAsia" w:ascii="Arial" w:hAnsi="Arial" w:eastAsia="宋体" w:cs="Arial"/>
          <w:sz w:val="26"/>
          <w:szCs w:val="26"/>
          <w:lang w:val="en-US" w:eastAsia="zh-CN"/>
        </w:rPr>
        <w:t>表1</w:t>
      </w:r>
      <w:r>
        <w:rPr>
          <w:rFonts w:hint="eastAsia" w:ascii="Arial" w:hAnsi="Arial" w:cs="Arial"/>
          <w:sz w:val="26"/>
          <w:szCs w:val="26"/>
          <w:lang w:val="en-US" w:eastAsia="zh-CN"/>
        </w:rPr>
        <w:t>中</w:t>
      </w:r>
      <w:r>
        <w:rPr>
          <w:rFonts w:hint="eastAsia" w:ascii="Arial" w:hAnsi="Arial" w:eastAsia="宋体" w:cs="Arial"/>
          <w:sz w:val="26"/>
          <w:szCs w:val="26"/>
          <w:lang w:val="en-US" w:eastAsia="zh-CN"/>
        </w:rPr>
        <w:t>风险筛选值</w:t>
      </w:r>
      <w:r>
        <w:rPr>
          <w:rFonts w:hint="eastAsia" w:ascii="Arial" w:hAnsi="Arial" w:cs="Arial"/>
          <w:sz w:val="26"/>
          <w:szCs w:val="26"/>
          <w:lang w:val="en-US" w:eastAsia="zh-CN"/>
        </w:rPr>
        <w:t>。</w:t>
      </w:r>
      <w:r>
        <w:rPr>
          <w:rFonts w:hint="eastAsia" w:ascii="Arial" w:hAnsi="Arial" w:eastAsia="宋体" w:cs="Arial"/>
          <w:sz w:val="26"/>
          <w:szCs w:val="26"/>
          <w:lang w:val="en-US" w:eastAsia="zh-CN"/>
        </w:rPr>
        <w:t>标准限值详见表1.5-</w:t>
      </w:r>
      <w:r>
        <w:rPr>
          <w:rFonts w:hint="eastAsia" w:ascii="Arial" w:hAnsi="Arial" w:cs="Arial"/>
          <w:sz w:val="26"/>
          <w:szCs w:val="26"/>
          <w:lang w:val="en-US" w:eastAsia="zh-CN"/>
        </w:rPr>
        <w:t>5</w:t>
      </w:r>
      <w:r>
        <w:rPr>
          <w:rFonts w:hint="eastAsia" w:ascii="Arial" w:hAnsi="Arial" w:eastAsia="宋体" w:cs="Arial"/>
          <w:sz w:val="26"/>
          <w:szCs w:val="26"/>
          <w:lang w:val="en-US" w:eastAsia="zh-CN"/>
        </w:rPr>
        <w:t>所示。</w:t>
      </w:r>
    </w:p>
    <w:p w14:paraId="26E61EB0">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sz w:val="26"/>
          <w:szCs w:val="26"/>
          <w:lang w:val="en-US" w:eastAsia="zh-CN"/>
        </w:rPr>
      </w:pPr>
    </w:p>
    <w:p w14:paraId="0643AAC9">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sz w:val="26"/>
          <w:szCs w:val="26"/>
          <w:lang w:val="en-US" w:eastAsia="zh-CN"/>
        </w:rPr>
      </w:pPr>
    </w:p>
    <w:p w14:paraId="7F09574B">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b/>
          <w:bCs/>
          <w:color w:val="000000"/>
          <w:kern w:val="0"/>
          <w:sz w:val="26"/>
          <w:szCs w:val="26"/>
          <w:lang w:val="en-US" w:eastAsia="zh-CN" w:bidi="ar-SA"/>
        </w:rPr>
      </w:pPr>
      <w:r>
        <w:rPr>
          <w:rFonts w:hint="default" w:ascii="Arial" w:hAnsi="Arial" w:eastAsia="宋体" w:cs="Arial"/>
          <w:sz w:val="26"/>
          <w:szCs w:val="26"/>
          <w:lang w:val="en-US" w:eastAsia="zh-CN"/>
        </w:rPr>
        <w:t xml:space="preserve"> </w:t>
      </w: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5 土壤环境质量</w:t>
      </w:r>
      <w:r>
        <w:rPr>
          <w:rFonts w:hint="eastAsia" w:ascii="Arial" w:hAnsi="Arial" w:eastAsia="宋体" w:cs="Arial"/>
          <w:b/>
          <w:bCs/>
          <w:color w:val="000000"/>
          <w:kern w:val="0"/>
          <w:sz w:val="26"/>
          <w:szCs w:val="26"/>
          <w:lang w:val="en-US" w:eastAsia="zh-CN" w:bidi="ar-SA"/>
        </w:rPr>
        <w:t>标准   单位：</w:t>
      </w:r>
      <w:r>
        <w:rPr>
          <w:rFonts w:hint="eastAsia" w:ascii="Arial" w:hAnsi="Arial" w:cs="Arial"/>
          <w:b/>
          <w:bCs/>
          <w:color w:val="000000"/>
          <w:kern w:val="0"/>
          <w:sz w:val="26"/>
          <w:szCs w:val="26"/>
          <w:lang w:val="en-US" w:eastAsia="zh-CN" w:bidi="ar-SA"/>
        </w:rPr>
        <w:t>mg/kg</w:t>
      </w:r>
    </w:p>
    <w:tbl>
      <w:tblPr>
        <w:tblStyle w:val="1893"/>
        <w:tblW w:w="8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929"/>
        <w:gridCol w:w="1678"/>
        <w:gridCol w:w="1109"/>
        <w:gridCol w:w="1688"/>
        <w:gridCol w:w="1628"/>
        <w:gridCol w:w="1124"/>
      </w:tblGrid>
      <w:tr w14:paraId="166C1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834" w:type="dxa"/>
            <w:vMerge w:val="restart"/>
            <w:tcBorders>
              <w:bottom w:val="nil"/>
            </w:tcBorders>
            <w:vAlign w:val="center"/>
          </w:tcPr>
          <w:p w14:paraId="324A4B6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序号</w:t>
            </w:r>
          </w:p>
        </w:tc>
        <w:tc>
          <w:tcPr>
            <w:tcW w:w="2607" w:type="dxa"/>
            <w:gridSpan w:val="2"/>
            <w:vMerge w:val="restart"/>
            <w:tcBorders>
              <w:bottom w:val="nil"/>
            </w:tcBorders>
            <w:vAlign w:val="center"/>
          </w:tcPr>
          <w:p w14:paraId="2520A90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7"/>
                <w:sz w:val="22"/>
                <w:szCs w:val="22"/>
              </w:rPr>
              <w:t>污染物项目</w:t>
            </w:r>
          </w:p>
        </w:tc>
        <w:tc>
          <w:tcPr>
            <w:tcW w:w="5549" w:type="dxa"/>
            <w:gridSpan w:val="4"/>
            <w:vAlign w:val="center"/>
          </w:tcPr>
          <w:p w14:paraId="7B48E26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风险筛选值</w:t>
            </w:r>
          </w:p>
        </w:tc>
      </w:tr>
      <w:tr w14:paraId="6EEF1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834" w:type="dxa"/>
            <w:vMerge w:val="continue"/>
            <w:tcBorders>
              <w:top w:val="nil"/>
            </w:tcBorders>
            <w:vAlign w:val="center"/>
          </w:tcPr>
          <w:p w14:paraId="2C759A35">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2607" w:type="dxa"/>
            <w:gridSpan w:val="2"/>
            <w:vMerge w:val="continue"/>
            <w:tcBorders>
              <w:top w:val="nil"/>
            </w:tcBorders>
            <w:vAlign w:val="center"/>
          </w:tcPr>
          <w:p w14:paraId="6EBBE0BB">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109" w:type="dxa"/>
            <w:vAlign w:val="center"/>
          </w:tcPr>
          <w:p w14:paraId="5BAA1E4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pH</w:t>
            </w:r>
            <w:r>
              <w:rPr>
                <w:rFonts w:hint="eastAsia" w:ascii="Arial" w:hAnsi="Arial" w:cs="Arial"/>
                <w:spacing w:val="-1"/>
                <w:sz w:val="22"/>
                <w:szCs w:val="22"/>
                <w:lang w:eastAsia="zh-CN"/>
              </w:rPr>
              <w:t>≤</w:t>
            </w:r>
            <w:r>
              <w:rPr>
                <w:rFonts w:hint="default" w:ascii="Arial" w:hAnsi="Arial" w:cs="Arial"/>
                <w:spacing w:val="-1"/>
                <w:sz w:val="22"/>
                <w:szCs w:val="22"/>
              </w:rPr>
              <w:t>5.5</w:t>
            </w:r>
          </w:p>
        </w:tc>
        <w:tc>
          <w:tcPr>
            <w:tcW w:w="1688" w:type="dxa"/>
            <w:vAlign w:val="center"/>
          </w:tcPr>
          <w:p w14:paraId="5177EB3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5.5&lt;pH</w:t>
            </w:r>
            <w:r>
              <w:rPr>
                <w:rFonts w:hint="eastAsia" w:ascii="Arial" w:hAnsi="Arial" w:cs="Arial"/>
                <w:spacing w:val="-2"/>
                <w:sz w:val="22"/>
                <w:szCs w:val="22"/>
                <w:lang w:eastAsia="zh-CN"/>
              </w:rPr>
              <w:t>≤</w:t>
            </w:r>
            <w:r>
              <w:rPr>
                <w:rFonts w:hint="default" w:ascii="Arial" w:hAnsi="Arial" w:cs="Arial"/>
                <w:spacing w:val="-2"/>
                <w:sz w:val="22"/>
                <w:szCs w:val="22"/>
              </w:rPr>
              <w:t>6.5</w:t>
            </w:r>
          </w:p>
        </w:tc>
        <w:tc>
          <w:tcPr>
            <w:tcW w:w="1628" w:type="dxa"/>
            <w:vAlign w:val="center"/>
          </w:tcPr>
          <w:p w14:paraId="343580D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6.5&lt;pH</w:t>
            </w:r>
            <w:r>
              <w:rPr>
                <w:rFonts w:hint="eastAsia" w:ascii="Arial" w:hAnsi="Arial" w:cs="Arial"/>
                <w:spacing w:val="-1"/>
                <w:sz w:val="22"/>
                <w:szCs w:val="22"/>
                <w:lang w:eastAsia="zh-CN"/>
              </w:rPr>
              <w:t>≤</w:t>
            </w:r>
            <w:r>
              <w:rPr>
                <w:rFonts w:hint="default" w:ascii="Arial" w:hAnsi="Arial" w:cs="Arial"/>
                <w:spacing w:val="-1"/>
                <w:sz w:val="22"/>
                <w:szCs w:val="22"/>
              </w:rPr>
              <w:t>7.5</w:t>
            </w:r>
          </w:p>
        </w:tc>
        <w:tc>
          <w:tcPr>
            <w:tcW w:w="1124" w:type="dxa"/>
            <w:vAlign w:val="center"/>
          </w:tcPr>
          <w:p w14:paraId="51A7DB5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pH&gt;7.5</w:t>
            </w:r>
          </w:p>
        </w:tc>
      </w:tr>
      <w:tr w14:paraId="6A385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34" w:type="dxa"/>
            <w:vMerge w:val="restart"/>
            <w:tcBorders>
              <w:bottom w:val="nil"/>
            </w:tcBorders>
            <w:vAlign w:val="center"/>
          </w:tcPr>
          <w:p w14:paraId="4039DE1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1</w:t>
            </w:r>
          </w:p>
        </w:tc>
        <w:tc>
          <w:tcPr>
            <w:tcW w:w="929" w:type="dxa"/>
            <w:vMerge w:val="restart"/>
            <w:tcBorders>
              <w:bottom w:val="nil"/>
            </w:tcBorders>
            <w:vAlign w:val="center"/>
          </w:tcPr>
          <w:p w14:paraId="4B7C8B1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镉</w:t>
            </w:r>
          </w:p>
        </w:tc>
        <w:tc>
          <w:tcPr>
            <w:tcW w:w="1678" w:type="dxa"/>
            <w:vAlign w:val="center"/>
          </w:tcPr>
          <w:p w14:paraId="1B9192A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4FC4C6F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0.3</w:t>
            </w:r>
          </w:p>
        </w:tc>
        <w:tc>
          <w:tcPr>
            <w:tcW w:w="1688" w:type="dxa"/>
            <w:vAlign w:val="center"/>
          </w:tcPr>
          <w:p w14:paraId="694B6B3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0.4</w:t>
            </w:r>
          </w:p>
        </w:tc>
        <w:tc>
          <w:tcPr>
            <w:tcW w:w="1628" w:type="dxa"/>
            <w:vAlign w:val="center"/>
          </w:tcPr>
          <w:p w14:paraId="31D3FBE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0.6</w:t>
            </w:r>
          </w:p>
        </w:tc>
        <w:tc>
          <w:tcPr>
            <w:tcW w:w="1124" w:type="dxa"/>
            <w:vAlign w:val="center"/>
          </w:tcPr>
          <w:p w14:paraId="3F42189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0.8</w:t>
            </w:r>
          </w:p>
        </w:tc>
      </w:tr>
      <w:tr w14:paraId="6FCE8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continue"/>
            <w:tcBorders>
              <w:top w:val="nil"/>
            </w:tcBorders>
            <w:vAlign w:val="center"/>
          </w:tcPr>
          <w:p w14:paraId="619DABBE">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711CC024">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1716550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5583C02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0.3</w:t>
            </w:r>
          </w:p>
        </w:tc>
        <w:tc>
          <w:tcPr>
            <w:tcW w:w="1688" w:type="dxa"/>
            <w:vAlign w:val="center"/>
          </w:tcPr>
          <w:p w14:paraId="61DBF2B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0.3</w:t>
            </w:r>
          </w:p>
        </w:tc>
        <w:tc>
          <w:tcPr>
            <w:tcW w:w="1628" w:type="dxa"/>
            <w:vAlign w:val="center"/>
          </w:tcPr>
          <w:p w14:paraId="6E66B97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0.3</w:t>
            </w:r>
          </w:p>
        </w:tc>
        <w:tc>
          <w:tcPr>
            <w:tcW w:w="1124" w:type="dxa"/>
            <w:vAlign w:val="center"/>
          </w:tcPr>
          <w:p w14:paraId="4AC0817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0.6</w:t>
            </w:r>
          </w:p>
        </w:tc>
      </w:tr>
      <w:tr w14:paraId="5572B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834" w:type="dxa"/>
            <w:vMerge w:val="restart"/>
            <w:tcBorders>
              <w:bottom w:val="nil"/>
            </w:tcBorders>
            <w:vAlign w:val="center"/>
          </w:tcPr>
          <w:p w14:paraId="5884D74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2</w:t>
            </w:r>
          </w:p>
        </w:tc>
        <w:tc>
          <w:tcPr>
            <w:tcW w:w="929" w:type="dxa"/>
            <w:vMerge w:val="restart"/>
            <w:tcBorders>
              <w:bottom w:val="nil"/>
            </w:tcBorders>
            <w:vAlign w:val="center"/>
          </w:tcPr>
          <w:p w14:paraId="550E342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汞</w:t>
            </w:r>
          </w:p>
        </w:tc>
        <w:tc>
          <w:tcPr>
            <w:tcW w:w="1678" w:type="dxa"/>
            <w:vAlign w:val="center"/>
          </w:tcPr>
          <w:p w14:paraId="1276B9E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7C5AF3D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0.5</w:t>
            </w:r>
          </w:p>
        </w:tc>
        <w:tc>
          <w:tcPr>
            <w:tcW w:w="1688" w:type="dxa"/>
            <w:vAlign w:val="center"/>
          </w:tcPr>
          <w:p w14:paraId="5496ABD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0.5</w:t>
            </w:r>
          </w:p>
        </w:tc>
        <w:tc>
          <w:tcPr>
            <w:tcW w:w="1628" w:type="dxa"/>
            <w:vAlign w:val="center"/>
          </w:tcPr>
          <w:p w14:paraId="7C10E21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0.6</w:t>
            </w:r>
          </w:p>
        </w:tc>
        <w:tc>
          <w:tcPr>
            <w:tcW w:w="1124" w:type="dxa"/>
            <w:vAlign w:val="center"/>
          </w:tcPr>
          <w:p w14:paraId="1A37659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w:t>
            </w:r>
          </w:p>
        </w:tc>
      </w:tr>
      <w:tr w14:paraId="3CF94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34" w:type="dxa"/>
            <w:vMerge w:val="continue"/>
            <w:tcBorders>
              <w:top w:val="nil"/>
            </w:tcBorders>
            <w:vAlign w:val="center"/>
          </w:tcPr>
          <w:p w14:paraId="0814FEA6">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14E17342">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5F2DEA6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63022C6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1.3</w:t>
            </w:r>
          </w:p>
        </w:tc>
        <w:tc>
          <w:tcPr>
            <w:tcW w:w="1688" w:type="dxa"/>
            <w:vAlign w:val="center"/>
          </w:tcPr>
          <w:p w14:paraId="3DE3606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1.8</w:t>
            </w:r>
          </w:p>
        </w:tc>
        <w:tc>
          <w:tcPr>
            <w:tcW w:w="1628" w:type="dxa"/>
            <w:vAlign w:val="center"/>
          </w:tcPr>
          <w:p w14:paraId="674C2E0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2.4</w:t>
            </w:r>
          </w:p>
        </w:tc>
        <w:tc>
          <w:tcPr>
            <w:tcW w:w="1124" w:type="dxa"/>
            <w:vAlign w:val="center"/>
          </w:tcPr>
          <w:p w14:paraId="3A03DAB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3.4</w:t>
            </w:r>
          </w:p>
        </w:tc>
      </w:tr>
      <w:tr w14:paraId="73696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restart"/>
            <w:tcBorders>
              <w:bottom w:val="nil"/>
            </w:tcBorders>
            <w:vAlign w:val="center"/>
          </w:tcPr>
          <w:p w14:paraId="4FDE121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3</w:t>
            </w:r>
          </w:p>
        </w:tc>
        <w:tc>
          <w:tcPr>
            <w:tcW w:w="929" w:type="dxa"/>
            <w:vMerge w:val="restart"/>
            <w:tcBorders>
              <w:bottom w:val="nil"/>
            </w:tcBorders>
            <w:vAlign w:val="center"/>
          </w:tcPr>
          <w:p w14:paraId="502FF12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砷</w:t>
            </w:r>
          </w:p>
        </w:tc>
        <w:tc>
          <w:tcPr>
            <w:tcW w:w="1678" w:type="dxa"/>
            <w:vAlign w:val="center"/>
          </w:tcPr>
          <w:p w14:paraId="3E49279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715372B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w:t>
            </w:r>
          </w:p>
        </w:tc>
        <w:tc>
          <w:tcPr>
            <w:tcW w:w="1688" w:type="dxa"/>
            <w:vAlign w:val="center"/>
          </w:tcPr>
          <w:p w14:paraId="20C22D3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w:t>
            </w:r>
          </w:p>
        </w:tc>
        <w:tc>
          <w:tcPr>
            <w:tcW w:w="1628" w:type="dxa"/>
            <w:vAlign w:val="center"/>
          </w:tcPr>
          <w:p w14:paraId="466B9BC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w:t>
            </w:r>
          </w:p>
        </w:tc>
        <w:tc>
          <w:tcPr>
            <w:tcW w:w="1124" w:type="dxa"/>
            <w:vAlign w:val="center"/>
          </w:tcPr>
          <w:p w14:paraId="370AFFB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w:t>
            </w:r>
          </w:p>
        </w:tc>
      </w:tr>
      <w:tr w14:paraId="29A0B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834" w:type="dxa"/>
            <w:vMerge w:val="continue"/>
            <w:tcBorders>
              <w:top w:val="nil"/>
            </w:tcBorders>
            <w:vAlign w:val="center"/>
          </w:tcPr>
          <w:p w14:paraId="4C8C13E2">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501738A3">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7522011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2550481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40</w:t>
            </w:r>
          </w:p>
        </w:tc>
        <w:tc>
          <w:tcPr>
            <w:tcW w:w="1688" w:type="dxa"/>
            <w:vAlign w:val="center"/>
          </w:tcPr>
          <w:p w14:paraId="18355C2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40</w:t>
            </w:r>
          </w:p>
        </w:tc>
        <w:tc>
          <w:tcPr>
            <w:tcW w:w="1628" w:type="dxa"/>
            <w:vAlign w:val="center"/>
          </w:tcPr>
          <w:p w14:paraId="7DE8C5E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w:t>
            </w:r>
          </w:p>
        </w:tc>
        <w:tc>
          <w:tcPr>
            <w:tcW w:w="1124" w:type="dxa"/>
            <w:vAlign w:val="center"/>
          </w:tcPr>
          <w:p w14:paraId="6C0DD3D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w:t>
            </w:r>
          </w:p>
        </w:tc>
      </w:tr>
      <w:tr w14:paraId="44130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restart"/>
            <w:tcBorders>
              <w:bottom w:val="nil"/>
            </w:tcBorders>
            <w:vAlign w:val="center"/>
          </w:tcPr>
          <w:p w14:paraId="3C6A6A3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4</w:t>
            </w:r>
          </w:p>
        </w:tc>
        <w:tc>
          <w:tcPr>
            <w:tcW w:w="929" w:type="dxa"/>
            <w:vMerge w:val="restart"/>
            <w:tcBorders>
              <w:bottom w:val="nil"/>
            </w:tcBorders>
            <w:vAlign w:val="center"/>
          </w:tcPr>
          <w:p w14:paraId="04970A6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铅</w:t>
            </w:r>
          </w:p>
        </w:tc>
        <w:tc>
          <w:tcPr>
            <w:tcW w:w="1678" w:type="dxa"/>
            <w:vAlign w:val="center"/>
          </w:tcPr>
          <w:p w14:paraId="3E0AC6B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56496E4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80</w:t>
            </w:r>
          </w:p>
        </w:tc>
        <w:tc>
          <w:tcPr>
            <w:tcW w:w="1688" w:type="dxa"/>
            <w:vAlign w:val="center"/>
          </w:tcPr>
          <w:p w14:paraId="2E66422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100</w:t>
            </w:r>
          </w:p>
        </w:tc>
        <w:tc>
          <w:tcPr>
            <w:tcW w:w="1628" w:type="dxa"/>
            <w:vAlign w:val="center"/>
          </w:tcPr>
          <w:p w14:paraId="7906C83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140</w:t>
            </w:r>
          </w:p>
        </w:tc>
        <w:tc>
          <w:tcPr>
            <w:tcW w:w="1124" w:type="dxa"/>
            <w:vAlign w:val="center"/>
          </w:tcPr>
          <w:p w14:paraId="585E6C3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240</w:t>
            </w:r>
          </w:p>
        </w:tc>
      </w:tr>
      <w:tr w14:paraId="7A9C2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34" w:type="dxa"/>
            <w:vMerge w:val="continue"/>
            <w:tcBorders>
              <w:top w:val="nil"/>
            </w:tcBorders>
            <w:vAlign w:val="center"/>
          </w:tcPr>
          <w:p w14:paraId="6AD56963">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29A53255">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3201488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1CC7F73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70</w:t>
            </w:r>
          </w:p>
        </w:tc>
        <w:tc>
          <w:tcPr>
            <w:tcW w:w="1688" w:type="dxa"/>
            <w:vAlign w:val="center"/>
          </w:tcPr>
          <w:p w14:paraId="3075F59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90</w:t>
            </w:r>
          </w:p>
        </w:tc>
        <w:tc>
          <w:tcPr>
            <w:tcW w:w="1628" w:type="dxa"/>
            <w:vAlign w:val="center"/>
          </w:tcPr>
          <w:p w14:paraId="5ADACD7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120</w:t>
            </w:r>
          </w:p>
        </w:tc>
        <w:tc>
          <w:tcPr>
            <w:tcW w:w="1124" w:type="dxa"/>
            <w:vAlign w:val="center"/>
          </w:tcPr>
          <w:p w14:paraId="00EB43E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170</w:t>
            </w:r>
          </w:p>
        </w:tc>
      </w:tr>
      <w:tr w14:paraId="10C42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restart"/>
            <w:tcBorders>
              <w:bottom w:val="nil"/>
            </w:tcBorders>
            <w:vAlign w:val="center"/>
          </w:tcPr>
          <w:p w14:paraId="5E8B296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5</w:t>
            </w:r>
          </w:p>
        </w:tc>
        <w:tc>
          <w:tcPr>
            <w:tcW w:w="929" w:type="dxa"/>
            <w:vMerge w:val="restart"/>
            <w:tcBorders>
              <w:bottom w:val="nil"/>
            </w:tcBorders>
            <w:vAlign w:val="center"/>
          </w:tcPr>
          <w:p w14:paraId="607B3B4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铬</w:t>
            </w:r>
          </w:p>
        </w:tc>
        <w:tc>
          <w:tcPr>
            <w:tcW w:w="1678" w:type="dxa"/>
            <w:vAlign w:val="center"/>
          </w:tcPr>
          <w:p w14:paraId="0912790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044F5B0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250</w:t>
            </w:r>
          </w:p>
        </w:tc>
        <w:tc>
          <w:tcPr>
            <w:tcW w:w="1688" w:type="dxa"/>
            <w:vAlign w:val="center"/>
          </w:tcPr>
          <w:p w14:paraId="751E6B4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250</w:t>
            </w:r>
          </w:p>
        </w:tc>
        <w:tc>
          <w:tcPr>
            <w:tcW w:w="1628" w:type="dxa"/>
            <w:vAlign w:val="center"/>
          </w:tcPr>
          <w:p w14:paraId="77F5881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300</w:t>
            </w:r>
          </w:p>
        </w:tc>
        <w:tc>
          <w:tcPr>
            <w:tcW w:w="1124" w:type="dxa"/>
            <w:vAlign w:val="center"/>
          </w:tcPr>
          <w:p w14:paraId="01BDE54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350</w:t>
            </w:r>
          </w:p>
        </w:tc>
      </w:tr>
      <w:tr w14:paraId="560BC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continue"/>
            <w:tcBorders>
              <w:top w:val="nil"/>
            </w:tcBorders>
            <w:vAlign w:val="center"/>
          </w:tcPr>
          <w:p w14:paraId="7767E8B6">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0FD93C5E">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6D03391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2464C08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150</w:t>
            </w:r>
          </w:p>
        </w:tc>
        <w:tc>
          <w:tcPr>
            <w:tcW w:w="1688" w:type="dxa"/>
            <w:vAlign w:val="center"/>
          </w:tcPr>
          <w:p w14:paraId="2BB6369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150</w:t>
            </w:r>
          </w:p>
        </w:tc>
        <w:tc>
          <w:tcPr>
            <w:tcW w:w="1628" w:type="dxa"/>
            <w:vAlign w:val="center"/>
          </w:tcPr>
          <w:p w14:paraId="110C948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c>
          <w:tcPr>
            <w:tcW w:w="1124" w:type="dxa"/>
            <w:vAlign w:val="center"/>
          </w:tcPr>
          <w:p w14:paraId="4BE0C43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250</w:t>
            </w:r>
          </w:p>
        </w:tc>
      </w:tr>
      <w:tr w14:paraId="0AD06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834" w:type="dxa"/>
            <w:vMerge w:val="restart"/>
            <w:tcBorders>
              <w:bottom w:val="nil"/>
            </w:tcBorders>
            <w:vAlign w:val="center"/>
          </w:tcPr>
          <w:p w14:paraId="2A976A3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6</w:t>
            </w:r>
          </w:p>
        </w:tc>
        <w:tc>
          <w:tcPr>
            <w:tcW w:w="929" w:type="dxa"/>
            <w:vMerge w:val="restart"/>
            <w:tcBorders>
              <w:bottom w:val="nil"/>
            </w:tcBorders>
            <w:vAlign w:val="center"/>
          </w:tcPr>
          <w:p w14:paraId="00AEB97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铜</w:t>
            </w:r>
          </w:p>
        </w:tc>
        <w:tc>
          <w:tcPr>
            <w:tcW w:w="1678" w:type="dxa"/>
            <w:vAlign w:val="center"/>
          </w:tcPr>
          <w:p w14:paraId="0DAC1D6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51BC972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150</w:t>
            </w:r>
          </w:p>
        </w:tc>
        <w:tc>
          <w:tcPr>
            <w:tcW w:w="1688" w:type="dxa"/>
            <w:vAlign w:val="center"/>
          </w:tcPr>
          <w:p w14:paraId="3871000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150</w:t>
            </w:r>
          </w:p>
        </w:tc>
        <w:tc>
          <w:tcPr>
            <w:tcW w:w="1628" w:type="dxa"/>
            <w:vAlign w:val="center"/>
          </w:tcPr>
          <w:p w14:paraId="23E4B05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c>
          <w:tcPr>
            <w:tcW w:w="1124" w:type="dxa"/>
            <w:vAlign w:val="center"/>
          </w:tcPr>
          <w:p w14:paraId="62B2803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r>
      <w:tr w14:paraId="4148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34" w:type="dxa"/>
            <w:vMerge w:val="continue"/>
            <w:tcBorders>
              <w:top w:val="nil"/>
            </w:tcBorders>
            <w:vAlign w:val="center"/>
          </w:tcPr>
          <w:p w14:paraId="137EDA07">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35C3F4F6">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65E9287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1FEC929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50</w:t>
            </w:r>
          </w:p>
        </w:tc>
        <w:tc>
          <w:tcPr>
            <w:tcW w:w="1688" w:type="dxa"/>
            <w:vAlign w:val="center"/>
          </w:tcPr>
          <w:p w14:paraId="07A4666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50</w:t>
            </w:r>
          </w:p>
        </w:tc>
        <w:tc>
          <w:tcPr>
            <w:tcW w:w="1628" w:type="dxa"/>
            <w:vAlign w:val="center"/>
          </w:tcPr>
          <w:p w14:paraId="6E011A2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100</w:t>
            </w:r>
          </w:p>
        </w:tc>
        <w:tc>
          <w:tcPr>
            <w:tcW w:w="1124" w:type="dxa"/>
            <w:vAlign w:val="center"/>
          </w:tcPr>
          <w:p w14:paraId="61B4CBA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100</w:t>
            </w:r>
          </w:p>
        </w:tc>
      </w:tr>
      <w:tr w14:paraId="46516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Align w:val="center"/>
          </w:tcPr>
          <w:p w14:paraId="119AB23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7</w:t>
            </w:r>
          </w:p>
        </w:tc>
        <w:tc>
          <w:tcPr>
            <w:tcW w:w="2607" w:type="dxa"/>
            <w:gridSpan w:val="2"/>
            <w:vAlign w:val="center"/>
          </w:tcPr>
          <w:p w14:paraId="515AB8A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镍</w:t>
            </w:r>
          </w:p>
        </w:tc>
        <w:tc>
          <w:tcPr>
            <w:tcW w:w="1109" w:type="dxa"/>
            <w:vAlign w:val="center"/>
          </w:tcPr>
          <w:p w14:paraId="12440D4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60</w:t>
            </w:r>
          </w:p>
        </w:tc>
        <w:tc>
          <w:tcPr>
            <w:tcW w:w="1688" w:type="dxa"/>
            <w:vAlign w:val="center"/>
          </w:tcPr>
          <w:p w14:paraId="39E6EF6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70</w:t>
            </w:r>
          </w:p>
        </w:tc>
        <w:tc>
          <w:tcPr>
            <w:tcW w:w="1628" w:type="dxa"/>
            <w:vAlign w:val="center"/>
          </w:tcPr>
          <w:p w14:paraId="0917D98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100</w:t>
            </w:r>
          </w:p>
        </w:tc>
        <w:tc>
          <w:tcPr>
            <w:tcW w:w="1124" w:type="dxa"/>
            <w:vAlign w:val="center"/>
          </w:tcPr>
          <w:p w14:paraId="37B51A6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190</w:t>
            </w:r>
          </w:p>
        </w:tc>
      </w:tr>
      <w:tr w14:paraId="29F75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834" w:type="dxa"/>
            <w:vAlign w:val="center"/>
          </w:tcPr>
          <w:p w14:paraId="3E4D97E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8</w:t>
            </w:r>
          </w:p>
        </w:tc>
        <w:tc>
          <w:tcPr>
            <w:tcW w:w="2607" w:type="dxa"/>
            <w:gridSpan w:val="2"/>
            <w:vAlign w:val="center"/>
          </w:tcPr>
          <w:p w14:paraId="3AFC026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锌</w:t>
            </w:r>
          </w:p>
        </w:tc>
        <w:tc>
          <w:tcPr>
            <w:tcW w:w="1109" w:type="dxa"/>
            <w:vAlign w:val="center"/>
          </w:tcPr>
          <w:p w14:paraId="7B01BC5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c>
          <w:tcPr>
            <w:tcW w:w="1688" w:type="dxa"/>
            <w:vAlign w:val="center"/>
          </w:tcPr>
          <w:p w14:paraId="51CAC74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c>
          <w:tcPr>
            <w:tcW w:w="1628" w:type="dxa"/>
            <w:vAlign w:val="center"/>
          </w:tcPr>
          <w:p w14:paraId="6DDB412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250</w:t>
            </w:r>
          </w:p>
        </w:tc>
        <w:tc>
          <w:tcPr>
            <w:tcW w:w="1124" w:type="dxa"/>
            <w:vAlign w:val="center"/>
          </w:tcPr>
          <w:p w14:paraId="2F4A0E7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300</w:t>
            </w:r>
          </w:p>
        </w:tc>
      </w:tr>
      <w:tr w14:paraId="29B60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8990" w:type="dxa"/>
            <w:gridSpan w:val="7"/>
            <w:vAlign w:val="center"/>
          </w:tcPr>
          <w:p w14:paraId="288DC2C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b/>
                <w:bCs/>
                <w:spacing w:val="-2"/>
                <w:sz w:val="22"/>
                <w:szCs w:val="22"/>
              </w:rPr>
              <w:t>注：①重金属和类金属砷均按元素总量计；②对于水旱轮作地，采用其</w:t>
            </w:r>
            <w:r>
              <w:rPr>
                <w:rFonts w:hint="default" w:ascii="Arial" w:hAnsi="Arial" w:cs="Arial"/>
                <w:b/>
                <w:bCs/>
                <w:spacing w:val="-3"/>
                <w:sz w:val="22"/>
                <w:szCs w:val="22"/>
              </w:rPr>
              <w:t>中较严格的风险筛选值。</w:t>
            </w:r>
          </w:p>
        </w:tc>
      </w:tr>
    </w:tbl>
    <w:p w14:paraId="1D02C630">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eastAsia="宋体" w:cs="Arial"/>
          <w:sz w:val="26"/>
          <w:szCs w:val="26"/>
          <w:lang w:eastAsia="zh-CN"/>
        </w:rPr>
      </w:pPr>
    </w:p>
    <w:p w14:paraId="49A5BEAA">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w:t>
      </w:r>
      <w:r>
        <w:rPr>
          <w:rFonts w:hint="eastAsia" w:ascii="Arial" w:hAnsi="Arial" w:cs="Arial"/>
          <w:b/>
          <w:bCs/>
          <w:kern w:val="0"/>
          <w:sz w:val="26"/>
          <w:szCs w:val="26"/>
          <w:lang w:val="en-US" w:eastAsia="zh-CN" w:bidi="ar-SA"/>
        </w:rPr>
        <w:t>6</w:t>
      </w:r>
      <w:r>
        <w:rPr>
          <w:rFonts w:hint="eastAsia" w:ascii="Arial" w:hAnsi="Arial" w:eastAsia="宋体" w:cs="Arial"/>
          <w:b/>
          <w:bCs/>
          <w:kern w:val="0"/>
          <w:sz w:val="26"/>
          <w:szCs w:val="26"/>
          <w:lang w:val="en-US" w:eastAsia="zh-CN" w:bidi="ar-SA"/>
        </w:rPr>
        <w:t>）生态及水土保持</w:t>
      </w:r>
    </w:p>
    <w:p w14:paraId="1961B77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工程区属水力侵蚀为主的西南土石山区，水土保持参照执行《土壤侵蚀分类分级标准》（SL190-2007），标准见表1.</w:t>
      </w:r>
      <w:r>
        <w:rPr>
          <w:rFonts w:hint="eastAsia" w:ascii="Arial" w:hAnsi="Arial" w:cs="Arial"/>
          <w:sz w:val="26"/>
          <w:szCs w:val="26"/>
          <w:lang w:val="en-US" w:eastAsia="zh-CN"/>
        </w:rPr>
        <w:t>5</w:t>
      </w:r>
      <w:r>
        <w:rPr>
          <w:rFonts w:hint="eastAsia" w:ascii="Arial" w:hAnsi="Arial" w:eastAsia="宋体" w:cs="Arial"/>
          <w:sz w:val="26"/>
          <w:szCs w:val="26"/>
          <w:lang w:val="en-US" w:eastAsia="zh-CN"/>
        </w:rPr>
        <w:t>-</w:t>
      </w:r>
      <w:r>
        <w:rPr>
          <w:rFonts w:hint="eastAsia" w:ascii="Arial" w:hAnsi="Arial" w:cs="Arial"/>
          <w:sz w:val="26"/>
          <w:szCs w:val="26"/>
          <w:lang w:val="en-US" w:eastAsia="zh-CN"/>
        </w:rPr>
        <w:t>6</w:t>
      </w:r>
      <w:r>
        <w:rPr>
          <w:rFonts w:hint="eastAsia" w:ascii="Arial" w:hAnsi="Arial" w:eastAsia="宋体" w:cs="Arial"/>
          <w:sz w:val="26"/>
          <w:szCs w:val="26"/>
          <w:lang w:val="en-US" w:eastAsia="zh-CN"/>
        </w:rPr>
        <w:t>。</w:t>
      </w:r>
    </w:p>
    <w:p w14:paraId="39DCED0A">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6</w:t>
      </w:r>
      <w:r>
        <w:rPr>
          <w:rFonts w:hint="eastAsia" w:ascii="Arial" w:hAnsi="Arial" w:eastAsia="宋体" w:cs="Arial"/>
          <w:b/>
          <w:bCs/>
          <w:color w:val="000000"/>
          <w:kern w:val="0"/>
          <w:sz w:val="26"/>
          <w:szCs w:val="26"/>
          <w:lang w:val="en-US" w:eastAsia="zh-CN" w:bidi="ar-SA"/>
        </w:rPr>
        <w:t xml:space="preserve"> 土壤侵蚀强度分级标准表</w:t>
      </w:r>
    </w:p>
    <w:tbl>
      <w:tblPr>
        <w:tblStyle w:val="77"/>
        <w:tblW w:w="84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2"/>
        <w:gridCol w:w="3636"/>
        <w:gridCol w:w="3295"/>
      </w:tblGrid>
      <w:tr w14:paraId="09048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bottom w:val="single" w:color="auto" w:sz="4" w:space="0"/>
              <w:right w:val="single" w:color="auto" w:sz="4" w:space="0"/>
            </w:tcBorders>
            <w:vAlign w:val="center"/>
          </w:tcPr>
          <w:p w14:paraId="3A87835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级  别</w:t>
            </w:r>
          </w:p>
        </w:tc>
        <w:tc>
          <w:tcPr>
            <w:tcW w:w="3636" w:type="dxa"/>
            <w:tcBorders>
              <w:left w:val="single" w:color="auto" w:sz="4" w:space="0"/>
              <w:bottom w:val="single" w:color="auto" w:sz="4" w:space="0"/>
              <w:right w:val="single" w:color="auto" w:sz="4" w:space="0"/>
            </w:tcBorders>
            <w:vAlign w:val="center"/>
          </w:tcPr>
          <w:p w14:paraId="1A3741B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eastAsia="zh-CN"/>
              </w:rPr>
            </w:pPr>
            <w:r>
              <w:rPr>
                <w:rFonts w:hint="default" w:ascii="Arial" w:hAnsi="Arial" w:cs="Arial"/>
                <w:sz w:val="22"/>
                <w:szCs w:val="22"/>
              </w:rPr>
              <w:t>平均侵蚀模数</w:t>
            </w:r>
            <w:r>
              <w:rPr>
                <w:rFonts w:hint="default" w:ascii="Arial" w:hAnsi="Arial" w:cs="Arial"/>
                <w:sz w:val="22"/>
                <w:szCs w:val="22"/>
                <w:lang w:eastAsia="zh-CN"/>
              </w:rPr>
              <w:t>〔</w:t>
            </w:r>
            <w:r>
              <w:rPr>
                <w:rFonts w:hint="default" w:ascii="Arial" w:hAnsi="Arial" w:cs="Arial"/>
                <w:sz w:val="22"/>
                <w:szCs w:val="22"/>
              </w:rPr>
              <w:t>t/</w:t>
            </w:r>
            <w:r>
              <w:rPr>
                <w:rFonts w:hint="default" w:ascii="Arial" w:hAnsi="Arial" w:cs="Arial"/>
                <w:sz w:val="22"/>
                <w:szCs w:val="22"/>
                <w:lang w:eastAsia="zh-CN"/>
              </w:rPr>
              <w:t>（</w:t>
            </w:r>
            <w:r>
              <w:rPr>
                <w:rFonts w:hint="default" w:ascii="Arial" w:hAnsi="Arial" w:cs="Arial"/>
                <w:sz w:val="22"/>
                <w:szCs w:val="22"/>
              </w:rPr>
              <w:t>km</w:t>
            </w:r>
            <w:r>
              <w:rPr>
                <w:rFonts w:hint="default" w:ascii="Arial" w:hAnsi="Arial" w:cs="Arial"/>
                <w:sz w:val="22"/>
                <w:szCs w:val="22"/>
                <w:vertAlign w:val="superscript"/>
              </w:rPr>
              <w:t>2</w:t>
            </w:r>
            <w:r>
              <w:rPr>
                <w:rFonts w:hint="default" w:ascii="Arial" w:hAnsi="Arial" w:cs="Arial"/>
                <w:sz w:val="22"/>
                <w:szCs w:val="22"/>
              </w:rPr>
              <w:t>.a</w:t>
            </w:r>
            <w:r>
              <w:rPr>
                <w:rFonts w:hint="default" w:ascii="Arial" w:hAnsi="Arial" w:cs="Arial"/>
                <w:sz w:val="22"/>
                <w:szCs w:val="22"/>
                <w:lang w:eastAsia="zh-CN"/>
              </w:rPr>
              <w:t>）〕</w:t>
            </w:r>
          </w:p>
        </w:tc>
        <w:tc>
          <w:tcPr>
            <w:tcW w:w="3295" w:type="dxa"/>
            <w:tcBorders>
              <w:left w:val="single" w:color="auto" w:sz="4" w:space="0"/>
              <w:bottom w:val="single" w:color="auto" w:sz="4" w:space="0"/>
            </w:tcBorders>
            <w:vAlign w:val="center"/>
          </w:tcPr>
          <w:p w14:paraId="695D5C9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eastAsia="zh-CN"/>
              </w:rPr>
            </w:pPr>
            <w:r>
              <w:rPr>
                <w:rFonts w:hint="default" w:ascii="Arial" w:hAnsi="Arial" w:cs="Arial"/>
                <w:sz w:val="22"/>
                <w:szCs w:val="22"/>
              </w:rPr>
              <w:t>平均流失厚长度</w:t>
            </w:r>
            <w:r>
              <w:rPr>
                <w:rFonts w:hint="default" w:ascii="Arial" w:hAnsi="Arial" w:cs="Arial"/>
                <w:sz w:val="22"/>
                <w:szCs w:val="22"/>
                <w:lang w:eastAsia="zh-CN"/>
              </w:rPr>
              <w:t>（</w:t>
            </w:r>
            <w:r>
              <w:rPr>
                <w:rFonts w:hint="default" w:ascii="Arial" w:hAnsi="Arial" w:cs="Arial"/>
                <w:sz w:val="22"/>
                <w:szCs w:val="22"/>
              </w:rPr>
              <w:t>mm/a</w:t>
            </w:r>
            <w:r>
              <w:rPr>
                <w:rFonts w:hint="default" w:ascii="Arial" w:hAnsi="Arial" w:cs="Arial"/>
                <w:sz w:val="22"/>
                <w:szCs w:val="22"/>
                <w:lang w:eastAsia="zh-CN"/>
              </w:rPr>
              <w:t>）</w:t>
            </w:r>
          </w:p>
        </w:tc>
      </w:tr>
      <w:tr w14:paraId="24685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4EC51B7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微  度</w:t>
            </w:r>
          </w:p>
        </w:tc>
        <w:tc>
          <w:tcPr>
            <w:tcW w:w="3636" w:type="dxa"/>
            <w:tcBorders>
              <w:top w:val="single" w:color="auto" w:sz="4" w:space="0"/>
              <w:left w:val="single" w:color="auto" w:sz="4" w:space="0"/>
              <w:bottom w:val="single" w:color="auto" w:sz="4" w:space="0"/>
              <w:right w:val="single" w:color="auto" w:sz="4" w:space="0"/>
            </w:tcBorders>
            <w:vAlign w:val="center"/>
          </w:tcPr>
          <w:p w14:paraId="704CF87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&lt;500</w:t>
            </w:r>
          </w:p>
        </w:tc>
        <w:tc>
          <w:tcPr>
            <w:tcW w:w="3295" w:type="dxa"/>
            <w:tcBorders>
              <w:top w:val="single" w:color="auto" w:sz="4" w:space="0"/>
              <w:left w:val="single" w:color="auto" w:sz="4" w:space="0"/>
              <w:bottom w:val="single" w:color="auto" w:sz="4" w:space="0"/>
            </w:tcBorders>
            <w:vAlign w:val="center"/>
          </w:tcPr>
          <w:p w14:paraId="59DBD39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&lt;0.37</w:t>
            </w:r>
          </w:p>
        </w:tc>
      </w:tr>
      <w:tr w14:paraId="646603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6B8DEDB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轻  度</w:t>
            </w:r>
          </w:p>
        </w:tc>
        <w:tc>
          <w:tcPr>
            <w:tcW w:w="3636" w:type="dxa"/>
            <w:tcBorders>
              <w:top w:val="single" w:color="auto" w:sz="4" w:space="0"/>
              <w:left w:val="single" w:color="auto" w:sz="4" w:space="0"/>
              <w:bottom w:val="single" w:color="auto" w:sz="4" w:space="0"/>
              <w:right w:val="single" w:color="auto" w:sz="4" w:space="0"/>
            </w:tcBorders>
            <w:vAlign w:val="center"/>
          </w:tcPr>
          <w:p w14:paraId="3CC5E6A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500-2500</w:t>
            </w:r>
          </w:p>
        </w:tc>
        <w:tc>
          <w:tcPr>
            <w:tcW w:w="3295" w:type="dxa"/>
            <w:tcBorders>
              <w:top w:val="single" w:color="auto" w:sz="4" w:space="0"/>
              <w:left w:val="single" w:color="auto" w:sz="4" w:space="0"/>
              <w:bottom w:val="single" w:color="auto" w:sz="4" w:space="0"/>
            </w:tcBorders>
            <w:vAlign w:val="center"/>
          </w:tcPr>
          <w:p w14:paraId="4636D47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0.37-1.9</w:t>
            </w:r>
          </w:p>
        </w:tc>
      </w:tr>
      <w:tr w14:paraId="2604E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42A18ED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中  度</w:t>
            </w:r>
          </w:p>
        </w:tc>
        <w:tc>
          <w:tcPr>
            <w:tcW w:w="3636" w:type="dxa"/>
            <w:tcBorders>
              <w:top w:val="single" w:color="auto" w:sz="4" w:space="0"/>
              <w:left w:val="single" w:color="auto" w:sz="4" w:space="0"/>
              <w:bottom w:val="single" w:color="auto" w:sz="4" w:space="0"/>
              <w:right w:val="single" w:color="auto" w:sz="4" w:space="0"/>
            </w:tcBorders>
            <w:vAlign w:val="center"/>
          </w:tcPr>
          <w:p w14:paraId="2CA959A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2500-5000</w:t>
            </w:r>
          </w:p>
        </w:tc>
        <w:tc>
          <w:tcPr>
            <w:tcW w:w="3295" w:type="dxa"/>
            <w:tcBorders>
              <w:top w:val="single" w:color="auto" w:sz="4" w:space="0"/>
              <w:left w:val="single" w:color="auto" w:sz="4" w:space="0"/>
              <w:bottom w:val="single" w:color="auto" w:sz="4" w:space="0"/>
            </w:tcBorders>
            <w:vAlign w:val="center"/>
          </w:tcPr>
          <w:p w14:paraId="2CB11A1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1.9-3.7</w:t>
            </w:r>
          </w:p>
        </w:tc>
      </w:tr>
      <w:tr w14:paraId="75A67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5A4A46E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强  烈</w:t>
            </w:r>
          </w:p>
        </w:tc>
        <w:tc>
          <w:tcPr>
            <w:tcW w:w="3636" w:type="dxa"/>
            <w:tcBorders>
              <w:top w:val="single" w:color="auto" w:sz="4" w:space="0"/>
              <w:left w:val="single" w:color="auto" w:sz="4" w:space="0"/>
              <w:bottom w:val="single" w:color="auto" w:sz="4" w:space="0"/>
              <w:right w:val="single" w:color="auto" w:sz="4" w:space="0"/>
            </w:tcBorders>
            <w:vAlign w:val="center"/>
          </w:tcPr>
          <w:p w14:paraId="72F86B0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5000-8000</w:t>
            </w:r>
          </w:p>
        </w:tc>
        <w:tc>
          <w:tcPr>
            <w:tcW w:w="3295" w:type="dxa"/>
            <w:tcBorders>
              <w:top w:val="single" w:color="auto" w:sz="4" w:space="0"/>
              <w:left w:val="single" w:color="auto" w:sz="4" w:space="0"/>
              <w:bottom w:val="single" w:color="auto" w:sz="4" w:space="0"/>
            </w:tcBorders>
            <w:vAlign w:val="center"/>
          </w:tcPr>
          <w:p w14:paraId="398AD0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3.7-0.74</w:t>
            </w:r>
          </w:p>
        </w:tc>
      </w:tr>
      <w:tr w14:paraId="4431F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6F56BB8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极强烈</w:t>
            </w:r>
          </w:p>
        </w:tc>
        <w:tc>
          <w:tcPr>
            <w:tcW w:w="3636" w:type="dxa"/>
            <w:tcBorders>
              <w:top w:val="single" w:color="auto" w:sz="4" w:space="0"/>
              <w:left w:val="single" w:color="auto" w:sz="4" w:space="0"/>
              <w:bottom w:val="single" w:color="auto" w:sz="4" w:space="0"/>
              <w:right w:val="single" w:color="auto" w:sz="4" w:space="0"/>
            </w:tcBorders>
            <w:vAlign w:val="center"/>
          </w:tcPr>
          <w:p w14:paraId="2C051DB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8000-15000</w:t>
            </w:r>
          </w:p>
        </w:tc>
        <w:tc>
          <w:tcPr>
            <w:tcW w:w="3295" w:type="dxa"/>
            <w:tcBorders>
              <w:top w:val="single" w:color="auto" w:sz="4" w:space="0"/>
              <w:left w:val="single" w:color="auto" w:sz="4" w:space="0"/>
              <w:bottom w:val="single" w:color="auto" w:sz="4" w:space="0"/>
            </w:tcBorders>
            <w:vAlign w:val="center"/>
          </w:tcPr>
          <w:p w14:paraId="15A5AD5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5.9-11.1</w:t>
            </w:r>
          </w:p>
        </w:tc>
      </w:tr>
      <w:tr w14:paraId="64896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right w:val="single" w:color="auto" w:sz="4" w:space="0"/>
            </w:tcBorders>
            <w:vAlign w:val="center"/>
          </w:tcPr>
          <w:p w14:paraId="3D2C38B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剧  烈</w:t>
            </w:r>
          </w:p>
        </w:tc>
        <w:tc>
          <w:tcPr>
            <w:tcW w:w="3636" w:type="dxa"/>
            <w:tcBorders>
              <w:top w:val="single" w:color="auto" w:sz="4" w:space="0"/>
              <w:left w:val="single" w:color="auto" w:sz="4" w:space="0"/>
              <w:right w:val="single" w:color="auto" w:sz="4" w:space="0"/>
            </w:tcBorders>
            <w:vAlign w:val="center"/>
          </w:tcPr>
          <w:p w14:paraId="1B90132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&gt;15000</w:t>
            </w:r>
          </w:p>
        </w:tc>
        <w:tc>
          <w:tcPr>
            <w:tcW w:w="3295" w:type="dxa"/>
            <w:tcBorders>
              <w:top w:val="single" w:color="auto" w:sz="4" w:space="0"/>
              <w:left w:val="single" w:color="auto" w:sz="4" w:space="0"/>
            </w:tcBorders>
            <w:vAlign w:val="center"/>
          </w:tcPr>
          <w:p w14:paraId="71E5906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&gt;11.1</w:t>
            </w:r>
          </w:p>
        </w:tc>
      </w:tr>
    </w:tbl>
    <w:p w14:paraId="485ABBD1">
      <w:pPr>
        <w:pStyle w:val="19"/>
        <w:keepNext w:val="0"/>
        <w:keepLines w:val="0"/>
        <w:pageBreakBefore w:val="0"/>
        <w:widowControl w:val="0"/>
        <w:kinsoku/>
        <w:wordWrap/>
        <w:overflowPunct/>
        <w:topLinePunct w:val="0"/>
        <w:autoSpaceDE/>
        <w:autoSpaceDN/>
        <w:bidi w:val="0"/>
        <w:adjustRightInd w:val="0"/>
        <w:snapToGrid w:val="0"/>
        <w:spacing w:line="240" w:lineRule="exact"/>
        <w:ind w:firstLine="522"/>
        <w:textAlignment w:val="auto"/>
        <w:outlineLvl w:val="2"/>
        <w:rPr>
          <w:rFonts w:hint="eastAsia" w:ascii="Arial" w:hAnsi="Arial" w:eastAsia="宋体" w:cs="Arial"/>
          <w:b/>
          <w:color w:val="auto"/>
          <w:kern w:val="0"/>
          <w:sz w:val="26"/>
          <w:szCs w:val="20"/>
          <w:highlight w:val="none"/>
          <w:lang w:val="en-US" w:eastAsia="zh-CN"/>
        </w:rPr>
      </w:pPr>
    </w:p>
    <w:p w14:paraId="3C8CF0BA">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5</w:t>
      </w:r>
      <w:r>
        <w:rPr>
          <w:rFonts w:hint="eastAsia" w:ascii="Arial" w:hAnsi="Arial" w:eastAsia="宋体" w:cs="Arial"/>
          <w:b/>
          <w:color w:val="auto"/>
          <w:kern w:val="0"/>
          <w:sz w:val="26"/>
          <w:szCs w:val="20"/>
          <w:highlight w:val="none"/>
          <w:lang w:val="en-US" w:eastAsia="zh-CN"/>
        </w:rPr>
        <w:t>.2 污染物排放标准</w:t>
      </w:r>
    </w:p>
    <w:p w14:paraId="46EFA169">
      <w:pPr>
        <w:keepNext w:val="0"/>
        <w:keepLines w:val="0"/>
        <w:pageBreakBefore w:val="0"/>
        <w:widowControl w:val="0"/>
        <w:kinsoku/>
        <w:wordWrap/>
        <w:overflowPunct/>
        <w:topLinePunct w:val="0"/>
        <w:autoSpaceDE/>
        <w:autoSpaceDN/>
        <w:bidi w:val="0"/>
        <w:spacing w:line="460" w:lineRule="exact"/>
        <w:ind w:firstLine="384" w:firstLineChars="147"/>
        <w:jc w:val="both"/>
        <w:textAlignment w:val="auto"/>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 xml:space="preserve">（1）废气排放标准 </w:t>
      </w:r>
    </w:p>
    <w:p w14:paraId="0898672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default" w:ascii="Arial" w:hAnsi="Arial" w:eastAsia="宋体" w:cs="Arial"/>
          <w:sz w:val="26"/>
          <w:szCs w:val="26"/>
          <w:lang w:val="en-US" w:eastAsia="zh-CN"/>
        </w:rPr>
        <w:t>施工期：</w:t>
      </w:r>
      <w:r>
        <w:rPr>
          <w:rFonts w:hint="eastAsia" w:ascii="Arial" w:hAnsi="Arial" w:eastAsia="宋体" w:cs="Arial"/>
          <w:sz w:val="26"/>
          <w:szCs w:val="26"/>
          <w:lang w:val="en-US" w:eastAsia="zh-CN"/>
        </w:rPr>
        <w:t>本项目选址位于</w:t>
      </w:r>
      <w:r>
        <w:rPr>
          <w:rFonts w:hint="eastAsia" w:ascii="Arial" w:hAnsi="Arial" w:cs="Arial"/>
          <w:sz w:val="26"/>
          <w:szCs w:val="26"/>
          <w:lang w:val="en-US" w:eastAsia="zh-CN"/>
        </w:rPr>
        <w:t>丰都县</w:t>
      </w:r>
      <w:r>
        <w:rPr>
          <w:rFonts w:hint="eastAsia" w:ascii="Arial" w:hAnsi="Arial" w:eastAsia="宋体" w:cs="Arial"/>
          <w:sz w:val="26"/>
          <w:szCs w:val="26"/>
          <w:lang w:val="en-US" w:eastAsia="zh-CN"/>
        </w:rPr>
        <w:t>，</w:t>
      </w:r>
      <w:r>
        <w:rPr>
          <w:rFonts w:hint="eastAsia" w:ascii="Arial" w:hAnsi="Arial" w:cs="Arial"/>
          <w:sz w:val="26"/>
          <w:szCs w:val="26"/>
          <w:lang w:val="en-US" w:eastAsia="zh-CN"/>
        </w:rPr>
        <w:t>枢纽工程施工场地</w:t>
      </w:r>
      <w:r>
        <w:rPr>
          <w:rFonts w:hint="eastAsia" w:ascii="Arial" w:hAnsi="Arial" w:eastAsia="宋体" w:cs="Arial"/>
          <w:sz w:val="26"/>
          <w:szCs w:val="26"/>
          <w:lang w:val="en-US" w:eastAsia="zh-CN"/>
        </w:rPr>
        <w:t>内设置有混凝土拌合</w:t>
      </w:r>
      <w:r>
        <w:rPr>
          <w:rFonts w:hint="eastAsia" w:ascii="Arial" w:hAnsi="Arial" w:cs="Arial"/>
          <w:sz w:val="26"/>
          <w:szCs w:val="26"/>
          <w:lang w:val="en-US" w:eastAsia="zh-CN"/>
        </w:rPr>
        <w:t>系统</w:t>
      </w:r>
      <w:r>
        <w:rPr>
          <w:rFonts w:hint="eastAsia" w:ascii="Arial" w:hAnsi="Arial" w:eastAsia="宋体" w:cs="Arial"/>
          <w:sz w:val="26"/>
          <w:szCs w:val="26"/>
          <w:lang w:val="en-US" w:eastAsia="zh-CN"/>
        </w:rPr>
        <w:t>，拌合扬尘参照执行《水泥工业大气污染物排放标准》</w:t>
      </w:r>
      <w:r>
        <w:rPr>
          <w:rFonts w:hint="eastAsia" w:ascii="Arial" w:hAnsi="Arial" w:cs="Arial"/>
          <w:sz w:val="26"/>
          <w:szCs w:val="26"/>
          <w:lang w:val="en-US" w:eastAsia="zh-CN"/>
        </w:rPr>
        <w:t>（DB50/656-2023）表1</w:t>
      </w:r>
      <w:r>
        <w:rPr>
          <w:rFonts w:hint="eastAsia" w:ascii="Arial" w:hAnsi="Arial" w:eastAsia="宋体" w:cs="Arial"/>
          <w:sz w:val="26"/>
          <w:szCs w:val="26"/>
          <w:lang w:val="en-US" w:eastAsia="zh-CN"/>
        </w:rPr>
        <w:t>中标准限值，见表1.</w:t>
      </w:r>
      <w:r>
        <w:rPr>
          <w:rFonts w:hint="eastAsia" w:ascii="Arial" w:hAnsi="Arial" w:cs="Arial"/>
          <w:sz w:val="26"/>
          <w:szCs w:val="26"/>
          <w:lang w:val="en-US" w:eastAsia="zh-CN"/>
        </w:rPr>
        <w:t>5</w:t>
      </w:r>
      <w:r>
        <w:rPr>
          <w:rFonts w:hint="eastAsia" w:ascii="Arial" w:hAnsi="Arial" w:eastAsia="宋体" w:cs="Arial"/>
          <w:sz w:val="26"/>
          <w:szCs w:val="26"/>
          <w:lang w:val="en-US" w:eastAsia="zh-CN"/>
        </w:rPr>
        <w:t>-</w:t>
      </w:r>
      <w:r>
        <w:rPr>
          <w:rFonts w:hint="eastAsia" w:ascii="Arial" w:hAnsi="Arial" w:cs="Arial"/>
          <w:sz w:val="26"/>
          <w:szCs w:val="26"/>
          <w:lang w:val="en-US" w:eastAsia="zh-CN"/>
        </w:rPr>
        <w:t>7</w:t>
      </w:r>
      <w:r>
        <w:rPr>
          <w:rFonts w:hint="eastAsia" w:ascii="Arial" w:hAnsi="Arial" w:eastAsia="宋体" w:cs="Arial"/>
          <w:sz w:val="26"/>
          <w:szCs w:val="26"/>
          <w:lang w:val="en-US" w:eastAsia="zh-CN"/>
        </w:rPr>
        <w:t>所示；施工期物料运输、土石方挖填、</w:t>
      </w:r>
      <w:r>
        <w:rPr>
          <w:rFonts w:hint="eastAsia" w:ascii="Arial" w:hAnsi="Arial" w:cs="Arial"/>
          <w:sz w:val="26"/>
          <w:szCs w:val="26"/>
          <w:lang w:val="en-US" w:eastAsia="zh-CN"/>
        </w:rPr>
        <w:t>枢纽工程砌筑、输送管线敷设</w:t>
      </w:r>
      <w:r>
        <w:rPr>
          <w:rFonts w:hint="eastAsia" w:ascii="Arial" w:hAnsi="Arial" w:eastAsia="宋体" w:cs="Arial"/>
          <w:sz w:val="26"/>
          <w:szCs w:val="26"/>
          <w:lang w:val="en-US" w:eastAsia="zh-CN"/>
        </w:rPr>
        <w:t>等</w:t>
      </w:r>
      <w:r>
        <w:rPr>
          <w:rFonts w:hint="default" w:ascii="Arial" w:hAnsi="Arial" w:eastAsia="宋体" w:cs="Arial"/>
          <w:sz w:val="26"/>
          <w:szCs w:val="26"/>
          <w:lang w:val="en-US" w:eastAsia="zh-CN"/>
        </w:rPr>
        <w:t>作业</w:t>
      </w:r>
      <w:r>
        <w:rPr>
          <w:rFonts w:hint="eastAsia" w:ascii="Arial" w:hAnsi="Arial" w:cs="Arial"/>
          <w:sz w:val="26"/>
          <w:szCs w:val="26"/>
          <w:lang w:val="en-US" w:eastAsia="zh-CN"/>
        </w:rPr>
        <w:t>工序</w:t>
      </w:r>
      <w:r>
        <w:rPr>
          <w:rFonts w:hint="default" w:ascii="Arial" w:hAnsi="Arial" w:eastAsia="宋体" w:cs="Arial"/>
          <w:sz w:val="26"/>
          <w:szCs w:val="26"/>
          <w:lang w:val="en-US" w:eastAsia="zh-CN"/>
        </w:rPr>
        <w:t>产生的扬尘、燃油施工机械产生的尾气属无组织排放，其无组织排放监控浓度限值执行《大气污染物综合排放标准》（DB50/418-2016）</w:t>
      </w:r>
      <w:r>
        <w:rPr>
          <w:rFonts w:hint="eastAsia" w:ascii="Arial" w:hAnsi="Arial" w:cs="Arial"/>
          <w:sz w:val="26"/>
          <w:szCs w:val="26"/>
          <w:lang w:val="en-US" w:eastAsia="zh-CN"/>
        </w:rPr>
        <w:t>表1</w:t>
      </w:r>
      <w:r>
        <w:rPr>
          <w:rFonts w:hint="default" w:ascii="Arial" w:hAnsi="Arial" w:eastAsia="宋体" w:cs="Arial"/>
          <w:sz w:val="26"/>
          <w:szCs w:val="26"/>
          <w:lang w:val="en-US" w:eastAsia="zh-CN"/>
        </w:rPr>
        <w:t>中</w:t>
      </w:r>
      <w:r>
        <w:rPr>
          <w:rFonts w:hint="eastAsia" w:ascii="Arial" w:hAnsi="Arial" w:eastAsia="宋体" w:cs="Arial"/>
          <w:sz w:val="26"/>
          <w:szCs w:val="26"/>
          <w:lang w:val="en-US" w:eastAsia="zh-CN"/>
        </w:rPr>
        <w:t>“</w:t>
      </w:r>
      <w:r>
        <w:rPr>
          <w:rFonts w:hint="default" w:ascii="Arial" w:hAnsi="Arial" w:eastAsia="宋体" w:cs="Arial"/>
          <w:sz w:val="26"/>
          <w:szCs w:val="26"/>
          <w:lang w:val="en-US" w:eastAsia="zh-CN"/>
        </w:rPr>
        <w:t>其他区域</w:t>
      </w:r>
      <w:r>
        <w:rPr>
          <w:rFonts w:hint="eastAsia" w:ascii="Arial" w:hAnsi="Arial" w:eastAsia="宋体" w:cs="Arial"/>
          <w:sz w:val="26"/>
          <w:szCs w:val="26"/>
          <w:lang w:val="en-US" w:eastAsia="zh-CN"/>
        </w:rPr>
        <w:t>”</w:t>
      </w:r>
      <w:r>
        <w:rPr>
          <w:rFonts w:hint="default" w:ascii="Arial" w:hAnsi="Arial" w:eastAsia="宋体" w:cs="Arial"/>
          <w:sz w:val="26"/>
          <w:szCs w:val="26"/>
          <w:lang w:val="en-US" w:eastAsia="zh-CN"/>
        </w:rPr>
        <w:t>标准，详见表 1.</w:t>
      </w:r>
      <w:r>
        <w:rPr>
          <w:rFonts w:hint="eastAsia" w:ascii="Arial" w:hAnsi="Arial" w:cs="Arial"/>
          <w:sz w:val="26"/>
          <w:szCs w:val="26"/>
          <w:lang w:val="en-US" w:eastAsia="zh-CN"/>
        </w:rPr>
        <w:t>5</w:t>
      </w:r>
      <w:r>
        <w:rPr>
          <w:rFonts w:hint="default" w:ascii="Arial" w:hAnsi="Arial" w:eastAsia="宋体" w:cs="Arial"/>
          <w:sz w:val="26"/>
          <w:szCs w:val="26"/>
          <w:lang w:val="en-US" w:eastAsia="zh-CN"/>
        </w:rPr>
        <w:t>-</w:t>
      </w:r>
      <w:r>
        <w:rPr>
          <w:rFonts w:hint="eastAsia" w:ascii="Arial" w:hAnsi="Arial" w:cs="Arial"/>
          <w:sz w:val="26"/>
          <w:szCs w:val="26"/>
          <w:lang w:val="en-US" w:eastAsia="zh-CN"/>
        </w:rPr>
        <w:t>8</w:t>
      </w:r>
      <w:r>
        <w:rPr>
          <w:rFonts w:hint="eastAsia" w:ascii="Arial" w:hAnsi="Arial" w:eastAsia="宋体" w:cs="Arial"/>
          <w:sz w:val="26"/>
          <w:szCs w:val="26"/>
          <w:lang w:val="en-US" w:eastAsia="zh-CN"/>
        </w:rPr>
        <w:t>所示。</w:t>
      </w:r>
      <w:r>
        <w:rPr>
          <w:rFonts w:hint="default" w:ascii="Arial" w:hAnsi="Arial" w:eastAsia="宋体" w:cs="Arial"/>
          <w:sz w:val="26"/>
          <w:szCs w:val="26"/>
          <w:lang w:val="en-US" w:eastAsia="zh-CN"/>
        </w:rPr>
        <w:t xml:space="preserve"> </w:t>
      </w:r>
    </w:p>
    <w:p w14:paraId="2E40488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cs="Arial"/>
          <w:sz w:val="26"/>
          <w:szCs w:val="26"/>
          <w:lang w:val="en-US" w:eastAsia="zh-CN"/>
        </w:rPr>
        <w:t>本项目为水库工程，运营期管理站房内不设食堂，员工自带工作餐，故本项目运营期无废气产生。</w:t>
      </w:r>
    </w:p>
    <w:p w14:paraId="45520B8B">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7</w:t>
      </w:r>
      <w:r>
        <w:rPr>
          <w:rFonts w:hint="eastAsia" w:ascii="Arial" w:hAnsi="Arial" w:eastAsia="宋体" w:cs="Arial"/>
          <w:b/>
          <w:bCs/>
          <w:color w:val="000000"/>
          <w:kern w:val="0"/>
          <w:sz w:val="26"/>
          <w:szCs w:val="26"/>
          <w:lang w:val="en-US" w:eastAsia="zh-CN" w:bidi="ar-SA"/>
        </w:rPr>
        <w:t xml:space="preserve"> </w:t>
      </w:r>
      <w:r>
        <w:rPr>
          <w:rFonts w:hint="eastAsia" w:ascii="Arial" w:hAnsi="Arial" w:cs="Arial"/>
          <w:b/>
          <w:bCs/>
          <w:color w:val="000000"/>
          <w:kern w:val="0"/>
          <w:sz w:val="26"/>
          <w:szCs w:val="26"/>
          <w:lang w:val="en-US" w:eastAsia="zh-CN" w:bidi="ar-SA"/>
        </w:rPr>
        <w:t xml:space="preserve"> 重庆市</w:t>
      </w:r>
      <w:r>
        <w:rPr>
          <w:rFonts w:hint="eastAsia" w:ascii="Arial" w:hAnsi="Arial" w:eastAsia="宋体" w:cs="Arial"/>
          <w:b/>
          <w:bCs/>
          <w:color w:val="000000"/>
          <w:kern w:val="0"/>
          <w:sz w:val="26"/>
          <w:szCs w:val="26"/>
          <w:lang w:val="en-US" w:eastAsia="zh-CN" w:bidi="ar-SA"/>
        </w:rPr>
        <w:t>水泥工业大气污染物排放标准</w:t>
      </w:r>
    </w:p>
    <w:tbl>
      <w:tblPr>
        <w:tblStyle w:val="78"/>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97"/>
        <w:gridCol w:w="968"/>
        <w:gridCol w:w="734"/>
        <w:gridCol w:w="1516"/>
        <w:gridCol w:w="1184"/>
        <w:gridCol w:w="1233"/>
        <w:gridCol w:w="983"/>
        <w:gridCol w:w="460"/>
      </w:tblGrid>
      <w:tr w14:paraId="5B393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Borders>
              <w:tl2br w:val="nil"/>
              <w:tr2bl w:val="nil"/>
            </w:tcBorders>
            <w:vAlign w:val="center"/>
          </w:tcPr>
          <w:p w14:paraId="66241094">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生产</w:t>
            </w:r>
          </w:p>
          <w:p w14:paraId="3A97D87C">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b w:val="0"/>
                <w:color w:val="auto"/>
                <w:kern w:val="2"/>
                <w:sz w:val="22"/>
                <w:szCs w:val="22"/>
                <w:u w:color="000000"/>
                <w:lang w:val="en-US" w:eastAsia="zh-CN" w:bidi="ar-SA"/>
              </w:rPr>
              <w:t>过程</w:t>
            </w:r>
          </w:p>
        </w:tc>
        <w:tc>
          <w:tcPr>
            <w:tcW w:w="1965" w:type="dxa"/>
            <w:gridSpan w:val="2"/>
            <w:tcBorders>
              <w:tl2br w:val="nil"/>
              <w:tr2bl w:val="nil"/>
            </w:tcBorders>
            <w:vAlign w:val="center"/>
          </w:tcPr>
          <w:p w14:paraId="3279662E">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b w:val="0"/>
                <w:color w:val="auto"/>
                <w:kern w:val="2"/>
                <w:sz w:val="22"/>
                <w:szCs w:val="22"/>
                <w:u w:color="000000"/>
                <w:lang w:val="en-US" w:eastAsia="zh-CN" w:bidi="ar-SA"/>
              </w:rPr>
              <w:t>生产设备</w:t>
            </w:r>
          </w:p>
        </w:tc>
        <w:tc>
          <w:tcPr>
            <w:tcW w:w="734" w:type="dxa"/>
            <w:tcBorders>
              <w:tl2br w:val="nil"/>
              <w:tr2bl w:val="nil"/>
            </w:tcBorders>
            <w:vAlign w:val="center"/>
          </w:tcPr>
          <w:p w14:paraId="342BA29B">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二氧</w:t>
            </w:r>
          </w:p>
          <w:p w14:paraId="7270839B">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color w:val="auto"/>
                <w:kern w:val="2"/>
                <w:sz w:val="22"/>
                <w:szCs w:val="22"/>
                <w:vertAlign w:val="baseline"/>
                <w:lang w:val="en-US" w:eastAsia="zh-CN" w:bidi="ar-SA"/>
              </w:rPr>
            </w:pPr>
            <w:r>
              <w:rPr>
                <w:rFonts w:hint="default" w:ascii="Arial" w:hAnsi="Arial" w:eastAsia="宋体" w:cs="Arial"/>
                <w:b w:val="0"/>
                <w:color w:val="auto"/>
                <w:kern w:val="2"/>
                <w:sz w:val="22"/>
                <w:szCs w:val="22"/>
                <w:u w:color="000000"/>
                <w:lang w:val="en-US" w:eastAsia="zh-CN" w:bidi="ar-SA"/>
              </w:rPr>
              <w:t>化硫</w:t>
            </w:r>
          </w:p>
        </w:tc>
        <w:tc>
          <w:tcPr>
            <w:tcW w:w="1516" w:type="dxa"/>
            <w:tcBorders>
              <w:tl2br w:val="nil"/>
              <w:tr2bl w:val="nil"/>
            </w:tcBorders>
            <w:vAlign w:val="center"/>
          </w:tcPr>
          <w:p w14:paraId="601695E0">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color w:val="auto"/>
                <w:kern w:val="2"/>
                <w:sz w:val="22"/>
                <w:szCs w:val="22"/>
                <w:vertAlign w:val="baseline"/>
                <w:lang w:val="en-US" w:eastAsia="zh-CN" w:bidi="ar-SA"/>
              </w:rPr>
            </w:pPr>
            <w:r>
              <w:rPr>
                <w:rFonts w:hint="default" w:ascii="Arial" w:hAnsi="Arial" w:eastAsia="宋体" w:cs="Arial"/>
                <w:b w:val="0"/>
                <w:color w:val="auto"/>
                <w:kern w:val="2"/>
                <w:sz w:val="22"/>
                <w:szCs w:val="22"/>
                <w:u w:color="000000"/>
                <w:lang w:val="en-US" w:eastAsia="zh-CN" w:bidi="ar-SA"/>
              </w:rPr>
              <w:t>氮氧化物（以NO</w:t>
            </w:r>
            <w:r>
              <w:rPr>
                <w:rFonts w:hint="default" w:ascii="Arial" w:hAnsi="Arial" w:eastAsia="宋体" w:cs="Arial"/>
                <w:b w:val="0"/>
                <w:color w:val="auto"/>
                <w:kern w:val="2"/>
                <w:sz w:val="22"/>
                <w:szCs w:val="22"/>
                <w:u w:color="000000"/>
                <w:vertAlign w:val="subscript"/>
                <w:lang w:val="en-US" w:eastAsia="zh-CN" w:bidi="ar-SA"/>
              </w:rPr>
              <w:t>2</w:t>
            </w:r>
            <w:r>
              <w:rPr>
                <w:rFonts w:hint="default" w:ascii="Arial" w:hAnsi="Arial" w:eastAsia="宋体" w:cs="Arial"/>
                <w:b w:val="0"/>
                <w:color w:val="auto"/>
                <w:kern w:val="2"/>
                <w:sz w:val="22"/>
                <w:szCs w:val="22"/>
                <w:u w:color="000000"/>
                <w:lang w:val="en-US" w:eastAsia="zh-CN" w:bidi="ar-SA"/>
              </w:rPr>
              <w:t>计）</w:t>
            </w:r>
          </w:p>
        </w:tc>
        <w:tc>
          <w:tcPr>
            <w:tcW w:w="1184" w:type="dxa"/>
            <w:tcBorders>
              <w:tl2br w:val="nil"/>
              <w:tr2bl w:val="nil"/>
            </w:tcBorders>
            <w:vAlign w:val="center"/>
          </w:tcPr>
          <w:p w14:paraId="3D65C1A9">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颗粒物</w:t>
            </w:r>
          </w:p>
        </w:tc>
        <w:tc>
          <w:tcPr>
            <w:tcW w:w="1233" w:type="dxa"/>
            <w:tcBorders>
              <w:tl2br w:val="nil"/>
              <w:tr2bl w:val="nil"/>
            </w:tcBorders>
            <w:vAlign w:val="center"/>
          </w:tcPr>
          <w:p w14:paraId="68779048">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氟化物（以总F计）</w:t>
            </w:r>
          </w:p>
        </w:tc>
        <w:tc>
          <w:tcPr>
            <w:tcW w:w="983" w:type="dxa"/>
            <w:tcBorders>
              <w:tl2br w:val="nil"/>
              <w:tr2bl w:val="nil"/>
            </w:tcBorders>
            <w:vAlign w:val="center"/>
          </w:tcPr>
          <w:p w14:paraId="5017C1B7">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汞及其化合物</w:t>
            </w:r>
          </w:p>
        </w:tc>
        <w:tc>
          <w:tcPr>
            <w:tcW w:w="460" w:type="dxa"/>
            <w:tcBorders>
              <w:tl2br w:val="nil"/>
              <w:tr2bl w:val="nil"/>
            </w:tcBorders>
            <w:vAlign w:val="center"/>
          </w:tcPr>
          <w:p w14:paraId="018B8269">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氨</w:t>
            </w:r>
          </w:p>
        </w:tc>
      </w:tr>
      <w:tr w14:paraId="587CF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Borders>
              <w:tl2br w:val="nil"/>
              <w:tr2bl w:val="nil"/>
            </w:tcBorders>
            <w:vAlign w:val="center"/>
          </w:tcPr>
          <w:p w14:paraId="72D7FAE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cs="Arial"/>
                <w:sz w:val="22"/>
                <w:szCs w:val="22"/>
              </w:rPr>
            </w:pPr>
            <w:r>
              <w:rPr>
                <w:rFonts w:hint="default" w:ascii="Arial" w:hAnsi="Arial" w:eastAsia="宋体" w:cs="Arial"/>
                <w:color w:val="000000"/>
                <w:kern w:val="0"/>
                <w:sz w:val="22"/>
                <w:szCs w:val="22"/>
                <w:lang w:val="en-US" w:eastAsia="zh-CN" w:bidi="ar"/>
              </w:rPr>
              <w:t>散装水</w:t>
            </w:r>
          </w:p>
          <w:p w14:paraId="2E466F99">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cs="Arial"/>
                <w:sz w:val="22"/>
                <w:szCs w:val="22"/>
              </w:rPr>
            </w:pPr>
            <w:r>
              <w:rPr>
                <w:rFonts w:hint="default" w:ascii="Arial" w:hAnsi="Arial" w:eastAsia="宋体" w:cs="Arial"/>
                <w:color w:val="000000"/>
                <w:kern w:val="0"/>
                <w:sz w:val="22"/>
                <w:szCs w:val="22"/>
                <w:lang w:val="en-US" w:eastAsia="zh-CN" w:bidi="ar"/>
              </w:rPr>
              <w:t>泥中转</w:t>
            </w:r>
          </w:p>
          <w:p w14:paraId="02225FE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color w:val="000000"/>
                <w:kern w:val="0"/>
                <w:sz w:val="22"/>
                <w:szCs w:val="22"/>
                <w:lang w:val="en-US" w:eastAsia="zh-CN" w:bidi="ar"/>
              </w:rPr>
              <w:t>站及水泥制品生产</w:t>
            </w:r>
          </w:p>
        </w:tc>
        <w:tc>
          <w:tcPr>
            <w:tcW w:w="997" w:type="dxa"/>
            <w:tcBorders>
              <w:tl2br w:val="nil"/>
              <w:tr2bl w:val="nil"/>
            </w:tcBorders>
            <w:vAlign w:val="center"/>
          </w:tcPr>
          <w:p w14:paraId="13649C1A">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color w:val="000000"/>
                <w:kern w:val="0"/>
                <w:sz w:val="22"/>
                <w:szCs w:val="22"/>
                <w:lang w:val="en-US" w:eastAsia="zh-CN" w:bidi="ar"/>
              </w:rPr>
              <w:t>水泥仓及其它通风生产设备</w:t>
            </w:r>
          </w:p>
        </w:tc>
        <w:tc>
          <w:tcPr>
            <w:tcW w:w="968" w:type="dxa"/>
            <w:tcBorders>
              <w:tl2br w:val="nil"/>
              <w:tr2bl w:val="nil"/>
            </w:tcBorders>
            <w:vAlign w:val="center"/>
          </w:tcPr>
          <w:p w14:paraId="345574B1">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color w:val="auto"/>
                <w:sz w:val="22"/>
                <w:szCs w:val="22"/>
                <w:vertAlign w:val="baseline"/>
                <w:lang w:val="en-US" w:eastAsia="zh-CN"/>
              </w:rPr>
              <w:t>重庆市</w:t>
            </w:r>
          </w:p>
        </w:tc>
        <w:tc>
          <w:tcPr>
            <w:tcW w:w="734" w:type="dxa"/>
            <w:tcBorders>
              <w:tl2br w:val="nil"/>
              <w:tr2bl w:val="nil"/>
            </w:tcBorders>
            <w:vAlign w:val="center"/>
          </w:tcPr>
          <w:p w14:paraId="31957E7D">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c>
          <w:tcPr>
            <w:tcW w:w="1516" w:type="dxa"/>
            <w:tcBorders>
              <w:tl2br w:val="nil"/>
              <w:tr2bl w:val="nil"/>
            </w:tcBorders>
            <w:vAlign w:val="center"/>
          </w:tcPr>
          <w:p w14:paraId="39979A69">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c>
          <w:tcPr>
            <w:tcW w:w="1184" w:type="dxa"/>
            <w:tcBorders>
              <w:tl2br w:val="nil"/>
              <w:tr2bl w:val="nil"/>
            </w:tcBorders>
            <w:vAlign w:val="center"/>
          </w:tcPr>
          <w:p w14:paraId="6243A5F4">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b w:val="0"/>
                <w:bCs/>
                <w:color w:val="auto"/>
                <w:sz w:val="22"/>
                <w:szCs w:val="22"/>
                <w:vertAlign w:val="baseline"/>
                <w:lang w:val="en-US" w:eastAsia="zh-CN"/>
              </w:rPr>
              <w:t>1</w:t>
            </w:r>
            <w:r>
              <w:rPr>
                <w:rFonts w:hint="default" w:ascii="Arial" w:hAnsi="Arial" w:cs="Arial"/>
                <w:b w:val="0"/>
                <w:bCs/>
                <w:color w:val="auto"/>
                <w:sz w:val="22"/>
                <w:szCs w:val="22"/>
                <w:vertAlign w:val="baseline"/>
                <w:lang w:val="en-US" w:eastAsia="zh-CN"/>
              </w:rPr>
              <w:t>0mg/m</w:t>
            </w:r>
            <w:r>
              <w:rPr>
                <w:rFonts w:hint="default" w:ascii="Arial" w:hAnsi="Arial" w:cs="Arial"/>
                <w:b w:val="0"/>
                <w:bCs/>
                <w:color w:val="auto"/>
                <w:sz w:val="22"/>
                <w:szCs w:val="22"/>
                <w:vertAlign w:val="superscript"/>
                <w:lang w:val="en-US" w:eastAsia="zh-CN"/>
              </w:rPr>
              <w:t>3</w:t>
            </w:r>
          </w:p>
        </w:tc>
        <w:tc>
          <w:tcPr>
            <w:tcW w:w="1233" w:type="dxa"/>
            <w:tcBorders>
              <w:tl2br w:val="nil"/>
              <w:tr2bl w:val="nil"/>
            </w:tcBorders>
            <w:vAlign w:val="center"/>
          </w:tcPr>
          <w:p w14:paraId="34A7FA06">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c>
          <w:tcPr>
            <w:tcW w:w="983" w:type="dxa"/>
            <w:tcBorders>
              <w:tl2br w:val="nil"/>
              <w:tr2bl w:val="nil"/>
            </w:tcBorders>
            <w:vAlign w:val="center"/>
          </w:tcPr>
          <w:p w14:paraId="4CC83BE4">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c>
          <w:tcPr>
            <w:tcW w:w="460" w:type="dxa"/>
            <w:tcBorders>
              <w:tl2br w:val="nil"/>
              <w:tr2bl w:val="nil"/>
            </w:tcBorders>
            <w:vAlign w:val="center"/>
          </w:tcPr>
          <w:p w14:paraId="289DF1DE">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r>
    </w:tbl>
    <w:p w14:paraId="589FAE0B">
      <w:pPr>
        <w:pStyle w:val="201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rPr>
      </w:pPr>
    </w:p>
    <w:p w14:paraId="624FE85A">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 xml:space="preserve">8 </w:t>
      </w:r>
      <w:r>
        <w:rPr>
          <w:rFonts w:hint="eastAsia" w:ascii="Arial" w:hAnsi="Arial" w:eastAsia="宋体" w:cs="Arial"/>
          <w:b/>
          <w:bCs/>
          <w:color w:val="000000"/>
          <w:kern w:val="0"/>
          <w:sz w:val="26"/>
          <w:szCs w:val="26"/>
          <w:lang w:val="en-US" w:eastAsia="zh-CN" w:bidi="ar-SA"/>
        </w:rPr>
        <w:t xml:space="preserve"> 重庆市大气污染物综合排放标准</w:t>
      </w:r>
      <w:r>
        <w:rPr>
          <w:rFonts w:hint="eastAsia" w:ascii="Arial" w:hAnsi="Arial" w:cs="Arial"/>
          <w:b/>
          <w:bCs/>
          <w:color w:val="000000"/>
          <w:kern w:val="0"/>
          <w:sz w:val="26"/>
          <w:szCs w:val="26"/>
          <w:lang w:val="en-US" w:eastAsia="zh-CN" w:bidi="ar-SA"/>
        </w:rPr>
        <w:t xml:space="preserve"> </w:t>
      </w:r>
      <w:r>
        <w:rPr>
          <w:rFonts w:hint="eastAsia" w:ascii="Arial" w:hAnsi="Arial" w:eastAsia="宋体" w:cs="Arial"/>
          <w:b/>
          <w:bCs/>
          <w:color w:val="000000"/>
          <w:kern w:val="0"/>
          <w:sz w:val="26"/>
          <w:szCs w:val="26"/>
          <w:lang w:val="en-US" w:eastAsia="zh-CN" w:bidi="ar-SA"/>
        </w:rPr>
        <w:t>单位：mg/m</w:t>
      </w:r>
      <w:r>
        <w:rPr>
          <w:rFonts w:hint="eastAsia" w:ascii="Arial" w:hAnsi="Arial" w:eastAsia="宋体" w:cs="Arial"/>
          <w:b/>
          <w:bCs/>
          <w:color w:val="000000"/>
          <w:kern w:val="0"/>
          <w:sz w:val="26"/>
          <w:szCs w:val="26"/>
          <w:vertAlign w:val="superscript"/>
          <w:lang w:val="en-US" w:eastAsia="zh-CN" w:bidi="ar-SA"/>
        </w:rPr>
        <w:t>3</w:t>
      </w:r>
    </w:p>
    <w:tbl>
      <w:tblPr>
        <w:tblStyle w:val="77"/>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1253"/>
        <w:gridCol w:w="2918"/>
        <w:gridCol w:w="3648"/>
      </w:tblGrid>
      <w:tr w14:paraId="256C9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5" w:type="dxa"/>
            <w:gridSpan w:val="2"/>
            <w:vMerge w:val="restart"/>
            <w:tcBorders>
              <w:bottom w:val="single" w:color="auto" w:sz="4" w:space="0"/>
              <w:right w:val="single" w:color="auto" w:sz="4" w:space="0"/>
            </w:tcBorders>
            <w:vAlign w:val="center"/>
          </w:tcPr>
          <w:p w14:paraId="430C4896">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cs="Arial"/>
                <w:color w:val="auto"/>
                <w:kern w:val="2"/>
                <w:sz w:val="22"/>
                <w:szCs w:val="22"/>
              </w:rPr>
            </w:pPr>
            <w:r>
              <w:rPr>
                <w:rFonts w:hint="default" w:ascii="Arial" w:hAnsi="Arial" w:cs="Arial"/>
                <w:color w:val="auto"/>
                <w:kern w:val="2"/>
                <w:sz w:val="22"/>
                <w:szCs w:val="22"/>
              </w:rPr>
              <w:t>污染物</w:t>
            </w:r>
          </w:p>
        </w:tc>
        <w:tc>
          <w:tcPr>
            <w:tcW w:w="6566" w:type="dxa"/>
            <w:gridSpan w:val="2"/>
            <w:tcBorders>
              <w:left w:val="single" w:color="auto" w:sz="4" w:space="0"/>
              <w:bottom w:val="single" w:color="auto" w:sz="4" w:space="0"/>
            </w:tcBorders>
            <w:vAlign w:val="center"/>
          </w:tcPr>
          <w:p w14:paraId="02CC7B01">
            <w:pPr>
              <w:keepNext w:val="0"/>
              <w:keepLines w:val="0"/>
              <w:pageBreakBefore w:val="0"/>
              <w:kinsoku/>
              <w:wordWrap/>
              <w:overflowPunct/>
              <w:topLinePunct w:val="0"/>
              <w:autoSpaceDE/>
              <w:autoSpaceDN/>
              <w:bidi w:val="0"/>
              <w:adjustRightInd/>
              <w:snapToGrid/>
              <w:spacing w:line="300" w:lineRule="exact"/>
              <w:jc w:val="center"/>
              <w:rPr>
                <w:rFonts w:hint="default" w:ascii="Arial" w:hAnsi="Arial" w:cs="Arial"/>
                <w:sz w:val="22"/>
                <w:szCs w:val="22"/>
                <w:u w:color="000000"/>
              </w:rPr>
            </w:pPr>
            <w:r>
              <w:rPr>
                <w:rFonts w:hint="default" w:ascii="Arial" w:hAnsi="Arial" w:cs="Arial"/>
                <w:sz w:val="22"/>
                <w:szCs w:val="22"/>
                <w:u w:color="000000"/>
              </w:rPr>
              <w:t>无组织排放监控浓度限值</w:t>
            </w:r>
          </w:p>
        </w:tc>
      </w:tr>
      <w:tr w14:paraId="41155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5" w:type="dxa"/>
            <w:gridSpan w:val="2"/>
            <w:vMerge w:val="continue"/>
            <w:tcBorders>
              <w:top w:val="single" w:color="auto" w:sz="4" w:space="0"/>
              <w:bottom w:val="single" w:color="auto" w:sz="4" w:space="0"/>
              <w:right w:val="single" w:color="auto" w:sz="4" w:space="0"/>
            </w:tcBorders>
            <w:vAlign w:val="center"/>
          </w:tcPr>
          <w:p w14:paraId="79734AD0">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eastAsia="宋体" w:cs="Arial"/>
                <w:color w:val="auto"/>
                <w:kern w:val="2"/>
                <w:sz w:val="22"/>
                <w:szCs w:val="22"/>
                <w:lang w:val="en-US" w:eastAsia="zh-CN"/>
              </w:rPr>
            </w:pPr>
          </w:p>
        </w:tc>
        <w:tc>
          <w:tcPr>
            <w:tcW w:w="2918" w:type="dxa"/>
            <w:tcBorders>
              <w:top w:val="single" w:color="auto" w:sz="4" w:space="0"/>
              <w:left w:val="single" w:color="auto" w:sz="4" w:space="0"/>
              <w:bottom w:val="single" w:color="auto" w:sz="4" w:space="0"/>
              <w:right w:val="single" w:color="auto" w:sz="4" w:space="0"/>
            </w:tcBorders>
            <w:vAlign w:val="center"/>
          </w:tcPr>
          <w:p w14:paraId="73E5A27C">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eastAsia="宋体" w:cs="Arial"/>
                <w:color w:val="auto"/>
                <w:kern w:val="2"/>
                <w:sz w:val="22"/>
                <w:szCs w:val="22"/>
                <w:lang w:val="en-US" w:eastAsia="zh-CN"/>
              </w:rPr>
            </w:pPr>
            <w:r>
              <w:rPr>
                <w:rFonts w:hint="default" w:ascii="Arial" w:hAnsi="Arial" w:cs="Arial"/>
                <w:color w:val="auto"/>
                <w:kern w:val="2"/>
                <w:sz w:val="22"/>
                <w:szCs w:val="22"/>
                <w:lang w:val="en-US" w:eastAsia="zh-CN"/>
              </w:rPr>
              <w:t>监控点</w:t>
            </w:r>
          </w:p>
        </w:tc>
        <w:tc>
          <w:tcPr>
            <w:tcW w:w="3648" w:type="dxa"/>
            <w:tcBorders>
              <w:top w:val="single" w:color="auto" w:sz="4" w:space="0"/>
              <w:left w:val="single" w:color="auto" w:sz="4" w:space="0"/>
              <w:bottom w:val="single" w:color="auto" w:sz="4" w:space="0"/>
            </w:tcBorders>
            <w:vAlign w:val="center"/>
          </w:tcPr>
          <w:p w14:paraId="168D8863">
            <w:pPr>
              <w:keepNext w:val="0"/>
              <w:keepLines w:val="0"/>
              <w:pageBreakBefore w:val="0"/>
              <w:kinsoku/>
              <w:wordWrap/>
              <w:overflowPunct/>
              <w:topLinePunct w:val="0"/>
              <w:autoSpaceDE/>
              <w:autoSpaceDN/>
              <w:bidi w:val="0"/>
              <w:adjustRightInd/>
              <w:snapToGrid/>
              <w:spacing w:line="300" w:lineRule="exact"/>
              <w:jc w:val="center"/>
              <w:rPr>
                <w:rFonts w:hint="default" w:ascii="Arial" w:hAnsi="Arial" w:eastAsia="宋体" w:cs="Arial"/>
                <w:sz w:val="22"/>
                <w:szCs w:val="22"/>
                <w:u w:color="000000"/>
                <w:lang w:val="en-US" w:eastAsia="zh-CN"/>
              </w:rPr>
            </w:pPr>
            <w:r>
              <w:rPr>
                <w:rFonts w:hint="default" w:ascii="Arial" w:hAnsi="Arial" w:cs="Arial"/>
                <w:sz w:val="22"/>
                <w:szCs w:val="22"/>
                <w:u w:color="000000"/>
                <w:lang w:val="en-US" w:eastAsia="zh-CN"/>
              </w:rPr>
              <w:t>浓度</w:t>
            </w:r>
          </w:p>
        </w:tc>
      </w:tr>
      <w:tr w14:paraId="1B0D3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2" w:type="dxa"/>
            <w:tcBorders>
              <w:top w:val="single" w:color="auto" w:sz="4" w:space="0"/>
              <w:bottom w:val="single" w:color="auto" w:sz="4" w:space="0"/>
              <w:right w:val="single" w:color="auto" w:sz="4" w:space="0"/>
            </w:tcBorders>
            <w:vAlign w:val="center"/>
          </w:tcPr>
          <w:p w14:paraId="2E4EDE06">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eastAsia="宋体" w:cs="Arial"/>
                <w:color w:val="auto"/>
                <w:kern w:val="2"/>
                <w:sz w:val="22"/>
                <w:szCs w:val="22"/>
                <w:u w:color="000000"/>
                <w:lang w:val="en-US" w:eastAsia="zh-CN" w:bidi="ar-SA"/>
              </w:rPr>
            </w:pPr>
            <w:r>
              <w:rPr>
                <w:rFonts w:hint="default" w:ascii="Arial" w:hAnsi="Arial" w:cs="Arial"/>
                <w:color w:val="auto"/>
                <w:kern w:val="2"/>
                <w:sz w:val="22"/>
                <w:szCs w:val="22"/>
                <w:lang w:val="en-US" w:eastAsia="zh-CN"/>
              </w:rPr>
              <w:t>颗粒物</w:t>
            </w:r>
          </w:p>
        </w:tc>
        <w:tc>
          <w:tcPr>
            <w:tcW w:w="1253" w:type="dxa"/>
            <w:tcBorders>
              <w:top w:val="single" w:color="auto" w:sz="4" w:space="0"/>
              <w:left w:val="single" w:color="auto" w:sz="4" w:space="0"/>
              <w:bottom w:val="single" w:color="auto" w:sz="4" w:space="0"/>
              <w:right w:val="single" w:color="auto" w:sz="4" w:space="0"/>
            </w:tcBorders>
            <w:vAlign w:val="center"/>
          </w:tcPr>
          <w:p w14:paraId="0399943B">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cs="Arial"/>
                <w:color w:val="auto"/>
                <w:kern w:val="2"/>
                <w:sz w:val="22"/>
                <w:szCs w:val="22"/>
                <w:lang w:val="en-US" w:eastAsia="zh-CN"/>
              </w:rPr>
            </w:pPr>
            <w:r>
              <w:rPr>
                <w:rFonts w:hint="default" w:ascii="Arial" w:hAnsi="Arial" w:cs="Arial"/>
                <w:color w:val="auto"/>
                <w:kern w:val="2"/>
                <w:sz w:val="22"/>
                <w:szCs w:val="22"/>
                <w:lang w:val="en-US" w:eastAsia="zh-CN"/>
              </w:rPr>
              <w:t>其他区域</w:t>
            </w:r>
          </w:p>
        </w:tc>
        <w:tc>
          <w:tcPr>
            <w:tcW w:w="2918" w:type="dxa"/>
            <w:tcBorders>
              <w:top w:val="single" w:color="auto" w:sz="4" w:space="0"/>
              <w:left w:val="single" w:color="auto" w:sz="4" w:space="0"/>
              <w:bottom w:val="single" w:color="auto" w:sz="4" w:space="0"/>
              <w:right w:val="single" w:color="auto" w:sz="4" w:space="0"/>
            </w:tcBorders>
            <w:vAlign w:val="center"/>
          </w:tcPr>
          <w:p w14:paraId="34135BF2">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eastAsia="宋体" w:cs="Arial"/>
                <w:color w:val="auto"/>
                <w:kern w:val="2"/>
                <w:sz w:val="22"/>
                <w:szCs w:val="22"/>
                <w:lang w:val="en-US" w:eastAsia="zh-CN"/>
              </w:rPr>
            </w:pPr>
            <w:r>
              <w:rPr>
                <w:rFonts w:hint="default" w:ascii="Arial" w:hAnsi="Arial" w:cs="Arial"/>
                <w:color w:val="auto"/>
                <w:kern w:val="2"/>
                <w:sz w:val="22"/>
                <w:szCs w:val="22"/>
                <w:lang w:val="en-US" w:eastAsia="zh-CN"/>
              </w:rPr>
              <w:t>周界外浓度最高点</w:t>
            </w:r>
          </w:p>
        </w:tc>
        <w:tc>
          <w:tcPr>
            <w:tcW w:w="3648" w:type="dxa"/>
            <w:tcBorders>
              <w:top w:val="single" w:color="auto" w:sz="4" w:space="0"/>
              <w:left w:val="single" w:color="auto" w:sz="4" w:space="0"/>
              <w:bottom w:val="single" w:color="auto" w:sz="4" w:space="0"/>
            </w:tcBorders>
            <w:vAlign w:val="center"/>
          </w:tcPr>
          <w:p w14:paraId="43483025">
            <w:pPr>
              <w:pStyle w:val="185"/>
              <w:keepNext w:val="0"/>
              <w:keepLines w:val="0"/>
              <w:pageBreakBefore w:val="0"/>
              <w:kinsoku/>
              <w:wordWrap/>
              <w:overflowPunct/>
              <w:topLinePunct w:val="0"/>
              <w:autoSpaceDE/>
              <w:autoSpaceDN/>
              <w:bidi w:val="0"/>
              <w:adjustRightInd/>
              <w:snapToGrid/>
              <w:spacing w:line="300" w:lineRule="exact"/>
              <w:rPr>
                <w:rFonts w:hint="default" w:ascii="Arial" w:hAnsi="Arial" w:cs="Arial"/>
                <w:b w:val="0"/>
                <w:color w:val="auto"/>
                <w:sz w:val="22"/>
                <w:szCs w:val="22"/>
                <w:u w:color="000000"/>
              </w:rPr>
            </w:pPr>
            <w:r>
              <w:rPr>
                <w:rFonts w:hint="default" w:ascii="Arial" w:hAnsi="Arial" w:cs="Arial"/>
                <w:b w:val="0"/>
                <w:color w:val="auto"/>
                <w:sz w:val="22"/>
                <w:szCs w:val="22"/>
                <w:u w:color="000000"/>
              </w:rPr>
              <w:t>1.0</w:t>
            </w:r>
          </w:p>
        </w:tc>
      </w:tr>
    </w:tbl>
    <w:p w14:paraId="60F6AD6E">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60"/>
        <w:textAlignment w:val="auto"/>
        <w:rPr>
          <w:rFonts w:hint="eastAsia" w:eastAsia="宋体"/>
          <w:sz w:val="24"/>
          <w:szCs w:val="24"/>
          <w:lang w:val="en-US" w:eastAsia="zh-CN"/>
        </w:rPr>
      </w:pPr>
    </w:p>
    <w:p w14:paraId="73697697">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 xml:space="preserve">（2）废水排放标准 </w:t>
      </w:r>
    </w:p>
    <w:p w14:paraId="277816D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cs="Arial"/>
          <w:color w:val="auto"/>
          <w:spacing w:val="-4"/>
          <w:sz w:val="26"/>
          <w:szCs w:val="26"/>
          <w:lang w:eastAsia="zh-CN"/>
        </w:rPr>
      </w:pPr>
      <w:r>
        <w:rPr>
          <w:rFonts w:hint="eastAsia" w:ascii="Arial" w:hAnsi="Arial" w:cs="Arial"/>
          <w:sz w:val="26"/>
          <w:szCs w:val="26"/>
          <w:lang w:val="en-US" w:eastAsia="zh-CN"/>
        </w:rPr>
        <w:t>本项目施工期施工人员生活污水经租赁民房内已有的旱厕收集处理后，交附近居民作农肥，不外排；混凝土拌合系统、施工机械及运输车辆冲洗产生的废水经截排水沟、沉淀池、隔油池等收集处理后，循环利用或回用作抑尘洒水、施工用水，不外排；设置施工围堰，基坑废水</w:t>
      </w:r>
      <w:r>
        <w:rPr>
          <w:rFonts w:hint="eastAsia" w:ascii="Arial" w:cs="Arial"/>
          <w:bCs/>
          <w:color w:val="auto"/>
          <w:sz w:val="26"/>
          <w:szCs w:val="26"/>
        </w:rPr>
        <w:t>经围堰、集水坑收集沉淀处理后，尽可能回用</w:t>
      </w:r>
      <w:r>
        <w:rPr>
          <w:rFonts w:hint="eastAsia" w:ascii="Arial" w:cs="Arial"/>
          <w:bCs/>
          <w:color w:val="auto"/>
          <w:sz w:val="26"/>
          <w:szCs w:val="26"/>
          <w:lang w:eastAsia="zh-CN"/>
        </w:rPr>
        <w:t>作施工用水、抑尘</w:t>
      </w:r>
      <w:r>
        <w:rPr>
          <w:rFonts w:hint="eastAsia" w:ascii="Arial" w:cs="Arial"/>
          <w:bCs/>
          <w:color w:val="auto"/>
          <w:sz w:val="26"/>
          <w:szCs w:val="26"/>
        </w:rPr>
        <w:t>洒水</w:t>
      </w:r>
      <w:r>
        <w:rPr>
          <w:rFonts w:hint="eastAsia" w:ascii="Arial" w:cs="Arial"/>
          <w:bCs/>
          <w:color w:val="auto"/>
          <w:sz w:val="26"/>
          <w:szCs w:val="26"/>
          <w:lang w:eastAsia="zh-CN"/>
        </w:rPr>
        <w:t>等</w:t>
      </w:r>
      <w:r>
        <w:rPr>
          <w:rFonts w:hint="eastAsia" w:ascii="Arial" w:cs="Arial"/>
          <w:bCs/>
          <w:color w:val="auto"/>
          <w:sz w:val="26"/>
          <w:szCs w:val="26"/>
        </w:rPr>
        <w:t>，</w:t>
      </w:r>
      <w:r>
        <w:rPr>
          <w:rFonts w:hint="eastAsia" w:ascii="Arial" w:hAnsi="宋体" w:cs="Arial"/>
          <w:color w:val="auto"/>
          <w:spacing w:val="-4"/>
          <w:sz w:val="26"/>
          <w:szCs w:val="26"/>
        </w:rPr>
        <w:t>多余部分</w:t>
      </w:r>
      <w:r>
        <w:rPr>
          <w:rFonts w:hint="eastAsia" w:ascii="Arial" w:hAnsi="宋体" w:cs="Arial"/>
          <w:color w:val="auto"/>
          <w:spacing w:val="-4"/>
          <w:sz w:val="26"/>
          <w:szCs w:val="26"/>
          <w:lang w:eastAsia="zh-CN"/>
        </w:rPr>
        <w:t>引至下游河道</w:t>
      </w:r>
      <w:r>
        <w:rPr>
          <w:rFonts w:hint="eastAsia" w:ascii="Arial" w:hAnsi="宋体" w:cs="Arial"/>
          <w:color w:val="auto"/>
          <w:spacing w:val="-4"/>
          <w:sz w:val="26"/>
          <w:szCs w:val="26"/>
        </w:rPr>
        <w:t>排放</w:t>
      </w:r>
      <w:r>
        <w:rPr>
          <w:rFonts w:hint="eastAsia" w:ascii="Arial" w:hAnsi="宋体" w:cs="Arial"/>
          <w:color w:val="auto"/>
          <w:spacing w:val="-4"/>
          <w:sz w:val="26"/>
          <w:szCs w:val="26"/>
          <w:lang w:eastAsia="zh-CN"/>
        </w:rPr>
        <w:t>。</w:t>
      </w:r>
    </w:p>
    <w:p w14:paraId="5231DFC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eastAsia" w:ascii="Arial" w:hAnsi="Arial" w:cs="Arial"/>
          <w:sz w:val="26"/>
          <w:szCs w:val="26"/>
          <w:lang w:val="en-US" w:eastAsia="zh-CN"/>
        </w:rPr>
        <w:t>运营期管理站房内仅4名管理人员值守，产生的少量生活污水经设置的化粪池收集处理后，交附近居民作农肥，不外排。</w:t>
      </w:r>
    </w:p>
    <w:p w14:paraId="71F65283">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（3）噪声排放标准</w:t>
      </w:r>
    </w:p>
    <w:p w14:paraId="4F5BFE6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施工期噪声排放执行《建筑施工场界环境噪声排放标准》</w:t>
      </w:r>
      <w:r>
        <w:rPr>
          <w:rFonts w:hint="eastAsia" w:ascii="Arial" w:hAnsi="Arial" w:cs="Arial"/>
          <w:sz w:val="26"/>
          <w:szCs w:val="26"/>
          <w:lang w:val="en-US" w:eastAsia="zh-CN"/>
        </w:rPr>
        <w:t>（</w:t>
      </w:r>
      <w:r>
        <w:rPr>
          <w:rFonts w:hint="eastAsia" w:ascii="Arial" w:hAnsi="Arial" w:eastAsia="宋体" w:cs="Arial"/>
          <w:sz w:val="26"/>
          <w:szCs w:val="26"/>
          <w:lang w:val="en-US" w:eastAsia="zh-CN"/>
        </w:rPr>
        <w:t>GB12523</w:t>
      </w:r>
      <w:r>
        <w:rPr>
          <w:rFonts w:hint="eastAsia" w:ascii="Arial" w:hAnsi="Arial" w:cs="Arial"/>
          <w:sz w:val="26"/>
          <w:szCs w:val="26"/>
          <w:lang w:val="en-US" w:eastAsia="zh-CN"/>
        </w:rPr>
        <w:t>-</w:t>
      </w:r>
      <w:r>
        <w:rPr>
          <w:rFonts w:hint="eastAsia" w:ascii="Arial" w:hAnsi="Arial" w:eastAsia="宋体" w:cs="Arial"/>
          <w:sz w:val="26"/>
          <w:szCs w:val="26"/>
          <w:lang w:val="en-US" w:eastAsia="zh-CN"/>
        </w:rPr>
        <w:t>2011</w:t>
      </w:r>
      <w:r>
        <w:rPr>
          <w:rFonts w:hint="eastAsia" w:ascii="Arial" w:hAnsi="Arial" w:cs="Arial"/>
          <w:sz w:val="26"/>
          <w:szCs w:val="26"/>
          <w:lang w:val="en-US" w:eastAsia="zh-CN"/>
        </w:rPr>
        <w:t>）</w:t>
      </w:r>
      <w:r>
        <w:rPr>
          <w:rFonts w:hint="eastAsia" w:ascii="Arial" w:hAnsi="Arial" w:eastAsia="宋体" w:cs="Arial"/>
          <w:sz w:val="26"/>
          <w:szCs w:val="26"/>
          <w:lang w:val="en-US" w:eastAsia="zh-CN"/>
        </w:rPr>
        <w:t>，即昼间≤70dB（A），夜间≤55dB（A）。</w:t>
      </w:r>
    </w:p>
    <w:p w14:paraId="0EC3DB6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运营期场界执行《工业企业厂界环境噪声排放标准》</w:t>
      </w:r>
      <w:r>
        <w:rPr>
          <w:rFonts w:hint="eastAsia" w:ascii="Arial" w:hAnsi="Arial" w:cs="Arial"/>
          <w:sz w:val="26"/>
          <w:szCs w:val="26"/>
          <w:lang w:val="en-US" w:eastAsia="zh-CN"/>
        </w:rPr>
        <w:t>（</w:t>
      </w:r>
      <w:r>
        <w:rPr>
          <w:rFonts w:hint="eastAsia" w:ascii="Arial" w:hAnsi="Arial" w:eastAsia="宋体" w:cs="Arial"/>
          <w:sz w:val="26"/>
          <w:szCs w:val="26"/>
          <w:lang w:val="en-US" w:eastAsia="zh-CN"/>
        </w:rPr>
        <w:t>GB12348-2008</w:t>
      </w:r>
      <w:r>
        <w:rPr>
          <w:rFonts w:hint="eastAsia" w:ascii="Arial" w:hAnsi="Arial" w:cs="Arial"/>
          <w:sz w:val="26"/>
          <w:szCs w:val="26"/>
          <w:lang w:val="en-US" w:eastAsia="zh-CN"/>
        </w:rPr>
        <w:t>）中1</w:t>
      </w:r>
      <w:r>
        <w:rPr>
          <w:rFonts w:hint="eastAsia" w:ascii="Arial" w:hAnsi="Arial" w:eastAsia="宋体" w:cs="Arial"/>
          <w:sz w:val="26"/>
          <w:szCs w:val="26"/>
          <w:lang w:val="en-US" w:eastAsia="zh-CN"/>
        </w:rPr>
        <w:t>类标准，即昼间</w:t>
      </w:r>
      <w:r>
        <w:rPr>
          <w:rFonts w:hint="eastAsia" w:ascii="Arial" w:hAnsi="Arial" w:cs="Arial"/>
          <w:sz w:val="26"/>
          <w:szCs w:val="26"/>
          <w:lang w:val="en-US" w:eastAsia="zh-CN"/>
        </w:rPr>
        <w:t>55</w:t>
      </w:r>
      <w:r>
        <w:rPr>
          <w:rFonts w:hint="eastAsia" w:ascii="Arial" w:hAnsi="Arial" w:eastAsia="宋体" w:cs="Arial"/>
          <w:sz w:val="26"/>
          <w:szCs w:val="26"/>
          <w:lang w:val="en-US" w:eastAsia="zh-CN"/>
        </w:rPr>
        <w:t>≤dB（A）、夜间</w:t>
      </w:r>
      <w:r>
        <w:rPr>
          <w:rFonts w:hint="eastAsia" w:ascii="Arial" w:hAnsi="Arial" w:cs="Arial"/>
          <w:sz w:val="26"/>
          <w:szCs w:val="26"/>
          <w:lang w:val="en-US" w:eastAsia="zh-CN"/>
        </w:rPr>
        <w:t>45</w:t>
      </w:r>
      <w:r>
        <w:rPr>
          <w:rFonts w:hint="eastAsia" w:ascii="Arial" w:hAnsi="Arial" w:eastAsia="宋体" w:cs="Arial"/>
          <w:sz w:val="26"/>
          <w:szCs w:val="26"/>
          <w:lang w:val="en-US" w:eastAsia="zh-CN"/>
        </w:rPr>
        <w:t>≤dB（A）。</w:t>
      </w:r>
    </w:p>
    <w:p w14:paraId="2821F07D">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55" w:name="_Toc28390"/>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6</w:t>
      </w:r>
      <w:r>
        <w:rPr>
          <w:rFonts w:hint="eastAsia" w:ascii="Arial" w:hAnsi="Arial" w:eastAsia="宋体" w:cs="Arial"/>
          <w:b/>
          <w:color w:val="auto"/>
          <w:kern w:val="0"/>
          <w:sz w:val="26"/>
          <w:szCs w:val="26"/>
          <w:highlight w:val="none"/>
          <w:lang w:val="en-US" w:eastAsia="zh-CN"/>
        </w:rPr>
        <w:t>评价工作等级、范围</w:t>
      </w:r>
      <w:bookmarkEnd w:id="55"/>
    </w:p>
    <w:p w14:paraId="0539FA90">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56" w:name="_Toc36040993"/>
      <w:bookmarkStart w:id="57" w:name="_Toc34987794"/>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6</w:t>
      </w:r>
      <w:r>
        <w:rPr>
          <w:rFonts w:hint="eastAsia" w:ascii="Arial" w:hAnsi="Arial" w:eastAsia="宋体" w:cs="Arial"/>
          <w:b/>
          <w:color w:val="auto"/>
          <w:kern w:val="0"/>
          <w:sz w:val="26"/>
          <w:szCs w:val="20"/>
          <w:highlight w:val="none"/>
          <w:lang w:val="en-US" w:eastAsia="zh-CN"/>
        </w:rPr>
        <w:t>.1 评价工作等级</w:t>
      </w:r>
      <w:bookmarkEnd w:id="56"/>
      <w:bookmarkEnd w:id="57"/>
    </w:p>
    <w:p w14:paraId="2395BB3B">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（1）声环境</w:t>
      </w:r>
    </w:p>
    <w:p w14:paraId="21EAD0A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sz w:val="26"/>
          <w:szCs w:val="26"/>
          <w:lang w:val="en-US" w:eastAsia="zh-CN"/>
        </w:rPr>
        <w:t>本项目</w:t>
      </w:r>
      <w:r>
        <w:rPr>
          <w:rFonts w:hint="eastAsia" w:ascii="Arial" w:hAnsi="Arial" w:cs="Arial"/>
          <w:color w:val="auto"/>
          <w:sz w:val="26"/>
          <w:szCs w:val="26"/>
          <w:lang w:val="en-US" w:eastAsia="zh-CN"/>
        </w:rPr>
        <w:t>位于双龙镇田家山村，属于乡村区域，为《声环境质量标准》（GB3096-2008）中1类区；且本项目建成前后敏感目标噪声级增高量小于5dB（A），受噪声影响人口数量变化不大。</w:t>
      </w:r>
    </w:p>
    <w:p w14:paraId="77B12E5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eastAsia" w:ascii="Arial" w:hAnsi="Arial" w:cs="Arial"/>
          <w:color w:val="auto"/>
          <w:sz w:val="26"/>
          <w:szCs w:val="26"/>
          <w:lang w:val="en-US" w:eastAsia="zh-CN"/>
        </w:rPr>
        <w:t>故根据</w:t>
      </w:r>
      <w:r>
        <w:rPr>
          <w:rFonts w:hint="eastAsia" w:ascii="Arial" w:hAnsi="Arial" w:eastAsia="宋体" w:cs="Arial"/>
          <w:sz w:val="26"/>
          <w:szCs w:val="26"/>
          <w:lang w:val="en-US" w:eastAsia="zh-CN"/>
        </w:rPr>
        <w:t>《环境影响评价技术导则</w:t>
      </w:r>
      <w:r>
        <w:rPr>
          <w:rFonts w:hint="default" w:ascii="Arial" w:hAnsi="Arial" w:eastAsia="宋体" w:cs="Arial"/>
          <w:sz w:val="26"/>
          <w:szCs w:val="26"/>
          <w:lang w:val="en-US" w:eastAsia="zh-CN"/>
        </w:rPr>
        <w:t xml:space="preserve"> </w:t>
      </w:r>
      <w:r>
        <w:rPr>
          <w:rFonts w:hint="eastAsia" w:ascii="Arial" w:hAnsi="Arial" w:eastAsia="宋体" w:cs="Arial"/>
          <w:sz w:val="26"/>
          <w:szCs w:val="26"/>
          <w:lang w:val="en-US" w:eastAsia="zh-CN"/>
        </w:rPr>
        <w:t>声环境》（</w:t>
      </w:r>
      <w:r>
        <w:rPr>
          <w:rFonts w:hint="default" w:ascii="Arial" w:hAnsi="Arial" w:eastAsia="宋体" w:cs="Arial"/>
          <w:sz w:val="26"/>
          <w:szCs w:val="26"/>
          <w:lang w:val="en-US" w:eastAsia="zh-CN"/>
        </w:rPr>
        <w:t>HJ2.4</w:t>
      </w:r>
      <w:r>
        <w:rPr>
          <w:rFonts w:hint="eastAsia" w:ascii="Arial" w:hAnsi="Arial" w:eastAsia="宋体" w:cs="Arial"/>
          <w:sz w:val="26"/>
          <w:szCs w:val="26"/>
          <w:lang w:val="en-US" w:eastAsia="zh-CN"/>
        </w:rPr>
        <w:t>-</w:t>
      </w:r>
      <w:r>
        <w:rPr>
          <w:rFonts w:hint="default" w:ascii="Arial" w:hAnsi="Arial" w:eastAsia="宋体" w:cs="Arial"/>
          <w:sz w:val="26"/>
          <w:szCs w:val="26"/>
          <w:lang w:val="en-US" w:eastAsia="zh-CN"/>
        </w:rPr>
        <w:t>2021</w:t>
      </w:r>
      <w:r>
        <w:rPr>
          <w:rFonts w:hint="eastAsia" w:ascii="Arial" w:hAnsi="Arial" w:eastAsia="宋体" w:cs="Arial"/>
          <w:sz w:val="26"/>
          <w:szCs w:val="26"/>
          <w:lang w:val="en-US" w:eastAsia="zh-CN"/>
        </w:rPr>
        <w:t>）</w:t>
      </w:r>
      <w:r>
        <w:rPr>
          <w:rFonts w:hint="eastAsia" w:ascii="Arial" w:hAnsi="Arial" w:cs="Arial"/>
          <w:sz w:val="26"/>
          <w:szCs w:val="26"/>
          <w:lang w:val="en-US" w:eastAsia="zh-CN"/>
        </w:rPr>
        <w:t>，本</w:t>
      </w:r>
      <w:r>
        <w:rPr>
          <w:rFonts w:hint="eastAsia" w:ascii="Arial" w:hAnsi="Arial" w:eastAsia="宋体" w:cs="Arial"/>
          <w:sz w:val="26"/>
          <w:szCs w:val="26"/>
          <w:lang w:val="en-US" w:eastAsia="zh-CN"/>
        </w:rPr>
        <w:t>项目的声</w:t>
      </w:r>
      <w:r>
        <w:rPr>
          <w:rFonts w:hint="eastAsia" w:ascii="Arial" w:hAnsi="Arial" w:cs="Arial"/>
          <w:sz w:val="26"/>
          <w:szCs w:val="26"/>
          <w:lang w:val="en-US" w:eastAsia="zh-CN"/>
        </w:rPr>
        <w:t>环境影响</w:t>
      </w:r>
      <w:r>
        <w:rPr>
          <w:rFonts w:hint="eastAsia" w:ascii="Arial" w:hAnsi="Arial" w:eastAsia="宋体" w:cs="Arial"/>
          <w:sz w:val="26"/>
          <w:szCs w:val="26"/>
          <w:lang w:val="en-US" w:eastAsia="zh-CN"/>
        </w:rPr>
        <w:t>评价</w:t>
      </w:r>
      <w:r>
        <w:rPr>
          <w:rFonts w:hint="eastAsia" w:ascii="Arial" w:hAnsi="Arial" w:cs="Arial"/>
          <w:sz w:val="26"/>
          <w:szCs w:val="26"/>
          <w:lang w:val="en-US" w:eastAsia="zh-CN"/>
        </w:rPr>
        <w:t>工作</w:t>
      </w:r>
      <w:r>
        <w:rPr>
          <w:rFonts w:hint="eastAsia" w:ascii="Arial" w:hAnsi="Arial" w:eastAsia="宋体" w:cs="Arial"/>
          <w:sz w:val="26"/>
          <w:szCs w:val="26"/>
          <w:lang w:val="en-US" w:eastAsia="zh-CN"/>
        </w:rPr>
        <w:t>等级为</w:t>
      </w:r>
      <w:r>
        <w:rPr>
          <w:rFonts w:hint="eastAsia" w:ascii="Arial" w:hAnsi="Arial" w:cs="Arial"/>
          <w:sz w:val="26"/>
          <w:szCs w:val="26"/>
          <w:lang w:val="en-US" w:eastAsia="zh-CN"/>
        </w:rPr>
        <w:t>二</w:t>
      </w:r>
      <w:r>
        <w:rPr>
          <w:rFonts w:hint="eastAsia" w:ascii="Arial" w:hAnsi="Arial" w:eastAsia="宋体" w:cs="Arial"/>
          <w:sz w:val="26"/>
          <w:szCs w:val="26"/>
          <w:lang w:val="en-US" w:eastAsia="zh-CN"/>
        </w:rPr>
        <w:t>级。</w:t>
      </w:r>
    </w:p>
    <w:p w14:paraId="096C39BC">
      <w:pPr>
        <w:spacing w:line="460" w:lineRule="exact"/>
        <w:ind w:firstLine="384" w:firstLineChars="147"/>
        <w:jc w:val="both"/>
        <w:rPr>
          <w:rFonts w:hint="default"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（2）大气环境</w:t>
      </w:r>
    </w:p>
    <w:p w14:paraId="064033C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本项目</w:t>
      </w:r>
      <w:r>
        <w:rPr>
          <w:rFonts w:hint="eastAsia" w:ascii="Arial" w:hAnsi="Arial" w:cs="Arial"/>
          <w:sz w:val="26"/>
          <w:szCs w:val="26"/>
          <w:lang w:val="en-US" w:eastAsia="zh-CN"/>
        </w:rPr>
        <w:t>属于水源工程</w:t>
      </w:r>
      <w:r>
        <w:rPr>
          <w:rFonts w:hint="eastAsia" w:ascii="Arial" w:hAnsi="Arial" w:eastAsia="宋体" w:cs="Arial"/>
          <w:sz w:val="26"/>
          <w:szCs w:val="26"/>
          <w:lang w:val="en-US" w:eastAsia="zh-CN"/>
        </w:rPr>
        <w:t>，</w:t>
      </w:r>
      <w:r>
        <w:rPr>
          <w:rFonts w:hint="default" w:ascii="Arial" w:hAnsi="Arial" w:eastAsia="宋体" w:cs="Arial"/>
          <w:sz w:val="26"/>
          <w:szCs w:val="26"/>
          <w:lang w:val="en-US" w:eastAsia="zh-CN"/>
        </w:rPr>
        <w:t>运营期自身无</w:t>
      </w:r>
      <w:r>
        <w:rPr>
          <w:rFonts w:hint="eastAsia" w:ascii="Arial" w:hAnsi="Arial" w:cs="Arial"/>
          <w:sz w:val="26"/>
          <w:szCs w:val="26"/>
          <w:lang w:val="en-US" w:eastAsia="zh-CN"/>
        </w:rPr>
        <w:t>工艺</w:t>
      </w:r>
      <w:r>
        <w:rPr>
          <w:rFonts w:hint="default" w:ascii="Arial" w:hAnsi="Arial" w:eastAsia="宋体" w:cs="Arial"/>
          <w:sz w:val="26"/>
          <w:szCs w:val="26"/>
          <w:lang w:val="en-US" w:eastAsia="zh-CN"/>
        </w:rPr>
        <w:t>废气产生，</w:t>
      </w:r>
      <w:r>
        <w:rPr>
          <w:rFonts w:hint="eastAsia" w:ascii="Arial" w:hAnsi="Arial" w:eastAsia="宋体" w:cs="Arial"/>
          <w:sz w:val="26"/>
          <w:szCs w:val="26"/>
          <w:lang w:val="en-US" w:eastAsia="zh-CN"/>
        </w:rPr>
        <w:t xml:space="preserve">根据《环境影响评价技术导则 大气环境》 </w:t>
      </w:r>
      <w:r>
        <w:rPr>
          <w:rFonts w:hint="default" w:ascii="Arial" w:hAnsi="Arial" w:eastAsia="宋体" w:cs="Arial"/>
          <w:sz w:val="26"/>
          <w:szCs w:val="26"/>
          <w:lang w:val="en-US" w:eastAsia="zh-CN"/>
        </w:rPr>
        <w:t>（HJ2.2-2018），确定</w:t>
      </w:r>
      <w:r>
        <w:rPr>
          <w:rFonts w:hint="eastAsia" w:ascii="Arial" w:hAnsi="Arial" w:cs="Arial"/>
          <w:sz w:val="26"/>
          <w:szCs w:val="26"/>
          <w:lang w:val="en-US" w:eastAsia="zh-CN"/>
        </w:rPr>
        <w:t>本</w:t>
      </w:r>
      <w:r>
        <w:rPr>
          <w:rFonts w:hint="default" w:ascii="Arial" w:hAnsi="Arial" w:eastAsia="宋体" w:cs="Arial"/>
          <w:sz w:val="26"/>
          <w:szCs w:val="26"/>
          <w:lang w:val="en-US" w:eastAsia="zh-CN"/>
        </w:rPr>
        <w:t>项目大气环境影响评价</w:t>
      </w:r>
      <w:r>
        <w:rPr>
          <w:rFonts w:hint="eastAsia" w:ascii="Arial" w:hAnsi="Arial" w:cs="Arial"/>
          <w:sz w:val="26"/>
          <w:szCs w:val="26"/>
          <w:lang w:val="en-US" w:eastAsia="zh-CN"/>
        </w:rPr>
        <w:t>工作</w:t>
      </w:r>
      <w:r>
        <w:rPr>
          <w:rFonts w:hint="default" w:ascii="Arial" w:hAnsi="Arial" w:eastAsia="宋体" w:cs="Arial"/>
          <w:sz w:val="26"/>
          <w:szCs w:val="26"/>
          <w:lang w:val="en-US" w:eastAsia="zh-CN"/>
        </w:rPr>
        <w:t xml:space="preserve">等级为三级。 </w:t>
      </w:r>
    </w:p>
    <w:p w14:paraId="3F5CDAEC">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（3）地表水环境</w:t>
      </w:r>
    </w:p>
    <w:p w14:paraId="6FD196A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cs="Arial"/>
          <w:sz w:val="26"/>
          <w:szCs w:val="26"/>
          <w:lang w:val="en-US" w:eastAsia="zh-CN"/>
        </w:rPr>
        <w:t>本项目运营期值班人员生活污水经处理后，交附近居民作农肥，不外排；运营期主要为拦河蓄水、取水。故根据</w:t>
      </w:r>
      <w:r>
        <w:rPr>
          <w:rFonts w:hint="eastAsia" w:ascii="Arial" w:hAnsi="Arial" w:eastAsia="宋体" w:cs="Arial"/>
          <w:sz w:val="26"/>
          <w:szCs w:val="26"/>
          <w:lang w:val="en-US" w:eastAsia="zh-CN"/>
        </w:rPr>
        <w:t>《环境影响评价技术导则 地表水环境》（HJ2.3-2018）和本项目的建设内容，</w:t>
      </w:r>
      <w:r>
        <w:rPr>
          <w:rFonts w:hint="eastAsia" w:ascii="Arial" w:hAnsi="Arial" w:cs="Arial"/>
          <w:sz w:val="26"/>
          <w:szCs w:val="26"/>
          <w:lang w:val="en-US" w:eastAsia="zh-CN"/>
        </w:rPr>
        <w:t>确定本项目属于水文要素影响型建设项目。地表水环境评价等级判定情况如下：</w:t>
      </w:r>
    </w:p>
    <w:p w14:paraId="3DE1836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表1.6-1 水文要素影响型地表水环境评价等级判定表</w:t>
      </w:r>
    </w:p>
    <w:tbl>
      <w:tblPr>
        <w:tblStyle w:val="78"/>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149"/>
        <w:gridCol w:w="1221"/>
        <w:gridCol w:w="908"/>
        <w:gridCol w:w="1742"/>
        <w:gridCol w:w="1846"/>
        <w:gridCol w:w="1850"/>
      </w:tblGrid>
      <w:tr w14:paraId="3930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02" w:type="dxa"/>
            <w:vMerge w:val="restart"/>
            <w:vAlign w:val="center"/>
          </w:tcPr>
          <w:p w14:paraId="51EC71E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评价等级</w:t>
            </w:r>
          </w:p>
        </w:tc>
        <w:tc>
          <w:tcPr>
            <w:tcW w:w="1149" w:type="dxa"/>
            <w:vAlign w:val="center"/>
          </w:tcPr>
          <w:p w14:paraId="669DB75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水温</w:t>
            </w:r>
          </w:p>
        </w:tc>
        <w:tc>
          <w:tcPr>
            <w:tcW w:w="2129" w:type="dxa"/>
            <w:gridSpan w:val="2"/>
            <w:vAlign w:val="center"/>
          </w:tcPr>
          <w:p w14:paraId="4A53CBD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径流</w:t>
            </w:r>
          </w:p>
        </w:tc>
        <w:tc>
          <w:tcPr>
            <w:tcW w:w="5438" w:type="dxa"/>
            <w:gridSpan w:val="3"/>
            <w:vAlign w:val="center"/>
          </w:tcPr>
          <w:p w14:paraId="41B7648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受影响地表水域</w:t>
            </w:r>
          </w:p>
        </w:tc>
      </w:tr>
      <w:tr w14:paraId="6E2B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02" w:type="dxa"/>
            <w:vMerge w:val="continue"/>
            <w:vAlign w:val="center"/>
          </w:tcPr>
          <w:p w14:paraId="527A7B5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149" w:type="dxa"/>
            <w:vMerge w:val="restart"/>
            <w:vAlign w:val="center"/>
          </w:tcPr>
          <w:p w14:paraId="6E86373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年径流量与总库容之比α</w:t>
            </w:r>
          </w:p>
        </w:tc>
        <w:tc>
          <w:tcPr>
            <w:tcW w:w="1221" w:type="dxa"/>
            <w:vMerge w:val="restart"/>
            <w:vAlign w:val="center"/>
          </w:tcPr>
          <w:p w14:paraId="655603A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兴利库容占年径流量百分比β/%</w:t>
            </w:r>
          </w:p>
        </w:tc>
        <w:tc>
          <w:tcPr>
            <w:tcW w:w="908" w:type="dxa"/>
            <w:vMerge w:val="restart"/>
            <w:vAlign w:val="center"/>
          </w:tcPr>
          <w:p w14:paraId="3E3136B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取水量占多年平均径流量百分比γ/%</w:t>
            </w:r>
          </w:p>
        </w:tc>
        <w:tc>
          <w:tcPr>
            <w:tcW w:w="3588" w:type="dxa"/>
            <w:gridSpan w:val="2"/>
            <w:vAlign w:val="center"/>
          </w:tcPr>
          <w:p w14:paraId="627E081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color w:val="auto"/>
                <w:sz w:val="22"/>
                <w:szCs w:val="22"/>
                <w:vertAlign w:val="baseline"/>
                <w:lang w:val="en-US" w:eastAsia="zh-CN"/>
              </w:rPr>
              <w:t>工程垂直投影面积及外扩范围A</w:t>
            </w:r>
            <w:r>
              <w:rPr>
                <w:rFonts w:hint="default" w:ascii="Arial" w:hAnsi="Arial" w:cs="Arial"/>
                <w:color w:val="auto"/>
                <w:sz w:val="22"/>
                <w:szCs w:val="22"/>
                <w:vertAlign w:val="subscript"/>
                <w:lang w:val="en-US" w:eastAsia="zh-CN"/>
              </w:rPr>
              <w:t>1</w:t>
            </w:r>
            <w:r>
              <w:rPr>
                <w:rFonts w:hint="default" w:ascii="Arial" w:hAnsi="Arial" w:eastAsia="宋体" w:cs="Arial"/>
                <w:color w:val="auto"/>
                <w:sz w:val="22"/>
                <w:szCs w:val="22"/>
                <w:vertAlign w:val="baseline"/>
                <w:lang w:val="en-US" w:eastAsia="zh-CN"/>
              </w:rPr>
              <w:t>/km</w:t>
            </w:r>
            <w:r>
              <w:rPr>
                <w:rFonts w:hint="default" w:ascii="Arial" w:hAnsi="Arial" w:eastAsia="宋体" w:cs="Arial"/>
                <w:color w:val="auto"/>
                <w:sz w:val="22"/>
                <w:szCs w:val="22"/>
                <w:vertAlign w:val="superscript"/>
                <w:lang w:val="en-US" w:eastAsia="zh-CN"/>
              </w:rPr>
              <w:t>2</w:t>
            </w:r>
            <w:r>
              <w:rPr>
                <w:rFonts w:hint="default" w:ascii="Arial" w:hAnsi="Arial" w:cs="Arial"/>
                <w:color w:val="auto"/>
                <w:sz w:val="22"/>
                <w:szCs w:val="22"/>
                <w:vertAlign w:val="baseline"/>
                <w:lang w:val="en-US" w:eastAsia="zh-CN"/>
              </w:rPr>
              <w:t>；</w:t>
            </w:r>
            <w:r>
              <w:rPr>
                <w:rFonts w:hint="default" w:ascii="Arial" w:hAnsi="Arial" w:eastAsia="宋体" w:cs="Arial"/>
                <w:color w:val="auto"/>
                <w:sz w:val="22"/>
                <w:szCs w:val="22"/>
                <w:vertAlign w:val="baseline"/>
                <w:lang w:val="en-US" w:eastAsia="zh-CN"/>
              </w:rPr>
              <w:t>工程扰动水底面积A</w:t>
            </w:r>
            <w:r>
              <w:rPr>
                <w:rFonts w:hint="default" w:ascii="Arial" w:hAnsi="Arial" w:eastAsia="宋体" w:cs="Arial"/>
                <w:color w:val="auto"/>
                <w:sz w:val="22"/>
                <w:szCs w:val="22"/>
                <w:vertAlign w:val="subscript"/>
                <w:lang w:val="en-US" w:eastAsia="zh-CN"/>
              </w:rPr>
              <w:t>2</w:t>
            </w:r>
            <w:r>
              <w:rPr>
                <w:rFonts w:hint="default" w:ascii="Arial" w:hAnsi="Arial" w:eastAsia="宋体" w:cs="Arial"/>
                <w:color w:val="auto"/>
                <w:sz w:val="22"/>
                <w:szCs w:val="22"/>
                <w:vertAlign w:val="baseline"/>
                <w:lang w:val="en-US" w:eastAsia="zh-CN"/>
              </w:rPr>
              <w:t>/km</w:t>
            </w:r>
            <w:r>
              <w:rPr>
                <w:rFonts w:hint="default" w:ascii="Arial" w:hAnsi="Arial" w:eastAsia="宋体" w:cs="Arial"/>
                <w:color w:val="auto"/>
                <w:sz w:val="22"/>
                <w:szCs w:val="22"/>
                <w:vertAlign w:val="superscript"/>
                <w:lang w:val="en-US" w:eastAsia="zh-CN"/>
              </w:rPr>
              <w:t>2</w:t>
            </w:r>
            <w:r>
              <w:rPr>
                <w:rFonts w:hint="default" w:ascii="Arial" w:hAnsi="Arial" w:cs="Arial"/>
                <w:color w:val="auto"/>
                <w:sz w:val="22"/>
                <w:szCs w:val="22"/>
                <w:vertAlign w:val="baseline"/>
                <w:lang w:val="en-US" w:eastAsia="zh-CN"/>
              </w:rPr>
              <w:t>；</w:t>
            </w:r>
            <w:r>
              <w:rPr>
                <w:rFonts w:hint="default" w:ascii="Arial" w:hAnsi="Arial" w:eastAsia="宋体" w:cs="Arial"/>
                <w:color w:val="auto"/>
                <w:sz w:val="22"/>
                <w:szCs w:val="22"/>
                <w:vertAlign w:val="baseline"/>
                <w:lang w:val="en-US" w:eastAsia="zh-CN"/>
              </w:rPr>
              <w:t xml:space="preserve"> 过水断面宽度占用比例或占用水域面积比例R/%</w:t>
            </w:r>
          </w:p>
          <w:p w14:paraId="6A20D73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850" w:type="dxa"/>
            <w:vAlign w:val="center"/>
          </w:tcPr>
          <w:p w14:paraId="47140D1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color w:val="auto"/>
                <w:sz w:val="22"/>
                <w:szCs w:val="22"/>
                <w:vertAlign w:val="baseline"/>
                <w:lang w:val="en-US" w:eastAsia="zh-CN"/>
              </w:rPr>
              <w:t>工程垂直投影面积及外扩范围A</w:t>
            </w:r>
            <w:r>
              <w:rPr>
                <w:rFonts w:hint="default" w:ascii="Arial" w:hAnsi="Arial" w:cs="Arial"/>
                <w:color w:val="auto"/>
                <w:sz w:val="22"/>
                <w:szCs w:val="22"/>
                <w:vertAlign w:val="subscript"/>
                <w:lang w:val="en-US" w:eastAsia="zh-CN"/>
              </w:rPr>
              <w:t>1</w:t>
            </w:r>
            <w:r>
              <w:rPr>
                <w:rFonts w:hint="default" w:ascii="Arial" w:hAnsi="Arial" w:eastAsia="宋体" w:cs="Arial"/>
                <w:color w:val="auto"/>
                <w:sz w:val="22"/>
                <w:szCs w:val="22"/>
                <w:vertAlign w:val="baseline"/>
                <w:lang w:val="en-US" w:eastAsia="zh-CN"/>
              </w:rPr>
              <w:t>/km</w:t>
            </w:r>
            <w:r>
              <w:rPr>
                <w:rFonts w:hint="default" w:ascii="Arial" w:hAnsi="Arial" w:eastAsia="宋体" w:cs="Arial"/>
                <w:color w:val="auto"/>
                <w:sz w:val="22"/>
                <w:szCs w:val="22"/>
                <w:vertAlign w:val="superscript"/>
                <w:lang w:val="en-US" w:eastAsia="zh-CN"/>
              </w:rPr>
              <w:t>2</w:t>
            </w:r>
            <w:r>
              <w:rPr>
                <w:rFonts w:hint="default" w:ascii="Arial" w:hAnsi="Arial" w:cs="Arial"/>
                <w:color w:val="auto"/>
                <w:sz w:val="22"/>
                <w:szCs w:val="22"/>
                <w:vertAlign w:val="baseline"/>
                <w:lang w:val="en-US" w:eastAsia="zh-CN"/>
              </w:rPr>
              <w:t>；</w:t>
            </w:r>
            <w:r>
              <w:rPr>
                <w:rFonts w:hint="default" w:ascii="Arial" w:hAnsi="Arial" w:eastAsia="宋体" w:cs="Arial"/>
                <w:color w:val="auto"/>
                <w:sz w:val="22"/>
                <w:szCs w:val="22"/>
                <w:vertAlign w:val="baseline"/>
                <w:lang w:val="en-US" w:eastAsia="zh-CN"/>
              </w:rPr>
              <w:t>工程扰动水底面积A</w:t>
            </w:r>
            <w:r>
              <w:rPr>
                <w:rFonts w:hint="default" w:ascii="Arial" w:hAnsi="Arial" w:eastAsia="宋体" w:cs="Arial"/>
                <w:color w:val="auto"/>
                <w:sz w:val="22"/>
                <w:szCs w:val="22"/>
                <w:vertAlign w:val="subscript"/>
                <w:lang w:val="en-US" w:eastAsia="zh-CN"/>
              </w:rPr>
              <w:t>2</w:t>
            </w:r>
            <w:r>
              <w:rPr>
                <w:rFonts w:hint="default" w:ascii="Arial" w:hAnsi="Arial" w:eastAsia="宋体" w:cs="Arial"/>
                <w:color w:val="auto"/>
                <w:sz w:val="22"/>
                <w:szCs w:val="22"/>
                <w:vertAlign w:val="baseline"/>
                <w:lang w:val="en-US" w:eastAsia="zh-CN"/>
              </w:rPr>
              <w:t>/km</w:t>
            </w:r>
            <w:r>
              <w:rPr>
                <w:rFonts w:hint="default" w:ascii="Arial" w:hAnsi="Arial" w:eastAsia="宋体" w:cs="Arial"/>
                <w:color w:val="auto"/>
                <w:sz w:val="22"/>
                <w:szCs w:val="22"/>
                <w:vertAlign w:val="superscript"/>
                <w:lang w:val="en-US" w:eastAsia="zh-CN"/>
              </w:rPr>
              <w:t>2</w:t>
            </w:r>
          </w:p>
        </w:tc>
      </w:tr>
      <w:tr w14:paraId="62CE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14:paraId="2EAC875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149" w:type="dxa"/>
            <w:vMerge w:val="continue"/>
            <w:vAlign w:val="center"/>
          </w:tcPr>
          <w:p w14:paraId="7F654A3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221" w:type="dxa"/>
            <w:vMerge w:val="continue"/>
            <w:vAlign w:val="center"/>
          </w:tcPr>
          <w:p w14:paraId="4D8A2EA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908" w:type="dxa"/>
            <w:vMerge w:val="continue"/>
            <w:vAlign w:val="center"/>
          </w:tcPr>
          <w:p w14:paraId="6D1F9D4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742" w:type="dxa"/>
            <w:vAlign w:val="center"/>
          </w:tcPr>
          <w:p w14:paraId="3BAD5E9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河流</w:t>
            </w:r>
          </w:p>
        </w:tc>
        <w:tc>
          <w:tcPr>
            <w:tcW w:w="1846" w:type="dxa"/>
            <w:vAlign w:val="center"/>
          </w:tcPr>
          <w:p w14:paraId="4A6DAE7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湖库</w:t>
            </w:r>
          </w:p>
        </w:tc>
        <w:tc>
          <w:tcPr>
            <w:tcW w:w="1850" w:type="dxa"/>
            <w:vAlign w:val="center"/>
          </w:tcPr>
          <w:p w14:paraId="72E7038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入海河口、近岸海域</w:t>
            </w:r>
          </w:p>
        </w:tc>
      </w:tr>
      <w:tr w14:paraId="3CE6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4E438F6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color w:val="auto"/>
                <w:sz w:val="22"/>
                <w:szCs w:val="22"/>
                <w:vertAlign w:val="baseline"/>
                <w:lang w:val="en-US" w:eastAsia="zh-CN"/>
              </w:rPr>
              <w:t>一级</w:t>
            </w:r>
          </w:p>
        </w:tc>
        <w:tc>
          <w:tcPr>
            <w:tcW w:w="1149" w:type="dxa"/>
            <w:vAlign w:val="center"/>
          </w:tcPr>
          <w:p w14:paraId="36B30C2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α</w:t>
            </w:r>
            <w:r>
              <w:rPr>
                <w:rFonts w:hint="eastAsia" w:ascii="宋体" w:hAnsi="宋体" w:eastAsia="宋体" w:cs="宋体"/>
                <w:color w:val="auto"/>
                <w:sz w:val="22"/>
                <w:szCs w:val="22"/>
                <w:vertAlign w:val="baseline"/>
                <w:lang w:val="en-US" w:eastAsia="zh-CN"/>
              </w:rPr>
              <w:t>≤</w:t>
            </w:r>
            <w:r>
              <w:rPr>
                <w:rFonts w:hint="default" w:ascii="Arial" w:hAnsi="Arial" w:cs="Arial"/>
                <w:color w:val="auto"/>
                <w:sz w:val="22"/>
                <w:szCs w:val="22"/>
                <w:vertAlign w:val="baseline"/>
                <w:lang w:val="en-US" w:eastAsia="zh-CN"/>
              </w:rPr>
              <w:t>10；或稳定分层</w:t>
            </w:r>
          </w:p>
        </w:tc>
        <w:tc>
          <w:tcPr>
            <w:tcW w:w="1221" w:type="dxa"/>
            <w:shd w:val="clear" w:color="auto" w:fill="auto"/>
            <w:vAlign w:val="center"/>
          </w:tcPr>
          <w:p w14:paraId="3A72352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23"/>
                <w:sz w:val="22"/>
                <w:szCs w:val="22"/>
              </w:rPr>
              <w:t>β</w:t>
            </w:r>
            <w:r>
              <w:rPr>
                <w:rFonts w:hint="eastAsia" w:ascii="宋体" w:hAnsi="宋体" w:eastAsia="宋体" w:cs="宋体"/>
                <w:color w:val="auto"/>
                <w:spacing w:val="-23"/>
                <w:sz w:val="22"/>
                <w:szCs w:val="22"/>
              </w:rPr>
              <w:t>≥</w:t>
            </w:r>
            <w:r>
              <w:rPr>
                <w:rFonts w:hint="default" w:ascii="Arial" w:hAnsi="Arial" w:cs="Arial"/>
                <w:color w:val="auto"/>
                <w:spacing w:val="-23"/>
                <w:sz w:val="22"/>
                <w:szCs w:val="22"/>
              </w:rPr>
              <w:t>2</w:t>
            </w:r>
            <w:r>
              <w:rPr>
                <w:rFonts w:hint="default" w:ascii="Arial" w:hAnsi="Arial" w:cs="Arial"/>
                <w:color w:val="auto"/>
                <w:spacing w:val="-22"/>
                <w:sz w:val="22"/>
                <w:szCs w:val="22"/>
              </w:rPr>
              <w:t>0</w:t>
            </w:r>
            <w:r>
              <w:rPr>
                <w:rFonts w:hint="default" w:ascii="Arial" w:hAnsi="Arial" w:cs="Arial"/>
                <w:color w:val="auto"/>
                <w:spacing w:val="-22"/>
                <w:sz w:val="22"/>
                <w:szCs w:val="22"/>
                <w:lang w:eastAsia="zh-CN"/>
              </w:rPr>
              <w:t>；</w:t>
            </w:r>
            <w:r>
              <w:rPr>
                <w:rFonts w:hint="default" w:ascii="Arial" w:hAnsi="Arial" w:cs="Arial"/>
                <w:color w:val="auto"/>
                <w:spacing w:val="-22"/>
                <w:sz w:val="22"/>
                <w:szCs w:val="22"/>
              </w:rPr>
              <w:t>或完</w:t>
            </w:r>
          </w:p>
          <w:p w14:paraId="16B52AC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4"/>
                <w:sz w:val="22"/>
                <w:szCs w:val="22"/>
              </w:rPr>
              <w:t>年调节与多</w:t>
            </w:r>
            <w:r>
              <w:rPr>
                <w:rFonts w:hint="default" w:ascii="Arial" w:hAnsi="Arial" w:cs="Arial"/>
                <w:color w:val="auto"/>
                <w:spacing w:val="3"/>
                <w:sz w:val="22"/>
                <w:szCs w:val="22"/>
              </w:rPr>
              <w:t>年调节</w:t>
            </w:r>
          </w:p>
        </w:tc>
        <w:tc>
          <w:tcPr>
            <w:tcW w:w="908" w:type="dxa"/>
            <w:shd w:val="clear" w:color="auto" w:fill="auto"/>
            <w:vAlign w:val="center"/>
          </w:tcPr>
          <w:p w14:paraId="7B14089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p>
          <w:p w14:paraId="01FD9E87">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z w:val="22"/>
                <w:szCs w:val="22"/>
                <w:vertAlign w:val="baseline"/>
                <w:lang w:val="en-US" w:eastAsia="zh-CN"/>
              </w:rPr>
              <w:t>γ</w:t>
            </w:r>
            <w:r>
              <w:rPr>
                <w:rFonts w:hint="eastAsia" w:ascii="宋体" w:hAnsi="宋体" w:eastAsia="宋体" w:cs="宋体"/>
                <w:color w:val="auto"/>
                <w:spacing w:val="-2"/>
                <w:sz w:val="22"/>
                <w:szCs w:val="22"/>
              </w:rPr>
              <w:t>≥</w:t>
            </w:r>
            <w:r>
              <w:rPr>
                <w:rFonts w:hint="default" w:ascii="Arial" w:hAnsi="Arial" w:cs="Arial"/>
                <w:color w:val="auto"/>
                <w:spacing w:val="-2"/>
                <w:sz w:val="22"/>
                <w:szCs w:val="22"/>
              </w:rPr>
              <w:t>30</w:t>
            </w:r>
          </w:p>
        </w:tc>
        <w:tc>
          <w:tcPr>
            <w:tcW w:w="1742" w:type="dxa"/>
            <w:shd w:val="clear" w:color="auto" w:fill="auto"/>
            <w:vAlign w:val="center"/>
          </w:tcPr>
          <w:p w14:paraId="6AB72A4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1"/>
                <w:sz w:val="22"/>
                <w:szCs w:val="22"/>
              </w:rPr>
              <w:t>A</w:t>
            </w:r>
            <w:r>
              <w:rPr>
                <w:rFonts w:hint="default" w:ascii="Arial" w:hAnsi="Arial" w:cs="Arial"/>
                <w:color w:val="auto"/>
                <w:spacing w:val="-1"/>
                <w:sz w:val="22"/>
                <w:szCs w:val="22"/>
                <w:vertAlign w:val="subscript"/>
                <w:lang w:val="en-US" w:eastAsia="zh-CN"/>
              </w:rPr>
              <w:t>1</w:t>
            </w:r>
            <w:r>
              <w:rPr>
                <w:rFonts w:hint="eastAsia" w:ascii="宋体" w:hAnsi="宋体" w:eastAsia="宋体" w:cs="宋体"/>
                <w:color w:val="auto"/>
                <w:spacing w:val="-1"/>
                <w:sz w:val="22"/>
                <w:szCs w:val="22"/>
              </w:rPr>
              <w:t>≥</w:t>
            </w:r>
            <w:r>
              <w:rPr>
                <w:rFonts w:hint="default" w:ascii="Arial" w:hAnsi="Arial" w:cs="Arial"/>
                <w:color w:val="auto"/>
                <w:spacing w:val="-1"/>
                <w:sz w:val="22"/>
                <w:szCs w:val="22"/>
              </w:rPr>
              <w:t>0.3</w:t>
            </w:r>
            <w:r>
              <w:rPr>
                <w:rFonts w:hint="default" w:ascii="Arial" w:hAnsi="Arial" w:cs="Arial"/>
                <w:color w:val="auto"/>
                <w:spacing w:val="-1"/>
                <w:sz w:val="22"/>
                <w:szCs w:val="22"/>
                <w:lang w:eastAsia="zh-CN"/>
              </w:rPr>
              <w:t>；</w:t>
            </w:r>
            <w:r>
              <w:rPr>
                <w:rFonts w:hint="default" w:ascii="Arial" w:hAnsi="Arial" w:cs="Arial"/>
                <w:color w:val="auto"/>
                <w:spacing w:val="13"/>
                <w:sz w:val="22"/>
                <w:szCs w:val="22"/>
              </w:rPr>
              <w:t>或</w:t>
            </w:r>
            <w:r>
              <w:rPr>
                <w:rFonts w:hint="eastAsia" w:ascii="Arial" w:hAnsi="Arial" w:cs="Arial"/>
                <w:color w:val="auto"/>
                <w:spacing w:val="13"/>
                <w:sz w:val="22"/>
                <w:szCs w:val="22"/>
                <w:lang w:val="en-US" w:eastAsia="zh-CN"/>
              </w:rPr>
              <w:t>A</w:t>
            </w:r>
            <w:r>
              <w:rPr>
                <w:rFonts w:hint="eastAsia" w:ascii="Arial" w:hAnsi="Arial" w:cs="Arial"/>
                <w:color w:val="auto"/>
                <w:spacing w:val="13"/>
                <w:sz w:val="22"/>
                <w:szCs w:val="22"/>
                <w:vertAlign w:val="subscript"/>
                <w:lang w:val="en-US" w:eastAsia="zh-CN"/>
              </w:rPr>
              <w:t>2</w:t>
            </w:r>
            <w:r>
              <w:rPr>
                <w:rFonts w:hint="eastAsia" w:ascii="宋体" w:hAnsi="宋体" w:eastAsia="宋体" w:cs="宋体"/>
                <w:color w:val="auto"/>
                <w:spacing w:val="13"/>
                <w:sz w:val="22"/>
                <w:szCs w:val="22"/>
              </w:rPr>
              <w:t>≥</w:t>
            </w:r>
            <w:r>
              <w:rPr>
                <w:rFonts w:hint="default" w:ascii="Arial" w:hAnsi="Arial" w:cs="Arial"/>
                <w:color w:val="auto"/>
                <w:spacing w:val="13"/>
                <w:sz w:val="22"/>
                <w:szCs w:val="22"/>
              </w:rPr>
              <w:t>1.5</w:t>
            </w:r>
            <w:r>
              <w:rPr>
                <w:rFonts w:hint="eastAsia" w:ascii="Arial" w:hAnsi="Arial" w:cs="Arial"/>
                <w:color w:val="auto"/>
                <w:spacing w:val="13"/>
                <w:sz w:val="22"/>
                <w:szCs w:val="22"/>
                <w:lang w:eastAsia="zh-CN"/>
              </w:rPr>
              <w:t>；</w:t>
            </w:r>
          </w:p>
          <w:p w14:paraId="01BA5DBA">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2"/>
                <w:sz w:val="22"/>
                <w:szCs w:val="22"/>
              </w:rPr>
              <w:t>或R</w:t>
            </w:r>
            <w:r>
              <w:rPr>
                <w:rFonts w:hint="eastAsia" w:ascii="宋体" w:hAnsi="宋体" w:eastAsia="宋体" w:cs="宋体"/>
                <w:color w:val="auto"/>
                <w:spacing w:val="2"/>
                <w:sz w:val="22"/>
                <w:szCs w:val="22"/>
              </w:rPr>
              <w:t>≥</w:t>
            </w:r>
            <w:r>
              <w:rPr>
                <w:rFonts w:hint="default" w:ascii="Arial" w:hAnsi="Arial" w:cs="Arial"/>
                <w:color w:val="auto"/>
                <w:spacing w:val="2"/>
                <w:sz w:val="22"/>
                <w:szCs w:val="22"/>
              </w:rPr>
              <w:t>10</w:t>
            </w:r>
          </w:p>
        </w:tc>
        <w:tc>
          <w:tcPr>
            <w:tcW w:w="1846" w:type="dxa"/>
            <w:shd w:val="clear" w:color="auto" w:fill="auto"/>
            <w:vAlign w:val="center"/>
          </w:tcPr>
          <w:p w14:paraId="3451BB3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z w:val="22"/>
                <w:szCs w:val="22"/>
              </w:rPr>
              <w:t>A</w:t>
            </w:r>
            <w:r>
              <w:rPr>
                <w:rFonts w:hint="eastAsia" w:ascii="Arial" w:hAnsi="Arial" w:cs="Arial"/>
                <w:color w:val="auto"/>
                <w:sz w:val="22"/>
                <w:szCs w:val="22"/>
                <w:vertAlign w:val="subscript"/>
                <w:lang w:val="en-US" w:eastAsia="zh-CN"/>
              </w:rPr>
              <w:t>1</w:t>
            </w:r>
            <w:r>
              <w:rPr>
                <w:rFonts w:hint="eastAsia" w:ascii="宋体" w:hAnsi="宋体" w:eastAsia="宋体" w:cs="宋体"/>
                <w:color w:val="auto"/>
                <w:sz w:val="22"/>
                <w:szCs w:val="22"/>
              </w:rPr>
              <w:t>≥</w:t>
            </w:r>
            <w:r>
              <w:rPr>
                <w:rFonts w:hint="default" w:ascii="Arial" w:hAnsi="Arial" w:cs="Arial"/>
                <w:color w:val="auto"/>
                <w:sz w:val="22"/>
                <w:szCs w:val="22"/>
              </w:rPr>
              <w:t>0.3</w:t>
            </w:r>
            <w:r>
              <w:rPr>
                <w:rFonts w:hint="eastAsia" w:ascii="Arial" w:hAnsi="Arial" w:cs="Arial"/>
                <w:color w:val="auto"/>
                <w:sz w:val="22"/>
                <w:szCs w:val="22"/>
                <w:lang w:eastAsia="zh-CN"/>
              </w:rPr>
              <w:t>；</w:t>
            </w:r>
          </w:p>
          <w:p w14:paraId="79A48FD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6"/>
                <w:sz w:val="22"/>
                <w:szCs w:val="22"/>
              </w:rPr>
              <w:t>或A</w:t>
            </w:r>
            <w:r>
              <w:rPr>
                <w:rFonts w:hint="default" w:ascii="Arial" w:hAnsi="Arial" w:cs="Arial"/>
                <w:color w:val="auto"/>
                <w:spacing w:val="6"/>
                <w:sz w:val="22"/>
                <w:szCs w:val="22"/>
                <w:vertAlign w:val="subscript"/>
              </w:rPr>
              <w:t>2</w:t>
            </w:r>
            <w:r>
              <w:rPr>
                <w:rFonts w:hint="eastAsia" w:ascii="宋体" w:hAnsi="宋体" w:eastAsia="宋体" w:cs="宋体"/>
                <w:color w:val="auto"/>
                <w:spacing w:val="6"/>
                <w:sz w:val="22"/>
                <w:szCs w:val="22"/>
              </w:rPr>
              <w:t>≥</w:t>
            </w:r>
            <w:r>
              <w:rPr>
                <w:rFonts w:hint="default" w:ascii="Arial" w:hAnsi="Arial" w:cs="Arial"/>
                <w:color w:val="auto"/>
                <w:spacing w:val="6"/>
                <w:sz w:val="22"/>
                <w:szCs w:val="22"/>
              </w:rPr>
              <w:t>1.5</w:t>
            </w:r>
            <w:r>
              <w:rPr>
                <w:rFonts w:hint="eastAsia" w:ascii="Arial" w:hAnsi="Arial" w:cs="Arial"/>
                <w:color w:val="auto"/>
                <w:spacing w:val="6"/>
                <w:sz w:val="22"/>
                <w:szCs w:val="22"/>
                <w:lang w:eastAsia="zh-CN"/>
              </w:rPr>
              <w:t>；</w:t>
            </w:r>
          </w:p>
          <w:p w14:paraId="140E392D">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2"/>
                <w:sz w:val="22"/>
                <w:szCs w:val="22"/>
              </w:rPr>
              <w:t>或R</w:t>
            </w:r>
            <w:r>
              <w:rPr>
                <w:rFonts w:hint="eastAsia" w:ascii="宋体" w:hAnsi="宋体" w:eastAsia="宋体" w:cs="宋体"/>
                <w:color w:val="auto"/>
                <w:spacing w:val="2"/>
                <w:sz w:val="22"/>
                <w:szCs w:val="22"/>
              </w:rPr>
              <w:t>≥</w:t>
            </w:r>
            <w:r>
              <w:rPr>
                <w:rFonts w:hint="default" w:ascii="Arial" w:hAnsi="Arial" w:cs="Arial"/>
                <w:color w:val="auto"/>
                <w:spacing w:val="2"/>
                <w:sz w:val="22"/>
                <w:szCs w:val="22"/>
              </w:rPr>
              <w:t>20</w:t>
            </w:r>
          </w:p>
        </w:tc>
        <w:tc>
          <w:tcPr>
            <w:tcW w:w="1850" w:type="dxa"/>
            <w:shd w:val="clear" w:color="auto" w:fill="auto"/>
            <w:vAlign w:val="center"/>
          </w:tcPr>
          <w:p w14:paraId="6482BFDA">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
                <w:sz w:val="22"/>
                <w:szCs w:val="22"/>
              </w:rPr>
              <w:t>A</w:t>
            </w:r>
            <w:r>
              <w:rPr>
                <w:rFonts w:hint="eastAsia" w:ascii="Arial" w:hAnsi="Arial" w:cs="Arial"/>
                <w:color w:val="auto"/>
                <w:spacing w:val="-1"/>
                <w:sz w:val="22"/>
                <w:szCs w:val="22"/>
                <w:vertAlign w:val="subscript"/>
                <w:lang w:val="en-US" w:eastAsia="zh-CN"/>
              </w:rPr>
              <w:t>1</w:t>
            </w:r>
            <w:r>
              <w:rPr>
                <w:rFonts w:hint="eastAsia" w:ascii="宋体" w:hAnsi="宋体" w:eastAsia="宋体" w:cs="宋体"/>
                <w:color w:val="auto"/>
                <w:spacing w:val="-1"/>
                <w:sz w:val="22"/>
                <w:szCs w:val="22"/>
              </w:rPr>
              <w:t>≥</w:t>
            </w:r>
            <w:r>
              <w:rPr>
                <w:rFonts w:hint="default" w:ascii="Arial" w:hAnsi="Arial" w:cs="Arial"/>
                <w:color w:val="auto"/>
                <w:spacing w:val="-1"/>
                <w:sz w:val="22"/>
                <w:szCs w:val="22"/>
              </w:rPr>
              <w:t>0.5</w:t>
            </w:r>
            <w:r>
              <w:rPr>
                <w:rFonts w:hint="eastAsia" w:ascii="Arial" w:hAnsi="Arial" w:cs="Arial"/>
                <w:color w:val="auto"/>
                <w:spacing w:val="-1"/>
                <w:sz w:val="22"/>
                <w:szCs w:val="22"/>
                <w:lang w:eastAsia="zh-CN"/>
              </w:rPr>
              <w:t>；</w:t>
            </w:r>
            <w:r>
              <w:rPr>
                <w:rFonts w:hint="default" w:ascii="Arial" w:hAnsi="Arial" w:cs="Arial"/>
                <w:color w:val="auto"/>
                <w:spacing w:val="3"/>
                <w:sz w:val="22"/>
                <w:szCs w:val="22"/>
              </w:rPr>
              <w:t>或A</w:t>
            </w:r>
            <w:r>
              <w:rPr>
                <w:rFonts w:hint="eastAsia" w:ascii="Arial" w:hAnsi="Arial" w:cs="Arial"/>
                <w:color w:val="auto"/>
                <w:spacing w:val="3"/>
                <w:sz w:val="22"/>
                <w:szCs w:val="22"/>
                <w:vertAlign w:val="subscript"/>
                <w:lang w:val="en-US" w:eastAsia="zh-CN"/>
              </w:rPr>
              <w:t>2</w:t>
            </w:r>
            <w:r>
              <w:rPr>
                <w:rFonts w:hint="eastAsia" w:ascii="宋体" w:hAnsi="宋体" w:eastAsia="宋体" w:cs="宋体"/>
                <w:color w:val="auto"/>
                <w:spacing w:val="3"/>
                <w:sz w:val="22"/>
                <w:szCs w:val="22"/>
              </w:rPr>
              <w:t>≥</w:t>
            </w:r>
            <w:r>
              <w:rPr>
                <w:rFonts w:hint="default" w:ascii="Arial" w:hAnsi="Arial" w:cs="Arial"/>
                <w:color w:val="auto"/>
                <w:spacing w:val="3"/>
                <w:sz w:val="22"/>
                <w:szCs w:val="22"/>
              </w:rPr>
              <w:t>3</w:t>
            </w:r>
          </w:p>
        </w:tc>
      </w:tr>
      <w:tr w14:paraId="5FE2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383ED0E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color w:val="auto"/>
                <w:sz w:val="22"/>
                <w:szCs w:val="22"/>
                <w:vertAlign w:val="baseline"/>
                <w:lang w:val="en-US" w:eastAsia="zh-CN"/>
              </w:rPr>
              <w:t>二级</w:t>
            </w:r>
          </w:p>
        </w:tc>
        <w:tc>
          <w:tcPr>
            <w:tcW w:w="1149" w:type="dxa"/>
            <w:vAlign w:val="center"/>
          </w:tcPr>
          <w:p w14:paraId="5689445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20&gt;α&gt;10；或不稳定分层</w:t>
            </w:r>
          </w:p>
        </w:tc>
        <w:tc>
          <w:tcPr>
            <w:tcW w:w="1221" w:type="dxa"/>
            <w:shd w:val="clear" w:color="auto" w:fill="auto"/>
            <w:vAlign w:val="center"/>
          </w:tcPr>
          <w:p w14:paraId="173909D7">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
                <w:sz w:val="22"/>
                <w:szCs w:val="22"/>
              </w:rPr>
              <w:t>20&gt;β&gt;2</w:t>
            </w:r>
            <w:r>
              <w:rPr>
                <w:rFonts w:hint="default" w:ascii="Arial" w:hAnsi="Arial" w:cs="Arial"/>
                <w:color w:val="auto"/>
                <w:spacing w:val="1"/>
                <w:sz w:val="22"/>
                <w:szCs w:val="22"/>
                <w:lang w:eastAsia="zh-CN"/>
              </w:rPr>
              <w:t>；</w:t>
            </w:r>
            <w:r>
              <w:rPr>
                <w:rFonts w:hint="default" w:ascii="Arial" w:hAnsi="Arial" w:cs="Arial"/>
                <w:color w:val="auto"/>
                <w:spacing w:val="1"/>
                <w:sz w:val="22"/>
                <w:szCs w:val="22"/>
              </w:rPr>
              <w:t>或</w:t>
            </w:r>
            <w:r>
              <w:rPr>
                <w:rFonts w:hint="default" w:ascii="Arial" w:hAnsi="Arial" w:cs="Arial"/>
                <w:color w:val="auto"/>
                <w:spacing w:val="2"/>
                <w:sz w:val="22"/>
                <w:szCs w:val="22"/>
              </w:rPr>
              <w:t>季调节与不完全年调节</w:t>
            </w:r>
          </w:p>
        </w:tc>
        <w:tc>
          <w:tcPr>
            <w:tcW w:w="908" w:type="dxa"/>
            <w:shd w:val="clear" w:color="auto" w:fill="auto"/>
            <w:vAlign w:val="center"/>
          </w:tcPr>
          <w:p w14:paraId="578DF2B0">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3"/>
                <w:sz w:val="22"/>
                <w:szCs w:val="22"/>
              </w:rPr>
              <w:t>30&gt;γ&gt;</w:t>
            </w:r>
            <w:r>
              <w:rPr>
                <w:rFonts w:hint="default" w:ascii="Arial" w:hAnsi="Arial" w:cs="Arial"/>
                <w:color w:val="auto"/>
                <w:spacing w:val="1"/>
                <w:sz w:val="22"/>
                <w:szCs w:val="22"/>
              </w:rPr>
              <w:t xml:space="preserve"> </w:t>
            </w:r>
            <w:r>
              <w:rPr>
                <w:rFonts w:hint="default" w:ascii="Arial" w:hAnsi="Arial" w:cs="Arial"/>
                <w:color w:val="auto"/>
                <w:spacing w:val="-7"/>
                <w:sz w:val="22"/>
                <w:szCs w:val="22"/>
              </w:rPr>
              <w:t>10</w:t>
            </w:r>
          </w:p>
        </w:tc>
        <w:tc>
          <w:tcPr>
            <w:tcW w:w="1742" w:type="dxa"/>
            <w:shd w:val="clear" w:color="auto" w:fill="auto"/>
            <w:vAlign w:val="center"/>
          </w:tcPr>
          <w:p w14:paraId="501A26E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1"/>
                <w:sz w:val="22"/>
                <w:szCs w:val="22"/>
              </w:rPr>
              <w:t>0.3&gt;A</w:t>
            </w:r>
            <w:r>
              <w:rPr>
                <w:rFonts w:hint="eastAsia" w:ascii="Arial" w:hAnsi="Arial" w:cs="Arial"/>
                <w:color w:val="auto"/>
                <w:spacing w:val="-1"/>
                <w:sz w:val="22"/>
                <w:szCs w:val="22"/>
                <w:vertAlign w:val="subscript"/>
                <w:lang w:val="en-US" w:eastAsia="zh-CN"/>
              </w:rPr>
              <w:t>1</w:t>
            </w:r>
            <w:r>
              <w:rPr>
                <w:rFonts w:hint="default" w:ascii="Arial" w:hAnsi="Arial" w:cs="Arial"/>
                <w:color w:val="auto"/>
                <w:spacing w:val="-1"/>
                <w:sz w:val="22"/>
                <w:szCs w:val="22"/>
              </w:rPr>
              <w:t>&gt;0.05</w:t>
            </w:r>
            <w:r>
              <w:rPr>
                <w:rFonts w:hint="eastAsia" w:ascii="Arial" w:hAnsi="Arial" w:cs="Arial"/>
                <w:color w:val="auto"/>
                <w:spacing w:val="-1"/>
                <w:sz w:val="22"/>
                <w:szCs w:val="22"/>
                <w:lang w:eastAsia="zh-CN"/>
              </w:rPr>
              <w:t>；</w:t>
            </w:r>
          </w:p>
          <w:p w14:paraId="0969FD4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12"/>
                <w:sz w:val="22"/>
                <w:szCs w:val="22"/>
              </w:rPr>
              <w:t>或</w:t>
            </w:r>
            <w:r>
              <w:rPr>
                <w:rFonts w:hint="eastAsia" w:ascii="Arial" w:hAnsi="Arial" w:cs="Arial"/>
                <w:color w:val="auto"/>
                <w:spacing w:val="12"/>
                <w:sz w:val="22"/>
                <w:szCs w:val="22"/>
                <w:lang w:val="en-US" w:eastAsia="zh-CN"/>
              </w:rPr>
              <w:t>1</w:t>
            </w:r>
            <w:r>
              <w:rPr>
                <w:rFonts w:hint="default" w:ascii="Arial" w:hAnsi="Arial" w:cs="Arial"/>
                <w:color w:val="auto"/>
                <w:spacing w:val="12"/>
                <w:sz w:val="22"/>
                <w:szCs w:val="22"/>
              </w:rPr>
              <w:t>.5&gt;A</w:t>
            </w:r>
            <w:r>
              <w:rPr>
                <w:rFonts w:hint="eastAsia" w:ascii="Arial" w:hAnsi="Arial" w:eastAsia="宋体" w:cs="Arial"/>
                <w:color w:val="auto"/>
                <w:spacing w:val="12"/>
                <w:sz w:val="22"/>
                <w:szCs w:val="22"/>
                <w:vertAlign w:val="subscript"/>
                <w:lang w:val="en-US" w:eastAsia="zh-CN"/>
              </w:rPr>
              <w:t>2</w:t>
            </w:r>
            <w:r>
              <w:rPr>
                <w:rFonts w:hint="default" w:ascii="Arial" w:hAnsi="Arial" w:cs="Arial"/>
                <w:color w:val="auto"/>
                <w:spacing w:val="12"/>
                <w:sz w:val="22"/>
                <w:szCs w:val="22"/>
              </w:rPr>
              <w:t>&gt;0.2</w:t>
            </w:r>
            <w:r>
              <w:rPr>
                <w:rFonts w:hint="eastAsia" w:ascii="Arial" w:hAnsi="Arial" w:cs="Arial"/>
                <w:color w:val="auto"/>
                <w:spacing w:val="12"/>
                <w:sz w:val="22"/>
                <w:szCs w:val="22"/>
                <w:lang w:eastAsia="zh-CN"/>
              </w:rPr>
              <w:t>；</w:t>
            </w:r>
          </w:p>
          <w:p w14:paraId="36B73E83">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2"/>
                <w:sz w:val="22"/>
                <w:szCs w:val="22"/>
              </w:rPr>
              <w:t>或</w:t>
            </w:r>
            <w:r>
              <w:rPr>
                <w:rFonts w:hint="default" w:ascii="Arial" w:hAnsi="Arial" w:cs="Arial"/>
                <w:color w:val="auto"/>
                <w:spacing w:val="-34"/>
                <w:sz w:val="22"/>
                <w:szCs w:val="22"/>
              </w:rPr>
              <w:t xml:space="preserve"> </w:t>
            </w:r>
            <w:r>
              <w:rPr>
                <w:rFonts w:hint="default" w:ascii="Arial" w:hAnsi="Arial" w:cs="Arial"/>
                <w:color w:val="auto"/>
                <w:spacing w:val="-12"/>
                <w:sz w:val="22"/>
                <w:szCs w:val="22"/>
              </w:rPr>
              <w:t>1</w:t>
            </w:r>
            <w:r>
              <w:rPr>
                <w:rFonts w:hint="default" w:ascii="Arial" w:hAnsi="Arial" w:cs="Arial"/>
                <w:color w:val="auto"/>
                <w:spacing w:val="-49"/>
                <w:sz w:val="22"/>
                <w:szCs w:val="22"/>
              </w:rPr>
              <w:t xml:space="preserve"> </w:t>
            </w:r>
            <w:r>
              <w:rPr>
                <w:rFonts w:hint="default" w:ascii="Arial" w:hAnsi="Arial" w:cs="Arial"/>
                <w:color w:val="auto"/>
                <w:spacing w:val="-12"/>
                <w:sz w:val="22"/>
                <w:szCs w:val="22"/>
              </w:rPr>
              <w:t>0</w:t>
            </w:r>
            <w:r>
              <w:rPr>
                <w:rFonts w:hint="default" w:ascii="Arial" w:hAnsi="Arial" w:cs="Arial"/>
                <w:color w:val="auto"/>
                <w:spacing w:val="-45"/>
                <w:sz w:val="22"/>
                <w:szCs w:val="22"/>
              </w:rPr>
              <w:t xml:space="preserve"> </w:t>
            </w:r>
            <w:r>
              <w:rPr>
                <w:rFonts w:hint="default" w:ascii="Arial" w:hAnsi="Arial" w:cs="Arial"/>
                <w:color w:val="auto"/>
                <w:spacing w:val="-12"/>
                <w:sz w:val="22"/>
                <w:szCs w:val="22"/>
              </w:rPr>
              <w:t>&gt;</w:t>
            </w:r>
            <w:r>
              <w:rPr>
                <w:rFonts w:hint="default" w:ascii="Arial" w:hAnsi="Arial" w:cs="Arial"/>
                <w:color w:val="auto"/>
                <w:spacing w:val="-52"/>
                <w:sz w:val="22"/>
                <w:szCs w:val="22"/>
              </w:rPr>
              <w:t xml:space="preserve"> </w:t>
            </w:r>
            <w:r>
              <w:rPr>
                <w:rFonts w:hint="default" w:ascii="Arial" w:hAnsi="Arial" w:cs="Arial"/>
                <w:color w:val="auto"/>
                <w:spacing w:val="-12"/>
                <w:sz w:val="22"/>
                <w:szCs w:val="22"/>
              </w:rPr>
              <w:t>R</w:t>
            </w:r>
            <w:r>
              <w:rPr>
                <w:rFonts w:hint="default" w:ascii="Arial" w:hAnsi="Arial" w:cs="Arial"/>
                <w:color w:val="auto"/>
                <w:spacing w:val="-45"/>
                <w:sz w:val="22"/>
                <w:szCs w:val="22"/>
              </w:rPr>
              <w:t xml:space="preserve"> </w:t>
            </w:r>
            <w:r>
              <w:rPr>
                <w:rFonts w:hint="default" w:ascii="Arial" w:hAnsi="Arial" w:cs="Arial"/>
                <w:color w:val="auto"/>
                <w:spacing w:val="-12"/>
                <w:sz w:val="22"/>
                <w:szCs w:val="22"/>
              </w:rPr>
              <w:t>&gt;</w:t>
            </w:r>
            <w:r>
              <w:rPr>
                <w:rFonts w:hint="default" w:ascii="Arial" w:hAnsi="Arial" w:cs="Arial"/>
                <w:color w:val="auto"/>
                <w:spacing w:val="-46"/>
                <w:sz w:val="22"/>
                <w:szCs w:val="22"/>
              </w:rPr>
              <w:t xml:space="preserve"> </w:t>
            </w:r>
            <w:r>
              <w:rPr>
                <w:rFonts w:hint="default" w:ascii="Arial" w:hAnsi="Arial" w:cs="Arial"/>
                <w:color w:val="auto"/>
                <w:spacing w:val="-12"/>
                <w:sz w:val="22"/>
                <w:szCs w:val="22"/>
              </w:rPr>
              <w:t>5</w:t>
            </w:r>
          </w:p>
        </w:tc>
        <w:tc>
          <w:tcPr>
            <w:tcW w:w="1846" w:type="dxa"/>
            <w:shd w:val="clear" w:color="auto" w:fill="auto"/>
            <w:vAlign w:val="center"/>
          </w:tcPr>
          <w:p w14:paraId="37B7BCA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1"/>
                <w:sz w:val="22"/>
                <w:szCs w:val="22"/>
              </w:rPr>
              <w:t>0.3&gt;A</w:t>
            </w:r>
            <w:r>
              <w:rPr>
                <w:rFonts w:hint="eastAsia" w:ascii="Arial" w:hAnsi="Arial" w:cs="Arial"/>
                <w:color w:val="auto"/>
                <w:spacing w:val="-1"/>
                <w:sz w:val="22"/>
                <w:szCs w:val="22"/>
                <w:vertAlign w:val="subscript"/>
                <w:lang w:val="en-US" w:eastAsia="zh-CN"/>
              </w:rPr>
              <w:t>1</w:t>
            </w:r>
            <w:r>
              <w:rPr>
                <w:rFonts w:hint="default" w:ascii="Arial" w:hAnsi="Arial" w:cs="Arial"/>
                <w:color w:val="auto"/>
                <w:spacing w:val="-1"/>
                <w:sz w:val="22"/>
                <w:szCs w:val="22"/>
              </w:rPr>
              <w:t>&gt;0.05</w:t>
            </w:r>
          </w:p>
          <w:p w14:paraId="777427C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12"/>
                <w:sz w:val="22"/>
                <w:szCs w:val="22"/>
              </w:rPr>
              <w:t>或1.5&gt;A</w:t>
            </w:r>
            <w:r>
              <w:rPr>
                <w:rFonts w:hint="eastAsia" w:ascii="Arial" w:hAnsi="Arial" w:eastAsia="宋体" w:cs="Arial"/>
                <w:color w:val="auto"/>
                <w:spacing w:val="12"/>
                <w:sz w:val="22"/>
                <w:szCs w:val="22"/>
                <w:vertAlign w:val="subscript"/>
                <w:lang w:val="en-US" w:eastAsia="zh-CN"/>
              </w:rPr>
              <w:t>2</w:t>
            </w:r>
            <w:r>
              <w:rPr>
                <w:rFonts w:hint="default" w:ascii="Arial" w:hAnsi="Arial" w:cs="Arial"/>
                <w:color w:val="auto"/>
                <w:spacing w:val="12"/>
                <w:sz w:val="22"/>
                <w:szCs w:val="22"/>
              </w:rPr>
              <w:t>&gt;0.2</w:t>
            </w:r>
            <w:r>
              <w:rPr>
                <w:rFonts w:hint="eastAsia" w:ascii="Arial" w:hAnsi="Arial" w:cs="Arial"/>
                <w:color w:val="auto"/>
                <w:spacing w:val="12"/>
                <w:sz w:val="22"/>
                <w:szCs w:val="22"/>
                <w:lang w:eastAsia="zh-CN"/>
              </w:rPr>
              <w:t>；</w:t>
            </w:r>
          </w:p>
          <w:p w14:paraId="0BF2CE4D">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0"/>
                <w:sz w:val="22"/>
                <w:szCs w:val="22"/>
              </w:rPr>
              <w:t>或</w:t>
            </w:r>
            <w:r>
              <w:rPr>
                <w:rFonts w:hint="default" w:ascii="Arial" w:hAnsi="Arial" w:cs="Arial"/>
                <w:color w:val="auto"/>
                <w:spacing w:val="-48"/>
                <w:sz w:val="22"/>
                <w:szCs w:val="22"/>
              </w:rPr>
              <w:t xml:space="preserve"> </w:t>
            </w:r>
            <w:r>
              <w:rPr>
                <w:rFonts w:hint="default" w:ascii="Arial" w:hAnsi="Arial" w:cs="Arial"/>
                <w:color w:val="auto"/>
                <w:spacing w:val="-10"/>
                <w:sz w:val="22"/>
                <w:szCs w:val="22"/>
              </w:rPr>
              <w:t>2</w:t>
            </w:r>
            <w:r>
              <w:rPr>
                <w:rFonts w:hint="default" w:ascii="Arial" w:hAnsi="Arial" w:cs="Arial"/>
                <w:color w:val="auto"/>
                <w:spacing w:val="-49"/>
                <w:sz w:val="22"/>
                <w:szCs w:val="22"/>
              </w:rPr>
              <w:t xml:space="preserve"> </w:t>
            </w:r>
            <w:r>
              <w:rPr>
                <w:rFonts w:hint="default" w:ascii="Arial" w:hAnsi="Arial" w:cs="Arial"/>
                <w:color w:val="auto"/>
                <w:spacing w:val="-10"/>
                <w:sz w:val="22"/>
                <w:szCs w:val="22"/>
              </w:rPr>
              <w:t>0</w:t>
            </w:r>
            <w:r>
              <w:rPr>
                <w:rFonts w:hint="default" w:ascii="Arial" w:hAnsi="Arial" w:cs="Arial"/>
                <w:color w:val="auto"/>
                <w:spacing w:val="-45"/>
                <w:sz w:val="22"/>
                <w:szCs w:val="22"/>
              </w:rPr>
              <w:t xml:space="preserve"> </w:t>
            </w:r>
            <w:r>
              <w:rPr>
                <w:rFonts w:hint="default" w:ascii="Arial" w:hAnsi="Arial" w:cs="Arial"/>
                <w:color w:val="auto"/>
                <w:spacing w:val="-10"/>
                <w:sz w:val="22"/>
                <w:szCs w:val="22"/>
              </w:rPr>
              <w:t>&gt;</w:t>
            </w:r>
            <w:r>
              <w:rPr>
                <w:rFonts w:hint="default" w:ascii="Arial" w:hAnsi="Arial" w:cs="Arial"/>
                <w:color w:val="auto"/>
                <w:spacing w:val="-52"/>
                <w:sz w:val="22"/>
                <w:szCs w:val="22"/>
              </w:rPr>
              <w:t xml:space="preserve"> </w:t>
            </w:r>
            <w:r>
              <w:rPr>
                <w:rFonts w:hint="default" w:ascii="Arial" w:hAnsi="Arial" w:cs="Arial"/>
                <w:color w:val="auto"/>
                <w:spacing w:val="-10"/>
                <w:sz w:val="22"/>
                <w:szCs w:val="22"/>
              </w:rPr>
              <w:t>R</w:t>
            </w:r>
            <w:r>
              <w:rPr>
                <w:rFonts w:hint="default" w:ascii="Arial" w:hAnsi="Arial" w:cs="Arial"/>
                <w:color w:val="auto"/>
                <w:spacing w:val="-45"/>
                <w:sz w:val="22"/>
                <w:szCs w:val="22"/>
              </w:rPr>
              <w:t xml:space="preserve"> </w:t>
            </w:r>
            <w:r>
              <w:rPr>
                <w:rFonts w:hint="default" w:ascii="Arial" w:hAnsi="Arial" w:cs="Arial"/>
                <w:color w:val="auto"/>
                <w:spacing w:val="-10"/>
                <w:sz w:val="22"/>
                <w:szCs w:val="22"/>
              </w:rPr>
              <w:t>&gt;</w:t>
            </w:r>
            <w:r>
              <w:rPr>
                <w:rFonts w:hint="default" w:ascii="Arial" w:hAnsi="Arial" w:cs="Arial"/>
                <w:color w:val="auto"/>
                <w:spacing w:val="-46"/>
                <w:sz w:val="22"/>
                <w:szCs w:val="22"/>
              </w:rPr>
              <w:t xml:space="preserve"> </w:t>
            </w:r>
            <w:r>
              <w:rPr>
                <w:rFonts w:hint="default" w:ascii="Arial" w:hAnsi="Arial" w:cs="Arial"/>
                <w:color w:val="auto"/>
                <w:spacing w:val="-10"/>
                <w:sz w:val="22"/>
                <w:szCs w:val="22"/>
              </w:rPr>
              <w:t>5</w:t>
            </w:r>
          </w:p>
        </w:tc>
        <w:tc>
          <w:tcPr>
            <w:tcW w:w="1850" w:type="dxa"/>
            <w:shd w:val="clear" w:color="auto" w:fill="auto"/>
            <w:vAlign w:val="center"/>
          </w:tcPr>
          <w:p w14:paraId="5F3E7528">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
                <w:sz w:val="22"/>
                <w:szCs w:val="22"/>
              </w:rPr>
              <w:t>0.5&gt;A</w:t>
            </w:r>
            <w:r>
              <w:rPr>
                <w:rFonts w:hint="eastAsia" w:ascii="Arial" w:hAnsi="Arial" w:eastAsia="宋体" w:cs="Arial"/>
                <w:color w:val="auto"/>
                <w:spacing w:val="-1"/>
                <w:sz w:val="22"/>
                <w:szCs w:val="22"/>
                <w:vertAlign w:val="subscript"/>
                <w:lang w:val="en-US" w:eastAsia="zh-CN"/>
              </w:rPr>
              <w:t>1</w:t>
            </w:r>
            <w:r>
              <w:rPr>
                <w:rFonts w:hint="default" w:ascii="Arial" w:hAnsi="Arial" w:cs="Arial"/>
                <w:color w:val="auto"/>
                <w:spacing w:val="-1"/>
                <w:sz w:val="22"/>
                <w:szCs w:val="22"/>
              </w:rPr>
              <w:t>&gt;0.15</w:t>
            </w:r>
            <w:r>
              <w:rPr>
                <w:rFonts w:hint="eastAsia" w:ascii="Arial" w:hAnsi="Arial" w:cs="Arial"/>
                <w:color w:val="auto"/>
                <w:spacing w:val="-1"/>
                <w:sz w:val="22"/>
                <w:szCs w:val="22"/>
                <w:lang w:eastAsia="zh-CN"/>
              </w:rPr>
              <w:t>；</w:t>
            </w:r>
            <w:r>
              <w:rPr>
                <w:rFonts w:hint="default" w:ascii="Arial" w:hAnsi="Arial" w:cs="Arial"/>
                <w:color w:val="auto"/>
                <w:spacing w:val="14"/>
                <w:sz w:val="22"/>
                <w:szCs w:val="22"/>
              </w:rPr>
              <w:t>或3&gt;A</w:t>
            </w:r>
            <w:r>
              <w:rPr>
                <w:rFonts w:hint="eastAsia" w:ascii="Arial" w:hAnsi="Arial" w:eastAsia="宋体" w:cs="Arial"/>
                <w:color w:val="auto"/>
                <w:spacing w:val="14"/>
                <w:sz w:val="22"/>
                <w:szCs w:val="22"/>
                <w:vertAlign w:val="subscript"/>
                <w:lang w:val="en-US" w:eastAsia="zh-CN"/>
              </w:rPr>
              <w:t>2</w:t>
            </w:r>
            <w:r>
              <w:rPr>
                <w:rFonts w:hint="default" w:ascii="Arial" w:hAnsi="Arial" w:cs="Arial"/>
                <w:color w:val="auto"/>
                <w:spacing w:val="14"/>
                <w:sz w:val="22"/>
                <w:szCs w:val="22"/>
              </w:rPr>
              <w:t>&gt;0.5</w:t>
            </w:r>
          </w:p>
        </w:tc>
      </w:tr>
      <w:tr w14:paraId="3149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0E6D323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color w:val="auto"/>
                <w:sz w:val="22"/>
                <w:szCs w:val="22"/>
                <w:vertAlign w:val="baseline"/>
                <w:lang w:val="en-US" w:eastAsia="zh-CN"/>
              </w:rPr>
              <w:t>三级</w:t>
            </w:r>
          </w:p>
        </w:tc>
        <w:tc>
          <w:tcPr>
            <w:tcW w:w="1149" w:type="dxa"/>
            <w:vAlign w:val="center"/>
          </w:tcPr>
          <w:p w14:paraId="26E5361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α</w:t>
            </w:r>
            <w:r>
              <w:rPr>
                <w:rFonts w:hint="eastAsia" w:ascii="宋体" w:hAnsi="宋体" w:eastAsia="宋体" w:cs="宋体"/>
                <w:color w:val="auto"/>
                <w:sz w:val="22"/>
                <w:szCs w:val="22"/>
                <w:vertAlign w:val="baseline"/>
                <w:lang w:val="en-US" w:eastAsia="zh-CN"/>
              </w:rPr>
              <w:t>≥</w:t>
            </w:r>
            <w:r>
              <w:rPr>
                <w:rFonts w:hint="default" w:ascii="Arial" w:hAnsi="Arial" w:cs="Arial"/>
                <w:color w:val="auto"/>
                <w:sz w:val="22"/>
                <w:szCs w:val="22"/>
                <w:vertAlign w:val="baseline"/>
                <w:lang w:val="en-US" w:eastAsia="zh-CN"/>
              </w:rPr>
              <w:t>20；或混合型</w:t>
            </w:r>
          </w:p>
        </w:tc>
        <w:tc>
          <w:tcPr>
            <w:tcW w:w="1221" w:type="dxa"/>
            <w:shd w:val="clear" w:color="auto" w:fill="auto"/>
            <w:vAlign w:val="center"/>
          </w:tcPr>
          <w:p w14:paraId="24E93C28">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8"/>
                <w:sz w:val="22"/>
                <w:szCs w:val="22"/>
              </w:rPr>
              <w:t>β</w:t>
            </w:r>
            <w:r>
              <w:rPr>
                <w:rFonts w:hint="eastAsia" w:ascii="宋体" w:hAnsi="宋体" w:eastAsia="宋体" w:cs="宋体"/>
                <w:color w:val="auto"/>
                <w:spacing w:val="-8"/>
                <w:sz w:val="22"/>
                <w:szCs w:val="22"/>
              </w:rPr>
              <w:t>≤</w:t>
            </w:r>
            <w:r>
              <w:rPr>
                <w:rFonts w:hint="default" w:ascii="Arial" w:hAnsi="Arial" w:cs="Arial"/>
                <w:color w:val="auto"/>
                <w:spacing w:val="-8"/>
                <w:sz w:val="22"/>
                <w:szCs w:val="22"/>
              </w:rPr>
              <w:t>2</w:t>
            </w:r>
            <w:r>
              <w:rPr>
                <w:rFonts w:hint="eastAsia" w:ascii="Arial" w:hAnsi="Arial" w:cs="Arial"/>
                <w:color w:val="auto"/>
                <w:spacing w:val="-8"/>
                <w:sz w:val="22"/>
                <w:szCs w:val="22"/>
                <w:lang w:eastAsia="zh-CN"/>
              </w:rPr>
              <w:t>；</w:t>
            </w:r>
            <w:r>
              <w:rPr>
                <w:rFonts w:hint="default" w:ascii="Arial" w:hAnsi="Arial" w:cs="Arial"/>
                <w:color w:val="auto"/>
                <w:spacing w:val="-8"/>
                <w:sz w:val="22"/>
                <w:szCs w:val="22"/>
              </w:rPr>
              <w:t>或无调</w:t>
            </w:r>
            <w:r>
              <w:rPr>
                <w:rFonts w:hint="default" w:ascii="Arial" w:hAnsi="Arial" w:cs="Arial"/>
                <w:color w:val="auto"/>
                <w:sz w:val="22"/>
                <w:szCs w:val="22"/>
              </w:rPr>
              <w:t xml:space="preserve"> 节</w:t>
            </w:r>
          </w:p>
        </w:tc>
        <w:tc>
          <w:tcPr>
            <w:tcW w:w="908" w:type="dxa"/>
            <w:shd w:val="clear" w:color="auto" w:fill="auto"/>
            <w:vAlign w:val="center"/>
          </w:tcPr>
          <w:p w14:paraId="519B9D0F">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z w:val="22"/>
                <w:szCs w:val="22"/>
                <w:vertAlign w:val="baseline"/>
                <w:lang w:val="en-US" w:eastAsia="zh-CN"/>
              </w:rPr>
              <w:t>γ</w:t>
            </w:r>
            <w:r>
              <w:rPr>
                <w:rFonts w:hint="eastAsia" w:ascii="宋体" w:hAnsi="宋体" w:eastAsia="宋体" w:cs="宋体"/>
                <w:color w:val="auto"/>
                <w:spacing w:val="-2"/>
                <w:sz w:val="22"/>
                <w:szCs w:val="22"/>
              </w:rPr>
              <w:t>≤</w:t>
            </w:r>
            <w:r>
              <w:rPr>
                <w:rFonts w:hint="default" w:ascii="Arial" w:hAnsi="Arial" w:cs="Arial"/>
                <w:color w:val="auto"/>
                <w:spacing w:val="-2"/>
                <w:sz w:val="22"/>
                <w:szCs w:val="22"/>
              </w:rPr>
              <w:t>10</w:t>
            </w:r>
          </w:p>
        </w:tc>
        <w:tc>
          <w:tcPr>
            <w:tcW w:w="1742" w:type="dxa"/>
            <w:shd w:val="clear" w:color="auto" w:fill="auto"/>
            <w:vAlign w:val="center"/>
          </w:tcPr>
          <w:p w14:paraId="1C3595BF">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1"/>
                <w:sz w:val="22"/>
                <w:szCs w:val="22"/>
              </w:rPr>
              <w:t>A</w:t>
            </w:r>
            <w:r>
              <w:rPr>
                <w:rFonts w:hint="eastAsia" w:ascii="Arial" w:hAnsi="Arial" w:eastAsia="宋体" w:cs="Arial"/>
                <w:color w:val="auto"/>
                <w:spacing w:val="11"/>
                <w:sz w:val="22"/>
                <w:szCs w:val="22"/>
                <w:vertAlign w:val="subscript"/>
                <w:lang w:val="en-US" w:eastAsia="zh-CN"/>
              </w:rPr>
              <w:t>1</w:t>
            </w:r>
            <w:r>
              <w:rPr>
                <w:rFonts w:hint="default" w:ascii="Arial" w:hAnsi="Arial" w:eastAsia="Calibri" w:cs="Arial"/>
                <w:color w:val="auto"/>
                <w:spacing w:val="-18"/>
                <w:sz w:val="22"/>
                <w:szCs w:val="22"/>
              </w:rPr>
              <w:t xml:space="preserve"> </w:t>
            </w:r>
            <w:r>
              <w:rPr>
                <w:rFonts w:hint="eastAsia" w:ascii="宋体" w:hAnsi="宋体" w:eastAsia="宋体" w:cs="宋体"/>
                <w:color w:val="auto"/>
                <w:spacing w:val="11"/>
                <w:sz w:val="22"/>
                <w:szCs w:val="22"/>
              </w:rPr>
              <w:t>≤</w:t>
            </w:r>
            <w:r>
              <w:rPr>
                <w:rFonts w:hint="default" w:ascii="Arial" w:hAnsi="Arial" w:cs="Arial"/>
                <w:color w:val="auto"/>
                <w:spacing w:val="11"/>
                <w:sz w:val="22"/>
                <w:szCs w:val="22"/>
              </w:rPr>
              <w:t>0.05</w:t>
            </w:r>
            <w:r>
              <w:rPr>
                <w:rFonts w:hint="eastAsia" w:ascii="Arial" w:hAnsi="Arial" w:cs="Arial"/>
                <w:color w:val="auto"/>
                <w:spacing w:val="11"/>
                <w:sz w:val="22"/>
                <w:szCs w:val="22"/>
                <w:lang w:eastAsia="zh-CN"/>
              </w:rPr>
              <w:t>；</w:t>
            </w:r>
            <w:r>
              <w:rPr>
                <w:rFonts w:hint="default" w:ascii="Arial" w:hAnsi="Arial" w:cs="Arial"/>
                <w:color w:val="auto"/>
                <w:spacing w:val="11"/>
                <w:sz w:val="22"/>
                <w:szCs w:val="22"/>
              </w:rPr>
              <w:t>或</w:t>
            </w:r>
            <w:r>
              <w:rPr>
                <w:rFonts w:hint="default" w:ascii="Arial" w:hAnsi="Arial" w:cs="Arial"/>
                <w:color w:val="auto"/>
                <w:sz w:val="22"/>
                <w:szCs w:val="22"/>
              </w:rPr>
              <w:t xml:space="preserve">  </w:t>
            </w:r>
            <w:r>
              <w:rPr>
                <w:rFonts w:hint="default" w:ascii="Arial" w:hAnsi="Arial" w:cs="Arial"/>
                <w:color w:val="auto"/>
                <w:spacing w:val="9"/>
                <w:sz w:val="22"/>
                <w:szCs w:val="22"/>
              </w:rPr>
              <w:t>A</w:t>
            </w:r>
            <w:r>
              <w:rPr>
                <w:rFonts w:hint="eastAsia" w:ascii="Arial" w:hAnsi="Arial" w:eastAsia="宋体" w:cs="Arial"/>
                <w:color w:val="auto"/>
                <w:spacing w:val="9"/>
                <w:sz w:val="22"/>
                <w:szCs w:val="22"/>
                <w:vertAlign w:val="subscript"/>
                <w:lang w:val="en-US" w:eastAsia="zh-CN"/>
              </w:rPr>
              <w:t>2</w:t>
            </w:r>
            <w:r>
              <w:rPr>
                <w:rFonts w:hint="default" w:ascii="Arial" w:hAnsi="Arial" w:eastAsia="Calibri" w:cs="Arial"/>
                <w:color w:val="auto"/>
                <w:spacing w:val="-23"/>
                <w:sz w:val="22"/>
                <w:szCs w:val="22"/>
              </w:rPr>
              <w:t xml:space="preserve"> </w:t>
            </w:r>
            <w:r>
              <w:rPr>
                <w:rFonts w:hint="eastAsia" w:ascii="宋体" w:hAnsi="宋体" w:eastAsia="宋体" w:cs="宋体"/>
                <w:color w:val="auto"/>
                <w:spacing w:val="9"/>
                <w:sz w:val="22"/>
                <w:szCs w:val="22"/>
              </w:rPr>
              <w:t>≤</w:t>
            </w:r>
            <w:r>
              <w:rPr>
                <w:rFonts w:hint="default" w:ascii="Arial" w:hAnsi="Arial" w:cs="Arial"/>
                <w:color w:val="auto"/>
                <w:spacing w:val="9"/>
                <w:sz w:val="22"/>
                <w:szCs w:val="22"/>
              </w:rPr>
              <w:t>0.2</w:t>
            </w:r>
            <w:r>
              <w:rPr>
                <w:rFonts w:hint="eastAsia" w:ascii="Arial" w:hAnsi="Arial" w:cs="Arial"/>
                <w:color w:val="auto"/>
                <w:spacing w:val="9"/>
                <w:sz w:val="22"/>
                <w:szCs w:val="22"/>
                <w:lang w:eastAsia="zh-CN"/>
              </w:rPr>
              <w:t>；</w:t>
            </w:r>
            <w:r>
              <w:rPr>
                <w:rFonts w:hint="default" w:ascii="Arial" w:hAnsi="Arial" w:cs="Arial"/>
                <w:color w:val="auto"/>
                <w:spacing w:val="9"/>
                <w:sz w:val="22"/>
                <w:szCs w:val="22"/>
              </w:rPr>
              <w:t>或R</w:t>
            </w:r>
            <w:r>
              <w:rPr>
                <w:rFonts w:hint="eastAsia" w:ascii="宋体" w:hAnsi="宋体" w:eastAsia="宋体" w:cs="宋体"/>
                <w:color w:val="auto"/>
                <w:spacing w:val="9"/>
                <w:sz w:val="22"/>
                <w:szCs w:val="22"/>
              </w:rPr>
              <w:t>≤</w:t>
            </w:r>
            <w:r>
              <w:rPr>
                <w:rFonts w:hint="default" w:ascii="Arial" w:hAnsi="Arial" w:cs="Arial"/>
                <w:color w:val="auto"/>
                <w:spacing w:val="9"/>
                <w:sz w:val="22"/>
                <w:szCs w:val="22"/>
              </w:rPr>
              <w:t>5</w:t>
            </w:r>
          </w:p>
        </w:tc>
        <w:tc>
          <w:tcPr>
            <w:tcW w:w="1846" w:type="dxa"/>
            <w:shd w:val="clear" w:color="auto" w:fill="auto"/>
            <w:vAlign w:val="center"/>
          </w:tcPr>
          <w:p w14:paraId="768B547B">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1"/>
                <w:sz w:val="22"/>
                <w:szCs w:val="22"/>
              </w:rPr>
              <w:t>A</w:t>
            </w:r>
            <w:r>
              <w:rPr>
                <w:rFonts w:hint="eastAsia" w:ascii="Arial" w:hAnsi="Arial" w:eastAsia="宋体" w:cs="Arial"/>
                <w:color w:val="auto"/>
                <w:spacing w:val="11"/>
                <w:sz w:val="22"/>
                <w:szCs w:val="22"/>
                <w:vertAlign w:val="subscript"/>
                <w:lang w:val="en-US" w:eastAsia="zh-CN"/>
              </w:rPr>
              <w:t>1</w:t>
            </w:r>
            <w:r>
              <w:rPr>
                <w:rFonts w:hint="default" w:ascii="Arial" w:hAnsi="Arial" w:eastAsia="Calibri" w:cs="Arial"/>
                <w:color w:val="auto"/>
                <w:spacing w:val="-18"/>
                <w:sz w:val="22"/>
                <w:szCs w:val="22"/>
              </w:rPr>
              <w:t xml:space="preserve"> </w:t>
            </w:r>
            <w:r>
              <w:rPr>
                <w:rFonts w:hint="eastAsia" w:ascii="宋体" w:hAnsi="宋体" w:eastAsia="宋体" w:cs="宋体"/>
                <w:color w:val="auto"/>
                <w:spacing w:val="11"/>
                <w:sz w:val="22"/>
                <w:szCs w:val="22"/>
              </w:rPr>
              <w:t>≤</w:t>
            </w:r>
            <w:r>
              <w:rPr>
                <w:rFonts w:hint="default" w:ascii="Arial" w:hAnsi="Arial" w:cs="Arial"/>
                <w:color w:val="auto"/>
                <w:spacing w:val="11"/>
                <w:sz w:val="22"/>
                <w:szCs w:val="22"/>
              </w:rPr>
              <w:t>0.05</w:t>
            </w:r>
            <w:r>
              <w:rPr>
                <w:rFonts w:hint="eastAsia" w:ascii="Arial" w:hAnsi="Arial" w:cs="Arial"/>
                <w:color w:val="auto"/>
                <w:spacing w:val="11"/>
                <w:sz w:val="22"/>
                <w:szCs w:val="22"/>
                <w:lang w:eastAsia="zh-CN"/>
              </w:rPr>
              <w:t>；</w:t>
            </w:r>
            <w:r>
              <w:rPr>
                <w:rFonts w:hint="default" w:ascii="Arial" w:hAnsi="Arial" w:cs="Arial"/>
                <w:color w:val="auto"/>
                <w:spacing w:val="11"/>
                <w:sz w:val="22"/>
                <w:szCs w:val="22"/>
              </w:rPr>
              <w:t>或</w:t>
            </w:r>
            <w:r>
              <w:rPr>
                <w:rFonts w:hint="default" w:ascii="Arial" w:hAnsi="Arial" w:cs="Arial"/>
                <w:color w:val="auto"/>
                <w:sz w:val="22"/>
                <w:szCs w:val="22"/>
              </w:rPr>
              <w:t xml:space="preserve">  </w:t>
            </w:r>
            <w:r>
              <w:rPr>
                <w:rFonts w:hint="default" w:ascii="Arial" w:hAnsi="Arial" w:cs="Arial"/>
                <w:color w:val="auto"/>
                <w:spacing w:val="9"/>
                <w:sz w:val="22"/>
                <w:szCs w:val="22"/>
              </w:rPr>
              <w:t>A</w:t>
            </w:r>
            <w:r>
              <w:rPr>
                <w:rFonts w:hint="eastAsia" w:ascii="Arial" w:hAnsi="Arial" w:eastAsia="宋体" w:cs="Arial"/>
                <w:color w:val="auto"/>
                <w:spacing w:val="9"/>
                <w:sz w:val="22"/>
                <w:szCs w:val="22"/>
                <w:vertAlign w:val="subscript"/>
                <w:lang w:val="en-US" w:eastAsia="zh-CN"/>
              </w:rPr>
              <w:t>2</w:t>
            </w:r>
            <w:r>
              <w:rPr>
                <w:rFonts w:hint="eastAsia" w:ascii="宋体" w:hAnsi="宋体" w:eastAsia="宋体" w:cs="宋体"/>
                <w:color w:val="auto"/>
                <w:spacing w:val="-23"/>
                <w:sz w:val="22"/>
                <w:szCs w:val="22"/>
              </w:rPr>
              <w:t xml:space="preserve"> </w:t>
            </w:r>
            <w:r>
              <w:rPr>
                <w:rFonts w:hint="eastAsia" w:ascii="宋体" w:hAnsi="宋体" w:eastAsia="宋体" w:cs="宋体"/>
                <w:color w:val="auto"/>
                <w:spacing w:val="9"/>
                <w:sz w:val="22"/>
                <w:szCs w:val="22"/>
              </w:rPr>
              <w:t>≤</w:t>
            </w:r>
            <w:r>
              <w:rPr>
                <w:rFonts w:hint="default" w:ascii="Arial" w:hAnsi="Arial" w:cs="Arial"/>
                <w:color w:val="auto"/>
                <w:spacing w:val="9"/>
                <w:sz w:val="22"/>
                <w:szCs w:val="22"/>
              </w:rPr>
              <w:t>0.2</w:t>
            </w:r>
            <w:r>
              <w:rPr>
                <w:rFonts w:hint="eastAsia" w:ascii="Arial" w:hAnsi="Arial" w:cs="Arial"/>
                <w:color w:val="auto"/>
                <w:spacing w:val="9"/>
                <w:sz w:val="22"/>
                <w:szCs w:val="22"/>
                <w:lang w:eastAsia="zh-CN"/>
              </w:rPr>
              <w:t>；</w:t>
            </w:r>
            <w:r>
              <w:rPr>
                <w:rFonts w:hint="default" w:ascii="Arial" w:hAnsi="Arial" w:cs="Arial"/>
                <w:color w:val="auto"/>
                <w:spacing w:val="9"/>
                <w:sz w:val="22"/>
                <w:szCs w:val="22"/>
              </w:rPr>
              <w:t>或R</w:t>
            </w:r>
            <w:r>
              <w:rPr>
                <w:rFonts w:hint="eastAsia" w:ascii="宋体" w:hAnsi="宋体" w:eastAsia="宋体" w:cs="宋体"/>
                <w:color w:val="auto"/>
                <w:spacing w:val="9"/>
                <w:sz w:val="22"/>
                <w:szCs w:val="22"/>
              </w:rPr>
              <w:t>≤</w:t>
            </w:r>
            <w:r>
              <w:rPr>
                <w:rFonts w:hint="default" w:ascii="Arial" w:hAnsi="Arial" w:cs="Arial"/>
                <w:color w:val="auto"/>
                <w:spacing w:val="9"/>
                <w:sz w:val="22"/>
                <w:szCs w:val="22"/>
              </w:rPr>
              <w:t>5</w:t>
            </w:r>
          </w:p>
        </w:tc>
        <w:tc>
          <w:tcPr>
            <w:tcW w:w="1850" w:type="dxa"/>
            <w:shd w:val="clear" w:color="auto" w:fill="auto"/>
            <w:vAlign w:val="center"/>
          </w:tcPr>
          <w:p w14:paraId="2CE2E7BA">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
                <w:sz w:val="22"/>
                <w:szCs w:val="22"/>
              </w:rPr>
              <w:t>A</w:t>
            </w:r>
            <w:r>
              <w:rPr>
                <w:rFonts w:hint="eastAsia" w:ascii="Arial" w:hAnsi="Arial" w:cs="Arial"/>
                <w:color w:val="auto"/>
                <w:spacing w:val="-1"/>
                <w:sz w:val="22"/>
                <w:szCs w:val="22"/>
                <w:vertAlign w:val="subscript"/>
                <w:lang w:val="en-US" w:eastAsia="zh-CN"/>
              </w:rPr>
              <w:t>1</w:t>
            </w:r>
            <w:r>
              <w:rPr>
                <w:rFonts w:hint="eastAsia" w:ascii="宋体" w:hAnsi="宋体" w:eastAsia="宋体" w:cs="宋体"/>
                <w:color w:val="auto"/>
                <w:spacing w:val="-1"/>
                <w:sz w:val="22"/>
                <w:szCs w:val="22"/>
              </w:rPr>
              <w:t>≥</w:t>
            </w:r>
            <w:r>
              <w:rPr>
                <w:rFonts w:hint="default" w:ascii="Arial" w:hAnsi="Arial" w:cs="Arial"/>
                <w:color w:val="auto"/>
                <w:spacing w:val="-1"/>
                <w:sz w:val="22"/>
                <w:szCs w:val="22"/>
              </w:rPr>
              <w:t>0.15</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或A</w:t>
            </w:r>
            <w:r>
              <w:rPr>
                <w:rFonts w:hint="eastAsia" w:ascii="Arial" w:hAnsi="Arial" w:cs="Arial"/>
                <w:color w:val="auto"/>
                <w:spacing w:val="-1"/>
                <w:sz w:val="22"/>
                <w:szCs w:val="22"/>
                <w:vertAlign w:val="subscript"/>
                <w:lang w:val="en-US" w:eastAsia="zh-CN"/>
              </w:rPr>
              <w:t>2</w:t>
            </w:r>
            <w:r>
              <w:rPr>
                <w:rFonts w:hint="eastAsia" w:ascii="宋体" w:hAnsi="宋体" w:eastAsia="宋体" w:cs="宋体"/>
                <w:color w:val="auto"/>
                <w:spacing w:val="-1"/>
                <w:sz w:val="22"/>
                <w:szCs w:val="22"/>
              </w:rPr>
              <w:t>≤</w:t>
            </w:r>
            <w:r>
              <w:rPr>
                <w:rFonts w:hint="default" w:ascii="Arial" w:hAnsi="Arial" w:cs="Arial"/>
                <w:color w:val="auto"/>
                <w:spacing w:val="-1"/>
                <w:sz w:val="22"/>
                <w:szCs w:val="22"/>
              </w:rPr>
              <w:t>0.5</w:t>
            </w:r>
          </w:p>
        </w:tc>
      </w:tr>
      <w:tr w14:paraId="075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8" w:type="dxa"/>
            <w:gridSpan w:val="7"/>
            <w:vAlign w:val="center"/>
          </w:tcPr>
          <w:p w14:paraId="0E4D56D2">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注1</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影响范围涉及饮用水水源保护区、重点保护与珍稀水生生物的栖息地、重要水生生物的自然产卵场、自然保护区等保护目标，评价等级应不低于二级。</w:t>
            </w:r>
          </w:p>
          <w:p w14:paraId="04B6365C">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注2</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跨流域调水、引水式电站、可能受到大型河流感潮河段咸潮影响的建设项目，评价等级不低于二级。</w:t>
            </w:r>
          </w:p>
          <w:p w14:paraId="0CB95D0C">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注3</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造成入海河</w:t>
            </w:r>
            <w:r>
              <w:rPr>
                <w:rFonts w:hint="eastAsia" w:ascii="宋体" w:hAnsi="宋体" w:eastAsia="宋体" w:cs="宋体"/>
                <w:color w:val="auto"/>
                <w:spacing w:val="-1"/>
                <w:sz w:val="22"/>
                <w:szCs w:val="22"/>
              </w:rPr>
              <w:t>口(湾口)宽度束窄(束窄尺度达到原宽度的</w:t>
            </w:r>
            <w:r>
              <w:rPr>
                <w:rFonts w:hint="default" w:ascii="Arial" w:hAnsi="Arial" w:eastAsia="宋体" w:cs="Arial"/>
                <w:color w:val="auto"/>
                <w:spacing w:val="-1"/>
                <w:sz w:val="22"/>
                <w:szCs w:val="22"/>
              </w:rPr>
              <w:t>5%</w:t>
            </w:r>
            <w:r>
              <w:rPr>
                <w:rFonts w:hint="eastAsia" w:ascii="宋体" w:hAnsi="宋体" w:eastAsia="宋体" w:cs="宋体"/>
                <w:color w:val="auto"/>
                <w:spacing w:val="-1"/>
                <w:sz w:val="22"/>
                <w:szCs w:val="22"/>
              </w:rPr>
              <w:t>以上)，评</w:t>
            </w:r>
            <w:r>
              <w:rPr>
                <w:rFonts w:hint="default" w:ascii="Arial" w:hAnsi="Arial" w:cs="Arial"/>
                <w:color w:val="auto"/>
                <w:spacing w:val="-1"/>
                <w:sz w:val="22"/>
                <w:szCs w:val="22"/>
              </w:rPr>
              <w:t>价等级应不低于二级。</w:t>
            </w:r>
          </w:p>
          <w:p w14:paraId="11DBE51F">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注4</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对不透水的单方向建筑尺度较长的水工建</w:t>
            </w:r>
            <w:r>
              <w:rPr>
                <w:rFonts w:hint="eastAsia" w:ascii="宋体" w:hAnsi="宋体" w:eastAsia="宋体" w:cs="宋体"/>
                <w:color w:val="auto"/>
                <w:spacing w:val="-1"/>
                <w:sz w:val="22"/>
                <w:szCs w:val="22"/>
              </w:rPr>
              <w:t>筑物(如防波堤、导流堤等)</w:t>
            </w:r>
            <w:r>
              <w:rPr>
                <w:rFonts w:hint="default" w:ascii="Arial" w:hAnsi="Arial" w:cs="Arial"/>
                <w:color w:val="auto"/>
                <w:spacing w:val="-1"/>
                <w:sz w:val="22"/>
                <w:szCs w:val="22"/>
              </w:rPr>
              <w:t>，其与潮流或水流主流向切线垂直方向投影长度大于2km时，评价等级应不低于二级。</w:t>
            </w:r>
          </w:p>
          <w:p w14:paraId="144658AA">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注5</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允许在一类海域建设的项目，评价等级为</w:t>
            </w:r>
            <w:r>
              <w:rPr>
                <w:rFonts w:hint="eastAsia" w:ascii="Arial" w:hAnsi="Arial" w:cs="Arial"/>
                <w:color w:val="auto"/>
                <w:spacing w:val="-1"/>
                <w:sz w:val="22"/>
                <w:szCs w:val="22"/>
                <w:lang w:eastAsia="zh-CN"/>
              </w:rPr>
              <w:t>一级</w:t>
            </w:r>
            <w:r>
              <w:rPr>
                <w:rFonts w:hint="default" w:ascii="Arial" w:hAnsi="Arial" w:cs="Arial"/>
                <w:color w:val="auto"/>
                <w:spacing w:val="-1"/>
                <w:sz w:val="22"/>
                <w:szCs w:val="22"/>
              </w:rPr>
              <w:t>。</w:t>
            </w:r>
          </w:p>
          <w:p w14:paraId="4705D996">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注6</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同时存在多个水文要素影响的建设项目，分别判定各水文要素影响评价等级，并取其中最高等级作为水文要素影响型建设项目评价等级。</w:t>
            </w:r>
          </w:p>
        </w:tc>
      </w:tr>
    </w:tbl>
    <w:p w14:paraId="183E98B1">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eastAsia="宋体" w:cs="Arial"/>
          <w:sz w:val="26"/>
          <w:szCs w:val="26"/>
          <w:lang w:val="en-US" w:eastAsia="zh-CN"/>
        </w:rPr>
      </w:pPr>
    </w:p>
    <w:p w14:paraId="09A88BF2">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表1.6-2 本项目地表水环境评价工作等级判定结果一览表</w:t>
      </w:r>
    </w:p>
    <w:tbl>
      <w:tblPr>
        <w:tblStyle w:val="189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426"/>
        <w:gridCol w:w="3686"/>
        <w:gridCol w:w="1184"/>
      </w:tblGrid>
      <w:tr w14:paraId="066FD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704" w:type="dxa"/>
            <w:vAlign w:val="center"/>
          </w:tcPr>
          <w:p w14:paraId="309F078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序号</w:t>
            </w:r>
          </w:p>
        </w:tc>
        <w:tc>
          <w:tcPr>
            <w:tcW w:w="3426" w:type="dxa"/>
            <w:vAlign w:val="center"/>
          </w:tcPr>
          <w:p w14:paraId="7774D5B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判定内容</w:t>
            </w:r>
          </w:p>
        </w:tc>
        <w:tc>
          <w:tcPr>
            <w:tcW w:w="3686" w:type="dxa"/>
            <w:vAlign w:val="center"/>
          </w:tcPr>
          <w:p w14:paraId="2F69FAB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本工程参数</w:t>
            </w:r>
          </w:p>
        </w:tc>
        <w:tc>
          <w:tcPr>
            <w:tcW w:w="1184" w:type="dxa"/>
            <w:vAlign w:val="center"/>
          </w:tcPr>
          <w:p w14:paraId="53D1D0D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判定级别</w:t>
            </w:r>
          </w:p>
        </w:tc>
      </w:tr>
      <w:tr w14:paraId="0CF84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704" w:type="dxa"/>
            <w:vAlign w:val="center"/>
          </w:tcPr>
          <w:p w14:paraId="7EFC42B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1</w:t>
            </w:r>
          </w:p>
        </w:tc>
        <w:tc>
          <w:tcPr>
            <w:tcW w:w="3426" w:type="dxa"/>
            <w:vAlign w:val="center"/>
          </w:tcPr>
          <w:p w14:paraId="76A1FCB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年径流量与总库容</w:t>
            </w:r>
            <w:r>
              <w:rPr>
                <w:rFonts w:hint="eastAsia" w:ascii="Arial" w:hAnsi="Arial" w:cs="Arial"/>
                <w:spacing w:val="-1"/>
                <w:sz w:val="22"/>
                <w:szCs w:val="22"/>
                <w:lang w:eastAsia="zh-CN"/>
              </w:rPr>
              <w:t>之比</w:t>
            </w:r>
            <w:r>
              <w:rPr>
                <w:rFonts w:hint="default" w:ascii="Arial" w:hAnsi="Arial" w:cs="Arial"/>
                <w:color w:val="auto"/>
                <w:sz w:val="22"/>
                <w:szCs w:val="22"/>
                <w:vertAlign w:val="baseline"/>
                <w:lang w:val="en-US" w:eastAsia="zh-CN"/>
              </w:rPr>
              <w:t>α</w:t>
            </w:r>
          </w:p>
        </w:tc>
        <w:tc>
          <w:tcPr>
            <w:tcW w:w="3686" w:type="dxa"/>
            <w:vAlign w:val="center"/>
          </w:tcPr>
          <w:p w14:paraId="041D0A1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pacing w:val="8"/>
                <w:sz w:val="22"/>
                <w:szCs w:val="22"/>
                <w:lang w:val="en-US" w:eastAsia="zh-CN"/>
              </w:rPr>
            </w:pPr>
            <w:r>
              <w:rPr>
                <w:rFonts w:hint="default" w:ascii="Arial" w:hAnsi="Arial" w:cs="Arial"/>
                <w:spacing w:val="8"/>
                <w:sz w:val="22"/>
                <w:szCs w:val="22"/>
              </w:rPr>
              <w:t>年径流量：</w:t>
            </w:r>
            <w:r>
              <w:rPr>
                <w:rFonts w:hint="eastAsia" w:ascii="Arial" w:hAnsi="Arial" w:cs="Arial"/>
                <w:spacing w:val="8"/>
                <w:sz w:val="22"/>
                <w:szCs w:val="22"/>
                <w:lang w:val="en-US" w:eastAsia="zh-CN"/>
              </w:rPr>
              <w:t>105</w:t>
            </w:r>
            <w:r>
              <w:rPr>
                <w:rFonts w:hint="default" w:ascii="Arial" w:hAnsi="Arial" w:cs="Arial"/>
                <w:spacing w:val="8"/>
                <w:sz w:val="22"/>
                <w:szCs w:val="22"/>
              </w:rPr>
              <w:t>万</w:t>
            </w:r>
            <w:r>
              <w:rPr>
                <w:rFonts w:hint="eastAsia" w:ascii="Arial" w:hAnsi="Arial" w:cs="Arial"/>
                <w:spacing w:val="8"/>
                <w:sz w:val="22"/>
                <w:szCs w:val="22"/>
                <w:lang w:val="en-US" w:eastAsia="zh-CN"/>
              </w:rPr>
              <w:t>m</w:t>
            </w:r>
            <w:r>
              <w:rPr>
                <w:rFonts w:hint="eastAsia" w:ascii="Arial" w:hAnsi="Arial" w:cs="Arial"/>
                <w:spacing w:val="8"/>
                <w:sz w:val="22"/>
                <w:szCs w:val="22"/>
                <w:vertAlign w:val="superscript"/>
                <w:lang w:val="en-US" w:eastAsia="zh-CN"/>
              </w:rPr>
              <w:t>3</w:t>
            </w:r>
          </w:p>
          <w:p w14:paraId="756A7D9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4"/>
                <w:sz w:val="22"/>
                <w:szCs w:val="22"/>
              </w:rPr>
              <w:t>总库容：</w:t>
            </w:r>
            <w:r>
              <w:rPr>
                <w:rFonts w:hint="eastAsia" w:ascii="Arial" w:hAnsi="Arial" w:cs="Arial"/>
                <w:spacing w:val="14"/>
                <w:sz w:val="22"/>
                <w:szCs w:val="22"/>
                <w:lang w:val="en-US" w:eastAsia="zh-CN"/>
              </w:rPr>
              <w:t>80.51</w:t>
            </w:r>
            <w:r>
              <w:rPr>
                <w:rFonts w:hint="default" w:ascii="Arial" w:hAnsi="Arial" w:cs="Arial"/>
                <w:spacing w:val="14"/>
                <w:sz w:val="22"/>
                <w:szCs w:val="22"/>
              </w:rPr>
              <w:t>万m³</w:t>
            </w:r>
          </w:p>
          <w:p w14:paraId="741AE3B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lang w:val="en-US" w:eastAsia="zh-CN"/>
              </w:rPr>
            </w:pPr>
            <w:r>
              <w:rPr>
                <w:rFonts w:hint="eastAsia" w:ascii="Arial" w:hAnsi="Arial" w:cs="Arial"/>
                <w:color w:val="auto"/>
                <w:sz w:val="22"/>
                <w:szCs w:val="22"/>
                <w:lang w:eastAsia="zh-CN"/>
              </w:rPr>
              <w:t>之</w:t>
            </w:r>
            <w:r>
              <w:rPr>
                <w:rFonts w:hint="default" w:ascii="Arial" w:hAnsi="Arial" w:cs="Arial"/>
                <w:color w:val="auto"/>
                <w:sz w:val="22"/>
                <w:szCs w:val="22"/>
              </w:rPr>
              <w:t>比：</w:t>
            </w:r>
            <w:r>
              <w:rPr>
                <w:rFonts w:hint="eastAsia" w:ascii="Arial" w:hAnsi="Arial" w:cs="Arial"/>
                <w:color w:val="auto"/>
                <w:sz w:val="22"/>
                <w:szCs w:val="22"/>
                <w:lang w:val="en-US" w:eastAsia="zh-CN"/>
              </w:rPr>
              <w:t>1.3</w:t>
            </w:r>
          </w:p>
        </w:tc>
        <w:tc>
          <w:tcPr>
            <w:tcW w:w="1184" w:type="dxa"/>
            <w:vAlign w:val="center"/>
          </w:tcPr>
          <w:p w14:paraId="661FA14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0A8467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一级</w:t>
            </w:r>
          </w:p>
        </w:tc>
      </w:tr>
      <w:tr w14:paraId="6ACBF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704" w:type="dxa"/>
            <w:vAlign w:val="center"/>
          </w:tcPr>
          <w:p w14:paraId="0E5BE11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2</w:t>
            </w:r>
          </w:p>
        </w:tc>
        <w:tc>
          <w:tcPr>
            <w:tcW w:w="3426" w:type="dxa"/>
            <w:vAlign w:val="center"/>
          </w:tcPr>
          <w:p w14:paraId="0A66D92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color w:val="auto"/>
                <w:sz w:val="22"/>
                <w:szCs w:val="22"/>
                <w:vertAlign w:val="baseline"/>
                <w:lang w:val="en-US" w:eastAsia="zh-CN"/>
              </w:rPr>
              <w:t>兴利库容占年径流量百分比</w:t>
            </w:r>
            <w:r>
              <w:rPr>
                <w:rFonts w:hint="default" w:ascii="Arial" w:hAnsi="Arial" w:cs="Arial"/>
                <w:spacing w:val="-1"/>
                <w:sz w:val="22"/>
                <w:szCs w:val="22"/>
              </w:rPr>
              <w:t>β/%</w:t>
            </w:r>
          </w:p>
        </w:tc>
        <w:tc>
          <w:tcPr>
            <w:tcW w:w="3686" w:type="dxa"/>
            <w:vAlign w:val="center"/>
          </w:tcPr>
          <w:p w14:paraId="3BBD710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8"/>
                <w:sz w:val="22"/>
                <w:szCs w:val="22"/>
              </w:rPr>
              <w:t>兴利库容：</w:t>
            </w:r>
            <w:r>
              <w:rPr>
                <w:rFonts w:hint="eastAsia" w:ascii="Arial" w:hAnsi="Arial" w:cs="Arial"/>
                <w:color w:val="auto"/>
                <w:spacing w:val="8"/>
                <w:sz w:val="22"/>
                <w:szCs w:val="22"/>
                <w:lang w:val="en-US" w:eastAsia="zh-CN"/>
              </w:rPr>
              <w:t>59.74</w:t>
            </w:r>
            <w:r>
              <w:rPr>
                <w:rFonts w:hint="default" w:ascii="Arial" w:hAnsi="Arial" w:cs="Arial"/>
                <w:color w:val="auto"/>
                <w:spacing w:val="8"/>
                <w:sz w:val="22"/>
                <w:szCs w:val="22"/>
              </w:rPr>
              <w:t>万m³/a</w:t>
            </w:r>
          </w:p>
          <w:p w14:paraId="7249496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8"/>
                <w:sz w:val="22"/>
                <w:szCs w:val="22"/>
              </w:rPr>
              <w:t>年径流量：</w:t>
            </w:r>
            <w:r>
              <w:rPr>
                <w:rFonts w:hint="eastAsia" w:ascii="Arial" w:hAnsi="Arial" w:cs="Arial"/>
                <w:color w:val="auto"/>
                <w:spacing w:val="8"/>
                <w:sz w:val="22"/>
                <w:szCs w:val="22"/>
                <w:lang w:val="en-US" w:eastAsia="zh-CN"/>
              </w:rPr>
              <w:t>105</w:t>
            </w:r>
            <w:r>
              <w:rPr>
                <w:rFonts w:hint="default" w:ascii="Arial" w:hAnsi="Arial" w:cs="Arial"/>
                <w:color w:val="auto"/>
                <w:spacing w:val="8"/>
                <w:sz w:val="22"/>
                <w:szCs w:val="22"/>
              </w:rPr>
              <w:t>万m³/a</w:t>
            </w:r>
          </w:p>
          <w:p w14:paraId="17A82F7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lang w:val="en-US" w:eastAsia="zh-CN"/>
              </w:rPr>
            </w:pPr>
            <w:r>
              <w:rPr>
                <w:rFonts w:hint="default" w:ascii="Arial" w:hAnsi="Arial" w:cs="Arial"/>
                <w:color w:val="auto"/>
                <w:spacing w:val="1"/>
                <w:sz w:val="22"/>
                <w:szCs w:val="22"/>
              </w:rPr>
              <w:t>百分比：</w:t>
            </w:r>
            <w:r>
              <w:rPr>
                <w:rFonts w:hint="eastAsia" w:ascii="Arial" w:hAnsi="Arial" w:cs="Arial"/>
                <w:color w:val="auto"/>
                <w:spacing w:val="1"/>
                <w:sz w:val="22"/>
                <w:szCs w:val="22"/>
                <w:lang w:val="en-US" w:eastAsia="zh-CN"/>
              </w:rPr>
              <w:t>56.90</w:t>
            </w:r>
          </w:p>
        </w:tc>
        <w:tc>
          <w:tcPr>
            <w:tcW w:w="1184" w:type="dxa"/>
            <w:vAlign w:val="center"/>
          </w:tcPr>
          <w:p w14:paraId="0B12A11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14F1335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一级</w:t>
            </w:r>
          </w:p>
        </w:tc>
      </w:tr>
      <w:tr w14:paraId="05C6A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704" w:type="dxa"/>
            <w:vAlign w:val="center"/>
          </w:tcPr>
          <w:p w14:paraId="53E2788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3</w:t>
            </w:r>
          </w:p>
        </w:tc>
        <w:tc>
          <w:tcPr>
            <w:tcW w:w="3426" w:type="dxa"/>
            <w:vAlign w:val="center"/>
          </w:tcPr>
          <w:p w14:paraId="137CC25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取水量占多年平均径流量百分比γ/%</w:t>
            </w:r>
          </w:p>
        </w:tc>
        <w:tc>
          <w:tcPr>
            <w:tcW w:w="3686" w:type="dxa"/>
            <w:vAlign w:val="center"/>
          </w:tcPr>
          <w:p w14:paraId="143BCAA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8"/>
                <w:sz w:val="22"/>
                <w:szCs w:val="22"/>
              </w:rPr>
              <w:t>取水量：</w:t>
            </w:r>
            <w:r>
              <w:rPr>
                <w:rFonts w:hint="eastAsia" w:ascii="Arial" w:hAnsi="Arial" w:cs="Arial"/>
                <w:color w:val="auto"/>
                <w:spacing w:val="8"/>
                <w:sz w:val="22"/>
                <w:szCs w:val="22"/>
                <w:lang w:val="en-US" w:eastAsia="zh-CN"/>
              </w:rPr>
              <w:t>76.28</w:t>
            </w:r>
            <w:r>
              <w:rPr>
                <w:rFonts w:hint="default" w:ascii="Arial" w:hAnsi="Arial" w:cs="Arial"/>
                <w:color w:val="auto"/>
                <w:spacing w:val="8"/>
                <w:sz w:val="22"/>
                <w:szCs w:val="22"/>
              </w:rPr>
              <w:t>万m³/a</w:t>
            </w:r>
          </w:p>
          <w:p w14:paraId="4C7A573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eastAsia" w:ascii="Arial" w:hAnsi="Arial" w:cs="Arial"/>
                <w:color w:val="auto"/>
                <w:spacing w:val="12"/>
                <w:sz w:val="22"/>
                <w:szCs w:val="22"/>
                <w:lang w:eastAsia="zh-CN"/>
              </w:rPr>
              <w:t>多年平均</w:t>
            </w:r>
            <w:r>
              <w:rPr>
                <w:rFonts w:hint="default" w:ascii="Arial" w:hAnsi="Arial" w:cs="Arial"/>
                <w:color w:val="auto"/>
                <w:spacing w:val="12"/>
                <w:sz w:val="22"/>
                <w:szCs w:val="22"/>
              </w:rPr>
              <w:t>径流量：</w:t>
            </w:r>
            <w:r>
              <w:rPr>
                <w:rFonts w:hint="eastAsia" w:ascii="Arial" w:hAnsi="Arial" w:cs="Arial"/>
                <w:color w:val="auto"/>
                <w:spacing w:val="12"/>
                <w:sz w:val="22"/>
                <w:szCs w:val="22"/>
                <w:lang w:val="en-US" w:eastAsia="zh-CN"/>
              </w:rPr>
              <w:t>105</w:t>
            </w:r>
            <w:r>
              <w:rPr>
                <w:rFonts w:hint="default" w:ascii="Arial" w:hAnsi="Arial" w:cs="Arial"/>
                <w:color w:val="auto"/>
                <w:spacing w:val="12"/>
                <w:sz w:val="22"/>
                <w:szCs w:val="22"/>
              </w:rPr>
              <w:t>万m³</w:t>
            </w:r>
          </w:p>
          <w:p w14:paraId="58FC325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lang w:val="en-US" w:eastAsia="zh-CN"/>
              </w:rPr>
            </w:pPr>
            <w:r>
              <w:rPr>
                <w:rFonts w:hint="default" w:ascii="Arial" w:hAnsi="Arial" w:cs="Arial"/>
                <w:color w:val="auto"/>
                <w:spacing w:val="1"/>
                <w:sz w:val="22"/>
                <w:szCs w:val="22"/>
              </w:rPr>
              <w:t>百分比：</w:t>
            </w:r>
            <w:r>
              <w:rPr>
                <w:rFonts w:hint="eastAsia" w:ascii="Arial" w:hAnsi="Arial" w:cs="Arial"/>
                <w:color w:val="auto"/>
                <w:spacing w:val="1"/>
                <w:sz w:val="22"/>
                <w:szCs w:val="22"/>
                <w:lang w:val="en-US" w:eastAsia="zh-CN"/>
              </w:rPr>
              <w:t>72.65</w:t>
            </w:r>
          </w:p>
        </w:tc>
        <w:tc>
          <w:tcPr>
            <w:tcW w:w="1184" w:type="dxa"/>
            <w:vAlign w:val="center"/>
          </w:tcPr>
          <w:p w14:paraId="661A3B3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0A229E3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一级</w:t>
            </w:r>
          </w:p>
        </w:tc>
      </w:tr>
      <w:tr w14:paraId="6375E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704" w:type="dxa"/>
            <w:vAlign w:val="center"/>
          </w:tcPr>
          <w:p w14:paraId="7BDED74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4</w:t>
            </w:r>
          </w:p>
        </w:tc>
        <w:tc>
          <w:tcPr>
            <w:tcW w:w="3426" w:type="dxa"/>
            <w:vAlign w:val="center"/>
          </w:tcPr>
          <w:p w14:paraId="5664099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9"/>
                <w:sz w:val="22"/>
                <w:szCs w:val="22"/>
              </w:rPr>
              <w:t>工程垂直投影面积及外扩范围A</w:t>
            </w:r>
            <w:r>
              <w:rPr>
                <w:rFonts w:hint="default" w:ascii="Arial" w:hAnsi="Arial" w:cs="Arial"/>
                <w:spacing w:val="9"/>
                <w:sz w:val="22"/>
                <w:szCs w:val="22"/>
                <w:vertAlign w:val="subscript"/>
              </w:rPr>
              <w:t>1</w:t>
            </w:r>
            <w:r>
              <w:rPr>
                <w:rFonts w:hint="default" w:ascii="Arial" w:hAnsi="Arial" w:cs="Arial"/>
                <w:spacing w:val="9"/>
                <w:sz w:val="22"/>
                <w:szCs w:val="22"/>
              </w:rPr>
              <w:t>/</w:t>
            </w:r>
            <w:r>
              <w:rPr>
                <w:rFonts w:hint="default" w:ascii="Arial" w:hAnsi="Arial" w:cs="Arial"/>
                <w:sz w:val="22"/>
                <w:szCs w:val="22"/>
              </w:rPr>
              <w:t>km</w:t>
            </w:r>
            <w:r>
              <w:rPr>
                <w:rFonts w:hint="default" w:ascii="Arial" w:hAnsi="Arial" w:cs="Arial"/>
                <w:spacing w:val="9"/>
                <w:sz w:val="22"/>
                <w:szCs w:val="22"/>
              </w:rPr>
              <w:t>²</w:t>
            </w:r>
          </w:p>
        </w:tc>
        <w:tc>
          <w:tcPr>
            <w:tcW w:w="3686" w:type="dxa"/>
            <w:vAlign w:val="center"/>
          </w:tcPr>
          <w:p w14:paraId="7A49C94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2"/>
                <w:sz w:val="22"/>
                <w:szCs w:val="22"/>
              </w:rPr>
              <w:t>工程总占地</w:t>
            </w:r>
            <w:r>
              <w:rPr>
                <w:rFonts w:hint="eastAsia" w:ascii="Arial" w:hAnsi="Arial" w:cs="Arial"/>
                <w:spacing w:val="12"/>
                <w:sz w:val="22"/>
                <w:szCs w:val="22"/>
                <w:lang w:val="en-US" w:eastAsia="zh-CN"/>
              </w:rPr>
              <w:t>0.2412</w:t>
            </w:r>
            <w:r>
              <w:rPr>
                <w:rFonts w:hint="default" w:ascii="Arial" w:hAnsi="Arial" w:cs="Arial"/>
                <w:sz w:val="22"/>
                <w:szCs w:val="22"/>
              </w:rPr>
              <w:t>km</w:t>
            </w:r>
            <w:r>
              <w:rPr>
                <w:rFonts w:hint="default" w:ascii="Arial" w:hAnsi="Arial" w:cs="Arial"/>
                <w:spacing w:val="12"/>
                <w:sz w:val="22"/>
                <w:szCs w:val="22"/>
              </w:rPr>
              <w:t>²</w:t>
            </w:r>
          </w:p>
        </w:tc>
        <w:tc>
          <w:tcPr>
            <w:tcW w:w="1184" w:type="dxa"/>
            <w:vAlign w:val="center"/>
          </w:tcPr>
          <w:p w14:paraId="0DC7BE6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eastAsia" w:ascii="Arial" w:hAnsi="Arial" w:cs="Arial"/>
                <w:spacing w:val="6"/>
                <w:sz w:val="22"/>
                <w:szCs w:val="22"/>
                <w:lang w:eastAsia="zh-CN"/>
              </w:rPr>
              <w:t>二</w:t>
            </w:r>
            <w:r>
              <w:rPr>
                <w:rFonts w:hint="default" w:ascii="Arial" w:hAnsi="Arial" w:cs="Arial"/>
                <w:spacing w:val="6"/>
                <w:sz w:val="22"/>
                <w:szCs w:val="22"/>
              </w:rPr>
              <w:t>级</w:t>
            </w:r>
          </w:p>
        </w:tc>
      </w:tr>
    </w:tbl>
    <w:p w14:paraId="2B0E348E">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Arial" w:hAnsi="Arial" w:cs="Arial"/>
          <w:b/>
          <w:bCs/>
          <w:color w:val="auto"/>
          <w:sz w:val="26"/>
          <w:szCs w:val="26"/>
          <w:lang w:val="en-US" w:eastAsia="zh-CN"/>
        </w:rPr>
      </w:pPr>
    </w:p>
    <w:p w14:paraId="2769308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eastAsia" w:ascii="Arial" w:hAnsi="Arial" w:cs="Arial"/>
          <w:sz w:val="26"/>
          <w:szCs w:val="26"/>
          <w:lang w:val="en-US" w:eastAsia="zh-CN"/>
        </w:rPr>
        <w:t>由表1.6-2判定结果可知，本项目地表水环境影响评价工作等级为一级。</w:t>
      </w:r>
    </w:p>
    <w:p w14:paraId="3E2B62AF">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cs="Arial"/>
          <w:b/>
          <w:bCs/>
          <w:kern w:val="0"/>
          <w:sz w:val="26"/>
          <w:szCs w:val="26"/>
          <w:lang w:val="en-US" w:eastAsia="zh-CN" w:bidi="ar-SA"/>
        </w:rPr>
        <w:t>（</w:t>
      </w:r>
      <w:r>
        <w:rPr>
          <w:rFonts w:hint="eastAsia" w:ascii="Arial" w:hAnsi="Arial" w:eastAsia="宋体" w:cs="Arial"/>
          <w:b/>
          <w:bCs/>
          <w:kern w:val="0"/>
          <w:sz w:val="26"/>
          <w:szCs w:val="26"/>
          <w:lang w:val="en-US" w:eastAsia="zh-CN" w:bidi="ar-SA"/>
        </w:rPr>
        <w:t>4）地下水环境</w:t>
      </w:r>
    </w:p>
    <w:p w14:paraId="44EBAAB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eastAsia="宋体" w:cs="Arial"/>
          <w:sz w:val="26"/>
          <w:szCs w:val="26"/>
          <w:lang w:val="en-US" w:eastAsia="zh-CN"/>
        </w:rPr>
        <w:t>根据《环境影响评价技术导则 地下水环境》（HJ610-2016）“附录 A 地下水环境影</w:t>
      </w:r>
      <w:r>
        <w:rPr>
          <w:rFonts w:hint="default" w:ascii="Arial" w:hAnsi="Arial" w:eastAsia="宋体" w:cs="Arial"/>
          <w:sz w:val="26"/>
          <w:szCs w:val="26"/>
          <w:lang w:val="en-US" w:eastAsia="zh-CN"/>
        </w:rPr>
        <w:t>响评价行业分类表</w:t>
      </w:r>
      <w:r>
        <w:rPr>
          <w:rFonts w:hint="eastAsia" w:ascii="宋体" w:hAnsi="宋体" w:eastAsia="宋体" w:cs="宋体"/>
          <w:sz w:val="26"/>
          <w:szCs w:val="26"/>
          <w:lang w:val="en-US" w:eastAsia="zh-CN"/>
        </w:rPr>
        <w:t>”</w:t>
      </w:r>
      <w:r>
        <w:rPr>
          <w:rFonts w:hint="default" w:ascii="Arial" w:hAnsi="Arial" w:eastAsia="宋体" w:cs="Arial"/>
          <w:sz w:val="26"/>
          <w:szCs w:val="26"/>
          <w:lang w:val="en-US" w:eastAsia="zh-CN"/>
        </w:rPr>
        <w:t>相关内容，</w:t>
      </w:r>
      <w:r>
        <w:rPr>
          <w:rFonts w:hint="eastAsia" w:ascii="Arial" w:hAnsi="Arial" w:cs="Arial"/>
          <w:sz w:val="26"/>
          <w:szCs w:val="26"/>
          <w:lang w:val="en-US" w:eastAsia="zh-CN"/>
        </w:rPr>
        <w:t>本项目为</w:t>
      </w:r>
      <w:r>
        <w:rPr>
          <w:rFonts w:hint="eastAsia" w:ascii="宋体" w:hAnsi="宋体" w:eastAsia="宋体" w:cs="宋体"/>
          <w:sz w:val="26"/>
          <w:szCs w:val="26"/>
          <w:lang w:val="en-US" w:eastAsia="zh-CN"/>
        </w:rPr>
        <w:t>Ⅲ</w:t>
      </w:r>
      <w:r>
        <w:rPr>
          <w:rFonts w:hint="eastAsia" w:ascii="Arial" w:hAnsi="Arial" w:cs="Arial"/>
          <w:sz w:val="26"/>
          <w:szCs w:val="26"/>
          <w:lang w:val="en-US" w:eastAsia="zh-CN"/>
        </w:rPr>
        <w:t>类项目；且本项目评价区内无集中式饮用水源地、分散式饮用水源地和热水、矿泉水、温泉等特殊地下水资源保护区、分布区，地下水环境不敏感。故本项目地下水环境影响评价工作等级为三级。</w:t>
      </w:r>
    </w:p>
    <w:p w14:paraId="26C1719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p>
    <w:p w14:paraId="15F1157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p>
    <w:p w14:paraId="78B7792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表1.6-3 地下水评价工作等级划分表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575"/>
        <w:gridCol w:w="1450"/>
        <w:gridCol w:w="1934"/>
      </w:tblGrid>
      <w:tr w14:paraId="10F2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7C2EA9E1">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项目类别</w:t>
            </w:r>
          </w:p>
          <w:p w14:paraId="577B982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环境敏感程度</w:t>
            </w:r>
          </w:p>
        </w:tc>
        <w:tc>
          <w:tcPr>
            <w:tcW w:w="2575" w:type="dxa"/>
            <w:vAlign w:val="center"/>
          </w:tcPr>
          <w:p w14:paraId="37EE8F0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Ⅰ类项目</w:t>
            </w:r>
          </w:p>
        </w:tc>
        <w:tc>
          <w:tcPr>
            <w:tcW w:w="1450" w:type="dxa"/>
            <w:vAlign w:val="center"/>
          </w:tcPr>
          <w:p w14:paraId="720805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Ⅱ类项目</w:t>
            </w:r>
          </w:p>
        </w:tc>
        <w:tc>
          <w:tcPr>
            <w:tcW w:w="1934" w:type="dxa"/>
            <w:vAlign w:val="center"/>
          </w:tcPr>
          <w:p w14:paraId="76DF44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Ⅲ类项目</w:t>
            </w:r>
          </w:p>
        </w:tc>
      </w:tr>
      <w:tr w14:paraId="75BE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2BD8C92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敏感</w:t>
            </w:r>
          </w:p>
        </w:tc>
        <w:tc>
          <w:tcPr>
            <w:tcW w:w="2575" w:type="dxa"/>
            <w:vAlign w:val="center"/>
          </w:tcPr>
          <w:p w14:paraId="09635B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一</w:t>
            </w:r>
            <w:r>
              <w:rPr>
                <w:rFonts w:hint="eastAsia" w:ascii="Arial" w:hAnsi="Arial" w:cs="Arial"/>
                <w:b w:val="0"/>
                <w:bCs w:val="0"/>
                <w:color w:val="auto"/>
                <w:sz w:val="22"/>
                <w:szCs w:val="22"/>
                <w:vertAlign w:val="baseline"/>
                <w:lang w:val="en-US" w:eastAsia="zh-CN"/>
              </w:rPr>
              <w:t>级</w:t>
            </w:r>
          </w:p>
        </w:tc>
        <w:tc>
          <w:tcPr>
            <w:tcW w:w="1450" w:type="dxa"/>
            <w:vAlign w:val="center"/>
          </w:tcPr>
          <w:p w14:paraId="4C9E918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一</w:t>
            </w:r>
            <w:r>
              <w:rPr>
                <w:rFonts w:hint="eastAsia" w:ascii="Arial" w:hAnsi="Arial" w:cs="Arial"/>
                <w:b w:val="0"/>
                <w:bCs w:val="0"/>
                <w:color w:val="auto"/>
                <w:sz w:val="22"/>
                <w:szCs w:val="22"/>
                <w:vertAlign w:val="baseline"/>
                <w:lang w:val="en-US" w:eastAsia="zh-CN"/>
              </w:rPr>
              <w:t>级</w:t>
            </w:r>
          </w:p>
        </w:tc>
        <w:tc>
          <w:tcPr>
            <w:tcW w:w="1934" w:type="dxa"/>
            <w:vAlign w:val="center"/>
          </w:tcPr>
          <w:p w14:paraId="588687F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二</w:t>
            </w:r>
            <w:r>
              <w:rPr>
                <w:rFonts w:hint="eastAsia" w:ascii="Arial" w:hAnsi="Arial" w:cs="Arial"/>
                <w:b w:val="0"/>
                <w:bCs w:val="0"/>
                <w:color w:val="auto"/>
                <w:sz w:val="22"/>
                <w:szCs w:val="22"/>
                <w:vertAlign w:val="baseline"/>
                <w:lang w:val="en-US" w:eastAsia="zh-CN"/>
              </w:rPr>
              <w:t>级</w:t>
            </w:r>
          </w:p>
        </w:tc>
      </w:tr>
      <w:tr w14:paraId="3FAC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6AAA28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较敏感</w:t>
            </w:r>
          </w:p>
        </w:tc>
        <w:tc>
          <w:tcPr>
            <w:tcW w:w="2575" w:type="dxa"/>
            <w:vAlign w:val="center"/>
          </w:tcPr>
          <w:p w14:paraId="79D858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一</w:t>
            </w:r>
            <w:r>
              <w:rPr>
                <w:rFonts w:hint="eastAsia" w:ascii="Arial" w:hAnsi="Arial" w:cs="Arial"/>
                <w:b w:val="0"/>
                <w:bCs w:val="0"/>
                <w:color w:val="auto"/>
                <w:sz w:val="22"/>
                <w:szCs w:val="22"/>
                <w:vertAlign w:val="baseline"/>
                <w:lang w:val="en-US" w:eastAsia="zh-CN"/>
              </w:rPr>
              <w:t>级</w:t>
            </w:r>
          </w:p>
        </w:tc>
        <w:tc>
          <w:tcPr>
            <w:tcW w:w="1450" w:type="dxa"/>
            <w:vAlign w:val="center"/>
          </w:tcPr>
          <w:p w14:paraId="43A26A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二</w:t>
            </w:r>
            <w:r>
              <w:rPr>
                <w:rFonts w:hint="eastAsia" w:ascii="Arial" w:hAnsi="Arial" w:cs="Arial"/>
                <w:b w:val="0"/>
                <w:bCs w:val="0"/>
                <w:color w:val="auto"/>
                <w:sz w:val="22"/>
                <w:szCs w:val="22"/>
                <w:vertAlign w:val="baseline"/>
                <w:lang w:val="en-US" w:eastAsia="zh-CN"/>
              </w:rPr>
              <w:t>级</w:t>
            </w:r>
          </w:p>
        </w:tc>
        <w:tc>
          <w:tcPr>
            <w:tcW w:w="1934" w:type="dxa"/>
            <w:vAlign w:val="center"/>
          </w:tcPr>
          <w:p w14:paraId="7FE28F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三</w:t>
            </w:r>
            <w:r>
              <w:rPr>
                <w:rFonts w:hint="eastAsia" w:ascii="Arial" w:hAnsi="Arial" w:cs="Arial"/>
                <w:b w:val="0"/>
                <w:bCs w:val="0"/>
                <w:color w:val="auto"/>
                <w:sz w:val="22"/>
                <w:szCs w:val="22"/>
                <w:vertAlign w:val="baseline"/>
                <w:lang w:val="en-US" w:eastAsia="zh-CN"/>
              </w:rPr>
              <w:t>级</w:t>
            </w:r>
          </w:p>
        </w:tc>
      </w:tr>
      <w:tr w14:paraId="46E8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087A10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不敏感</w:t>
            </w:r>
          </w:p>
        </w:tc>
        <w:tc>
          <w:tcPr>
            <w:tcW w:w="2575" w:type="dxa"/>
            <w:vAlign w:val="center"/>
          </w:tcPr>
          <w:p w14:paraId="15F9DE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二</w:t>
            </w:r>
            <w:r>
              <w:rPr>
                <w:rFonts w:hint="eastAsia" w:ascii="Arial" w:hAnsi="Arial" w:cs="Arial"/>
                <w:b w:val="0"/>
                <w:bCs w:val="0"/>
                <w:color w:val="auto"/>
                <w:sz w:val="22"/>
                <w:szCs w:val="22"/>
                <w:vertAlign w:val="baseline"/>
                <w:lang w:val="en-US" w:eastAsia="zh-CN"/>
              </w:rPr>
              <w:t>级</w:t>
            </w:r>
          </w:p>
        </w:tc>
        <w:tc>
          <w:tcPr>
            <w:tcW w:w="1450" w:type="dxa"/>
            <w:vAlign w:val="center"/>
          </w:tcPr>
          <w:p w14:paraId="2DF4509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三</w:t>
            </w:r>
            <w:r>
              <w:rPr>
                <w:rFonts w:hint="eastAsia" w:ascii="Arial" w:hAnsi="Arial" w:cs="Arial"/>
                <w:b w:val="0"/>
                <w:bCs w:val="0"/>
                <w:color w:val="auto"/>
                <w:sz w:val="22"/>
                <w:szCs w:val="22"/>
                <w:vertAlign w:val="baseline"/>
                <w:lang w:val="en-US" w:eastAsia="zh-CN"/>
              </w:rPr>
              <w:t>级</w:t>
            </w:r>
          </w:p>
        </w:tc>
        <w:tc>
          <w:tcPr>
            <w:tcW w:w="1934" w:type="dxa"/>
            <w:vAlign w:val="center"/>
          </w:tcPr>
          <w:p w14:paraId="4D7A3B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bCs/>
                <w:color w:val="auto"/>
                <w:sz w:val="22"/>
                <w:szCs w:val="22"/>
                <w:vertAlign w:val="baseline"/>
                <w:lang w:val="en-US" w:eastAsia="zh-CN"/>
              </w:rPr>
              <w:t>三</w:t>
            </w:r>
            <w:r>
              <w:rPr>
                <w:rFonts w:hint="eastAsia" w:ascii="Arial" w:hAnsi="Arial" w:cs="Arial"/>
                <w:b/>
                <w:bCs/>
                <w:color w:val="auto"/>
                <w:sz w:val="22"/>
                <w:szCs w:val="22"/>
                <w:vertAlign w:val="baseline"/>
                <w:lang w:val="en-US" w:eastAsia="zh-CN"/>
              </w:rPr>
              <w:t>级</w:t>
            </w:r>
          </w:p>
        </w:tc>
      </w:tr>
    </w:tbl>
    <w:p w14:paraId="59AE125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Arial" w:hAnsi="Arial" w:cs="Arial"/>
          <w:b/>
          <w:bCs/>
          <w:color w:val="auto"/>
          <w:kern w:val="0"/>
          <w:sz w:val="26"/>
          <w:szCs w:val="26"/>
          <w:highlight w:val="none"/>
          <w:lang w:val="en-US" w:eastAsia="zh-CN" w:bidi="ar-SA"/>
        </w:rPr>
      </w:pPr>
    </w:p>
    <w:p w14:paraId="5A1ED3DC">
      <w:pPr>
        <w:spacing w:line="460" w:lineRule="exact"/>
        <w:ind w:firstLine="384" w:firstLineChars="147"/>
        <w:jc w:val="both"/>
        <w:rPr>
          <w:rFonts w:hint="eastAsia" w:ascii="Arial" w:hAnsi="Arial" w:cs="Arial"/>
          <w:b/>
          <w:bCs/>
          <w:color w:val="auto"/>
          <w:kern w:val="0"/>
          <w:sz w:val="26"/>
          <w:szCs w:val="26"/>
          <w:highlight w:val="none"/>
          <w:lang w:val="en-US" w:eastAsia="zh-CN" w:bidi="ar-SA"/>
        </w:rPr>
      </w:pPr>
      <w:r>
        <w:rPr>
          <w:rFonts w:hint="eastAsia" w:ascii="Arial" w:hAnsi="Arial" w:cs="Arial"/>
          <w:b/>
          <w:bCs/>
          <w:color w:val="auto"/>
          <w:kern w:val="0"/>
          <w:sz w:val="26"/>
          <w:szCs w:val="26"/>
          <w:highlight w:val="none"/>
          <w:lang w:val="en-US" w:eastAsia="zh-CN" w:bidi="ar-SA"/>
        </w:rPr>
        <w:t>（5）生态环境</w:t>
      </w:r>
    </w:p>
    <w:p w14:paraId="74B8F43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本项目占地及影响范围内不涉及自然保护区、国家公园、世界自然遗产、重要生境、自然公园、生态保护红线等敏感区。</w:t>
      </w:r>
      <w:r>
        <w:rPr>
          <w:rFonts w:hint="eastAsia" w:ascii="Arial" w:hAnsi="Arial" w:eastAsia="宋体" w:cs="Arial"/>
          <w:color w:val="auto"/>
          <w:sz w:val="26"/>
          <w:szCs w:val="26"/>
          <w:lang w:val="en-US" w:eastAsia="zh-CN"/>
        </w:rPr>
        <w:t>根据《环境影响评价技术导则 生态影响》</w:t>
      </w:r>
      <w:r>
        <w:rPr>
          <w:rFonts w:hint="eastAsia" w:ascii="Arial" w:hAnsi="Arial" w:cs="Arial"/>
          <w:color w:val="auto"/>
          <w:sz w:val="26"/>
          <w:szCs w:val="26"/>
          <w:lang w:val="en-US" w:eastAsia="zh-CN"/>
        </w:rPr>
        <w:t>（</w:t>
      </w:r>
      <w:r>
        <w:rPr>
          <w:rFonts w:hint="eastAsia" w:ascii="Arial" w:hAnsi="Arial" w:eastAsia="宋体" w:cs="Arial"/>
          <w:color w:val="auto"/>
          <w:sz w:val="26"/>
          <w:szCs w:val="26"/>
          <w:lang w:val="en-US" w:eastAsia="zh-CN"/>
        </w:rPr>
        <w:t>HJ19-2022</w:t>
      </w:r>
      <w:r>
        <w:rPr>
          <w:rFonts w:hint="eastAsia" w:ascii="Arial" w:hAnsi="Arial" w:cs="Arial"/>
          <w:color w:val="auto"/>
          <w:sz w:val="26"/>
          <w:szCs w:val="26"/>
          <w:lang w:val="en-US" w:eastAsia="zh-CN"/>
        </w:rPr>
        <w:t>）中评价等级判定的条件，结合工程具体情况</w:t>
      </w:r>
      <w:r>
        <w:rPr>
          <w:rFonts w:hint="eastAsia" w:ascii="Arial" w:hAnsi="Arial" w:eastAsia="宋体" w:cs="Arial"/>
          <w:color w:val="auto"/>
          <w:sz w:val="26"/>
          <w:szCs w:val="26"/>
          <w:lang w:val="en-US" w:eastAsia="zh-CN"/>
        </w:rPr>
        <w:t>，</w:t>
      </w:r>
      <w:r>
        <w:rPr>
          <w:rFonts w:hint="eastAsia" w:ascii="Arial" w:hAnsi="Arial" w:cs="Arial"/>
          <w:color w:val="auto"/>
          <w:sz w:val="26"/>
          <w:szCs w:val="26"/>
          <w:lang w:val="en-US" w:eastAsia="zh-CN"/>
        </w:rPr>
        <w:t>确定本项目的生态环境评价等级，详见表1.6-4所示。</w:t>
      </w:r>
    </w:p>
    <w:p w14:paraId="5A771BF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表1.6-4 生态影响评价工作等级划分表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600"/>
        <w:gridCol w:w="1450"/>
        <w:gridCol w:w="1934"/>
        <w:gridCol w:w="1368"/>
      </w:tblGrid>
      <w:tr w14:paraId="052E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7E5A40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序号</w:t>
            </w:r>
          </w:p>
        </w:tc>
        <w:tc>
          <w:tcPr>
            <w:tcW w:w="3600" w:type="dxa"/>
            <w:vAlign w:val="center"/>
          </w:tcPr>
          <w:p w14:paraId="5C4244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判定内容</w:t>
            </w:r>
          </w:p>
        </w:tc>
        <w:tc>
          <w:tcPr>
            <w:tcW w:w="1450" w:type="dxa"/>
            <w:vAlign w:val="center"/>
          </w:tcPr>
          <w:p w14:paraId="12385A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等级标准</w:t>
            </w:r>
          </w:p>
        </w:tc>
        <w:tc>
          <w:tcPr>
            <w:tcW w:w="1934" w:type="dxa"/>
            <w:vAlign w:val="center"/>
          </w:tcPr>
          <w:p w14:paraId="0A62CB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项目情况</w:t>
            </w:r>
          </w:p>
        </w:tc>
        <w:tc>
          <w:tcPr>
            <w:tcW w:w="1368" w:type="dxa"/>
            <w:vAlign w:val="center"/>
          </w:tcPr>
          <w:p w14:paraId="4353656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判定结果</w:t>
            </w:r>
          </w:p>
        </w:tc>
      </w:tr>
      <w:tr w14:paraId="6FB4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3A1453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1</w:t>
            </w:r>
          </w:p>
        </w:tc>
        <w:tc>
          <w:tcPr>
            <w:tcW w:w="3600" w:type="dxa"/>
            <w:vAlign w:val="center"/>
          </w:tcPr>
          <w:p w14:paraId="0FB894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涉及国家公园、自然保护区、世界自然遗产、重要生境</w:t>
            </w:r>
          </w:p>
        </w:tc>
        <w:tc>
          <w:tcPr>
            <w:tcW w:w="1450" w:type="dxa"/>
            <w:vAlign w:val="center"/>
          </w:tcPr>
          <w:p w14:paraId="54469F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一级</w:t>
            </w:r>
          </w:p>
        </w:tc>
        <w:tc>
          <w:tcPr>
            <w:tcW w:w="1934" w:type="dxa"/>
            <w:vAlign w:val="center"/>
          </w:tcPr>
          <w:p w14:paraId="0B1BCC3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本项目不涉及</w:t>
            </w:r>
          </w:p>
        </w:tc>
        <w:tc>
          <w:tcPr>
            <w:tcW w:w="1368" w:type="dxa"/>
            <w:vAlign w:val="center"/>
          </w:tcPr>
          <w:p w14:paraId="2557ED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r w14:paraId="3521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45A18C0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2</w:t>
            </w:r>
          </w:p>
        </w:tc>
        <w:tc>
          <w:tcPr>
            <w:tcW w:w="3600" w:type="dxa"/>
            <w:vAlign w:val="center"/>
          </w:tcPr>
          <w:p w14:paraId="4FD301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涉及自然公园</w:t>
            </w:r>
          </w:p>
        </w:tc>
        <w:tc>
          <w:tcPr>
            <w:tcW w:w="1450" w:type="dxa"/>
            <w:vAlign w:val="center"/>
          </w:tcPr>
          <w:p w14:paraId="7C8F0E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二级</w:t>
            </w:r>
          </w:p>
        </w:tc>
        <w:tc>
          <w:tcPr>
            <w:tcW w:w="1934" w:type="dxa"/>
            <w:vAlign w:val="center"/>
          </w:tcPr>
          <w:p w14:paraId="4737AF2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本项目不涉及</w:t>
            </w:r>
          </w:p>
        </w:tc>
        <w:tc>
          <w:tcPr>
            <w:tcW w:w="1368" w:type="dxa"/>
            <w:vAlign w:val="center"/>
          </w:tcPr>
          <w:p w14:paraId="0834E90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r w14:paraId="5C83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74D2CB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3</w:t>
            </w:r>
          </w:p>
        </w:tc>
        <w:tc>
          <w:tcPr>
            <w:tcW w:w="3600" w:type="dxa"/>
            <w:vAlign w:val="center"/>
          </w:tcPr>
          <w:p w14:paraId="7B86489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涉及生态保护红线</w:t>
            </w:r>
          </w:p>
        </w:tc>
        <w:tc>
          <w:tcPr>
            <w:tcW w:w="1450" w:type="dxa"/>
            <w:vAlign w:val="center"/>
          </w:tcPr>
          <w:p w14:paraId="749D617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c>
          <w:tcPr>
            <w:tcW w:w="1934" w:type="dxa"/>
            <w:vAlign w:val="center"/>
          </w:tcPr>
          <w:p w14:paraId="6D3AE3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本项目不涉及</w:t>
            </w:r>
          </w:p>
        </w:tc>
        <w:tc>
          <w:tcPr>
            <w:tcW w:w="1368" w:type="dxa"/>
            <w:vAlign w:val="center"/>
          </w:tcPr>
          <w:p w14:paraId="78C82C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r w14:paraId="1A34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02" w:type="dxa"/>
            <w:vAlign w:val="center"/>
          </w:tcPr>
          <w:p w14:paraId="0DBB4B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4</w:t>
            </w:r>
          </w:p>
        </w:tc>
        <w:tc>
          <w:tcPr>
            <w:tcW w:w="3600" w:type="dxa"/>
            <w:vAlign w:val="center"/>
          </w:tcPr>
          <w:p w14:paraId="05A8D6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根据HJ2.3判定属于水文要素影响型且地表水评价等级不低于二级的建设项目</w:t>
            </w:r>
          </w:p>
        </w:tc>
        <w:tc>
          <w:tcPr>
            <w:tcW w:w="1450" w:type="dxa"/>
            <w:vAlign w:val="center"/>
          </w:tcPr>
          <w:p w14:paraId="593574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c>
          <w:tcPr>
            <w:tcW w:w="1934" w:type="dxa"/>
            <w:vAlign w:val="center"/>
          </w:tcPr>
          <w:p w14:paraId="57F40A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本项目属于水文要素影响型项目，且地表水环境评价等级为一级。</w:t>
            </w:r>
          </w:p>
        </w:tc>
        <w:tc>
          <w:tcPr>
            <w:tcW w:w="1368" w:type="dxa"/>
            <w:vAlign w:val="center"/>
          </w:tcPr>
          <w:p w14:paraId="621F77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r>
      <w:tr w14:paraId="2AFB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35C44C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5</w:t>
            </w:r>
          </w:p>
        </w:tc>
        <w:tc>
          <w:tcPr>
            <w:tcW w:w="3600" w:type="dxa"/>
            <w:vAlign w:val="center"/>
          </w:tcPr>
          <w:p w14:paraId="63B693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根据HJ610、HJ964判断地下水水位或土壤影响范围内分布有天然林、公益林、湿地等生态保护目标的建设项目</w:t>
            </w:r>
          </w:p>
        </w:tc>
        <w:tc>
          <w:tcPr>
            <w:tcW w:w="1450" w:type="dxa"/>
            <w:vAlign w:val="center"/>
          </w:tcPr>
          <w:p w14:paraId="3279581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c>
          <w:tcPr>
            <w:tcW w:w="1934" w:type="dxa"/>
            <w:vAlign w:val="center"/>
          </w:tcPr>
          <w:p w14:paraId="3283F0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本项目占地范围内涉及公益林</w:t>
            </w:r>
          </w:p>
        </w:tc>
        <w:tc>
          <w:tcPr>
            <w:tcW w:w="1368" w:type="dxa"/>
            <w:vAlign w:val="center"/>
          </w:tcPr>
          <w:p w14:paraId="5921A4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r>
      <w:tr w14:paraId="5029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6A6315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6</w:t>
            </w:r>
          </w:p>
        </w:tc>
        <w:tc>
          <w:tcPr>
            <w:tcW w:w="3600" w:type="dxa"/>
            <w:vAlign w:val="center"/>
          </w:tcPr>
          <w:p w14:paraId="17B8CA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当工程占地规模大于20km</w:t>
            </w:r>
            <w:r>
              <w:rPr>
                <w:rFonts w:hint="eastAsia" w:ascii="Arial" w:hAnsi="Arial" w:cs="Arial"/>
                <w:b w:val="0"/>
                <w:bCs w:val="0"/>
                <w:color w:val="auto"/>
                <w:sz w:val="22"/>
                <w:szCs w:val="22"/>
                <w:vertAlign w:val="superscript"/>
                <w:lang w:val="en-US" w:eastAsia="zh-CN"/>
              </w:rPr>
              <w:t>2</w:t>
            </w:r>
            <w:r>
              <w:rPr>
                <w:rFonts w:hint="eastAsia" w:ascii="Arial" w:hAnsi="Arial" w:cs="Arial"/>
                <w:b w:val="0"/>
                <w:bCs w:val="0"/>
                <w:color w:val="auto"/>
                <w:sz w:val="22"/>
                <w:szCs w:val="22"/>
                <w:vertAlign w:val="baseline"/>
                <w:lang w:val="en-US" w:eastAsia="zh-CN"/>
              </w:rPr>
              <w:t>时（包括永久和临时占用陆域和水域）；改扩建项目的占地范围以新增占地（包括陆域和水域）确定。</w:t>
            </w:r>
          </w:p>
        </w:tc>
        <w:tc>
          <w:tcPr>
            <w:tcW w:w="1450" w:type="dxa"/>
            <w:vAlign w:val="center"/>
          </w:tcPr>
          <w:p w14:paraId="1B1F71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c>
          <w:tcPr>
            <w:tcW w:w="1934" w:type="dxa"/>
            <w:vAlign w:val="center"/>
          </w:tcPr>
          <w:p w14:paraId="55B3010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本项目总占地面积为0.2412km</w:t>
            </w:r>
            <w:r>
              <w:rPr>
                <w:rFonts w:hint="eastAsia" w:ascii="Arial" w:hAnsi="Arial" w:cs="Arial"/>
                <w:b w:val="0"/>
                <w:bCs w:val="0"/>
                <w:color w:val="auto"/>
                <w:sz w:val="22"/>
                <w:szCs w:val="22"/>
                <w:vertAlign w:val="superscript"/>
                <w:lang w:val="en-US" w:eastAsia="zh-CN"/>
              </w:rPr>
              <w:t>2</w:t>
            </w:r>
          </w:p>
        </w:tc>
        <w:tc>
          <w:tcPr>
            <w:tcW w:w="1368" w:type="dxa"/>
            <w:vAlign w:val="center"/>
          </w:tcPr>
          <w:p w14:paraId="2F4406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r w14:paraId="4B18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692FB3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7</w:t>
            </w:r>
          </w:p>
        </w:tc>
        <w:tc>
          <w:tcPr>
            <w:tcW w:w="3600" w:type="dxa"/>
            <w:vAlign w:val="center"/>
          </w:tcPr>
          <w:p w14:paraId="147453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除上述条款以为的情况</w:t>
            </w:r>
          </w:p>
        </w:tc>
        <w:tc>
          <w:tcPr>
            <w:tcW w:w="1450" w:type="dxa"/>
            <w:vAlign w:val="center"/>
          </w:tcPr>
          <w:p w14:paraId="1D8BBE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三级</w:t>
            </w:r>
          </w:p>
        </w:tc>
        <w:tc>
          <w:tcPr>
            <w:tcW w:w="1934" w:type="dxa"/>
            <w:vAlign w:val="center"/>
          </w:tcPr>
          <w:p w14:paraId="6B97EA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c>
          <w:tcPr>
            <w:tcW w:w="1368" w:type="dxa"/>
            <w:vAlign w:val="center"/>
          </w:tcPr>
          <w:p w14:paraId="1811399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bl>
    <w:p w14:paraId="2D97B0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Arial" w:hAnsi="Arial" w:cs="Arial"/>
          <w:b/>
          <w:bCs/>
          <w:color w:val="auto"/>
          <w:sz w:val="26"/>
          <w:szCs w:val="26"/>
          <w:lang w:val="en-US" w:eastAsia="zh-CN"/>
        </w:rPr>
      </w:pPr>
    </w:p>
    <w:p w14:paraId="405FBE7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auto"/>
          <w:sz w:val="26"/>
          <w:szCs w:val="26"/>
          <w:lang w:val="en-US" w:eastAsia="zh-CN"/>
        </w:rPr>
      </w:pPr>
      <w:r>
        <w:rPr>
          <w:rFonts w:hint="eastAsia" w:ascii="Arial" w:hAnsi="Arial" w:cs="Arial"/>
          <w:color w:val="auto"/>
          <w:sz w:val="26"/>
          <w:szCs w:val="26"/>
          <w:lang w:val="en-US" w:eastAsia="zh-CN"/>
        </w:rPr>
        <w:t>同时，本项目拦河闸坝建设会导致流域水文情势明显改变，故水生生态评价等级上调一级，为一级评价；陆生生态为二级评价。</w:t>
      </w:r>
    </w:p>
    <w:p w14:paraId="0FD2C12C">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（6）土壤环境</w:t>
      </w:r>
    </w:p>
    <w:p w14:paraId="123B614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根据《环境影响评价技术导则 土壤环境（试行）》（HJ964-2018），本项目属于其附录A中的“水利”，库容80.51万m</w:t>
      </w:r>
      <w:r>
        <w:rPr>
          <w:rFonts w:hint="eastAsia" w:ascii="Arial" w:hAnsi="Arial" w:cs="Arial"/>
          <w:sz w:val="26"/>
          <w:szCs w:val="26"/>
          <w:vertAlign w:val="superscript"/>
          <w:lang w:val="en-US" w:eastAsia="zh-CN"/>
        </w:rPr>
        <w:t>3</w:t>
      </w:r>
      <w:r>
        <w:rPr>
          <w:rFonts w:hint="eastAsia" w:ascii="Arial" w:hAnsi="Arial" w:cs="Arial"/>
          <w:sz w:val="26"/>
          <w:szCs w:val="26"/>
          <w:lang w:val="en-US" w:eastAsia="zh-CN"/>
        </w:rPr>
        <w:t>，且不涉及跨流域调水，故为</w:t>
      </w:r>
      <w:r>
        <w:rPr>
          <w:rFonts w:hint="eastAsia" w:ascii="宋体" w:hAnsi="宋体" w:eastAsia="宋体" w:cs="宋体"/>
          <w:sz w:val="26"/>
          <w:szCs w:val="26"/>
          <w:lang w:val="en-US" w:eastAsia="zh-CN"/>
        </w:rPr>
        <w:t>Ⅲ</w:t>
      </w:r>
      <w:r>
        <w:rPr>
          <w:rFonts w:hint="eastAsia" w:ascii="Arial" w:hAnsi="Arial" w:cs="Arial"/>
          <w:sz w:val="26"/>
          <w:szCs w:val="26"/>
          <w:lang w:val="en-US" w:eastAsia="zh-CN"/>
        </w:rPr>
        <w:t>类项目；根据土壤环境质量现状监测结果可知，项目所在区pH为7.44、含盐量为0.8g/kg，未出现盐化、酸化和碱化现象，土壤环境不敏感。因此本项目可不进行土壤环境影响评价。</w:t>
      </w:r>
    </w:p>
    <w:p w14:paraId="4641114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表1.6-5 土壤环境影响评价工作等级划分表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575"/>
        <w:gridCol w:w="1450"/>
        <w:gridCol w:w="1934"/>
      </w:tblGrid>
      <w:tr w14:paraId="5E96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6F2DCC9B">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项目类别</w:t>
            </w:r>
          </w:p>
          <w:p w14:paraId="3679226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环境敏感程度</w:t>
            </w:r>
          </w:p>
        </w:tc>
        <w:tc>
          <w:tcPr>
            <w:tcW w:w="2575" w:type="dxa"/>
            <w:vAlign w:val="center"/>
          </w:tcPr>
          <w:p w14:paraId="40067E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Ⅰ类项目</w:t>
            </w:r>
          </w:p>
        </w:tc>
        <w:tc>
          <w:tcPr>
            <w:tcW w:w="1450" w:type="dxa"/>
            <w:vAlign w:val="center"/>
          </w:tcPr>
          <w:p w14:paraId="5AE5C4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Ⅱ类项目</w:t>
            </w:r>
          </w:p>
        </w:tc>
        <w:tc>
          <w:tcPr>
            <w:tcW w:w="1934" w:type="dxa"/>
            <w:vAlign w:val="center"/>
          </w:tcPr>
          <w:p w14:paraId="5B7646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Ⅲ类项目</w:t>
            </w:r>
          </w:p>
        </w:tc>
      </w:tr>
      <w:tr w14:paraId="50E5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0FCE6C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敏感</w:t>
            </w:r>
          </w:p>
        </w:tc>
        <w:tc>
          <w:tcPr>
            <w:tcW w:w="2575" w:type="dxa"/>
            <w:vAlign w:val="center"/>
          </w:tcPr>
          <w:p w14:paraId="5829A8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一</w:t>
            </w:r>
            <w:r>
              <w:rPr>
                <w:rFonts w:hint="eastAsia" w:ascii="Arial" w:hAnsi="Arial" w:cs="Arial"/>
                <w:b w:val="0"/>
                <w:bCs w:val="0"/>
                <w:color w:val="auto"/>
                <w:sz w:val="22"/>
                <w:szCs w:val="22"/>
                <w:vertAlign w:val="baseline"/>
                <w:lang w:val="en-US" w:eastAsia="zh-CN"/>
              </w:rPr>
              <w:t>级</w:t>
            </w:r>
          </w:p>
        </w:tc>
        <w:tc>
          <w:tcPr>
            <w:tcW w:w="1450" w:type="dxa"/>
            <w:vAlign w:val="center"/>
          </w:tcPr>
          <w:p w14:paraId="27060A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二级</w:t>
            </w:r>
          </w:p>
        </w:tc>
        <w:tc>
          <w:tcPr>
            <w:tcW w:w="1934" w:type="dxa"/>
            <w:vAlign w:val="center"/>
          </w:tcPr>
          <w:p w14:paraId="1D3A73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三级</w:t>
            </w:r>
          </w:p>
        </w:tc>
      </w:tr>
      <w:tr w14:paraId="61E1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4B354C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较敏感</w:t>
            </w:r>
          </w:p>
        </w:tc>
        <w:tc>
          <w:tcPr>
            <w:tcW w:w="2575" w:type="dxa"/>
            <w:vAlign w:val="center"/>
          </w:tcPr>
          <w:p w14:paraId="2E52F7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二级</w:t>
            </w:r>
          </w:p>
        </w:tc>
        <w:tc>
          <w:tcPr>
            <w:tcW w:w="1450" w:type="dxa"/>
            <w:vAlign w:val="center"/>
          </w:tcPr>
          <w:p w14:paraId="71F465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二级</w:t>
            </w:r>
          </w:p>
        </w:tc>
        <w:tc>
          <w:tcPr>
            <w:tcW w:w="1934" w:type="dxa"/>
            <w:vAlign w:val="center"/>
          </w:tcPr>
          <w:p w14:paraId="7AA65C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三级</w:t>
            </w:r>
          </w:p>
        </w:tc>
      </w:tr>
      <w:tr w14:paraId="2148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14B516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不敏感</w:t>
            </w:r>
          </w:p>
        </w:tc>
        <w:tc>
          <w:tcPr>
            <w:tcW w:w="2575" w:type="dxa"/>
            <w:vAlign w:val="center"/>
          </w:tcPr>
          <w:p w14:paraId="2495799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二</w:t>
            </w:r>
            <w:r>
              <w:rPr>
                <w:rFonts w:hint="eastAsia" w:ascii="Arial" w:hAnsi="Arial" w:cs="Arial"/>
                <w:b w:val="0"/>
                <w:bCs w:val="0"/>
                <w:color w:val="auto"/>
                <w:sz w:val="22"/>
                <w:szCs w:val="22"/>
                <w:vertAlign w:val="baseline"/>
                <w:lang w:val="en-US" w:eastAsia="zh-CN"/>
              </w:rPr>
              <w:t>级</w:t>
            </w:r>
          </w:p>
        </w:tc>
        <w:tc>
          <w:tcPr>
            <w:tcW w:w="1450" w:type="dxa"/>
            <w:vAlign w:val="center"/>
          </w:tcPr>
          <w:p w14:paraId="2AB96E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三级</w:t>
            </w:r>
          </w:p>
        </w:tc>
        <w:tc>
          <w:tcPr>
            <w:tcW w:w="1934" w:type="dxa"/>
            <w:vAlign w:val="center"/>
          </w:tcPr>
          <w:p w14:paraId="44C663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bl>
    <w:p w14:paraId="73ECAB8A">
      <w:pPr>
        <w:pStyle w:val="19"/>
        <w:keepNext w:val="0"/>
        <w:keepLines w:val="0"/>
        <w:pageBreakBefore w:val="0"/>
        <w:widowControl w:val="0"/>
        <w:kinsoku/>
        <w:wordWrap/>
        <w:overflowPunct/>
        <w:topLinePunct w:val="0"/>
        <w:autoSpaceDE/>
        <w:autoSpaceDN/>
        <w:bidi w:val="0"/>
        <w:adjustRightInd w:val="0"/>
        <w:snapToGrid w:val="0"/>
        <w:spacing w:line="24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58" w:name="_Toc34987795"/>
      <w:bookmarkStart w:id="59" w:name="_Toc36040994"/>
    </w:p>
    <w:p w14:paraId="2FDD9D35">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6</w:t>
      </w:r>
      <w:r>
        <w:rPr>
          <w:rFonts w:hint="eastAsia" w:ascii="Arial" w:hAnsi="Arial" w:eastAsia="宋体" w:cs="Arial"/>
          <w:b/>
          <w:color w:val="auto"/>
          <w:kern w:val="0"/>
          <w:sz w:val="26"/>
          <w:szCs w:val="20"/>
          <w:highlight w:val="none"/>
          <w:lang w:val="en-US" w:eastAsia="zh-CN"/>
        </w:rPr>
        <w:t>.2 评价范围</w:t>
      </w:r>
      <w:bookmarkEnd w:id="58"/>
      <w:bookmarkEnd w:id="59"/>
    </w:p>
    <w:p w14:paraId="606D71A0">
      <w:pPr>
        <w:spacing w:line="460" w:lineRule="exact"/>
        <w:ind w:firstLine="384" w:firstLineChars="147"/>
        <w:jc w:val="both"/>
        <w:rPr>
          <w:rFonts w:hint="eastAsia" w:ascii="Arial" w:hAnsi="Arial" w:cs="Arial"/>
          <w:b/>
          <w:bCs/>
          <w:kern w:val="0"/>
          <w:sz w:val="26"/>
          <w:szCs w:val="26"/>
          <w:highlight w:val="none"/>
          <w:lang w:val="en-US" w:eastAsia="zh-CN" w:bidi="ar-SA"/>
        </w:rPr>
      </w:pPr>
      <w:r>
        <w:rPr>
          <w:rFonts w:hint="eastAsia" w:ascii="Arial" w:hAnsi="Arial" w:cs="Arial"/>
          <w:b/>
          <w:bCs/>
          <w:kern w:val="0"/>
          <w:sz w:val="26"/>
          <w:szCs w:val="26"/>
          <w:highlight w:val="none"/>
          <w:lang w:val="en-US" w:eastAsia="zh-CN" w:bidi="ar-SA"/>
        </w:rPr>
        <w:t>（1）声环境</w:t>
      </w:r>
    </w:p>
    <w:p w14:paraId="16F6244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项目施工期的声环境范围为项目施工场界周边200m范围内以及施工便道两侧200m范围。</w:t>
      </w:r>
    </w:p>
    <w:p w14:paraId="457A6120">
      <w:pPr>
        <w:spacing w:line="460" w:lineRule="exact"/>
        <w:ind w:firstLine="384" w:firstLineChars="147"/>
        <w:jc w:val="both"/>
        <w:rPr>
          <w:rFonts w:hint="default"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（2）大气环境</w:t>
      </w:r>
    </w:p>
    <w:p w14:paraId="342F7BD7">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Arial" w:hAnsi="Arial" w:eastAsia="宋体" w:cs="Arial"/>
          <w:kern w:val="2"/>
          <w:sz w:val="26"/>
          <w:szCs w:val="26"/>
          <w:lang w:val="en-US" w:eastAsia="zh-CN" w:bidi="ar-SA"/>
        </w:rPr>
      </w:pPr>
      <w:r>
        <w:rPr>
          <w:rFonts w:hint="default" w:ascii="Arial" w:hAnsi="Arial" w:eastAsia="宋体" w:cs="Arial"/>
          <w:kern w:val="2"/>
          <w:sz w:val="26"/>
          <w:szCs w:val="26"/>
          <w:lang w:val="en-US" w:eastAsia="zh-CN" w:bidi="ar-SA"/>
        </w:rPr>
        <w:t>拟建项目大气环境影响评价等级为三级</w:t>
      </w:r>
      <w:r>
        <w:rPr>
          <w:rFonts w:hint="eastAsia" w:ascii="Arial" w:hAnsi="Arial" w:eastAsia="宋体" w:cs="Arial"/>
          <w:kern w:val="2"/>
          <w:sz w:val="26"/>
          <w:szCs w:val="26"/>
          <w:lang w:val="en-US" w:eastAsia="zh-CN" w:bidi="ar-SA"/>
        </w:rPr>
        <w:t>，不需</w:t>
      </w:r>
      <w:r>
        <w:rPr>
          <w:rFonts w:hint="default" w:ascii="Arial" w:hAnsi="Arial" w:eastAsia="宋体" w:cs="Arial"/>
          <w:kern w:val="2"/>
          <w:sz w:val="26"/>
          <w:szCs w:val="26"/>
          <w:lang w:val="en-US" w:eastAsia="zh-CN" w:bidi="ar-SA"/>
        </w:rPr>
        <w:t>设置大气环境影响评价范围</w:t>
      </w:r>
      <w:r>
        <w:rPr>
          <w:rFonts w:hint="eastAsia" w:ascii="Arial" w:hAnsi="Arial" w:eastAsia="宋体" w:cs="Arial"/>
          <w:kern w:val="2"/>
          <w:sz w:val="26"/>
          <w:szCs w:val="26"/>
          <w:lang w:val="en-US" w:eastAsia="zh-CN" w:bidi="ar-SA"/>
        </w:rPr>
        <w:t>。但考虑到工程建设内容较多，将枢纽工程、弃渣场四周200m范围及施工便道、输水管线两侧200m作为施工期环境空气评价范围。</w:t>
      </w:r>
    </w:p>
    <w:p w14:paraId="00E0CDA9">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（3）地表水环境</w:t>
      </w:r>
    </w:p>
    <w:p w14:paraId="08B2420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en-US" w:eastAsia="zh-CN"/>
        </w:rPr>
        <w:t>海螺沟：枢纽库区回水河段长0.55km，坝后减水河段1.54km。</w:t>
      </w:r>
    </w:p>
    <w:p w14:paraId="0E74078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高洞桥河：灌溉及人饮退水影响河段长约5.71km。</w:t>
      </w:r>
    </w:p>
    <w:p w14:paraId="26055B7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en-US" w:eastAsia="zh-CN"/>
        </w:rPr>
        <w:t>双龙河：灌溉及人饮退水影响河段长约0.68km。</w:t>
      </w:r>
    </w:p>
    <w:p w14:paraId="56CF1DDD">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（4）地下水</w:t>
      </w:r>
    </w:p>
    <w:p w14:paraId="27FC05E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en-US" w:eastAsia="zh-CN"/>
        </w:rPr>
        <w:t>库区两岸山脊线以内及灌区，面积合计约3.37km</w:t>
      </w:r>
      <w:r>
        <w:rPr>
          <w:rFonts w:hint="eastAsia" w:ascii="Arial" w:hAnsi="Arial" w:cs="Arial"/>
          <w:sz w:val="26"/>
          <w:szCs w:val="26"/>
          <w:vertAlign w:val="superscript"/>
          <w:lang w:val="en-US" w:eastAsia="zh-CN"/>
        </w:rPr>
        <w:t>2</w:t>
      </w:r>
      <w:r>
        <w:rPr>
          <w:rFonts w:hint="eastAsia" w:ascii="Arial" w:hAnsi="Arial" w:cs="Arial"/>
          <w:sz w:val="26"/>
          <w:szCs w:val="26"/>
          <w:lang w:val="en-US" w:eastAsia="zh-CN"/>
        </w:rPr>
        <w:t>。</w:t>
      </w:r>
    </w:p>
    <w:p w14:paraId="1A33454D">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（5）生态环境</w:t>
      </w:r>
    </w:p>
    <w:p w14:paraId="2F6C804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水生生态：库区海螺沟水域约0.55km、坝后海螺沟减水河段1.54km、灌溉及人饮退水影响高洞桥河河段5.71km、双龙河河段0.68km。</w:t>
      </w:r>
    </w:p>
    <w:p w14:paraId="04C9A68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highlight w:val="none"/>
          <w:lang w:val="en-US" w:eastAsia="zh-CN"/>
        </w:rPr>
      </w:pPr>
      <w:r>
        <w:rPr>
          <w:rFonts w:hint="eastAsia" w:ascii="Arial" w:hAnsi="Arial" w:cs="Arial"/>
          <w:color w:val="auto"/>
          <w:sz w:val="26"/>
          <w:szCs w:val="26"/>
          <w:highlight w:val="none"/>
          <w:lang w:val="en-US" w:eastAsia="zh-CN"/>
        </w:rPr>
        <w:t>陆生生态：水库枢纽及库区两岸山脊线以内的陆域坡面，约</w:t>
      </w:r>
      <w:r>
        <w:rPr>
          <w:rFonts w:hint="eastAsia" w:ascii="Arial" w:hAnsi="Arial" w:eastAsia="宋体" w:cs="Arial"/>
          <w:color w:val="auto"/>
          <w:kern w:val="0"/>
          <w:sz w:val="26"/>
          <w:szCs w:val="26"/>
          <w:highlight w:val="none"/>
          <w:lang w:val="en-US" w:eastAsia="zh-CN"/>
        </w:rPr>
        <w:t>2.04km</w:t>
      </w:r>
      <w:r>
        <w:rPr>
          <w:rFonts w:hint="eastAsia" w:ascii="Arial" w:hAnsi="Arial" w:eastAsia="宋体"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w:t>
      </w:r>
    </w:p>
    <w:p w14:paraId="7F64C161">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（6）土壤环境</w:t>
      </w:r>
    </w:p>
    <w:p w14:paraId="0D35CC3A">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val="0"/>
          <w:kern w:val="0"/>
          <w:sz w:val="26"/>
          <w:szCs w:val="26"/>
          <w:lang w:val="en-US" w:eastAsia="zh-CN" w:bidi="ar-SA"/>
        </w:rPr>
      </w:pPr>
      <w:r>
        <w:rPr>
          <w:rFonts w:hint="eastAsia" w:ascii="Arial" w:hAnsi="Arial" w:cs="Arial"/>
          <w:b w:val="0"/>
          <w:bCs w:val="0"/>
          <w:kern w:val="0"/>
          <w:sz w:val="26"/>
          <w:szCs w:val="26"/>
          <w:lang w:val="en-US" w:eastAsia="zh-CN" w:bidi="ar-SA"/>
        </w:rPr>
        <w:t>根据《环境影响评价技术导则 土壤环境（试行）》（HJ964-2018），本项目可不开展土壤环境影响评价，故不设土壤环境评价范围。</w:t>
      </w:r>
    </w:p>
    <w:p w14:paraId="3290A14B">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hint="eastAsia" w:ascii="Arial" w:hAnsi="Arial" w:cs="Arial"/>
          <w:b/>
          <w:color w:val="auto"/>
          <w:kern w:val="0"/>
          <w:sz w:val="26"/>
          <w:szCs w:val="26"/>
          <w:highlight w:val="none"/>
          <w:lang w:val="en-US" w:eastAsia="zh-CN"/>
        </w:rPr>
      </w:pPr>
      <w:bookmarkStart w:id="60" w:name="_Toc17468"/>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7评价重点及时段</w:t>
      </w:r>
    </w:p>
    <w:p w14:paraId="00C16C72">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9"/>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7</w:t>
      </w: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评价重点</w:t>
      </w:r>
    </w:p>
    <w:p w14:paraId="48CE114B">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outlineLvl w:val="9"/>
        <w:rPr>
          <w:rFonts w:hint="eastAsia" w:ascii="Arial" w:hAnsi="Arial" w:cs="Arial"/>
          <w:b w:val="0"/>
          <w:bCs w:val="0"/>
          <w:kern w:val="0"/>
          <w:sz w:val="26"/>
          <w:szCs w:val="26"/>
          <w:lang w:val="en-US" w:eastAsia="zh-CN" w:bidi="ar-SA"/>
        </w:rPr>
      </w:pPr>
      <w:r>
        <w:rPr>
          <w:rFonts w:hint="eastAsia" w:ascii="Arial" w:hAnsi="Arial" w:cs="Arial"/>
          <w:b w:val="0"/>
          <w:bCs w:val="0"/>
          <w:kern w:val="0"/>
          <w:sz w:val="26"/>
          <w:szCs w:val="26"/>
          <w:lang w:val="en-US" w:eastAsia="zh-CN" w:bidi="ar-SA"/>
        </w:rPr>
        <w:t>本评价以工程分析、地表水环境影响评价、生态环境影响评价、生态保护及环境 保护措施等为重点。</w:t>
      </w:r>
    </w:p>
    <w:p w14:paraId="287C4DE2">
      <w:pPr>
        <w:keepNext w:val="0"/>
        <w:keepLines w:val="0"/>
        <w:pageBreakBefore w:val="0"/>
        <w:widowControl w:val="0"/>
        <w:kinsoku/>
        <w:wordWrap/>
        <w:overflowPunct/>
        <w:topLinePunct w:val="0"/>
        <w:autoSpaceDE/>
        <w:autoSpaceDN/>
        <w:bidi w:val="0"/>
        <w:spacing w:line="460" w:lineRule="exact"/>
        <w:ind w:firstLine="522" w:firstLineChars="200"/>
        <w:textAlignment w:val="auto"/>
        <w:outlineLvl w:val="9"/>
        <w:rPr>
          <w:rFonts w:hint="eastAsia" w:ascii="Arial" w:hAnsi="Arial" w:eastAsia="宋体" w:cs="Arial"/>
          <w:b/>
          <w:color w:val="auto"/>
          <w:kern w:val="0"/>
          <w:sz w:val="26"/>
          <w:szCs w:val="26"/>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7</w:t>
      </w: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2评价时段</w:t>
      </w:r>
    </w:p>
    <w:p w14:paraId="744335E1">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outlineLvl w:val="9"/>
        <w:rPr>
          <w:rFonts w:hint="eastAsia" w:ascii="Arial" w:hAnsi="Arial" w:cs="Arial"/>
          <w:b w:val="0"/>
          <w:bCs w:val="0"/>
          <w:kern w:val="0"/>
          <w:sz w:val="26"/>
          <w:szCs w:val="26"/>
          <w:lang w:val="en-US" w:eastAsia="zh-CN" w:bidi="ar-SA"/>
        </w:rPr>
      </w:pPr>
      <w:r>
        <w:rPr>
          <w:rFonts w:hint="eastAsia" w:ascii="Arial" w:hAnsi="Arial" w:cs="Arial"/>
          <w:b w:val="0"/>
          <w:bCs w:val="0"/>
          <w:kern w:val="0"/>
          <w:sz w:val="26"/>
          <w:szCs w:val="26"/>
          <w:lang w:val="en-US" w:eastAsia="zh-CN" w:bidi="ar-SA"/>
        </w:rPr>
        <w:t>环境影响评价时段包括施工期和运行期。</w:t>
      </w:r>
    </w:p>
    <w:p w14:paraId="3DDC1B87">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r>
        <w:rPr>
          <w:rFonts w:hint="eastAsia" w:ascii="Arial" w:hAnsi="Arial" w:cs="Arial"/>
          <w:b/>
          <w:color w:val="auto"/>
          <w:kern w:val="0"/>
          <w:sz w:val="26"/>
          <w:szCs w:val="26"/>
          <w:highlight w:val="none"/>
          <w:lang w:val="en-US" w:eastAsia="zh-CN"/>
        </w:rPr>
        <w:t>1.8</w:t>
      </w:r>
      <w:r>
        <w:rPr>
          <w:rFonts w:hint="eastAsia" w:ascii="Arial" w:hAnsi="Arial" w:eastAsia="宋体" w:cs="Arial"/>
          <w:b/>
          <w:color w:val="auto"/>
          <w:kern w:val="0"/>
          <w:sz w:val="26"/>
          <w:szCs w:val="26"/>
          <w:highlight w:val="none"/>
          <w:lang w:val="en-US" w:eastAsia="zh-CN"/>
        </w:rPr>
        <w:t>环境保护目标</w:t>
      </w:r>
      <w:bookmarkEnd w:id="60"/>
    </w:p>
    <w:p w14:paraId="23BDBBE9">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61" w:name="_Toc34987798"/>
      <w:bookmarkStart w:id="62" w:name="_Toc36040997"/>
      <w:r>
        <w:rPr>
          <w:rFonts w:hint="eastAsia" w:ascii="Arial" w:hAnsi="Arial" w:eastAsia="宋体" w:cs="Arial"/>
          <w:b/>
          <w:color w:val="auto"/>
          <w:kern w:val="0"/>
          <w:sz w:val="26"/>
          <w:szCs w:val="20"/>
          <w:highlight w:val="none"/>
          <w:lang w:val="en-US" w:eastAsia="zh-CN"/>
        </w:rPr>
        <w:t>1.8.1声及大气环境保护目标</w:t>
      </w:r>
      <w:bookmarkEnd w:id="61"/>
      <w:bookmarkEnd w:id="62"/>
    </w:p>
    <w:p w14:paraId="58C2660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根据现场调查，本项目环境空气、声环境敏感对象主要为坝枢四周、输送管线两侧分布的农村居民点，详见表1.</w:t>
      </w:r>
      <w:r>
        <w:rPr>
          <w:rFonts w:hint="eastAsia" w:ascii="Arial" w:hAnsi="Arial" w:cs="Arial"/>
          <w:sz w:val="26"/>
          <w:szCs w:val="26"/>
          <w:highlight w:val="none"/>
          <w:lang w:val="en-US" w:eastAsia="zh-CN"/>
        </w:rPr>
        <w:t>8-1和附图11所示。</w:t>
      </w:r>
    </w:p>
    <w:p w14:paraId="717466B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p>
    <w:p w14:paraId="14E1E54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sectPr>
          <w:pgSz w:w="12240" w:h="15840"/>
          <w:pgMar w:top="1440" w:right="1701" w:bottom="1276" w:left="1701" w:header="794" w:footer="720" w:gutter="0"/>
          <w:pgBorders>
            <w:top w:val="none" w:sz="0" w:space="0"/>
            <w:left w:val="none" w:sz="0" w:space="0"/>
            <w:bottom w:val="none" w:sz="0" w:space="0"/>
            <w:right w:val="none" w:sz="0" w:space="0"/>
          </w:pgBorders>
          <w:pgNumType w:fmt="decimal"/>
          <w:cols w:space="720" w:num="1"/>
        </w:sectPr>
      </w:pPr>
      <w:r>
        <w:rPr>
          <w:rFonts w:hint="eastAsia" w:ascii="Arial" w:hAnsi="Arial" w:cs="Arial"/>
          <w:sz w:val="26"/>
          <w:szCs w:val="26"/>
          <w:lang w:val="en-US" w:eastAsia="zh-CN"/>
        </w:rPr>
        <w:t xml:space="preserve"> </w:t>
      </w:r>
    </w:p>
    <w:p w14:paraId="6900981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Arial" w:hAnsi="Arial" w:cs="Arial"/>
          <w:b/>
          <w:spacing w:val="-11"/>
          <w:sz w:val="26"/>
          <w:szCs w:val="26"/>
          <w:highlight w:val="none"/>
        </w:rPr>
      </w:pPr>
      <w:r>
        <w:rPr>
          <w:rFonts w:hint="eastAsia" w:ascii="Arial" w:hAnsi="Arial" w:cs="Arial"/>
          <w:b/>
          <w:spacing w:val="-11"/>
          <w:sz w:val="26"/>
          <w:szCs w:val="26"/>
          <w:highlight w:val="none"/>
        </w:rPr>
        <w:t>表</w:t>
      </w:r>
      <w:r>
        <w:rPr>
          <w:rFonts w:hint="default" w:ascii="Arial" w:hAnsi="Arial" w:cs="Arial"/>
          <w:b/>
          <w:spacing w:val="-11"/>
          <w:sz w:val="26"/>
          <w:szCs w:val="26"/>
          <w:highlight w:val="none"/>
        </w:rPr>
        <w:t>1.</w:t>
      </w:r>
      <w:r>
        <w:rPr>
          <w:rFonts w:hint="eastAsia" w:ascii="Arial" w:hAnsi="Arial" w:cs="Arial"/>
          <w:b/>
          <w:spacing w:val="-11"/>
          <w:sz w:val="26"/>
          <w:szCs w:val="26"/>
          <w:highlight w:val="none"/>
          <w:lang w:val="en-US" w:eastAsia="zh-CN"/>
        </w:rPr>
        <w:t>8-1</w:t>
      </w:r>
      <w:r>
        <w:rPr>
          <w:rFonts w:hint="default" w:ascii="Arial" w:hAnsi="Arial" w:cs="Arial"/>
          <w:b/>
          <w:spacing w:val="-11"/>
          <w:sz w:val="26"/>
          <w:szCs w:val="26"/>
          <w:highlight w:val="none"/>
        </w:rPr>
        <w:t xml:space="preserve">  </w:t>
      </w:r>
      <w:r>
        <w:rPr>
          <w:rFonts w:hint="eastAsia" w:ascii="Arial" w:hAnsi="Arial" w:cs="Arial"/>
          <w:b/>
          <w:spacing w:val="-11"/>
          <w:sz w:val="26"/>
          <w:szCs w:val="26"/>
          <w:highlight w:val="none"/>
        </w:rPr>
        <w:t>项目</w:t>
      </w:r>
      <w:r>
        <w:rPr>
          <w:rFonts w:hint="eastAsia" w:ascii="Arial" w:hAnsi="Arial" w:cs="Arial"/>
          <w:b/>
          <w:spacing w:val="-11"/>
          <w:sz w:val="26"/>
          <w:szCs w:val="26"/>
          <w:highlight w:val="none"/>
          <w:lang w:val="en-US" w:eastAsia="zh-CN"/>
        </w:rPr>
        <w:t>评价范围内环境空气、声环境保护目标</w:t>
      </w:r>
      <w:r>
        <w:rPr>
          <w:rFonts w:hint="eastAsia" w:ascii="Arial" w:hAnsi="Arial" w:cs="Arial"/>
          <w:b/>
          <w:spacing w:val="-11"/>
          <w:sz w:val="26"/>
          <w:szCs w:val="26"/>
          <w:highlight w:val="none"/>
        </w:rPr>
        <w:t>一览表</w:t>
      </w:r>
    </w:p>
    <w:tbl>
      <w:tblPr>
        <w:tblStyle w:val="77"/>
        <w:tblW w:w="203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
        <w:gridCol w:w="1587"/>
        <w:gridCol w:w="6"/>
        <w:gridCol w:w="711"/>
        <w:gridCol w:w="1916"/>
        <w:gridCol w:w="5591"/>
        <w:gridCol w:w="3678"/>
        <w:gridCol w:w="3"/>
        <w:gridCol w:w="2585"/>
        <w:gridCol w:w="6"/>
        <w:gridCol w:w="2123"/>
        <w:gridCol w:w="2129"/>
      </w:tblGrid>
      <w:tr w14:paraId="60660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601" w:type="dxa"/>
            <w:gridSpan w:val="3"/>
            <w:noWrap w:val="0"/>
            <w:vAlign w:val="center"/>
          </w:tcPr>
          <w:p w14:paraId="02EFD831">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类别</w:t>
            </w:r>
          </w:p>
        </w:tc>
        <w:tc>
          <w:tcPr>
            <w:tcW w:w="2627" w:type="dxa"/>
            <w:gridSpan w:val="2"/>
            <w:noWrap w:val="0"/>
            <w:vAlign w:val="center"/>
          </w:tcPr>
          <w:p w14:paraId="27225F97">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名称</w:t>
            </w:r>
          </w:p>
        </w:tc>
        <w:tc>
          <w:tcPr>
            <w:tcW w:w="5591" w:type="dxa"/>
            <w:noWrap w:val="0"/>
            <w:vAlign w:val="center"/>
          </w:tcPr>
          <w:p w14:paraId="19945874">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与工程的区位关系</w:t>
            </w:r>
          </w:p>
        </w:tc>
        <w:tc>
          <w:tcPr>
            <w:tcW w:w="3678" w:type="dxa"/>
            <w:noWrap w:val="0"/>
            <w:vAlign w:val="center"/>
          </w:tcPr>
          <w:p w14:paraId="6AB5F230">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环境特征</w:t>
            </w:r>
          </w:p>
        </w:tc>
        <w:tc>
          <w:tcPr>
            <w:tcW w:w="2588" w:type="dxa"/>
            <w:gridSpan w:val="2"/>
            <w:noWrap w:val="0"/>
            <w:vAlign w:val="center"/>
          </w:tcPr>
          <w:p w14:paraId="75E05B58">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影响时段</w:t>
            </w:r>
          </w:p>
        </w:tc>
        <w:tc>
          <w:tcPr>
            <w:tcW w:w="2129" w:type="dxa"/>
            <w:gridSpan w:val="2"/>
            <w:noWrap w:val="0"/>
            <w:vAlign w:val="center"/>
          </w:tcPr>
          <w:p w14:paraId="3E9ED77D">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可能的影响因素</w:t>
            </w:r>
          </w:p>
        </w:tc>
        <w:tc>
          <w:tcPr>
            <w:tcW w:w="2129" w:type="dxa"/>
            <w:noWrap w:val="0"/>
            <w:vAlign w:val="center"/>
          </w:tcPr>
          <w:p w14:paraId="4D2E3DB2">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eastAsia="宋体" w:cs="Arial"/>
                <w:b/>
                <w:spacing w:val="0"/>
                <w:sz w:val="22"/>
                <w:szCs w:val="22"/>
                <w:highlight w:val="none"/>
                <w:lang w:eastAsia="zh-CN"/>
              </w:rPr>
            </w:pPr>
            <w:r>
              <w:rPr>
                <w:rFonts w:hint="eastAsia" w:ascii="Arial" w:hAnsi="Arial" w:cs="Arial"/>
                <w:b/>
                <w:spacing w:val="0"/>
                <w:sz w:val="22"/>
                <w:szCs w:val="22"/>
                <w:highlight w:val="none"/>
                <w:lang w:eastAsia="zh-CN"/>
              </w:rPr>
              <w:t>保护要求</w:t>
            </w:r>
          </w:p>
        </w:tc>
      </w:tr>
      <w:tr w14:paraId="24F9A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restart"/>
            <w:noWrap w:val="0"/>
            <w:vAlign w:val="center"/>
          </w:tcPr>
          <w:p w14:paraId="6C42F3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大气和声环境</w:t>
            </w:r>
          </w:p>
        </w:tc>
        <w:tc>
          <w:tcPr>
            <w:tcW w:w="717" w:type="dxa"/>
            <w:gridSpan w:val="2"/>
            <w:vMerge w:val="restart"/>
            <w:noWrap w:val="0"/>
            <w:vAlign w:val="center"/>
          </w:tcPr>
          <w:p w14:paraId="002538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枢纽</w:t>
            </w:r>
          </w:p>
          <w:p w14:paraId="224391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工程</w:t>
            </w:r>
          </w:p>
        </w:tc>
        <w:tc>
          <w:tcPr>
            <w:tcW w:w="1916" w:type="dxa"/>
            <w:noWrap w:val="0"/>
            <w:vAlign w:val="center"/>
          </w:tcPr>
          <w:p w14:paraId="2626B8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w:t>
            </w:r>
            <w:r>
              <w:rPr>
                <w:rFonts w:hint="eastAsia" w:ascii="Arial" w:hAnsi="Arial" w:cs="Arial"/>
                <w:spacing w:val="0"/>
                <w:sz w:val="22"/>
                <w:szCs w:val="22"/>
                <w:lang w:eastAsia="zh-CN"/>
              </w:rPr>
              <w:t>田家山村</w:t>
            </w:r>
            <w:r>
              <w:rPr>
                <w:rFonts w:hint="eastAsia" w:ascii="Arial" w:hAnsi="Arial" w:cs="Arial"/>
                <w:spacing w:val="0"/>
                <w:sz w:val="22"/>
                <w:szCs w:val="22"/>
              </w:rPr>
              <w:t>民</w:t>
            </w:r>
          </w:p>
        </w:tc>
        <w:tc>
          <w:tcPr>
            <w:tcW w:w="5591" w:type="dxa"/>
            <w:noWrap w:val="0"/>
            <w:vAlign w:val="center"/>
          </w:tcPr>
          <w:p w14:paraId="6B026D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rPr>
              <w:t>库区</w:t>
            </w:r>
            <w:r>
              <w:rPr>
                <w:rFonts w:hint="eastAsia" w:ascii="Arial" w:hAnsi="Arial" w:cs="Arial"/>
                <w:spacing w:val="0"/>
                <w:sz w:val="22"/>
                <w:szCs w:val="22"/>
                <w:lang w:eastAsia="zh-CN"/>
              </w:rPr>
              <w:t>东侧，</w:t>
            </w:r>
            <w:r>
              <w:rPr>
                <w:rFonts w:hint="eastAsia" w:ascii="Arial" w:hAnsi="Arial" w:cs="Arial"/>
                <w:spacing w:val="0"/>
                <w:sz w:val="22"/>
                <w:szCs w:val="22"/>
              </w:rPr>
              <w:t>最近距离</w:t>
            </w:r>
            <w:r>
              <w:rPr>
                <w:rFonts w:hint="eastAsia" w:ascii="Arial" w:hAnsi="Arial" w:cs="Arial"/>
                <w:spacing w:val="0"/>
                <w:sz w:val="22"/>
                <w:szCs w:val="22"/>
                <w:lang w:val="en-US" w:eastAsia="zh-CN"/>
              </w:rPr>
              <w:t>20</w:t>
            </w:r>
            <w:r>
              <w:rPr>
                <w:rFonts w:hint="eastAsia" w:ascii="Arial" w:hAnsi="Arial" w:cs="Arial"/>
                <w:spacing w:val="0"/>
                <w:sz w:val="22"/>
                <w:szCs w:val="22"/>
              </w:rPr>
              <w:t>m</w:t>
            </w:r>
          </w:p>
          <w:p w14:paraId="6D10A7E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环库巡检步道东侧</w:t>
            </w:r>
            <w:r>
              <w:rPr>
                <w:rFonts w:hint="eastAsia" w:ascii="Arial" w:hAnsi="Arial" w:cs="Arial"/>
                <w:spacing w:val="0"/>
                <w:sz w:val="22"/>
                <w:szCs w:val="22"/>
              </w:rPr>
              <w:t>，最近距离</w:t>
            </w:r>
            <w:r>
              <w:rPr>
                <w:rFonts w:hint="eastAsia" w:ascii="Arial" w:hAnsi="Arial" w:cs="Arial"/>
                <w:spacing w:val="0"/>
                <w:sz w:val="22"/>
                <w:szCs w:val="22"/>
                <w:lang w:val="en-US" w:eastAsia="zh-CN"/>
              </w:rPr>
              <w:t>7</w:t>
            </w:r>
            <w:r>
              <w:rPr>
                <w:rFonts w:hint="eastAsia" w:ascii="Arial" w:hAnsi="Arial" w:cs="Arial"/>
                <w:spacing w:val="0"/>
                <w:sz w:val="22"/>
                <w:szCs w:val="22"/>
              </w:rPr>
              <w:t>m</w:t>
            </w:r>
          </w:p>
        </w:tc>
        <w:tc>
          <w:tcPr>
            <w:tcW w:w="3681" w:type="dxa"/>
            <w:gridSpan w:val="2"/>
            <w:noWrap w:val="0"/>
            <w:vAlign w:val="center"/>
          </w:tcPr>
          <w:p w14:paraId="62F3E1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12</w:t>
            </w:r>
            <w:r>
              <w:rPr>
                <w:rFonts w:hint="eastAsia" w:ascii="Arial" w:hAnsi="Arial" w:cs="Arial"/>
                <w:spacing w:val="0"/>
                <w:sz w:val="22"/>
                <w:szCs w:val="22"/>
              </w:rPr>
              <w:t>户约</w:t>
            </w:r>
            <w:r>
              <w:rPr>
                <w:rFonts w:hint="eastAsia" w:ascii="Arial" w:hAnsi="Arial" w:cs="Arial"/>
                <w:spacing w:val="0"/>
                <w:sz w:val="22"/>
                <w:szCs w:val="22"/>
                <w:lang w:val="en-US" w:eastAsia="zh-CN"/>
              </w:rPr>
              <w:t>44</w:t>
            </w:r>
            <w:r>
              <w:rPr>
                <w:rFonts w:hint="eastAsia" w:ascii="Arial" w:hAnsi="Arial" w:cs="Arial"/>
                <w:spacing w:val="0"/>
                <w:sz w:val="22"/>
                <w:szCs w:val="22"/>
              </w:rPr>
              <w:t>人</w:t>
            </w:r>
          </w:p>
        </w:tc>
        <w:tc>
          <w:tcPr>
            <w:tcW w:w="2591" w:type="dxa"/>
            <w:gridSpan w:val="2"/>
            <w:noWrap w:val="0"/>
            <w:vAlign w:val="center"/>
          </w:tcPr>
          <w:p w14:paraId="056EA8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施工期</w:t>
            </w:r>
          </w:p>
        </w:tc>
        <w:tc>
          <w:tcPr>
            <w:tcW w:w="2123" w:type="dxa"/>
            <w:noWrap w:val="0"/>
            <w:vAlign w:val="center"/>
          </w:tcPr>
          <w:p w14:paraId="56E6A5B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噪声、扬尘</w:t>
            </w:r>
          </w:p>
        </w:tc>
        <w:tc>
          <w:tcPr>
            <w:tcW w:w="2129" w:type="dxa"/>
            <w:vMerge w:val="restart"/>
            <w:noWrap w:val="0"/>
            <w:vAlign w:val="center"/>
          </w:tcPr>
          <w:p w14:paraId="19C95C7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val="en-US" w:eastAsia="zh-CN"/>
              </w:rPr>
            </w:pPr>
            <w:r>
              <w:rPr>
                <w:rFonts w:hint="eastAsia" w:ascii="Arial" w:hAnsi="Arial" w:cs="Arial"/>
                <w:spacing w:val="0"/>
                <w:sz w:val="22"/>
                <w:szCs w:val="22"/>
                <w:lang w:val="en-US" w:eastAsia="zh-CN"/>
              </w:rPr>
              <w:t>2类声环境功能区，二类环境空气功能区</w:t>
            </w:r>
          </w:p>
        </w:tc>
      </w:tr>
      <w:tr w14:paraId="2DBBC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483" w:hRule="atLeast"/>
          <w:jc w:val="center"/>
        </w:trPr>
        <w:tc>
          <w:tcPr>
            <w:tcW w:w="1587" w:type="dxa"/>
            <w:vMerge w:val="continue"/>
            <w:noWrap w:val="0"/>
            <w:vAlign w:val="center"/>
          </w:tcPr>
          <w:p w14:paraId="6014C9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36E1E5D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vMerge w:val="restart"/>
            <w:noWrap w:val="0"/>
            <w:vAlign w:val="center"/>
          </w:tcPr>
          <w:p w14:paraId="44282AD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lang w:eastAsia="zh-CN"/>
              </w:rPr>
              <w:t>田家山村</w:t>
            </w:r>
            <w:r>
              <w:rPr>
                <w:rFonts w:hint="eastAsia" w:ascii="Arial" w:hAnsi="Arial" w:cs="Arial"/>
                <w:spacing w:val="0"/>
                <w:sz w:val="22"/>
                <w:szCs w:val="22"/>
              </w:rPr>
              <w:t>民</w:t>
            </w:r>
          </w:p>
        </w:tc>
        <w:tc>
          <w:tcPr>
            <w:tcW w:w="5591" w:type="dxa"/>
            <w:vMerge w:val="restart"/>
            <w:noWrap w:val="0"/>
            <w:vAlign w:val="center"/>
          </w:tcPr>
          <w:p w14:paraId="46F490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库区东侧</w:t>
            </w:r>
            <w:r>
              <w:rPr>
                <w:rFonts w:hint="eastAsia" w:ascii="Arial" w:hAnsi="Arial" w:cs="Arial"/>
                <w:spacing w:val="0"/>
                <w:sz w:val="22"/>
                <w:szCs w:val="22"/>
              </w:rPr>
              <w:t>，最近距离</w:t>
            </w:r>
            <w:r>
              <w:rPr>
                <w:rFonts w:hint="eastAsia" w:ascii="Arial" w:hAnsi="Arial" w:cs="Arial"/>
                <w:spacing w:val="0"/>
                <w:sz w:val="22"/>
                <w:szCs w:val="22"/>
                <w:lang w:val="en-US" w:eastAsia="zh-CN"/>
              </w:rPr>
              <w:t>142</w:t>
            </w:r>
            <w:r>
              <w:rPr>
                <w:rFonts w:hint="eastAsia" w:ascii="Arial" w:hAnsi="Arial" w:cs="Arial"/>
                <w:spacing w:val="0"/>
                <w:sz w:val="22"/>
                <w:szCs w:val="22"/>
              </w:rPr>
              <w:t>m</w:t>
            </w:r>
          </w:p>
          <w:p w14:paraId="371D48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lang w:val="en-US" w:eastAsia="zh-CN"/>
              </w:rPr>
            </w:pPr>
            <w:r>
              <w:rPr>
                <w:rFonts w:hint="eastAsia" w:ascii="Arial" w:hAnsi="Arial" w:cs="Arial"/>
                <w:spacing w:val="0"/>
                <w:sz w:val="22"/>
                <w:szCs w:val="22"/>
                <w:lang w:eastAsia="zh-CN"/>
              </w:rPr>
              <w:t>生产便道东侧，最近距离</w:t>
            </w:r>
            <w:r>
              <w:rPr>
                <w:rFonts w:hint="eastAsia" w:ascii="Arial" w:hAnsi="Arial" w:cs="Arial"/>
                <w:spacing w:val="0"/>
                <w:sz w:val="22"/>
                <w:szCs w:val="22"/>
                <w:lang w:val="en-US" w:eastAsia="zh-CN"/>
              </w:rPr>
              <w:t>131m</w:t>
            </w:r>
          </w:p>
          <w:p w14:paraId="120E4A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cs="Arial"/>
                <w:spacing w:val="0"/>
                <w:sz w:val="22"/>
                <w:szCs w:val="22"/>
                <w:lang w:val="en-US" w:eastAsia="zh-CN"/>
              </w:rPr>
            </w:pPr>
            <w:r>
              <w:rPr>
                <w:rFonts w:hint="eastAsia" w:ascii="Arial" w:hAnsi="Arial" w:cs="Arial"/>
                <w:spacing w:val="0"/>
                <w:sz w:val="22"/>
                <w:szCs w:val="22"/>
                <w:lang w:eastAsia="zh-CN"/>
              </w:rPr>
              <w:t>环库巡检步道</w:t>
            </w:r>
            <w:r>
              <w:rPr>
                <w:rFonts w:hint="eastAsia" w:ascii="Arial" w:hAnsi="Arial" w:cs="Arial"/>
                <w:spacing w:val="0"/>
                <w:sz w:val="22"/>
                <w:szCs w:val="22"/>
                <w:lang w:val="en-US" w:eastAsia="zh-CN"/>
              </w:rPr>
              <w:t>西侧，</w:t>
            </w:r>
            <w:r>
              <w:rPr>
                <w:rFonts w:hint="eastAsia" w:ascii="Arial" w:hAnsi="Arial" w:cs="Arial"/>
                <w:spacing w:val="0"/>
                <w:sz w:val="22"/>
                <w:szCs w:val="22"/>
                <w:lang w:eastAsia="zh-CN"/>
              </w:rPr>
              <w:t>最近距离</w:t>
            </w:r>
            <w:r>
              <w:rPr>
                <w:rFonts w:hint="eastAsia" w:ascii="Arial" w:hAnsi="Arial" w:cs="Arial"/>
                <w:spacing w:val="0"/>
                <w:sz w:val="22"/>
                <w:szCs w:val="22"/>
                <w:lang w:val="en-US" w:eastAsia="zh-CN"/>
              </w:rPr>
              <w:t>12m</w:t>
            </w:r>
          </w:p>
        </w:tc>
        <w:tc>
          <w:tcPr>
            <w:tcW w:w="3681" w:type="dxa"/>
            <w:gridSpan w:val="2"/>
            <w:vMerge w:val="restart"/>
            <w:noWrap w:val="0"/>
            <w:vAlign w:val="center"/>
          </w:tcPr>
          <w:p w14:paraId="12A2F23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11</w:t>
            </w:r>
            <w:r>
              <w:rPr>
                <w:rFonts w:hint="eastAsia" w:ascii="Arial" w:hAnsi="Arial" w:cs="Arial"/>
                <w:spacing w:val="0"/>
                <w:sz w:val="22"/>
                <w:szCs w:val="22"/>
              </w:rPr>
              <w:t>户约</w:t>
            </w:r>
            <w:r>
              <w:rPr>
                <w:rFonts w:hint="eastAsia" w:ascii="Arial" w:hAnsi="Arial" w:cs="Arial"/>
                <w:spacing w:val="0"/>
                <w:sz w:val="22"/>
                <w:szCs w:val="22"/>
                <w:lang w:val="en-US" w:eastAsia="zh-CN"/>
              </w:rPr>
              <w:t>36</w:t>
            </w:r>
            <w:r>
              <w:rPr>
                <w:rFonts w:hint="eastAsia" w:ascii="Arial" w:hAnsi="Arial" w:cs="Arial"/>
                <w:spacing w:val="0"/>
                <w:sz w:val="22"/>
                <w:szCs w:val="22"/>
              </w:rPr>
              <w:t>人</w:t>
            </w:r>
          </w:p>
        </w:tc>
        <w:tc>
          <w:tcPr>
            <w:tcW w:w="2591" w:type="dxa"/>
            <w:gridSpan w:val="2"/>
            <w:noWrap w:val="0"/>
            <w:vAlign w:val="center"/>
          </w:tcPr>
          <w:p w14:paraId="7BDD95E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r>
              <w:rPr>
                <w:rFonts w:hint="eastAsia" w:ascii="Arial" w:hAnsi="Arial" w:cs="Arial"/>
                <w:spacing w:val="0"/>
                <w:sz w:val="22"/>
                <w:szCs w:val="22"/>
              </w:rPr>
              <w:t>营运期</w:t>
            </w:r>
          </w:p>
        </w:tc>
        <w:tc>
          <w:tcPr>
            <w:tcW w:w="2123" w:type="dxa"/>
            <w:noWrap w:val="0"/>
            <w:vAlign w:val="center"/>
          </w:tcPr>
          <w:p w14:paraId="08FE85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rPr>
              <w:t>噪声、扬尘</w:t>
            </w:r>
          </w:p>
        </w:tc>
        <w:tc>
          <w:tcPr>
            <w:tcW w:w="2129" w:type="dxa"/>
            <w:vMerge w:val="continue"/>
            <w:noWrap w:val="0"/>
            <w:vAlign w:val="center"/>
          </w:tcPr>
          <w:p w14:paraId="537E42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r>
      <w:tr w14:paraId="02517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17" w:hRule="atLeast"/>
          <w:jc w:val="center"/>
        </w:trPr>
        <w:tc>
          <w:tcPr>
            <w:tcW w:w="1587" w:type="dxa"/>
            <w:vMerge w:val="continue"/>
            <w:noWrap w:val="0"/>
            <w:vAlign w:val="center"/>
          </w:tcPr>
          <w:p w14:paraId="7724E1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717" w:type="dxa"/>
            <w:gridSpan w:val="2"/>
            <w:vMerge w:val="continue"/>
            <w:noWrap w:val="0"/>
            <w:vAlign w:val="center"/>
          </w:tcPr>
          <w:p w14:paraId="07D98A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1916" w:type="dxa"/>
            <w:vMerge w:val="continue"/>
            <w:noWrap w:val="0"/>
            <w:vAlign w:val="center"/>
          </w:tcPr>
          <w:p w14:paraId="35F8FBD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5591" w:type="dxa"/>
            <w:vMerge w:val="continue"/>
            <w:noWrap w:val="0"/>
            <w:vAlign w:val="center"/>
          </w:tcPr>
          <w:p w14:paraId="39A91F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3681" w:type="dxa"/>
            <w:gridSpan w:val="2"/>
            <w:vMerge w:val="continue"/>
            <w:noWrap w:val="0"/>
            <w:vAlign w:val="center"/>
          </w:tcPr>
          <w:p w14:paraId="0D53C6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2591" w:type="dxa"/>
            <w:gridSpan w:val="2"/>
            <w:noWrap w:val="0"/>
            <w:vAlign w:val="center"/>
          </w:tcPr>
          <w:p w14:paraId="68ACD3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施工期</w:t>
            </w:r>
          </w:p>
        </w:tc>
        <w:tc>
          <w:tcPr>
            <w:tcW w:w="2123" w:type="dxa"/>
            <w:noWrap w:val="0"/>
            <w:vAlign w:val="center"/>
          </w:tcPr>
          <w:p w14:paraId="28CED7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eastAsia="zh-CN"/>
              </w:rPr>
              <w:t>噪声</w:t>
            </w:r>
          </w:p>
        </w:tc>
        <w:tc>
          <w:tcPr>
            <w:tcW w:w="2129" w:type="dxa"/>
            <w:vMerge w:val="continue"/>
            <w:noWrap w:val="0"/>
            <w:vAlign w:val="center"/>
          </w:tcPr>
          <w:p w14:paraId="1F87F4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97F3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462" w:hRule="atLeast"/>
          <w:jc w:val="center"/>
        </w:trPr>
        <w:tc>
          <w:tcPr>
            <w:tcW w:w="1587" w:type="dxa"/>
            <w:vMerge w:val="continue"/>
            <w:noWrap w:val="0"/>
            <w:vAlign w:val="center"/>
          </w:tcPr>
          <w:p w14:paraId="5E4636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2D299C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vMerge w:val="restart"/>
            <w:noWrap w:val="0"/>
            <w:vAlign w:val="center"/>
          </w:tcPr>
          <w:p w14:paraId="1AC4B6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3#小田家</w:t>
            </w:r>
            <w:r>
              <w:rPr>
                <w:rFonts w:hint="eastAsia" w:ascii="Arial" w:hAnsi="Arial" w:cs="Arial"/>
                <w:spacing w:val="0"/>
                <w:sz w:val="22"/>
                <w:szCs w:val="22"/>
                <w:lang w:eastAsia="zh-CN"/>
              </w:rPr>
              <w:t>村民</w:t>
            </w:r>
          </w:p>
        </w:tc>
        <w:tc>
          <w:tcPr>
            <w:tcW w:w="5591" w:type="dxa"/>
            <w:vMerge w:val="restart"/>
            <w:noWrap w:val="0"/>
            <w:vAlign w:val="center"/>
          </w:tcPr>
          <w:p w14:paraId="48EBF6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库区东侧</w:t>
            </w:r>
            <w:r>
              <w:rPr>
                <w:rFonts w:hint="eastAsia" w:ascii="Arial" w:hAnsi="Arial" w:cs="Arial"/>
                <w:spacing w:val="0"/>
                <w:sz w:val="22"/>
                <w:szCs w:val="22"/>
              </w:rPr>
              <w:t>，最近距离</w:t>
            </w:r>
            <w:r>
              <w:rPr>
                <w:rFonts w:hint="eastAsia" w:ascii="Arial" w:hAnsi="Arial" w:cs="Arial"/>
                <w:spacing w:val="0"/>
                <w:sz w:val="22"/>
                <w:szCs w:val="22"/>
                <w:lang w:val="en-US" w:eastAsia="zh-CN"/>
              </w:rPr>
              <w:t>350</w:t>
            </w:r>
            <w:r>
              <w:rPr>
                <w:rFonts w:hint="eastAsia" w:ascii="Arial" w:hAnsi="Arial" w:cs="Arial"/>
                <w:spacing w:val="0"/>
                <w:sz w:val="22"/>
                <w:szCs w:val="22"/>
              </w:rPr>
              <w:t>m</w:t>
            </w:r>
          </w:p>
          <w:p w14:paraId="553D0A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lang w:val="en-US" w:eastAsia="zh-CN"/>
              </w:rPr>
            </w:pPr>
            <w:r>
              <w:rPr>
                <w:rFonts w:hint="eastAsia" w:ascii="Arial" w:hAnsi="Arial" w:cs="Arial"/>
                <w:spacing w:val="0"/>
                <w:sz w:val="22"/>
                <w:szCs w:val="22"/>
                <w:lang w:eastAsia="zh-CN"/>
              </w:rPr>
              <w:t>环库巡检步道东侧，最近距离</w:t>
            </w:r>
            <w:r>
              <w:rPr>
                <w:rFonts w:hint="eastAsia" w:ascii="Arial" w:hAnsi="Arial" w:cs="Arial"/>
                <w:spacing w:val="0"/>
                <w:sz w:val="22"/>
                <w:szCs w:val="22"/>
                <w:lang w:val="en-US" w:eastAsia="zh-CN"/>
              </w:rPr>
              <w:t>336m</w:t>
            </w:r>
          </w:p>
          <w:p w14:paraId="59ADD5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cs="Arial"/>
                <w:spacing w:val="0"/>
                <w:sz w:val="22"/>
                <w:szCs w:val="22"/>
                <w:lang w:val="en-US" w:eastAsia="zh-CN"/>
              </w:rPr>
            </w:pPr>
            <w:r>
              <w:rPr>
                <w:rFonts w:hint="eastAsia" w:ascii="Arial" w:hAnsi="Arial" w:cs="Arial"/>
                <w:spacing w:val="0"/>
                <w:sz w:val="22"/>
                <w:szCs w:val="22"/>
                <w:lang w:val="en-US" w:eastAsia="zh-CN"/>
              </w:rPr>
              <w:t>上坝道路东南侧，最近距离103m</w:t>
            </w:r>
          </w:p>
        </w:tc>
        <w:tc>
          <w:tcPr>
            <w:tcW w:w="3681" w:type="dxa"/>
            <w:gridSpan w:val="2"/>
            <w:vMerge w:val="restart"/>
            <w:noWrap w:val="0"/>
            <w:vAlign w:val="center"/>
          </w:tcPr>
          <w:p w14:paraId="08770E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37</w:t>
            </w:r>
            <w:r>
              <w:rPr>
                <w:rFonts w:hint="eastAsia" w:ascii="Arial" w:hAnsi="Arial" w:cs="Arial"/>
                <w:spacing w:val="0"/>
                <w:sz w:val="22"/>
                <w:szCs w:val="22"/>
              </w:rPr>
              <w:t>户约</w:t>
            </w:r>
            <w:r>
              <w:rPr>
                <w:rFonts w:hint="eastAsia" w:ascii="Arial" w:hAnsi="Arial" w:cs="Arial"/>
                <w:spacing w:val="0"/>
                <w:sz w:val="22"/>
                <w:szCs w:val="22"/>
                <w:lang w:val="en-US" w:eastAsia="zh-CN"/>
              </w:rPr>
              <w:t>119</w:t>
            </w:r>
            <w:r>
              <w:rPr>
                <w:rFonts w:hint="eastAsia" w:ascii="Arial" w:hAnsi="Arial" w:cs="Arial"/>
                <w:spacing w:val="0"/>
                <w:sz w:val="22"/>
                <w:szCs w:val="22"/>
              </w:rPr>
              <w:t>人</w:t>
            </w:r>
          </w:p>
        </w:tc>
        <w:tc>
          <w:tcPr>
            <w:tcW w:w="2591" w:type="dxa"/>
            <w:gridSpan w:val="2"/>
            <w:noWrap w:val="0"/>
            <w:vAlign w:val="center"/>
          </w:tcPr>
          <w:p w14:paraId="0C30AE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施工期</w:t>
            </w:r>
          </w:p>
        </w:tc>
        <w:tc>
          <w:tcPr>
            <w:tcW w:w="2123" w:type="dxa"/>
            <w:shd w:val="clear" w:color="auto" w:fill="auto"/>
            <w:noWrap w:val="0"/>
            <w:vAlign w:val="center"/>
          </w:tcPr>
          <w:p w14:paraId="0A1CC46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kern w:val="2"/>
                <w:sz w:val="22"/>
                <w:szCs w:val="22"/>
                <w:lang w:val="en-US" w:eastAsia="zh-CN" w:bidi="ar-SA"/>
              </w:rPr>
            </w:pPr>
            <w:r>
              <w:rPr>
                <w:rFonts w:hint="eastAsia" w:ascii="Arial" w:hAnsi="Arial" w:cs="Arial"/>
                <w:spacing w:val="0"/>
                <w:sz w:val="22"/>
                <w:szCs w:val="22"/>
              </w:rPr>
              <w:t>噪声、扬尘</w:t>
            </w:r>
          </w:p>
        </w:tc>
        <w:tc>
          <w:tcPr>
            <w:tcW w:w="2129" w:type="dxa"/>
            <w:vMerge w:val="continue"/>
            <w:noWrap w:val="0"/>
            <w:vAlign w:val="center"/>
          </w:tcPr>
          <w:p w14:paraId="1EC6ED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90D3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4" w:hRule="atLeast"/>
          <w:jc w:val="center"/>
        </w:trPr>
        <w:tc>
          <w:tcPr>
            <w:tcW w:w="1587" w:type="dxa"/>
            <w:vMerge w:val="continue"/>
            <w:noWrap w:val="0"/>
            <w:vAlign w:val="center"/>
          </w:tcPr>
          <w:p w14:paraId="331DB1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717" w:type="dxa"/>
            <w:gridSpan w:val="2"/>
            <w:vMerge w:val="continue"/>
            <w:noWrap w:val="0"/>
            <w:vAlign w:val="center"/>
          </w:tcPr>
          <w:p w14:paraId="504615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1916" w:type="dxa"/>
            <w:vMerge w:val="continue"/>
            <w:noWrap w:val="0"/>
            <w:vAlign w:val="center"/>
          </w:tcPr>
          <w:p w14:paraId="1CACB1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5591" w:type="dxa"/>
            <w:vMerge w:val="continue"/>
            <w:noWrap w:val="0"/>
            <w:vAlign w:val="center"/>
          </w:tcPr>
          <w:p w14:paraId="09C3A2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3681" w:type="dxa"/>
            <w:gridSpan w:val="2"/>
            <w:vMerge w:val="continue"/>
            <w:noWrap w:val="0"/>
            <w:vAlign w:val="center"/>
          </w:tcPr>
          <w:p w14:paraId="4C0A178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2591" w:type="dxa"/>
            <w:gridSpan w:val="2"/>
            <w:noWrap w:val="0"/>
            <w:vAlign w:val="center"/>
          </w:tcPr>
          <w:p w14:paraId="2BFB3B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营运期</w:t>
            </w:r>
          </w:p>
        </w:tc>
        <w:tc>
          <w:tcPr>
            <w:tcW w:w="2123" w:type="dxa"/>
            <w:shd w:val="clear" w:color="auto" w:fill="auto"/>
            <w:noWrap w:val="0"/>
            <w:vAlign w:val="center"/>
          </w:tcPr>
          <w:p w14:paraId="27FFFF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kern w:val="2"/>
                <w:sz w:val="22"/>
                <w:szCs w:val="22"/>
                <w:lang w:val="en-US" w:eastAsia="zh-CN" w:bidi="ar-SA"/>
              </w:rPr>
            </w:pPr>
            <w:r>
              <w:rPr>
                <w:rFonts w:hint="eastAsia" w:ascii="Arial" w:hAnsi="Arial" w:cs="Arial"/>
                <w:spacing w:val="0"/>
                <w:sz w:val="22"/>
                <w:szCs w:val="22"/>
                <w:lang w:eastAsia="zh-CN"/>
              </w:rPr>
              <w:t>噪声</w:t>
            </w:r>
          </w:p>
        </w:tc>
        <w:tc>
          <w:tcPr>
            <w:tcW w:w="2129" w:type="dxa"/>
            <w:vMerge w:val="continue"/>
            <w:noWrap w:val="0"/>
            <w:vAlign w:val="center"/>
          </w:tcPr>
          <w:p w14:paraId="7A4A3C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5D486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69EEDC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B10F1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964F1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4#邹家冲村民</w:t>
            </w:r>
          </w:p>
        </w:tc>
        <w:tc>
          <w:tcPr>
            <w:tcW w:w="5591" w:type="dxa"/>
            <w:noWrap w:val="0"/>
            <w:vAlign w:val="center"/>
          </w:tcPr>
          <w:p w14:paraId="0D2246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rPr>
              <w:t>库区</w:t>
            </w:r>
            <w:r>
              <w:rPr>
                <w:rFonts w:hint="eastAsia" w:ascii="Arial" w:hAnsi="Arial" w:cs="Arial"/>
                <w:spacing w:val="0"/>
                <w:sz w:val="22"/>
                <w:szCs w:val="22"/>
                <w:lang w:eastAsia="zh-CN"/>
              </w:rPr>
              <w:t>东南侧，</w:t>
            </w:r>
            <w:r>
              <w:rPr>
                <w:rFonts w:hint="eastAsia" w:ascii="Arial" w:hAnsi="Arial" w:cs="Arial"/>
                <w:spacing w:val="0"/>
                <w:sz w:val="22"/>
                <w:szCs w:val="22"/>
              </w:rPr>
              <w:t>最近距离</w:t>
            </w:r>
            <w:r>
              <w:rPr>
                <w:rFonts w:hint="eastAsia" w:ascii="Arial" w:hAnsi="Arial" w:cs="Arial"/>
                <w:spacing w:val="0"/>
                <w:sz w:val="22"/>
                <w:szCs w:val="22"/>
                <w:lang w:val="en-US" w:eastAsia="zh-CN"/>
              </w:rPr>
              <w:t>436</w:t>
            </w:r>
            <w:r>
              <w:rPr>
                <w:rFonts w:hint="eastAsia" w:ascii="Arial" w:hAnsi="Arial" w:cs="Arial"/>
                <w:spacing w:val="0"/>
                <w:sz w:val="22"/>
                <w:szCs w:val="22"/>
              </w:rPr>
              <w:t>m</w:t>
            </w:r>
          </w:p>
          <w:p w14:paraId="2365E0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环库巡检步道东南侧</w:t>
            </w:r>
            <w:r>
              <w:rPr>
                <w:rFonts w:hint="eastAsia" w:ascii="Arial" w:hAnsi="Arial" w:cs="Arial"/>
                <w:spacing w:val="0"/>
                <w:sz w:val="22"/>
                <w:szCs w:val="22"/>
              </w:rPr>
              <w:t>，最近距离</w:t>
            </w:r>
            <w:r>
              <w:rPr>
                <w:rFonts w:hint="eastAsia" w:ascii="Arial" w:hAnsi="Arial" w:cs="Arial"/>
                <w:spacing w:val="0"/>
                <w:sz w:val="22"/>
                <w:szCs w:val="22"/>
                <w:lang w:val="en-US" w:eastAsia="zh-CN"/>
              </w:rPr>
              <w:t>423</w:t>
            </w:r>
            <w:r>
              <w:rPr>
                <w:rFonts w:hint="eastAsia" w:ascii="Arial" w:hAnsi="Arial" w:cs="Arial"/>
                <w:spacing w:val="0"/>
                <w:sz w:val="22"/>
                <w:szCs w:val="22"/>
              </w:rPr>
              <w:t>m</w:t>
            </w:r>
          </w:p>
        </w:tc>
        <w:tc>
          <w:tcPr>
            <w:tcW w:w="3681" w:type="dxa"/>
            <w:gridSpan w:val="2"/>
            <w:noWrap w:val="0"/>
            <w:vAlign w:val="center"/>
          </w:tcPr>
          <w:p w14:paraId="1E9905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48户约</w:t>
            </w:r>
            <w:r>
              <w:rPr>
                <w:rFonts w:hint="eastAsia" w:ascii="Arial" w:hAnsi="Arial" w:cs="Arial"/>
                <w:spacing w:val="0"/>
                <w:sz w:val="22"/>
                <w:szCs w:val="22"/>
                <w:lang w:val="en-US" w:eastAsia="zh-CN"/>
              </w:rPr>
              <w:t>154</w:t>
            </w:r>
            <w:r>
              <w:rPr>
                <w:rFonts w:hint="eastAsia" w:ascii="Arial" w:hAnsi="Arial" w:cs="Arial"/>
                <w:spacing w:val="0"/>
                <w:sz w:val="22"/>
                <w:szCs w:val="22"/>
              </w:rPr>
              <w:t>人</w:t>
            </w:r>
          </w:p>
        </w:tc>
        <w:tc>
          <w:tcPr>
            <w:tcW w:w="2591" w:type="dxa"/>
            <w:gridSpan w:val="2"/>
            <w:noWrap w:val="0"/>
            <w:vAlign w:val="center"/>
          </w:tcPr>
          <w:p w14:paraId="40ADC7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r>
              <w:rPr>
                <w:rFonts w:hint="eastAsia" w:ascii="Arial" w:hAnsi="Arial" w:cs="Arial"/>
                <w:spacing w:val="0"/>
                <w:sz w:val="22"/>
                <w:szCs w:val="22"/>
              </w:rPr>
              <w:t>施工期</w:t>
            </w:r>
          </w:p>
        </w:tc>
        <w:tc>
          <w:tcPr>
            <w:tcW w:w="2123" w:type="dxa"/>
            <w:noWrap w:val="0"/>
            <w:vAlign w:val="center"/>
          </w:tcPr>
          <w:p w14:paraId="10E32E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r>
              <w:rPr>
                <w:rFonts w:hint="eastAsia" w:ascii="Arial" w:hAnsi="Arial" w:cs="Arial"/>
                <w:spacing w:val="0"/>
                <w:sz w:val="22"/>
                <w:szCs w:val="22"/>
              </w:rPr>
              <w:t>噪声、扬尘</w:t>
            </w:r>
          </w:p>
        </w:tc>
        <w:tc>
          <w:tcPr>
            <w:tcW w:w="2129" w:type="dxa"/>
            <w:vMerge w:val="continue"/>
            <w:noWrap w:val="0"/>
            <w:vAlign w:val="center"/>
          </w:tcPr>
          <w:p w14:paraId="0969BD8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r>
      <w:tr w14:paraId="3FCA3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646B94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42C7E0B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1EB440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cs="Arial"/>
                <w:spacing w:val="0"/>
                <w:sz w:val="22"/>
                <w:szCs w:val="22"/>
                <w:lang w:val="en-US" w:eastAsia="zh-CN"/>
              </w:rPr>
            </w:pPr>
            <w:r>
              <w:rPr>
                <w:rFonts w:hint="eastAsia" w:ascii="Arial" w:hAnsi="Arial" w:cs="Arial"/>
                <w:spacing w:val="0"/>
                <w:sz w:val="22"/>
                <w:szCs w:val="22"/>
                <w:lang w:val="en-US" w:eastAsia="zh-CN"/>
              </w:rPr>
              <w:t>5#新房子村民</w:t>
            </w:r>
          </w:p>
        </w:tc>
        <w:tc>
          <w:tcPr>
            <w:tcW w:w="5591" w:type="dxa"/>
            <w:noWrap w:val="0"/>
            <w:vAlign w:val="center"/>
          </w:tcPr>
          <w:p w14:paraId="7F537A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库区东侧</w:t>
            </w:r>
            <w:r>
              <w:rPr>
                <w:rFonts w:hint="eastAsia" w:ascii="Arial" w:hAnsi="Arial" w:cs="Arial"/>
                <w:spacing w:val="0"/>
                <w:sz w:val="22"/>
                <w:szCs w:val="22"/>
              </w:rPr>
              <w:t>，最近距离</w:t>
            </w:r>
            <w:r>
              <w:rPr>
                <w:rFonts w:hint="eastAsia" w:ascii="Arial" w:hAnsi="Arial" w:cs="Arial"/>
                <w:spacing w:val="0"/>
                <w:sz w:val="22"/>
                <w:szCs w:val="22"/>
                <w:lang w:val="en-US" w:eastAsia="zh-CN"/>
              </w:rPr>
              <w:t>272</w:t>
            </w:r>
            <w:r>
              <w:rPr>
                <w:rFonts w:hint="eastAsia" w:ascii="Arial" w:hAnsi="Arial" w:cs="Arial"/>
                <w:spacing w:val="0"/>
                <w:sz w:val="22"/>
                <w:szCs w:val="22"/>
              </w:rPr>
              <w:t>m</w:t>
            </w:r>
          </w:p>
          <w:p w14:paraId="692411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lang w:eastAsia="zh-CN"/>
              </w:rPr>
            </w:pPr>
            <w:r>
              <w:rPr>
                <w:rFonts w:hint="eastAsia" w:ascii="Arial" w:hAnsi="Arial" w:cs="Arial"/>
                <w:spacing w:val="0"/>
                <w:sz w:val="22"/>
                <w:szCs w:val="22"/>
                <w:lang w:eastAsia="zh-CN"/>
              </w:rPr>
              <w:t>环库巡检步道东侧，最近距离</w:t>
            </w:r>
            <w:r>
              <w:rPr>
                <w:rFonts w:hint="eastAsia" w:ascii="Arial" w:hAnsi="Arial" w:cs="Arial"/>
                <w:spacing w:val="0"/>
                <w:sz w:val="22"/>
                <w:szCs w:val="22"/>
                <w:lang w:val="en-US" w:eastAsia="zh-CN"/>
              </w:rPr>
              <w:t>262m</w:t>
            </w:r>
          </w:p>
        </w:tc>
        <w:tc>
          <w:tcPr>
            <w:tcW w:w="3681" w:type="dxa"/>
            <w:gridSpan w:val="2"/>
            <w:noWrap w:val="0"/>
            <w:vAlign w:val="center"/>
          </w:tcPr>
          <w:p w14:paraId="3016D2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25</w:t>
            </w:r>
            <w:r>
              <w:rPr>
                <w:rFonts w:hint="eastAsia" w:ascii="Arial" w:hAnsi="Arial" w:cs="Arial"/>
                <w:spacing w:val="0"/>
                <w:sz w:val="22"/>
                <w:szCs w:val="22"/>
              </w:rPr>
              <w:t>户约</w:t>
            </w:r>
            <w:r>
              <w:rPr>
                <w:rFonts w:hint="eastAsia" w:ascii="Arial" w:hAnsi="Arial" w:cs="Arial"/>
                <w:spacing w:val="0"/>
                <w:sz w:val="22"/>
                <w:szCs w:val="22"/>
                <w:lang w:val="en-US" w:eastAsia="zh-CN"/>
              </w:rPr>
              <w:t>80</w:t>
            </w:r>
            <w:r>
              <w:rPr>
                <w:rFonts w:hint="eastAsia" w:ascii="Arial" w:hAnsi="Arial" w:cs="Arial"/>
                <w:spacing w:val="0"/>
                <w:sz w:val="22"/>
                <w:szCs w:val="22"/>
              </w:rPr>
              <w:t>人</w:t>
            </w:r>
          </w:p>
        </w:tc>
        <w:tc>
          <w:tcPr>
            <w:tcW w:w="2591" w:type="dxa"/>
            <w:gridSpan w:val="2"/>
            <w:shd w:val="clear" w:color="auto" w:fill="auto"/>
            <w:noWrap w:val="0"/>
            <w:vAlign w:val="center"/>
          </w:tcPr>
          <w:p w14:paraId="087A3C3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kern w:val="2"/>
                <w:sz w:val="22"/>
                <w:szCs w:val="22"/>
                <w:lang w:val="en-US" w:eastAsia="zh-CN" w:bidi="ar-SA"/>
              </w:rPr>
            </w:pPr>
            <w:r>
              <w:rPr>
                <w:rFonts w:hint="eastAsia" w:ascii="Arial" w:hAnsi="Arial" w:cs="Arial"/>
                <w:spacing w:val="0"/>
                <w:sz w:val="22"/>
                <w:szCs w:val="22"/>
              </w:rPr>
              <w:t>施工期</w:t>
            </w:r>
          </w:p>
        </w:tc>
        <w:tc>
          <w:tcPr>
            <w:tcW w:w="2123" w:type="dxa"/>
            <w:shd w:val="clear" w:color="auto" w:fill="auto"/>
            <w:noWrap w:val="0"/>
            <w:vAlign w:val="center"/>
          </w:tcPr>
          <w:p w14:paraId="54EF15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kern w:val="2"/>
                <w:sz w:val="22"/>
                <w:szCs w:val="22"/>
                <w:lang w:val="en-US" w:eastAsia="zh-CN" w:bidi="ar-SA"/>
              </w:rPr>
            </w:pPr>
            <w:r>
              <w:rPr>
                <w:rFonts w:hint="eastAsia" w:ascii="Arial" w:hAnsi="Arial" w:cs="Arial"/>
                <w:spacing w:val="0"/>
                <w:sz w:val="22"/>
                <w:szCs w:val="22"/>
              </w:rPr>
              <w:t>噪声、扬尘</w:t>
            </w:r>
          </w:p>
        </w:tc>
        <w:tc>
          <w:tcPr>
            <w:tcW w:w="2129" w:type="dxa"/>
            <w:vMerge w:val="continue"/>
            <w:noWrap w:val="0"/>
            <w:vAlign w:val="center"/>
          </w:tcPr>
          <w:p w14:paraId="608976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r>
      <w:tr w14:paraId="752D8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7B6696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restart"/>
            <w:noWrap w:val="0"/>
            <w:vAlign w:val="center"/>
          </w:tcPr>
          <w:p w14:paraId="241E1A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输水管线</w:t>
            </w:r>
          </w:p>
        </w:tc>
        <w:tc>
          <w:tcPr>
            <w:tcW w:w="1916" w:type="dxa"/>
            <w:noWrap w:val="0"/>
            <w:vAlign w:val="center"/>
          </w:tcPr>
          <w:p w14:paraId="7F3540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val="en-US" w:eastAsia="zh-CN"/>
              </w:rPr>
            </w:pPr>
            <w:r>
              <w:rPr>
                <w:rFonts w:hint="eastAsia" w:ascii="Arial" w:hAnsi="Arial" w:cs="Arial"/>
                <w:spacing w:val="0"/>
                <w:sz w:val="22"/>
                <w:szCs w:val="22"/>
                <w:lang w:val="en-US" w:eastAsia="zh-CN"/>
              </w:rPr>
              <w:t>6#散居村民</w:t>
            </w:r>
          </w:p>
        </w:tc>
        <w:tc>
          <w:tcPr>
            <w:tcW w:w="5591" w:type="dxa"/>
            <w:noWrap w:val="0"/>
            <w:vAlign w:val="center"/>
          </w:tcPr>
          <w:p w14:paraId="0938D9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1</w:t>
            </w:r>
            <w:r>
              <w:rPr>
                <w:rFonts w:hint="eastAsia" w:ascii="Arial" w:hAnsi="Arial" w:cs="Arial"/>
                <w:spacing w:val="0"/>
                <w:sz w:val="22"/>
                <w:szCs w:val="22"/>
              </w:rPr>
              <w:t>+</w:t>
            </w:r>
            <w:r>
              <w:rPr>
                <w:rFonts w:hint="eastAsia" w:ascii="Arial" w:hAnsi="Arial" w:cs="Arial"/>
                <w:spacing w:val="0"/>
                <w:sz w:val="22"/>
                <w:szCs w:val="22"/>
                <w:lang w:val="en-US" w:eastAsia="zh-CN"/>
              </w:rPr>
              <w:t>269</w:t>
            </w:r>
            <w:r>
              <w:rPr>
                <w:rFonts w:hint="eastAsia" w:ascii="Arial" w:hAnsi="Arial" w:cs="Arial"/>
                <w:spacing w:val="0"/>
                <w:sz w:val="22"/>
                <w:szCs w:val="22"/>
              </w:rPr>
              <w:t>~K</w:t>
            </w:r>
            <w:r>
              <w:rPr>
                <w:rFonts w:hint="eastAsia" w:ascii="Arial" w:hAnsi="Arial" w:cs="Arial"/>
                <w:spacing w:val="0"/>
                <w:sz w:val="22"/>
                <w:szCs w:val="22"/>
                <w:lang w:val="en-US" w:eastAsia="zh-CN"/>
              </w:rPr>
              <w:t>2</w:t>
            </w:r>
            <w:r>
              <w:rPr>
                <w:rFonts w:hint="eastAsia" w:ascii="Arial" w:hAnsi="Arial" w:cs="Arial"/>
                <w:spacing w:val="0"/>
                <w:sz w:val="22"/>
                <w:szCs w:val="22"/>
              </w:rPr>
              <w:t>+</w:t>
            </w:r>
            <w:r>
              <w:rPr>
                <w:rFonts w:hint="eastAsia" w:ascii="Arial" w:hAnsi="Arial" w:cs="Arial"/>
                <w:spacing w:val="0"/>
                <w:sz w:val="22"/>
                <w:szCs w:val="22"/>
                <w:lang w:val="en-US" w:eastAsia="zh-CN"/>
              </w:rPr>
              <w:t>026</w:t>
            </w:r>
            <w:r>
              <w:rPr>
                <w:rFonts w:hint="eastAsia" w:ascii="Arial" w:hAnsi="Arial" w:cs="Arial"/>
                <w:spacing w:val="0"/>
                <w:sz w:val="22"/>
                <w:szCs w:val="22"/>
                <w:lang w:eastAsia="zh-CN"/>
              </w:rPr>
              <w:t>左侧，</w:t>
            </w:r>
            <w:r>
              <w:rPr>
                <w:rFonts w:hint="eastAsia" w:ascii="Arial" w:hAnsi="Arial" w:cs="Arial"/>
                <w:spacing w:val="0"/>
                <w:sz w:val="22"/>
                <w:szCs w:val="22"/>
              </w:rPr>
              <w:t>最近距离</w:t>
            </w:r>
            <w:r>
              <w:rPr>
                <w:rFonts w:hint="eastAsia" w:ascii="Arial" w:hAnsi="Arial" w:cs="Arial"/>
                <w:spacing w:val="0"/>
                <w:sz w:val="22"/>
                <w:szCs w:val="22"/>
                <w:lang w:val="en-US" w:eastAsia="zh-CN"/>
              </w:rPr>
              <w:t>14</w:t>
            </w:r>
            <w:r>
              <w:rPr>
                <w:rFonts w:hint="eastAsia" w:ascii="Arial" w:hAnsi="Arial" w:cs="Arial"/>
                <w:spacing w:val="0"/>
                <w:sz w:val="22"/>
                <w:szCs w:val="22"/>
              </w:rPr>
              <w:t>m</w:t>
            </w:r>
          </w:p>
          <w:p w14:paraId="4AA014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eastAsia="zh-CN"/>
              </w:rPr>
              <w:t>新华支管</w:t>
            </w:r>
            <w:r>
              <w:rPr>
                <w:rFonts w:hint="eastAsia" w:ascii="Arial" w:hAnsi="Arial" w:cs="Arial"/>
                <w:spacing w:val="0"/>
                <w:sz w:val="22"/>
                <w:szCs w:val="22"/>
                <w:lang w:val="en-US" w:eastAsia="zh-CN"/>
              </w:rPr>
              <w:t>XZ0+160右侧，</w:t>
            </w:r>
            <w:r>
              <w:rPr>
                <w:rFonts w:hint="eastAsia" w:ascii="Arial" w:hAnsi="Arial" w:cs="Arial"/>
                <w:spacing w:val="0"/>
                <w:sz w:val="22"/>
                <w:szCs w:val="22"/>
              </w:rPr>
              <w:t>最近距离</w:t>
            </w:r>
            <w:r>
              <w:rPr>
                <w:rFonts w:hint="eastAsia" w:ascii="Arial" w:hAnsi="Arial" w:cs="Arial"/>
                <w:spacing w:val="0"/>
                <w:sz w:val="22"/>
                <w:szCs w:val="22"/>
                <w:lang w:val="en-US" w:eastAsia="zh-CN"/>
              </w:rPr>
              <w:t>98</w:t>
            </w:r>
            <w:r>
              <w:rPr>
                <w:rFonts w:hint="eastAsia" w:ascii="Arial" w:hAnsi="Arial" w:cs="Arial"/>
                <w:spacing w:val="0"/>
                <w:sz w:val="22"/>
                <w:szCs w:val="22"/>
              </w:rPr>
              <w:t>m</w:t>
            </w:r>
          </w:p>
        </w:tc>
        <w:tc>
          <w:tcPr>
            <w:tcW w:w="3681" w:type="dxa"/>
            <w:gridSpan w:val="2"/>
            <w:noWrap w:val="0"/>
            <w:vAlign w:val="center"/>
          </w:tcPr>
          <w:p w14:paraId="14E2A7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31</w:t>
            </w:r>
            <w:r>
              <w:rPr>
                <w:rFonts w:hint="eastAsia" w:ascii="Arial" w:hAnsi="Arial" w:cs="Arial"/>
                <w:spacing w:val="0"/>
                <w:sz w:val="22"/>
                <w:szCs w:val="22"/>
              </w:rPr>
              <w:t>户约</w:t>
            </w:r>
            <w:r>
              <w:rPr>
                <w:rFonts w:hint="eastAsia" w:ascii="Arial" w:hAnsi="Arial" w:cs="Arial"/>
                <w:spacing w:val="0"/>
                <w:sz w:val="22"/>
                <w:szCs w:val="22"/>
                <w:lang w:val="en-US" w:eastAsia="zh-CN"/>
              </w:rPr>
              <w:t>100</w:t>
            </w:r>
            <w:r>
              <w:rPr>
                <w:rFonts w:hint="eastAsia" w:ascii="Arial" w:hAnsi="Arial" w:cs="Arial"/>
                <w:spacing w:val="0"/>
                <w:sz w:val="22"/>
                <w:szCs w:val="22"/>
              </w:rPr>
              <w:t>人</w:t>
            </w:r>
          </w:p>
        </w:tc>
        <w:tc>
          <w:tcPr>
            <w:tcW w:w="2591" w:type="dxa"/>
            <w:gridSpan w:val="2"/>
            <w:vMerge w:val="restart"/>
            <w:noWrap w:val="0"/>
            <w:vAlign w:val="center"/>
          </w:tcPr>
          <w:p w14:paraId="27B5E8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施工期</w:t>
            </w:r>
          </w:p>
        </w:tc>
        <w:tc>
          <w:tcPr>
            <w:tcW w:w="2123" w:type="dxa"/>
            <w:vMerge w:val="restart"/>
            <w:noWrap w:val="0"/>
            <w:vAlign w:val="center"/>
          </w:tcPr>
          <w:p w14:paraId="0212B3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施工扬尘、噪声</w:t>
            </w:r>
          </w:p>
        </w:tc>
        <w:tc>
          <w:tcPr>
            <w:tcW w:w="2129" w:type="dxa"/>
            <w:vMerge w:val="continue"/>
            <w:noWrap w:val="0"/>
            <w:vAlign w:val="center"/>
          </w:tcPr>
          <w:p w14:paraId="053F54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62145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16A4DE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35E264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6E4BF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7#散居村民</w:t>
            </w:r>
          </w:p>
        </w:tc>
        <w:tc>
          <w:tcPr>
            <w:tcW w:w="5591" w:type="dxa"/>
            <w:noWrap w:val="0"/>
            <w:vAlign w:val="center"/>
          </w:tcPr>
          <w:p w14:paraId="6C6440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1</w:t>
            </w:r>
            <w:r>
              <w:rPr>
                <w:rFonts w:hint="eastAsia" w:ascii="Arial" w:hAnsi="Arial" w:cs="Arial"/>
                <w:spacing w:val="0"/>
                <w:sz w:val="22"/>
                <w:szCs w:val="22"/>
              </w:rPr>
              <w:t>+</w:t>
            </w:r>
            <w:r>
              <w:rPr>
                <w:rFonts w:hint="eastAsia" w:ascii="Arial" w:hAnsi="Arial" w:cs="Arial"/>
                <w:spacing w:val="0"/>
                <w:sz w:val="22"/>
                <w:szCs w:val="22"/>
                <w:lang w:val="en-US" w:eastAsia="zh-CN"/>
              </w:rPr>
              <w:t>587</w:t>
            </w:r>
            <w:r>
              <w:rPr>
                <w:rFonts w:hint="eastAsia" w:ascii="Arial" w:hAnsi="Arial" w:cs="Arial"/>
                <w:spacing w:val="0"/>
                <w:sz w:val="22"/>
                <w:szCs w:val="22"/>
              </w:rPr>
              <w:t>~K</w:t>
            </w:r>
            <w:r>
              <w:rPr>
                <w:rFonts w:hint="eastAsia" w:ascii="Arial" w:hAnsi="Arial" w:cs="Arial"/>
                <w:spacing w:val="0"/>
                <w:sz w:val="22"/>
                <w:szCs w:val="22"/>
                <w:lang w:val="en-US" w:eastAsia="zh-CN"/>
              </w:rPr>
              <w:t>1</w:t>
            </w:r>
            <w:r>
              <w:rPr>
                <w:rFonts w:hint="eastAsia" w:ascii="Arial" w:hAnsi="Arial" w:cs="Arial"/>
                <w:spacing w:val="0"/>
                <w:sz w:val="22"/>
                <w:szCs w:val="22"/>
              </w:rPr>
              <w:t>+</w:t>
            </w:r>
            <w:r>
              <w:rPr>
                <w:rFonts w:hint="eastAsia" w:ascii="Arial" w:hAnsi="Arial" w:cs="Arial"/>
                <w:spacing w:val="0"/>
                <w:sz w:val="22"/>
                <w:szCs w:val="22"/>
                <w:lang w:val="en-US" w:eastAsia="zh-CN"/>
              </w:rPr>
              <w:t>948</w:t>
            </w:r>
            <w:r>
              <w:rPr>
                <w:rFonts w:hint="eastAsia" w:ascii="Arial" w:hAnsi="Arial" w:cs="Arial"/>
                <w:spacing w:val="0"/>
                <w:sz w:val="22"/>
                <w:szCs w:val="22"/>
                <w:lang w:eastAsia="zh-CN"/>
              </w:rPr>
              <w:t>右侧，</w:t>
            </w:r>
            <w:r>
              <w:rPr>
                <w:rFonts w:hint="eastAsia" w:ascii="Arial" w:hAnsi="Arial" w:cs="Arial"/>
                <w:spacing w:val="0"/>
                <w:sz w:val="22"/>
                <w:szCs w:val="22"/>
              </w:rPr>
              <w:t>最近距离</w:t>
            </w:r>
            <w:r>
              <w:rPr>
                <w:rFonts w:hint="eastAsia" w:ascii="Arial" w:hAnsi="Arial" w:cs="Arial"/>
                <w:spacing w:val="0"/>
                <w:sz w:val="22"/>
                <w:szCs w:val="22"/>
                <w:lang w:val="en-US" w:eastAsia="zh-CN"/>
              </w:rPr>
              <w:t>7</w:t>
            </w:r>
            <w:r>
              <w:rPr>
                <w:rFonts w:hint="eastAsia" w:ascii="Arial" w:hAnsi="Arial" w:cs="Arial"/>
                <w:spacing w:val="0"/>
                <w:sz w:val="22"/>
                <w:szCs w:val="22"/>
              </w:rPr>
              <w:t>m</w:t>
            </w:r>
          </w:p>
        </w:tc>
        <w:tc>
          <w:tcPr>
            <w:tcW w:w="3681" w:type="dxa"/>
            <w:gridSpan w:val="2"/>
            <w:noWrap w:val="0"/>
            <w:vAlign w:val="center"/>
          </w:tcPr>
          <w:p w14:paraId="6EA2C6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41</w:t>
            </w:r>
            <w:r>
              <w:rPr>
                <w:rFonts w:hint="eastAsia" w:ascii="Arial" w:hAnsi="Arial" w:cs="Arial"/>
                <w:spacing w:val="0"/>
                <w:sz w:val="22"/>
                <w:szCs w:val="22"/>
              </w:rPr>
              <w:t>户约</w:t>
            </w:r>
            <w:r>
              <w:rPr>
                <w:rFonts w:hint="eastAsia" w:ascii="Arial" w:hAnsi="Arial" w:cs="Arial"/>
                <w:spacing w:val="0"/>
                <w:sz w:val="22"/>
                <w:szCs w:val="22"/>
                <w:lang w:val="en-US" w:eastAsia="zh-CN"/>
              </w:rPr>
              <w:t>132</w:t>
            </w:r>
            <w:r>
              <w:rPr>
                <w:rFonts w:hint="eastAsia" w:ascii="Arial" w:hAnsi="Arial" w:cs="Arial"/>
                <w:spacing w:val="0"/>
                <w:sz w:val="22"/>
                <w:szCs w:val="22"/>
              </w:rPr>
              <w:t>人</w:t>
            </w:r>
          </w:p>
        </w:tc>
        <w:tc>
          <w:tcPr>
            <w:tcW w:w="2591" w:type="dxa"/>
            <w:gridSpan w:val="2"/>
            <w:vMerge w:val="continue"/>
            <w:noWrap w:val="0"/>
            <w:vAlign w:val="center"/>
          </w:tcPr>
          <w:p w14:paraId="4462C7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47683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5F6F3F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54D91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222C17B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AA8DD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13DA29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8#散居村民</w:t>
            </w:r>
          </w:p>
        </w:tc>
        <w:tc>
          <w:tcPr>
            <w:tcW w:w="5591" w:type="dxa"/>
            <w:noWrap w:val="0"/>
            <w:vAlign w:val="center"/>
          </w:tcPr>
          <w:p w14:paraId="142A42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2</w:t>
            </w:r>
            <w:r>
              <w:rPr>
                <w:rFonts w:hint="eastAsia" w:ascii="Arial" w:hAnsi="Arial" w:cs="Arial"/>
                <w:spacing w:val="0"/>
                <w:sz w:val="22"/>
                <w:szCs w:val="22"/>
              </w:rPr>
              <w:t>+</w:t>
            </w:r>
            <w:r>
              <w:rPr>
                <w:rFonts w:hint="eastAsia" w:ascii="Arial" w:hAnsi="Arial" w:cs="Arial"/>
                <w:spacing w:val="0"/>
                <w:sz w:val="22"/>
                <w:szCs w:val="22"/>
                <w:lang w:val="en-US" w:eastAsia="zh-CN"/>
              </w:rPr>
              <w:t>476</w:t>
            </w:r>
            <w:r>
              <w:rPr>
                <w:rFonts w:hint="eastAsia" w:ascii="Arial" w:hAnsi="Arial" w:cs="Arial"/>
                <w:spacing w:val="0"/>
                <w:sz w:val="22"/>
                <w:szCs w:val="22"/>
              </w:rPr>
              <w:t>~K</w:t>
            </w:r>
            <w:r>
              <w:rPr>
                <w:rFonts w:hint="eastAsia" w:ascii="Arial" w:hAnsi="Arial" w:cs="Arial"/>
                <w:spacing w:val="0"/>
                <w:sz w:val="22"/>
                <w:szCs w:val="22"/>
                <w:lang w:val="en-US" w:eastAsia="zh-CN"/>
              </w:rPr>
              <w:t>2</w:t>
            </w:r>
            <w:r>
              <w:rPr>
                <w:rFonts w:hint="eastAsia" w:ascii="Arial" w:hAnsi="Arial" w:cs="Arial"/>
                <w:spacing w:val="0"/>
                <w:sz w:val="22"/>
                <w:szCs w:val="22"/>
              </w:rPr>
              <w:t>+</w:t>
            </w:r>
            <w:r>
              <w:rPr>
                <w:rFonts w:hint="eastAsia" w:ascii="Arial" w:hAnsi="Arial" w:cs="Arial"/>
                <w:spacing w:val="0"/>
                <w:sz w:val="22"/>
                <w:szCs w:val="22"/>
                <w:lang w:val="en-US" w:eastAsia="zh-CN"/>
              </w:rPr>
              <w:t>734</w:t>
            </w:r>
            <w:r>
              <w:rPr>
                <w:rFonts w:hint="eastAsia" w:ascii="Arial" w:hAnsi="Arial" w:cs="Arial"/>
                <w:spacing w:val="0"/>
                <w:sz w:val="22"/>
                <w:szCs w:val="22"/>
                <w:lang w:eastAsia="zh-CN"/>
              </w:rPr>
              <w:t>左侧，</w:t>
            </w:r>
            <w:r>
              <w:rPr>
                <w:rFonts w:hint="eastAsia" w:ascii="Arial" w:hAnsi="Arial" w:cs="Arial"/>
                <w:spacing w:val="0"/>
                <w:sz w:val="22"/>
                <w:szCs w:val="22"/>
              </w:rPr>
              <w:t>最近距离</w:t>
            </w:r>
            <w:r>
              <w:rPr>
                <w:rFonts w:hint="eastAsia" w:ascii="Arial" w:hAnsi="Arial" w:cs="Arial"/>
                <w:spacing w:val="0"/>
                <w:sz w:val="22"/>
                <w:szCs w:val="22"/>
                <w:lang w:val="en-US" w:eastAsia="zh-CN"/>
              </w:rPr>
              <w:t>47</w:t>
            </w:r>
            <w:r>
              <w:rPr>
                <w:rFonts w:hint="eastAsia" w:ascii="Arial" w:hAnsi="Arial" w:cs="Arial"/>
                <w:spacing w:val="0"/>
                <w:sz w:val="22"/>
                <w:szCs w:val="22"/>
              </w:rPr>
              <w:t>m</w:t>
            </w:r>
          </w:p>
        </w:tc>
        <w:tc>
          <w:tcPr>
            <w:tcW w:w="3681" w:type="dxa"/>
            <w:gridSpan w:val="2"/>
            <w:noWrap w:val="0"/>
            <w:vAlign w:val="center"/>
          </w:tcPr>
          <w:p w14:paraId="3778A6C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6</w:t>
            </w:r>
            <w:r>
              <w:rPr>
                <w:rFonts w:hint="eastAsia" w:ascii="Arial" w:hAnsi="Arial" w:cs="Arial"/>
                <w:spacing w:val="0"/>
                <w:sz w:val="22"/>
                <w:szCs w:val="22"/>
              </w:rPr>
              <w:t>户约</w:t>
            </w:r>
            <w:r>
              <w:rPr>
                <w:rFonts w:hint="eastAsia" w:ascii="Arial" w:hAnsi="Arial" w:cs="Arial"/>
                <w:spacing w:val="0"/>
                <w:sz w:val="22"/>
                <w:szCs w:val="22"/>
                <w:lang w:val="en-US" w:eastAsia="zh-CN"/>
              </w:rPr>
              <w:t>20</w:t>
            </w:r>
            <w:r>
              <w:rPr>
                <w:rFonts w:hint="eastAsia" w:ascii="Arial" w:hAnsi="Arial" w:cs="Arial"/>
                <w:spacing w:val="0"/>
                <w:sz w:val="22"/>
                <w:szCs w:val="22"/>
              </w:rPr>
              <w:t>人</w:t>
            </w:r>
          </w:p>
        </w:tc>
        <w:tc>
          <w:tcPr>
            <w:tcW w:w="2591" w:type="dxa"/>
            <w:gridSpan w:val="2"/>
            <w:vMerge w:val="continue"/>
            <w:noWrap w:val="0"/>
            <w:vAlign w:val="center"/>
          </w:tcPr>
          <w:p w14:paraId="18C05C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1451BA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678AB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7FA3B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458FA5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4677E4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7138C5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9#散居村民</w:t>
            </w:r>
          </w:p>
        </w:tc>
        <w:tc>
          <w:tcPr>
            <w:tcW w:w="5591" w:type="dxa"/>
            <w:noWrap w:val="0"/>
            <w:vAlign w:val="center"/>
          </w:tcPr>
          <w:p w14:paraId="463A56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2</w:t>
            </w:r>
            <w:r>
              <w:rPr>
                <w:rFonts w:hint="eastAsia" w:ascii="Arial" w:hAnsi="Arial" w:cs="Arial"/>
                <w:spacing w:val="0"/>
                <w:sz w:val="22"/>
                <w:szCs w:val="22"/>
              </w:rPr>
              <w:t>+</w:t>
            </w:r>
            <w:r>
              <w:rPr>
                <w:rFonts w:hint="eastAsia" w:ascii="Arial" w:hAnsi="Arial" w:cs="Arial"/>
                <w:spacing w:val="0"/>
                <w:sz w:val="22"/>
                <w:szCs w:val="22"/>
                <w:lang w:val="en-US" w:eastAsia="zh-CN"/>
              </w:rPr>
              <w:t>832</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160</w:t>
            </w:r>
            <w:r>
              <w:rPr>
                <w:rFonts w:hint="eastAsia" w:ascii="Arial" w:hAnsi="Arial" w:cs="Arial"/>
                <w:spacing w:val="0"/>
                <w:sz w:val="22"/>
                <w:szCs w:val="22"/>
                <w:lang w:eastAsia="zh-CN"/>
              </w:rPr>
              <w:t>右侧，</w:t>
            </w:r>
            <w:r>
              <w:rPr>
                <w:rFonts w:hint="eastAsia" w:ascii="Arial" w:hAnsi="Arial" w:cs="Arial"/>
                <w:spacing w:val="0"/>
                <w:sz w:val="22"/>
                <w:szCs w:val="22"/>
              </w:rPr>
              <w:t>最近距离</w:t>
            </w:r>
            <w:r>
              <w:rPr>
                <w:rFonts w:hint="eastAsia" w:ascii="Arial" w:hAnsi="Arial" w:cs="Arial"/>
                <w:spacing w:val="0"/>
                <w:sz w:val="22"/>
                <w:szCs w:val="22"/>
                <w:lang w:val="en-US" w:eastAsia="zh-CN"/>
              </w:rPr>
              <w:t>44</w:t>
            </w:r>
            <w:r>
              <w:rPr>
                <w:rFonts w:hint="eastAsia" w:ascii="Arial" w:hAnsi="Arial" w:cs="Arial"/>
                <w:spacing w:val="0"/>
                <w:sz w:val="22"/>
                <w:szCs w:val="22"/>
              </w:rPr>
              <w:t>m</w:t>
            </w:r>
          </w:p>
        </w:tc>
        <w:tc>
          <w:tcPr>
            <w:tcW w:w="3681" w:type="dxa"/>
            <w:gridSpan w:val="2"/>
            <w:noWrap w:val="0"/>
            <w:vAlign w:val="center"/>
          </w:tcPr>
          <w:p w14:paraId="58D1E67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20</w:t>
            </w:r>
            <w:r>
              <w:rPr>
                <w:rFonts w:hint="eastAsia" w:ascii="Arial" w:hAnsi="Arial" w:cs="Arial"/>
                <w:spacing w:val="0"/>
                <w:sz w:val="22"/>
                <w:szCs w:val="22"/>
              </w:rPr>
              <w:t>户约</w:t>
            </w:r>
            <w:r>
              <w:rPr>
                <w:rFonts w:hint="eastAsia" w:ascii="Arial" w:hAnsi="Arial" w:cs="Arial"/>
                <w:spacing w:val="0"/>
                <w:sz w:val="22"/>
                <w:szCs w:val="22"/>
                <w:lang w:val="en-US" w:eastAsia="zh-CN"/>
              </w:rPr>
              <w:t>64</w:t>
            </w:r>
            <w:r>
              <w:rPr>
                <w:rFonts w:hint="eastAsia" w:ascii="Arial" w:hAnsi="Arial" w:cs="Arial"/>
                <w:spacing w:val="0"/>
                <w:sz w:val="22"/>
                <w:szCs w:val="22"/>
              </w:rPr>
              <w:t>人</w:t>
            </w:r>
          </w:p>
        </w:tc>
        <w:tc>
          <w:tcPr>
            <w:tcW w:w="2591" w:type="dxa"/>
            <w:gridSpan w:val="2"/>
            <w:vMerge w:val="continue"/>
            <w:noWrap w:val="0"/>
            <w:vAlign w:val="center"/>
          </w:tcPr>
          <w:p w14:paraId="03FFC1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6BB9F6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BED72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A35E0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4706562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77600D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CE839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10</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6E6A45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368</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649</w:t>
            </w:r>
            <w:r>
              <w:rPr>
                <w:rFonts w:hint="eastAsia" w:ascii="Arial" w:hAnsi="Arial" w:cs="Arial"/>
                <w:spacing w:val="0"/>
                <w:sz w:val="22"/>
                <w:szCs w:val="22"/>
                <w:lang w:eastAsia="zh-CN"/>
              </w:rPr>
              <w:t>右侧，</w:t>
            </w:r>
            <w:r>
              <w:rPr>
                <w:rFonts w:hint="eastAsia" w:ascii="Arial" w:hAnsi="Arial" w:cs="Arial"/>
                <w:spacing w:val="0"/>
                <w:sz w:val="22"/>
                <w:szCs w:val="22"/>
              </w:rPr>
              <w:t>最近距离</w:t>
            </w:r>
            <w:r>
              <w:rPr>
                <w:rFonts w:hint="eastAsia" w:ascii="Arial" w:hAnsi="Arial" w:cs="Arial"/>
                <w:spacing w:val="0"/>
                <w:sz w:val="22"/>
                <w:szCs w:val="22"/>
                <w:lang w:val="en-US" w:eastAsia="zh-CN"/>
              </w:rPr>
              <w:t>160</w:t>
            </w:r>
            <w:r>
              <w:rPr>
                <w:rFonts w:hint="eastAsia" w:ascii="Arial" w:hAnsi="Arial" w:cs="Arial"/>
                <w:spacing w:val="0"/>
                <w:sz w:val="22"/>
                <w:szCs w:val="22"/>
              </w:rPr>
              <w:t>m</w:t>
            </w:r>
          </w:p>
        </w:tc>
        <w:tc>
          <w:tcPr>
            <w:tcW w:w="3681" w:type="dxa"/>
            <w:gridSpan w:val="2"/>
            <w:noWrap w:val="0"/>
            <w:vAlign w:val="center"/>
          </w:tcPr>
          <w:p w14:paraId="031C1A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7</w:t>
            </w:r>
            <w:r>
              <w:rPr>
                <w:rFonts w:hint="eastAsia" w:ascii="Arial" w:hAnsi="Arial" w:cs="Arial"/>
                <w:spacing w:val="0"/>
                <w:sz w:val="22"/>
                <w:szCs w:val="22"/>
              </w:rPr>
              <w:t>户约</w:t>
            </w:r>
            <w:r>
              <w:rPr>
                <w:rFonts w:hint="eastAsia" w:ascii="Arial" w:hAnsi="Arial" w:cs="Arial"/>
                <w:spacing w:val="0"/>
                <w:sz w:val="22"/>
                <w:szCs w:val="22"/>
                <w:lang w:val="en-US" w:eastAsia="zh-CN"/>
              </w:rPr>
              <w:t>23</w:t>
            </w:r>
            <w:r>
              <w:rPr>
                <w:rFonts w:hint="eastAsia" w:ascii="Arial" w:hAnsi="Arial" w:cs="Arial"/>
                <w:spacing w:val="0"/>
                <w:sz w:val="22"/>
                <w:szCs w:val="22"/>
              </w:rPr>
              <w:t>人</w:t>
            </w:r>
          </w:p>
        </w:tc>
        <w:tc>
          <w:tcPr>
            <w:tcW w:w="2591" w:type="dxa"/>
            <w:gridSpan w:val="2"/>
            <w:vMerge w:val="continue"/>
            <w:noWrap w:val="0"/>
            <w:vAlign w:val="center"/>
          </w:tcPr>
          <w:p w14:paraId="554FFA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3265AD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37148FB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305A4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18AC40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A197F7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2A229E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11</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4B14F8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823</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007</w:t>
            </w:r>
            <w:r>
              <w:rPr>
                <w:rFonts w:hint="eastAsia" w:ascii="Arial" w:hAnsi="Arial" w:cs="Arial"/>
                <w:spacing w:val="0"/>
                <w:sz w:val="22"/>
                <w:szCs w:val="22"/>
                <w:lang w:eastAsia="zh-CN"/>
              </w:rPr>
              <w:t>左侧，</w:t>
            </w:r>
            <w:r>
              <w:rPr>
                <w:rFonts w:hint="eastAsia" w:ascii="Arial" w:hAnsi="Arial" w:cs="Arial"/>
                <w:spacing w:val="0"/>
                <w:sz w:val="22"/>
                <w:szCs w:val="22"/>
              </w:rPr>
              <w:t>最近距离</w:t>
            </w:r>
            <w:r>
              <w:rPr>
                <w:rFonts w:hint="eastAsia" w:ascii="Arial" w:hAnsi="Arial" w:cs="Arial"/>
                <w:spacing w:val="0"/>
                <w:sz w:val="22"/>
                <w:szCs w:val="22"/>
                <w:lang w:val="en-US" w:eastAsia="zh-CN"/>
              </w:rPr>
              <w:t>15</w:t>
            </w:r>
            <w:r>
              <w:rPr>
                <w:rFonts w:hint="eastAsia" w:ascii="Arial" w:hAnsi="Arial" w:cs="Arial"/>
                <w:spacing w:val="0"/>
                <w:sz w:val="22"/>
                <w:szCs w:val="22"/>
              </w:rPr>
              <w:t>m</w:t>
            </w:r>
          </w:p>
        </w:tc>
        <w:tc>
          <w:tcPr>
            <w:tcW w:w="3681" w:type="dxa"/>
            <w:gridSpan w:val="2"/>
            <w:noWrap w:val="0"/>
            <w:vAlign w:val="center"/>
          </w:tcPr>
          <w:p w14:paraId="0A03CF6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13</w:t>
            </w:r>
            <w:r>
              <w:rPr>
                <w:rFonts w:hint="eastAsia" w:ascii="Arial" w:hAnsi="Arial" w:cs="Arial"/>
                <w:spacing w:val="0"/>
                <w:sz w:val="22"/>
                <w:szCs w:val="22"/>
              </w:rPr>
              <w:t>户约</w:t>
            </w:r>
            <w:r>
              <w:rPr>
                <w:rFonts w:hint="eastAsia" w:ascii="Arial" w:hAnsi="Arial" w:cs="Arial"/>
                <w:spacing w:val="0"/>
                <w:sz w:val="22"/>
                <w:szCs w:val="22"/>
                <w:lang w:val="en-US" w:eastAsia="zh-CN"/>
              </w:rPr>
              <w:t>42</w:t>
            </w:r>
            <w:r>
              <w:rPr>
                <w:rFonts w:hint="eastAsia" w:ascii="Arial" w:hAnsi="Arial" w:cs="Arial"/>
                <w:spacing w:val="0"/>
                <w:sz w:val="22"/>
                <w:szCs w:val="22"/>
              </w:rPr>
              <w:t>人</w:t>
            </w:r>
          </w:p>
        </w:tc>
        <w:tc>
          <w:tcPr>
            <w:tcW w:w="2591" w:type="dxa"/>
            <w:gridSpan w:val="2"/>
            <w:vMerge w:val="continue"/>
            <w:noWrap w:val="0"/>
            <w:vAlign w:val="center"/>
          </w:tcPr>
          <w:p w14:paraId="37DEAB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07234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50B1D2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2ABCB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22" w:hRule="atLeast"/>
          <w:jc w:val="center"/>
        </w:trPr>
        <w:tc>
          <w:tcPr>
            <w:tcW w:w="1587" w:type="dxa"/>
            <w:vMerge w:val="continue"/>
            <w:noWrap w:val="0"/>
            <w:vAlign w:val="center"/>
          </w:tcPr>
          <w:p w14:paraId="57C56B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24B0085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C18C8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12</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03144A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823</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046右侧</w:t>
            </w:r>
            <w:r>
              <w:rPr>
                <w:rFonts w:hint="eastAsia" w:ascii="Arial" w:hAnsi="Arial" w:cs="Arial"/>
                <w:spacing w:val="0"/>
                <w:sz w:val="22"/>
                <w:szCs w:val="22"/>
                <w:lang w:eastAsia="zh-CN"/>
              </w:rPr>
              <w:t>，</w:t>
            </w:r>
            <w:r>
              <w:rPr>
                <w:rFonts w:hint="eastAsia" w:ascii="Arial" w:hAnsi="Arial" w:cs="Arial"/>
                <w:spacing w:val="0"/>
                <w:sz w:val="22"/>
                <w:szCs w:val="22"/>
              </w:rPr>
              <w:t>最近距离</w:t>
            </w:r>
            <w:r>
              <w:rPr>
                <w:rFonts w:hint="eastAsia" w:ascii="Arial" w:hAnsi="Arial" w:cs="Arial"/>
                <w:spacing w:val="0"/>
                <w:sz w:val="22"/>
                <w:szCs w:val="22"/>
                <w:lang w:val="en-US" w:eastAsia="zh-CN"/>
              </w:rPr>
              <w:t>123</w:t>
            </w:r>
            <w:r>
              <w:rPr>
                <w:rFonts w:hint="eastAsia" w:ascii="Arial" w:hAnsi="Arial" w:cs="Arial"/>
                <w:spacing w:val="0"/>
                <w:sz w:val="22"/>
                <w:szCs w:val="22"/>
              </w:rPr>
              <w:t>m</w:t>
            </w:r>
          </w:p>
        </w:tc>
        <w:tc>
          <w:tcPr>
            <w:tcW w:w="3681" w:type="dxa"/>
            <w:gridSpan w:val="2"/>
            <w:noWrap w:val="0"/>
            <w:vAlign w:val="center"/>
          </w:tcPr>
          <w:p w14:paraId="431BEB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9</w:t>
            </w:r>
            <w:r>
              <w:rPr>
                <w:rFonts w:hint="eastAsia" w:ascii="Arial" w:hAnsi="Arial" w:cs="Arial"/>
                <w:spacing w:val="0"/>
                <w:sz w:val="22"/>
                <w:szCs w:val="22"/>
              </w:rPr>
              <w:t>户约</w:t>
            </w:r>
            <w:r>
              <w:rPr>
                <w:rFonts w:hint="eastAsia" w:ascii="Arial" w:hAnsi="Arial" w:cs="Arial"/>
                <w:spacing w:val="0"/>
                <w:sz w:val="22"/>
                <w:szCs w:val="22"/>
                <w:lang w:val="en-US" w:eastAsia="zh-CN"/>
              </w:rPr>
              <w:t>29</w:t>
            </w:r>
            <w:r>
              <w:rPr>
                <w:rFonts w:hint="eastAsia" w:ascii="Arial" w:hAnsi="Arial" w:cs="Arial"/>
                <w:spacing w:val="0"/>
                <w:sz w:val="22"/>
                <w:szCs w:val="22"/>
              </w:rPr>
              <w:t>人</w:t>
            </w:r>
          </w:p>
        </w:tc>
        <w:tc>
          <w:tcPr>
            <w:tcW w:w="2591" w:type="dxa"/>
            <w:gridSpan w:val="2"/>
            <w:vMerge w:val="continue"/>
            <w:noWrap w:val="0"/>
            <w:vAlign w:val="center"/>
          </w:tcPr>
          <w:p w14:paraId="49C42EE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20428F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671FC9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DB3B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32BE1A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71F5BFF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64BB9C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13</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7162C7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046</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227右侧</w:t>
            </w:r>
            <w:r>
              <w:rPr>
                <w:rFonts w:hint="eastAsia" w:ascii="Arial" w:hAnsi="Arial" w:cs="Arial"/>
                <w:spacing w:val="0"/>
                <w:sz w:val="22"/>
                <w:szCs w:val="22"/>
                <w:lang w:eastAsia="zh-CN"/>
              </w:rPr>
              <w:t>，</w:t>
            </w:r>
            <w:r>
              <w:rPr>
                <w:rFonts w:hint="eastAsia" w:ascii="Arial" w:hAnsi="Arial" w:cs="Arial"/>
                <w:spacing w:val="0"/>
                <w:sz w:val="22"/>
                <w:szCs w:val="22"/>
              </w:rPr>
              <w:t>最近距离</w:t>
            </w:r>
            <w:r>
              <w:rPr>
                <w:rFonts w:hint="eastAsia" w:ascii="Arial" w:hAnsi="Arial" w:cs="Arial"/>
                <w:spacing w:val="0"/>
                <w:sz w:val="22"/>
                <w:szCs w:val="22"/>
                <w:lang w:val="en-US" w:eastAsia="zh-CN"/>
              </w:rPr>
              <w:t>159</w:t>
            </w:r>
            <w:r>
              <w:rPr>
                <w:rFonts w:hint="eastAsia" w:ascii="Arial" w:hAnsi="Arial" w:cs="Arial"/>
                <w:spacing w:val="0"/>
                <w:sz w:val="22"/>
                <w:szCs w:val="22"/>
              </w:rPr>
              <w:t>m</w:t>
            </w:r>
          </w:p>
          <w:p w14:paraId="269033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eastAsia="zh-CN"/>
              </w:rPr>
              <w:t>鸦雀湾支管</w:t>
            </w:r>
            <w:r>
              <w:rPr>
                <w:rFonts w:hint="eastAsia" w:ascii="Arial" w:hAnsi="Arial" w:cs="Arial"/>
                <w:spacing w:val="0"/>
                <w:sz w:val="22"/>
                <w:szCs w:val="22"/>
                <w:lang w:val="en-US" w:eastAsia="zh-CN"/>
              </w:rPr>
              <w:t>YZ0+054~YZ0+610右侧，</w:t>
            </w:r>
            <w:r>
              <w:rPr>
                <w:rFonts w:hint="eastAsia" w:ascii="Arial" w:hAnsi="Arial" w:cs="Arial"/>
                <w:spacing w:val="0"/>
                <w:sz w:val="22"/>
                <w:szCs w:val="22"/>
              </w:rPr>
              <w:t>最近距离</w:t>
            </w:r>
            <w:r>
              <w:rPr>
                <w:rFonts w:hint="eastAsia" w:ascii="Arial" w:hAnsi="Arial" w:cs="Arial"/>
                <w:spacing w:val="0"/>
                <w:sz w:val="22"/>
                <w:szCs w:val="22"/>
                <w:lang w:val="en-US" w:eastAsia="zh-CN"/>
              </w:rPr>
              <w:t>18</w:t>
            </w:r>
            <w:r>
              <w:rPr>
                <w:rFonts w:hint="eastAsia" w:ascii="Arial" w:hAnsi="Arial" w:cs="Arial"/>
                <w:spacing w:val="0"/>
                <w:sz w:val="22"/>
                <w:szCs w:val="22"/>
              </w:rPr>
              <w:t>m</w:t>
            </w:r>
          </w:p>
        </w:tc>
        <w:tc>
          <w:tcPr>
            <w:tcW w:w="3681" w:type="dxa"/>
            <w:gridSpan w:val="2"/>
            <w:noWrap w:val="0"/>
            <w:vAlign w:val="center"/>
          </w:tcPr>
          <w:p w14:paraId="4A11AE7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11</w:t>
            </w:r>
            <w:r>
              <w:rPr>
                <w:rFonts w:hint="eastAsia" w:ascii="Arial" w:hAnsi="Arial" w:cs="Arial"/>
                <w:spacing w:val="0"/>
                <w:sz w:val="22"/>
                <w:szCs w:val="22"/>
              </w:rPr>
              <w:t>户约</w:t>
            </w:r>
            <w:r>
              <w:rPr>
                <w:rFonts w:hint="eastAsia" w:ascii="Arial" w:hAnsi="Arial" w:cs="Arial"/>
                <w:spacing w:val="0"/>
                <w:sz w:val="22"/>
                <w:szCs w:val="22"/>
                <w:lang w:val="en-US" w:eastAsia="zh-CN"/>
              </w:rPr>
              <w:t>36</w:t>
            </w:r>
            <w:r>
              <w:rPr>
                <w:rFonts w:hint="eastAsia" w:ascii="Arial" w:hAnsi="Arial" w:cs="Arial"/>
                <w:spacing w:val="0"/>
                <w:sz w:val="22"/>
                <w:szCs w:val="22"/>
              </w:rPr>
              <w:t>人</w:t>
            </w:r>
          </w:p>
        </w:tc>
        <w:tc>
          <w:tcPr>
            <w:tcW w:w="2591" w:type="dxa"/>
            <w:gridSpan w:val="2"/>
            <w:vMerge w:val="continue"/>
            <w:noWrap w:val="0"/>
            <w:vAlign w:val="center"/>
          </w:tcPr>
          <w:p w14:paraId="0420E10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D8311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006CC7B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58F6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3A5F5FB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DD6EA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40D494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14</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4AFEF9D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鸦雀湾支管</w:t>
            </w:r>
            <w:r>
              <w:rPr>
                <w:rFonts w:hint="eastAsia" w:ascii="Arial" w:hAnsi="Arial" w:cs="Arial"/>
                <w:spacing w:val="0"/>
                <w:sz w:val="22"/>
                <w:szCs w:val="22"/>
                <w:lang w:val="en-US" w:eastAsia="zh-CN"/>
              </w:rPr>
              <w:t>YZ0+365~YZ0+610左侧，</w:t>
            </w:r>
            <w:r>
              <w:rPr>
                <w:rFonts w:hint="eastAsia" w:ascii="Arial" w:hAnsi="Arial" w:cs="Arial"/>
                <w:spacing w:val="0"/>
                <w:sz w:val="22"/>
                <w:szCs w:val="22"/>
              </w:rPr>
              <w:t>最近距离</w:t>
            </w:r>
            <w:r>
              <w:rPr>
                <w:rFonts w:hint="eastAsia" w:ascii="Arial" w:hAnsi="Arial" w:cs="Arial"/>
                <w:spacing w:val="0"/>
                <w:sz w:val="22"/>
                <w:szCs w:val="22"/>
                <w:lang w:val="en-US" w:eastAsia="zh-CN"/>
              </w:rPr>
              <w:t>3</w:t>
            </w:r>
            <w:r>
              <w:rPr>
                <w:rFonts w:hint="eastAsia" w:ascii="Arial" w:hAnsi="Arial" w:cs="Arial"/>
                <w:spacing w:val="0"/>
                <w:sz w:val="22"/>
                <w:szCs w:val="22"/>
              </w:rPr>
              <w:t>m</w:t>
            </w:r>
          </w:p>
        </w:tc>
        <w:tc>
          <w:tcPr>
            <w:tcW w:w="3681" w:type="dxa"/>
            <w:gridSpan w:val="2"/>
            <w:noWrap w:val="0"/>
            <w:vAlign w:val="center"/>
          </w:tcPr>
          <w:p w14:paraId="13EC1C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9</w:t>
            </w:r>
            <w:r>
              <w:rPr>
                <w:rFonts w:hint="eastAsia" w:ascii="Arial" w:hAnsi="Arial" w:cs="Arial"/>
                <w:spacing w:val="0"/>
                <w:sz w:val="22"/>
                <w:szCs w:val="22"/>
              </w:rPr>
              <w:t>户约</w:t>
            </w:r>
            <w:r>
              <w:rPr>
                <w:rFonts w:hint="eastAsia" w:ascii="Arial" w:hAnsi="Arial" w:cs="Arial"/>
                <w:spacing w:val="0"/>
                <w:sz w:val="22"/>
                <w:szCs w:val="22"/>
                <w:lang w:val="en-US" w:eastAsia="zh-CN"/>
              </w:rPr>
              <w:t>29</w:t>
            </w:r>
            <w:r>
              <w:rPr>
                <w:rFonts w:hint="eastAsia" w:ascii="Arial" w:hAnsi="Arial" w:cs="Arial"/>
                <w:spacing w:val="0"/>
                <w:sz w:val="22"/>
                <w:szCs w:val="22"/>
              </w:rPr>
              <w:t>人</w:t>
            </w:r>
          </w:p>
        </w:tc>
        <w:tc>
          <w:tcPr>
            <w:tcW w:w="2591" w:type="dxa"/>
            <w:gridSpan w:val="2"/>
            <w:vMerge w:val="continue"/>
            <w:noWrap w:val="0"/>
            <w:vAlign w:val="center"/>
          </w:tcPr>
          <w:p w14:paraId="55A984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FA2F2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0042B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72551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1C35F3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2892E3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1898B2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15#散居村民</w:t>
            </w:r>
          </w:p>
        </w:tc>
        <w:tc>
          <w:tcPr>
            <w:tcW w:w="5591" w:type="dxa"/>
            <w:noWrap w:val="0"/>
            <w:vAlign w:val="center"/>
          </w:tcPr>
          <w:p w14:paraId="1818FB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066</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420左侧</w:t>
            </w:r>
            <w:r>
              <w:rPr>
                <w:rFonts w:hint="eastAsia" w:ascii="Arial" w:hAnsi="Arial" w:cs="Arial"/>
                <w:spacing w:val="0"/>
                <w:sz w:val="22"/>
                <w:szCs w:val="22"/>
                <w:lang w:eastAsia="zh-CN"/>
              </w:rPr>
              <w:t>，</w:t>
            </w:r>
            <w:r>
              <w:rPr>
                <w:rFonts w:hint="eastAsia" w:ascii="Arial" w:hAnsi="Arial" w:cs="Arial"/>
                <w:spacing w:val="0"/>
                <w:sz w:val="22"/>
                <w:szCs w:val="22"/>
              </w:rPr>
              <w:t>最近距离</w:t>
            </w:r>
            <w:r>
              <w:rPr>
                <w:rFonts w:hint="eastAsia" w:ascii="Arial" w:hAnsi="Arial" w:cs="Arial"/>
                <w:spacing w:val="0"/>
                <w:sz w:val="22"/>
                <w:szCs w:val="22"/>
                <w:lang w:val="en-US" w:eastAsia="zh-CN"/>
              </w:rPr>
              <w:t>12</w:t>
            </w:r>
            <w:r>
              <w:rPr>
                <w:rFonts w:hint="eastAsia" w:ascii="Arial" w:hAnsi="Arial" w:cs="Arial"/>
                <w:spacing w:val="0"/>
                <w:sz w:val="22"/>
                <w:szCs w:val="22"/>
              </w:rPr>
              <w:t>m</w:t>
            </w:r>
          </w:p>
        </w:tc>
        <w:tc>
          <w:tcPr>
            <w:tcW w:w="3681" w:type="dxa"/>
            <w:gridSpan w:val="2"/>
            <w:noWrap w:val="0"/>
            <w:vAlign w:val="center"/>
          </w:tcPr>
          <w:p w14:paraId="29786B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8</w:t>
            </w:r>
            <w:r>
              <w:rPr>
                <w:rFonts w:hint="eastAsia" w:ascii="Arial" w:hAnsi="Arial" w:cs="Arial"/>
                <w:spacing w:val="0"/>
                <w:sz w:val="22"/>
                <w:szCs w:val="22"/>
              </w:rPr>
              <w:t>户约</w:t>
            </w:r>
            <w:r>
              <w:rPr>
                <w:rFonts w:hint="eastAsia" w:ascii="Arial" w:hAnsi="Arial" w:cs="Arial"/>
                <w:spacing w:val="0"/>
                <w:sz w:val="22"/>
                <w:szCs w:val="22"/>
                <w:lang w:val="en-US" w:eastAsia="zh-CN"/>
              </w:rPr>
              <w:t>26</w:t>
            </w:r>
            <w:r>
              <w:rPr>
                <w:rFonts w:hint="eastAsia" w:ascii="Arial" w:hAnsi="Arial" w:cs="Arial"/>
                <w:spacing w:val="0"/>
                <w:sz w:val="22"/>
                <w:szCs w:val="22"/>
              </w:rPr>
              <w:t>人</w:t>
            </w:r>
          </w:p>
        </w:tc>
        <w:tc>
          <w:tcPr>
            <w:tcW w:w="2591" w:type="dxa"/>
            <w:gridSpan w:val="2"/>
            <w:vMerge w:val="continue"/>
            <w:noWrap w:val="0"/>
            <w:vAlign w:val="center"/>
          </w:tcPr>
          <w:p w14:paraId="7A81F9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6302DD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1C8E3D0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E56F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77F291C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13959A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11F71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w:t>
            </w:r>
            <w:r>
              <w:rPr>
                <w:rFonts w:hint="eastAsia" w:ascii="Arial" w:hAnsi="Arial" w:cs="Arial"/>
                <w:spacing w:val="0"/>
                <w:sz w:val="22"/>
                <w:szCs w:val="22"/>
              </w:rPr>
              <w:t>6#</w:t>
            </w:r>
            <w:r>
              <w:rPr>
                <w:rFonts w:hint="eastAsia" w:ascii="Arial" w:hAnsi="Arial" w:cs="Arial"/>
                <w:spacing w:val="0"/>
                <w:sz w:val="22"/>
                <w:szCs w:val="22"/>
                <w:lang w:eastAsia="zh-CN"/>
              </w:rPr>
              <w:t>双龙镇居民</w:t>
            </w:r>
          </w:p>
        </w:tc>
        <w:tc>
          <w:tcPr>
            <w:tcW w:w="5591" w:type="dxa"/>
            <w:noWrap w:val="0"/>
            <w:vAlign w:val="center"/>
          </w:tcPr>
          <w:p w14:paraId="79101D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978</w:t>
            </w:r>
            <w:r>
              <w:rPr>
                <w:rFonts w:hint="eastAsia" w:ascii="Arial" w:hAnsi="Arial" w:cs="Arial"/>
                <w:spacing w:val="0"/>
                <w:sz w:val="22"/>
                <w:szCs w:val="22"/>
              </w:rPr>
              <w:t>~K</w:t>
            </w:r>
            <w:r>
              <w:rPr>
                <w:rFonts w:hint="eastAsia" w:ascii="Arial" w:hAnsi="Arial" w:cs="Arial"/>
                <w:spacing w:val="0"/>
                <w:sz w:val="22"/>
                <w:szCs w:val="22"/>
                <w:lang w:val="en-US" w:eastAsia="zh-CN"/>
              </w:rPr>
              <w:t>5</w:t>
            </w:r>
            <w:r>
              <w:rPr>
                <w:rFonts w:hint="eastAsia" w:ascii="Arial" w:hAnsi="Arial" w:cs="Arial"/>
                <w:spacing w:val="0"/>
                <w:sz w:val="22"/>
                <w:szCs w:val="22"/>
              </w:rPr>
              <w:t>+</w:t>
            </w:r>
            <w:r>
              <w:rPr>
                <w:rFonts w:hint="eastAsia" w:ascii="Arial" w:hAnsi="Arial" w:cs="Arial"/>
                <w:spacing w:val="0"/>
                <w:sz w:val="22"/>
                <w:szCs w:val="22"/>
                <w:lang w:val="en-US" w:eastAsia="zh-CN"/>
              </w:rPr>
              <w:t>270右侧</w:t>
            </w:r>
            <w:r>
              <w:rPr>
                <w:rFonts w:hint="eastAsia" w:ascii="Arial" w:hAnsi="Arial" w:cs="Arial"/>
                <w:spacing w:val="0"/>
                <w:sz w:val="22"/>
                <w:szCs w:val="22"/>
                <w:lang w:eastAsia="zh-CN"/>
              </w:rPr>
              <w:t>，</w:t>
            </w:r>
            <w:r>
              <w:rPr>
                <w:rFonts w:hint="eastAsia" w:ascii="Arial" w:hAnsi="Arial" w:cs="Arial"/>
                <w:spacing w:val="0"/>
                <w:sz w:val="22"/>
                <w:szCs w:val="22"/>
              </w:rPr>
              <w:t>最近距离</w:t>
            </w:r>
            <w:r>
              <w:rPr>
                <w:rFonts w:hint="eastAsia" w:ascii="Arial" w:hAnsi="Arial" w:cs="Arial"/>
                <w:spacing w:val="0"/>
                <w:sz w:val="22"/>
                <w:szCs w:val="22"/>
                <w:lang w:val="en-US" w:eastAsia="zh-CN"/>
              </w:rPr>
              <w:t>55</w:t>
            </w:r>
            <w:r>
              <w:rPr>
                <w:rFonts w:hint="eastAsia" w:ascii="Arial" w:hAnsi="Arial" w:cs="Arial"/>
                <w:spacing w:val="0"/>
                <w:sz w:val="22"/>
                <w:szCs w:val="22"/>
              </w:rPr>
              <w:t>m</w:t>
            </w:r>
          </w:p>
        </w:tc>
        <w:tc>
          <w:tcPr>
            <w:tcW w:w="3681" w:type="dxa"/>
            <w:gridSpan w:val="2"/>
            <w:noWrap w:val="0"/>
            <w:vAlign w:val="center"/>
          </w:tcPr>
          <w:p w14:paraId="59A227B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56</w:t>
            </w:r>
            <w:r>
              <w:rPr>
                <w:rFonts w:hint="eastAsia" w:ascii="Arial" w:hAnsi="Arial" w:cs="Arial"/>
                <w:spacing w:val="0"/>
                <w:sz w:val="22"/>
                <w:szCs w:val="22"/>
              </w:rPr>
              <w:t>户约</w:t>
            </w:r>
            <w:r>
              <w:rPr>
                <w:rFonts w:hint="eastAsia" w:ascii="Arial" w:hAnsi="Arial" w:cs="Arial"/>
                <w:spacing w:val="0"/>
                <w:sz w:val="22"/>
                <w:szCs w:val="22"/>
                <w:lang w:val="en-US" w:eastAsia="zh-CN"/>
              </w:rPr>
              <w:t>180</w:t>
            </w:r>
            <w:r>
              <w:rPr>
                <w:rFonts w:hint="eastAsia" w:ascii="Arial" w:hAnsi="Arial" w:cs="Arial"/>
                <w:spacing w:val="0"/>
                <w:sz w:val="22"/>
                <w:szCs w:val="22"/>
              </w:rPr>
              <w:t>人</w:t>
            </w:r>
          </w:p>
        </w:tc>
        <w:tc>
          <w:tcPr>
            <w:tcW w:w="2591" w:type="dxa"/>
            <w:gridSpan w:val="2"/>
            <w:vMerge w:val="continue"/>
            <w:noWrap w:val="0"/>
            <w:vAlign w:val="center"/>
          </w:tcPr>
          <w:p w14:paraId="757897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3EB3468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3996E3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F5BA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464985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637880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37824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w:t>
            </w:r>
            <w:r>
              <w:rPr>
                <w:rFonts w:hint="eastAsia" w:ascii="Arial" w:hAnsi="Arial" w:cs="Arial"/>
                <w:spacing w:val="0"/>
                <w:sz w:val="22"/>
                <w:szCs w:val="22"/>
              </w:rPr>
              <w:t>7#散居</w:t>
            </w:r>
            <w:r>
              <w:rPr>
                <w:rFonts w:hint="eastAsia" w:ascii="Arial" w:hAnsi="Arial" w:cs="Arial"/>
                <w:spacing w:val="0"/>
                <w:sz w:val="22"/>
                <w:szCs w:val="22"/>
                <w:lang w:eastAsia="zh-CN"/>
              </w:rPr>
              <w:t>村民</w:t>
            </w:r>
          </w:p>
        </w:tc>
        <w:tc>
          <w:tcPr>
            <w:tcW w:w="5591" w:type="dxa"/>
            <w:noWrap w:val="0"/>
            <w:vAlign w:val="center"/>
          </w:tcPr>
          <w:p w14:paraId="6E1979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樊家湾支管</w:t>
            </w:r>
            <w:r>
              <w:rPr>
                <w:rFonts w:hint="eastAsia" w:ascii="Arial" w:hAnsi="Arial" w:cs="Arial"/>
                <w:spacing w:val="0"/>
                <w:sz w:val="22"/>
                <w:szCs w:val="22"/>
                <w:lang w:val="en-US" w:eastAsia="zh-CN"/>
              </w:rPr>
              <w:t>FZ0+282~FZ0+710右侧，</w:t>
            </w:r>
            <w:r>
              <w:rPr>
                <w:rFonts w:hint="eastAsia" w:ascii="Arial" w:hAnsi="Arial" w:cs="Arial"/>
                <w:spacing w:val="0"/>
                <w:sz w:val="22"/>
                <w:szCs w:val="22"/>
              </w:rPr>
              <w:t>最近距离</w:t>
            </w:r>
            <w:r>
              <w:rPr>
                <w:rFonts w:hint="eastAsia" w:ascii="Arial" w:hAnsi="Arial" w:cs="Arial"/>
                <w:spacing w:val="0"/>
                <w:sz w:val="22"/>
                <w:szCs w:val="22"/>
                <w:lang w:val="en-US" w:eastAsia="zh-CN"/>
              </w:rPr>
              <w:t>55</w:t>
            </w:r>
            <w:r>
              <w:rPr>
                <w:rFonts w:hint="eastAsia" w:ascii="Arial" w:hAnsi="Arial" w:cs="Arial"/>
                <w:spacing w:val="0"/>
                <w:sz w:val="22"/>
                <w:szCs w:val="22"/>
              </w:rPr>
              <w:t>m</w:t>
            </w:r>
          </w:p>
          <w:p w14:paraId="4B2074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cs="Arial"/>
                <w:spacing w:val="0"/>
                <w:sz w:val="22"/>
                <w:szCs w:val="22"/>
                <w:lang w:val="en-US" w:eastAsia="zh-CN"/>
              </w:rPr>
            </w:pPr>
            <w:r>
              <w:rPr>
                <w:sz w:val="22"/>
                <w:szCs w:val="22"/>
              </w:rPr>
              <w:t>三角冲支管</w:t>
            </w:r>
            <w:r>
              <w:rPr>
                <w:rFonts w:hint="eastAsia" w:ascii="Arial" w:hAnsi="Arial" w:cs="Arial"/>
                <w:spacing w:val="0"/>
                <w:sz w:val="22"/>
                <w:szCs w:val="22"/>
                <w:lang w:val="en-US" w:eastAsia="zh-CN"/>
              </w:rPr>
              <w:t>SZ0+000~SZ0+310右侧，</w:t>
            </w:r>
            <w:r>
              <w:rPr>
                <w:rFonts w:hint="eastAsia" w:ascii="Arial" w:hAnsi="Arial" w:cs="Arial"/>
                <w:spacing w:val="0"/>
                <w:sz w:val="22"/>
                <w:szCs w:val="22"/>
              </w:rPr>
              <w:t>最近距离</w:t>
            </w:r>
            <w:r>
              <w:rPr>
                <w:rFonts w:hint="eastAsia" w:ascii="Arial" w:hAnsi="Arial" w:cs="Arial"/>
                <w:spacing w:val="0"/>
                <w:sz w:val="22"/>
                <w:szCs w:val="22"/>
                <w:lang w:val="en-US" w:eastAsia="zh-CN"/>
              </w:rPr>
              <w:t>49</w:t>
            </w:r>
            <w:r>
              <w:rPr>
                <w:rFonts w:hint="eastAsia" w:ascii="Arial" w:hAnsi="Arial" w:cs="Arial"/>
                <w:spacing w:val="0"/>
                <w:sz w:val="22"/>
                <w:szCs w:val="22"/>
              </w:rPr>
              <w:t>m</w:t>
            </w:r>
          </w:p>
        </w:tc>
        <w:tc>
          <w:tcPr>
            <w:tcW w:w="3681" w:type="dxa"/>
            <w:gridSpan w:val="2"/>
            <w:noWrap w:val="0"/>
            <w:vAlign w:val="center"/>
          </w:tcPr>
          <w:p w14:paraId="19B4EB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19</w:t>
            </w:r>
            <w:r>
              <w:rPr>
                <w:rFonts w:hint="eastAsia" w:ascii="Arial" w:hAnsi="Arial" w:cs="Arial"/>
                <w:spacing w:val="0"/>
                <w:sz w:val="22"/>
                <w:szCs w:val="22"/>
              </w:rPr>
              <w:t>户约</w:t>
            </w:r>
            <w:r>
              <w:rPr>
                <w:rFonts w:hint="eastAsia" w:ascii="Arial" w:hAnsi="Arial" w:cs="Arial"/>
                <w:spacing w:val="0"/>
                <w:sz w:val="22"/>
                <w:szCs w:val="22"/>
                <w:lang w:val="en-US" w:eastAsia="zh-CN"/>
              </w:rPr>
              <w:t>61</w:t>
            </w:r>
            <w:r>
              <w:rPr>
                <w:rFonts w:hint="eastAsia" w:ascii="Arial" w:hAnsi="Arial" w:cs="Arial"/>
                <w:spacing w:val="0"/>
                <w:sz w:val="22"/>
                <w:szCs w:val="22"/>
              </w:rPr>
              <w:t>人</w:t>
            </w:r>
          </w:p>
        </w:tc>
        <w:tc>
          <w:tcPr>
            <w:tcW w:w="2591" w:type="dxa"/>
            <w:gridSpan w:val="2"/>
            <w:vMerge w:val="continue"/>
            <w:noWrap w:val="0"/>
            <w:vAlign w:val="center"/>
          </w:tcPr>
          <w:p w14:paraId="659016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630172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0613397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06967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5ABE9E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1CBDDA7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6B53A6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w:t>
            </w:r>
            <w:r>
              <w:rPr>
                <w:rFonts w:hint="eastAsia" w:ascii="Arial" w:hAnsi="Arial" w:cs="Arial"/>
                <w:spacing w:val="0"/>
                <w:sz w:val="22"/>
                <w:szCs w:val="22"/>
              </w:rPr>
              <w:t>8#散居</w:t>
            </w:r>
            <w:r>
              <w:rPr>
                <w:rFonts w:hint="eastAsia" w:ascii="Arial" w:hAnsi="Arial" w:cs="Arial"/>
                <w:spacing w:val="0"/>
                <w:sz w:val="22"/>
                <w:szCs w:val="22"/>
                <w:lang w:eastAsia="zh-CN"/>
              </w:rPr>
              <w:t>村民</w:t>
            </w:r>
          </w:p>
        </w:tc>
        <w:tc>
          <w:tcPr>
            <w:tcW w:w="5591" w:type="dxa"/>
            <w:noWrap w:val="0"/>
            <w:vAlign w:val="center"/>
          </w:tcPr>
          <w:p w14:paraId="5E4465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FZ0+030~FZ0+355右侧，最近距离13m</w:t>
            </w:r>
          </w:p>
        </w:tc>
        <w:tc>
          <w:tcPr>
            <w:tcW w:w="3681" w:type="dxa"/>
            <w:gridSpan w:val="2"/>
            <w:noWrap w:val="0"/>
            <w:vAlign w:val="center"/>
          </w:tcPr>
          <w:p w14:paraId="7D9CED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11</w:t>
            </w:r>
            <w:r>
              <w:rPr>
                <w:rFonts w:hint="eastAsia" w:ascii="Arial" w:hAnsi="Arial" w:cs="Arial"/>
                <w:spacing w:val="0"/>
                <w:sz w:val="22"/>
                <w:szCs w:val="22"/>
              </w:rPr>
              <w:t>户约</w:t>
            </w:r>
            <w:r>
              <w:rPr>
                <w:rFonts w:hint="eastAsia" w:ascii="Arial" w:hAnsi="Arial" w:cs="Arial"/>
                <w:spacing w:val="0"/>
                <w:sz w:val="22"/>
                <w:szCs w:val="22"/>
                <w:lang w:val="en-US" w:eastAsia="zh-CN"/>
              </w:rPr>
              <w:t>36</w:t>
            </w:r>
            <w:r>
              <w:rPr>
                <w:rFonts w:hint="eastAsia" w:ascii="Arial" w:hAnsi="Arial" w:cs="Arial"/>
                <w:spacing w:val="0"/>
                <w:sz w:val="22"/>
                <w:szCs w:val="22"/>
              </w:rPr>
              <w:t>人</w:t>
            </w:r>
          </w:p>
        </w:tc>
        <w:tc>
          <w:tcPr>
            <w:tcW w:w="2591" w:type="dxa"/>
            <w:gridSpan w:val="2"/>
            <w:vMerge w:val="continue"/>
            <w:noWrap w:val="0"/>
            <w:vAlign w:val="center"/>
          </w:tcPr>
          <w:p w14:paraId="6BD333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04AF9F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046356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2D018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75BC4D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559015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0D3DC9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w:t>
            </w:r>
            <w:r>
              <w:rPr>
                <w:rFonts w:hint="eastAsia" w:ascii="Arial" w:hAnsi="Arial" w:cs="Arial"/>
                <w:spacing w:val="0"/>
                <w:sz w:val="22"/>
                <w:szCs w:val="22"/>
              </w:rPr>
              <w:t>9#散居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292CD11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FZ0+355~FZ0+921左侧，最近距离17m</w:t>
            </w:r>
          </w:p>
        </w:tc>
        <w:tc>
          <w:tcPr>
            <w:tcW w:w="3681" w:type="dxa"/>
            <w:gridSpan w:val="2"/>
            <w:noWrap w:val="0"/>
            <w:vAlign w:val="center"/>
          </w:tcPr>
          <w:p w14:paraId="79A496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14</w:t>
            </w:r>
            <w:r>
              <w:rPr>
                <w:rFonts w:hint="eastAsia" w:ascii="Arial" w:hAnsi="Arial" w:cs="Arial"/>
                <w:spacing w:val="0"/>
                <w:sz w:val="22"/>
                <w:szCs w:val="22"/>
              </w:rPr>
              <w:t>户约</w:t>
            </w:r>
            <w:r>
              <w:rPr>
                <w:rFonts w:hint="eastAsia" w:ascii="Arial" w:hAnsi="Arial" w:cs="Arial"/>
                <w:spacing w:val="0"/>
                <w:sz w:val="22"/>
                <w:szCs w:val="22"/>
                <w:lang w:val="en-US" w:eastAsia="zh-CN"/>
              </w:rPr>
              <w:t>45</w:t>
            </w:r>
            <w:r>
              <w:rPr>
                <w:rFonts w:hint="eastAsia" w:ascii="Arial" w:hAnsi="Arial" w:cs="Arial"/>
                <w:spacing w:val="0"/>
                <w:sz w:val="22"/>
                <w:szCs w:val="22"/>
              </w:rPr>
              <w:t>人</w:t>
            </w:r>
          </w:p>
        </w:tc>
        <w:tc>
          <w:tcPr>
            <w:tcW w:w="2591" w:type="dxa"/>
            <w:gridSpan w:val="2"/>
            <w:vMerge w:val="continue"/>
            <w:noWrap w:val="0"/>
            <w:vAlign w:val="center"/>
          </w:tcPr>
          <w:p w14:paraId="05DE99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7D990E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7BDCF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774A5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230170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71E07F3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DD619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0#散居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25D3FF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FZ0+489~FZ0+810右侧，最近距离20m</w:t>
            </w:r>
          </w:p>
        </w:tc>
        <w:tc>
          <w:tcPr>
            <w:tcW w:w="3681" w:type="dxa"/>
            <w:gridSpan w:val="2"/>
            <w:noWrap w:val="0"/>
            <w:vAlign w:val="center"/>
          </w:tcPr>
          <w:p w14:paraId="2F1E11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4</w:t>
            </w:r>
            <w:r>
              <w:rPr>
                <w:rFonts w:hint="eastAsia" w:ascii="Arial" w:hAnsi="Arial" w:cs="Arial"/>
                <w:spacing w:val="0"/>
                <w:sz w:val="22"/>
                <w:szCs w:val="22"/>
              </w:rPr>
              <w:t>户约</w:t>
            </w:r>
            <w:r>
              <w:rPr>
                <w:rFonts w:hint="eastAsia" w:ascii="Arial" w:hAnsi="Arial" w:cs="Arial"/>
                <w:spacing w:val="0"/>
                <w:sz w:val="22"/>
                <w:szCs w:val="22"/>
                <w:lang w:val="en-US" w:eastAsia="zh-CN"/>
              </w:rPr>
              <w:t>13</w:t>
            </w:r>
            <w:r>
              <w:rPr>
                <w:rFonts w:hint="eastAsia" w:ascii="Arial" w:hAnsi="Arial" w:cs="Arial"/>
                <w:spacing w:val="0"/>
                <w:sz w:val="22"/>
                <w:szCs w:val="22"/>
              </w:rPr>
              <w:t>人</w:t>
            </w:r>
          </w:p>
        </w:tc>
        <w:tc>
          <w:tcPr>
            <w:tcW w:w="2591" w:type="dxa"/>
            <w:gridSpan w:val="2"/>
            <w:vMerge w:val="continue"/>
            <w:noWrap w:val="0"/>
            <w:vAlign w:val="center"/>
          </w:tcPr>
          <w:p w14:paraId="189468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0A7BB2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53E056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4062E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1FFEF8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5CF842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054A56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1#散居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6F5C7E3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FZ0+810~FZ0+921右侧，最近距离16m</w:t>
            </w:r>
          </w:p>
        </w:tc>
        <w:tc>
          <w:tcPr>
            <w:tcW w:w="3681" w:type="dxa"/>
            <w:gridSpan w:val="2"/>
            <w:noWrap w:val="0"/>
            <w:vAlign w:val="center"/>
          </w:tcPr>
          <w:p w14:paraId="19CC42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22</w:t>
            </w:r>
            <w:r>
              <w:rPr>
                <w:rFonts w:hint="eastAsia" w:ascii="Arial" w:hAnsi="Arial" w:cs="Arial"/>
                <w:spacing w:val="0"/>
                <w:sz w:val="22"/>
                <w:szCs w:val="22"/>
              </w:rPr>
              <w:t>户约</w:t>
            </w:r>
            <w:r>
              <w:rPr>
                <w:rFonts w:hint="eastAsia" w:ascii="Arial" w:hAnsi="Arial" w:cs="Arial"/>
                <w:spacing w:val="0"/>
                <w:sz w:val="22"/>
                <w:szCs w:val="22"/>
                <w:lang w:val="en-US" w:eastAsia="zh-CN"/>
              </w:rPr>
              <w:t>71</w:t>
            </w:r>
            <w:r>
              <w:rPr>
                <w:rFonts w:hint="eastAsia" w:ascii="Arial" w:hAnsi="Arial" w:cs="Arial"/>
                <w:spacing w:val="0"/>
                <w:sz w:val="22"/>
                <w:szCs w:val="22"/>
              </w:rPr>
              <w:t>人</w:t>
            </w:r>
          </w:p>
        </w:tc>
        <w:tc>
          <w:tcPr>
            <w:tcW w:w="2591" w:type="dxa"/>
            <w:gridSpan w:val="2"/>
            <w:vMerge w:val="continue"/>
            <w:noWrap w:val="0"/>
            <w:vAlign w:val="center"/>
          </w:tcPr>
          <w:p w14:paraId="492C27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3619E6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419185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615A3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43" w:hRule="atLeast"/>
          <w:jc w:val="center"/>
        </w:trPr>
        <w:tc>
          <w:tcPr>
            <w:tcW w:w="1587" w:type="dxa"/>
            <w:vMerge w:val="continue"/>
            <w:noWrap w:val="0"/>
            <w:vAlign w:val="center"/>
          </w:tcPr>
          <w:p w14:paraId="3A66C5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7A7B8B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DCE67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2#散居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16EE3C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FZ0+960~FZ1+014左侧，最近距离32m</w:t>
            </w:r>
          </w:p>
        </w:tc>
        <w:tc>
          <w:tcPr>
            <w:tcW w:w="3681" w:type="dxa"/>
            <w:gridSpan w:val="2"/>
            <w:noWrap w:val="0"/>
            <w:vAlign w:val="center"/>
          </w:tcPr>
          <w:p w14:paraId="6E60DA6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9</w:t>
            </w:r>
            <w:r>
              <w:rPr>
                <w:rFonts w:hint="eastAsia" w:ascii="Arial" w:hAnsi="Arial" w:cs="Arial"/>
                <w:spacing w:val="0"/>
                <w:sz w:val="22"/>
                <w:szCs w:val="22"/>
              </w:rPr>
              <w:t>户约</w:t>
            </w:r>
            <w:r>
              <w:rPr>
                <w:rFonts w:hint="eastAsia" w:ascii="Arial" w:hAnsi="Arial" w:cs="Arial"/>
                <w:spacing w:val="0"/>
                <w:sz w:val="22"/>
                <w:szCs w:val="22"/>
                <w:lang w:val="en-US" w:eastAsia="zh-CN"/>
              </w:rPr>
              <w:t>29</w:t>
            </w:r>
            <w:r>
              <w:rPr>
                <w:rFonts w:hint="eastAsia" w:ascii="Arial" w:hAnsi="Arial" w:cs="Arial"/>
                <w:spacing w:val="0"/>
                <w:sz w:val="22"/>
                <w:szCs w:val="22"/>
              </w:rPr>
              <w:t>人</w:t>
            </w:r>
          </w:p>
        </w:tc>
        <w:tc>
          <w:tcPr>
            <w:tcW w:w="2591" w:type="dxa"/>
            <w:gridSpan w:val="2"/>
            <w:vMerge w:val="continue"/>
            <w:noWrap w:val="0"/>
            <w:vAlign w:val="center"/>
          </w:tcPr>
          <w:p w14:paraId="65DBE6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98224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58A5D2B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43B09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5B7982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4A05E8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07704A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3#散居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63E89C0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FZ1+061~FZ1+223右侧，最近距离32m</w:t>
            </w:r>
          </w:p>
        </w:tc>
        <w:tc>
          <w:tcPr>
            <w:tcW w:w="3681" w:type="dxa"/>
            <w:gridSpan w:val="2"/>
            <w:noWrap w:val="0"/>
            <w:vAlign w:val="center"/>
          </w:tcPr>
          <w:p w14:paraId="7F24F3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5</w:t>
            </w:r>
            <w:r>
              <w:rPr>
                <w:rFonts w:hint="eastAsia" w:ascii="Arial" w:hAnsi="Arial" w:cs="Arial"/>
                <w:spacing w:val="0"/>
                <w:sz w:val="22"/>
                <w:szCs w:val="22"/>
              </w:rPr>
              <w:t>户约</w:t>
            </w:r>
            <w:r>
              <w:rPr>
                <w:rFonts w:hint="eastAsia" w:ascii="Arial" w:hAnsi="Arial" w:cs="Arial"/>
                <w:spacing w:val="0"/>
                <w:sz w:val="22"/>
                <w:szCs w:val="22"/>
                <w:lang w:val="en-US" w:eastAsia="zh-CN"/>
              </w:rPr>
              <w:t>16</w:t>
            </w:r>
            <w:r>
              <w:rPr>
                <w:rFonts w:hint="eastAsia" w:ascii="Arial" w:hAnsi="Arial" w:cs="Arial"/>
                <w:spacing w:val="0"/>
                <w:sz w:val="22"/>
                <w:szCs w:val="22"/>
              </w:rPr>
              <w:t>人</w:t>
            </w:r>
          </w:p>
        </w:tc>
        <w:tc>
          <w:tcPr>
            <w:tcW w:w="2591" w:type="dxa"/>
            <w:gridSpan w:val="2"/>
            <w:vMerge w:val="continue"/>
            <w:noWrap w:val="0"/>
            <w:vAlign w:val="center"/>
          </w:tcPr>
          <w:p w14:paraId="0F9EEB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255D7C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30DC1B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CF26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6A79A0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693216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63DF40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4#</w:t>
            </w:r>
            <w:r>
              <w:rPr>
                <w:rFonts w:hint="eastAsia" w:ascii="Arial" w:hAnsi="Arial" w:cs="Arial"/>
                <w:spacing w:val="0"/>
                <w:sz w:val="22"/>
                <w:szCs w:val="22"/>
                <w:lang w:eastAsia="zh-CN"/>
              </w:rPr>
              <w:t>大河坝村</w:t>
            </w:r>
            <w:r>
              <w:rPr>
                <w:rFonts w:hint="eastAsia" w:ascii="Arial" w:hAnsi="Arial" w:cs="Arial"/>
                <w:spacing w:val="0"/>
                <w:sz w:val="22"/>
                <w:szCs w:val="22"/>
              </w:rPr>
              <w:t>民</w:t>
            </w:r>
          </w:p>
        </w:tc>
        <w:tc>
          <w:tcPr>
            <w:tcW w:w="5591" w:type="dxa"/>
            <w:noWrap w:val="0"/>
            <w:vAlign w:val="center"/>
          </w:tcPr>
          <w:p w14:paraId="3A0C63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FZ1+223~FZ1+275右侧，最近距离103m</w:t>
            </w:r>
          </w:p>
        </w:tc>
        <w:tc>
          <w:tcPr>
            <w:tcW w:w="3681" w:type="dxa"/>
            <w:gridSpan w:val="2"/>
            <w:noWrap w:val="0"/>
            <w:vAlign w:val="center"/>
          </w:tcPr>
          <w:p w14:paraId="5E1D6D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1</w:t>
            </w:r>
            <w:r>
              <w:rPr>
                <w:rFonts w:hint="eastAsia" w:ascii="Arial" w:hAnsi="Arial" w:cs="Arial"/>
                <w:spacing w:val="0"/>
                <w:sz w:val="22"/>
                <w:szCs w:val="22"/>
                <w:lang w:val="en-US" w:eastAsia="zh-CN"/>
              </w:rPr>
              <w:t>6</w:t>
            </w:r>
            <w:r>
              <w:rPr>
                <w:rFonts w:hint="eastAsia" w:ascii="Arial" w:hAnsi="Arial" w:cs="Arial"/>
                <w:spacing w:val="0"/>
                <w:sz w:val="22"/>
                <w:szCs w:val="22"/>
              </w:rPr>
              <w:t>户约</w:t>
            </w:r>
            <w:r>
              <w:rPr>
                <w:rFonts w:hint="eastAsia" w:ascii="Arial" w:hAnsi="Arial" w:cs="Arial"/>
                <w:spacing w:val="0"/>
                <w:sz w:val="22"/>
                <w:szCs w:val="22"/>
                <w:lang w:val="en-US" w:eastAsia="zh-CN"/>
              </w:rPr>
              <w:t>5</w:t>
            </w:r>
            <w:r>
              <w:rPr>
                <w:rFonts w:hint="eastAsia" w:ascii="Arial" w:hAnsi="Arial" w:cs="Arial"/>
                <w:spacing w:val="0"/>
                <w:sz w:val="22"/>
                <w:szCs w:val="22"/>
              </w:rPr>
              <w:t>2人</w:t>
            </w:r>
          </w:p>
        </w:tc>
        <w:tc>
          <w:tcPr>
            <w:tcW w:w="2591" w:type="dxa"/>
            <w:gridSpan w:val="2"/>
            <w:vMerge w:val="continue"/>
            <w:noWrap w:val="0"/>
            <w:vAlign w:val="center"/>
          </w:tcPr>
          <w:p w14:paraId="2BB2F8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2AC3D17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6527B1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4C489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45" w:hRule="atLeast"/>
          <w:jc w:val="center"/>
        </w:trPr>
        <w:tc>
          <w:tcPr>
            <w:tcW w:w="1587" w:type="dxa"/>
            <w:vMerge w:val="continue"/>
            <w:noWrap w:val="0"/>
            <w:vAlign w:val="center"/>
          </w:tcPr>
          <w:p w14:paraId="7D045AD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2F4A5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26CD6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5#散居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78FED0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FZ1+298~FZ1+695右侧，最近距离14m</w:t>
            </w:r>
          </w:p>
        </w:tc>
        <w:tc>
          <w:tcPr>
            <w:tcW w:w="3681" w:type="dxa"/>
            <w:gridSpan w:val="2"/>
            <w:noWrap w:val="0"/>
            <w:vAlign w:val="center"/>
          </w:tcPr>
          <w:p w14:paraId="552211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13</w:t>
            </w:r>
            <w:r>
              <w:rPr>
                <w:rFonts w:hint="eastAsia" w:ascii="Arial" w:hAnsi="Arial" w:cs="Arial"/>
                <w:spacing w:val="0"/>
                <w:sz w:val="22"/>
                <w:szCs w:val="22"/>
              </w:rPr>
              <w:t>户约</w:t>
            </w:r>
            <w:r>
              <w:rPr>
                <w:rFonts w:hint="eastAsia" w:ascii="Arial" w:hAnsi="Arial" w:cs="Arial"/>
                <w:spacing w:val="0"/>
                <w:sz w:val="22"/>
                <w:szCs w:val="22"/>
                <w:lang w:val="en-US" w:eastAsia="zh-CN"/>
              </w:rPr>
              <w:t>42</w:t>
            </w:r>
            <w:r>
              <w:rPr>
                <w:rFonts w:hint="eastAsia" w:ascii="Arial" w:hAnsi="Arial" w:cs="Arial"/>
                <w:spacing w:val="0"/>
                <w:sz w:val="22"/>
                <w:szCs w:val="22"/>
              </w:rPr>
              <w:t>人</w:t>
            </w:r>
          </w:p>
        </w:tc>
        <w:tc>
          <w:tcPr>
            <w:tcW w:w="2591" w:type="dxa"/>
            <w:gridSpan w:val="2"/>
            <w:vMerge w:val="continue"/>
            <w:noWrap w:val="0"/>
            <w:vAlign w:val="center"/>
          </w:tcPr>
          <w:p w14:paraId="5D1E632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027083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6910A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7E277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52" w:hRule="atLeast"/>
          <w:jc w:val="center"/>
        </w:trPr>
        <w:tc>
          <w:tcPr>
            <w:tcW w:w="1587" w:type="dxa"/>
            <w:vMerge w:val="continue"/>
            <w:noWrap w:val="0"/>
            <w:vAlign w:val="center"/>
          </w:tcPr>
          <w:p w14:paraId="383012C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BBCD7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ACA7F9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6#散居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1F3989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FZ1+417~FZ1+695左侧，最近距离14m</w:t>
            </w:r>
          </w:p>
        </w:tc>
        <w:tc>
          <w:tcPr>
            <w:tcW w:w="3681" w:type="dxa"/>
            <w:gridSpan w:val="2"/>
            <w:noWrap w:val="0"/>
            <w:vAlign w:val="center"/>
          </w:tcPr>
          <w:p w14:paraId="40F70EF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7</w:t>
            </w:r>
            <w:r>
              <w:rPr>
                <w:rFonts w:hint="eastAsia" w:ascii="Arial" w:hAnsi="Arial" w:cs="Arial"/>
                <w:spacing w:val="0"/>
                <w:sz w:val="22"/>
                <w:szCs w:val="22"/>
              </w:rPr>
              <w:t>户约</w:t>
            </w:r>
            <w:r>
              <w:rPr>
                <w:rFonts w:hint="eastAsia" w:ascii="Arial" w:hAnsi="Arial" w:cs="Arial"/>
                <w:spacing w:val="0"/>
                <w:sz w:val="22"/>
                <w:szCs w:val="22"/>
                <w:lang w:val="en-US" w:eastAsia="zh-CN"/>
              </w:rPr>
              <w:t>23</w:t>
            </w:r>
            <w:r>
              <w:rPr>
                <w:rFonts w:hint="eastAsia" w:ascii="Arial" w:hAnsi="Arial" w:cs="Arial"/>
                <w:spacing w:val="0"/>
                <w:sz w:val="22"/>
                <w:szCs w:val="22"/>
              </w:rPr>
              <w:t>人</w:t>
            </w:r>
          </w:p>
        </w:tc>
        <w:tc>
          <w:tcPr>
            <w:tcW w:w="2591" w:type="dxa"/>
            <w:gridSpan w:val="2"/>
            <w:vMerge w:val="continue"/>
            <w:noWrap w:val="0"/>
            <w:vAlign w:val="center"/>
          </w:tcPr>
          <w:p w14:paraId="7C5AD9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372A07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46F3E9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bl>
    <w:p w14:paraId="5CAD3091">
      <w:pPr>
        <w:spacing w:line="440" w:lineRule="exact"/>
        <w:ind w:firstLine="500"/>
        <w:rPr>
          <w:rFonts w:hint="eastAsia"/>
          <w:sz w:val="26"/>
          <w:szCs w:val="26"/>
        </w:rPr>
      </w:pPr>
    </w:p>
    <w:p w14:paraId="26C5BB81">
      <w:pPr>
        <w:pStyle w:val="7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eastAsia="宋体"/>
          <w:b/>
          <w:color w:val="FF0000"/>
          <w:sz w:val="22"/>
          <w:szCs w:val="22"/>
          <w:highlight w:val="none"/>
          <w:lang w:val="en-US" w:eastAsia="zh-CN"/>
        </w:rPr>
      </w:pPr>
    </w:p>
    <w:p w14:paraId="5D60A564">
      <w:pPr>
        <w:pStyle w:val="76"/>
        <w:rPr>
          <w:rFonts w:hint="eastAsia"/>
          <w:b/>
          <w:sz w:val="24"/>
          <w:szCs w:val="24"/>
          <w:highlight w:val="none"/>
        </w:rPr>
      </w:pPr>
    </w:p>
    <w:p w14:paraId="6447F012">
      <w:pPr>
        <w:pStyle w:val="76"/>
        <w:rPr>
          <w:rFonts w:hint="eastAsia"/>
          <w:b/>
          <w:sz w:val="24"/>
          <w:szCs w:val="24"/>
          <w:highlight w:val="none"/>
        </w:rPr>
      </w:pPr>
    </w:p>
    <w:p w14:paraId="6ECBC68C">
      <w:pPr>
        <w:snapToGrid w:val="0"/>
        <w:spacing w:line="348" w:lineRule="auto"/>
        <w:jc w:val="both"/>
        <w:rPr>
          <w:b/>
          <w:sz w:val="24"/>
          <w:szCs w:val="24"/>
        </w:rPr>
        <w:sectPr>
          <w:headerReference r:id="rId16" w:type="default"/>
          <w:pgSz w:w="23811" w:h="16838" w:orient="landscape"/>
          <w:pgMar w:top="1134" w:right="1701" w:bottom="1134" w:left="1701" w:header="720" w:footer="720" w:gutter="0"/>
          <w:pgBorders>
            <w:top w:val="none" w:sz="0" w:space="0"/>
            <w:left w:val="none" w:sz="0" w:space="0"/>
            <w:bottom w:val="none" w:sz="0" w:space="0"/>
            <w:right w:val="none" w:sz="0" w:space="0"/>
          </w:pgBorders>
          <w:pgNumType w:fmt="decimal"/>
          <w:cols w:space="720" w:num="1"/>
          <w:docGrid w:linePitch="286" w:charSpace="0"/>
        </w:sectPr>
      </w:pPr>
    </w:p>
    <w:p w14:paraId="203F4BCE">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63" w:name="_Toc34987800"/>
      <w:bookmarkStart w:id="64" w:name="_Toc36040999"/>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8</w:t>
      </w:r>
      <w:r>
        <w:rPr>
          <w:rFonts w:hint="eastAsia" w:ascii="Arial" w:hAnsi="Arial" w:eastAsia="宋体" w:cs="Arial"/>
          <w:b/>
          <w:color w:val="auto"/>
          <w:kern w:val="0"/>
          <w:sz w:val="26"/>
          <w:szCs w:val="20"/>
          <w:highlight w:val="none"/>
          <w:lang w:val="en-US" w:eastAsia="zh-CN"/>
        </w:rPr>
        <w:t>.2 地表水环境保护目标</w:t>
      </w:r>
      <w:bookmarkEnd w:id="63"/>
      <w:bookmarkEnd w:id="64"/>
    </w:p>
    <w:p w14:paraId="63ED2588">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fr-FR" w:eastAsia="zh-CN" w:bidi="ar-SA"/>
        </w:rPr>
        <w:t>根据《重庆市人民政府批转重庆市地表水环境功能类别调整方案的通知》（渝府发〔2012〕4号），本项目所在海螺沟无水域功能，下游汇入高洞桥河、双龙河也无水域功能；双龙河汇入渠溪河，渠溪河为</w:t>
      </w:r>
      <w:r>
        <w:rPr>
          <w:rFonts w:hint="eastAsia" w:ascii="Arial" w:hAnsi="Arial" w:eastAsia="宋体" w:cs="Arial"/>
          <w:kern w:val="0"/>
          <w:sz w:val="26"/>
          <w:szCs w:val="26"/>
          <w:lang w:val="en-US" w:eastAsia="zh-CN" w:bidi="ar-SA"/>
        </w:rPr>
        <w:t>Ⅲ类水体，故海螺沟参照渠溪河执行Ⅲ类水域功能。</w:t>
      </w:r>
    </w:p>
    <w:p w14:paraId="0592B56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kern w:val="0"/>
          <w:sz w:val="26"/>
          <w:szCs w:val="26"/>
          <w:lang w:val="fr-FR" w:eastAsia="zh-CN" w:bidi="ar-SA"/>
        </w:rPr>
        <w:t>根据丰都县人民政府网站公布的“丰都县集中式饮用水水源保护区”、重庆市人民政府办公厅关于调整万州区等31个区县（自治县）集中式饮用水源保护区的通知》（渝府办〔2013〕40号）、《关于调整万州区等36个区县（自治县）集中式饮用水水源保护区的通知》（渝府办</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2016</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19号）、《重庆市人民政府办公厅关于印发万州区等18个区县（开发区）集中式饮用水水源地保护区划分及调整方案的通知》（渝府办</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2017</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 xml:space="preserve"> 21号）、《重庆市人民政府办公厅关于印发万州区等区</w:t>
      </w:r>
      <w:r>
        <w:rPr>
          <w:rFonts w:hint="eastAsia" w:ascii="宋体" w:hAnsi="宋体" w:eastAsia="宋体" w:cs="宋体"/>
          <w:kern w:val="0"/>
          <w:sz w:val="26"/>
          <w:szCs w:val="26"/>
          <w:lang w:val="fr-FR" w:eastAsia="zh-CN" w:bidi="ar-SA"/>
        </w:rPr>
        <w:t>县(开发区)集中</w:t>
      </w:r>
      <w:r>
        <w:rPr>
          <w:rFonts w:hint="eastAsia" w:ascii="Arial" w:hAnsi="Arial" w:eastAsia="宋体" w:cs="Arial"/>
          <w:kern w:val="0"/>
          <w:sz w:val="26"/>
          <w:szCs w:val="26"/>
          <w:lang w:val="fr-FR" w:eastAsia="zh-CN" w:bidi="ar-SA"/>
        </w:rPr>
        <w:t>式饮用水源地保护区划分及调整方案的通知》</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渝府办〔2018</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7号</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，经叠图分析，海螺沟水库</w:t>
      </w:r>
      <w:r>
        <w:rPr>
          <w:rFonts w:hint="eastAsia" w:ascii="Arial" w:hAnsi="Arial" w:eastAsia="宋体" w:cs="Arial"/>
          <w:color w:val="auto"/>
          <w:kern w:val="0"/>
          <w:sz w:val="26"/>
          <w:szCs w:val="26"/>
          <w:highlight w:val="none"/>
          <w:lang w:val="en-US" w:eastAsia="zh-CN"/>
        </w:rPr>
        <w:t>枢纽工程、输水工程和附属设施工程均不涉及饮用水水域保护区，地表水评价河段内不涉及水源保护区、饮用水取水口。</w:t>
      </w:r>
    </w:p>
    <w:p w14:paraId="409716CB">
      <w:pPr>
        <w:pStyle w:val="2013"/>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cs="Arial"/>
          <w:b w:val="0"/>
          <w:color w:val="auto"/>
          <w:sz w:val="26"/>
          <w:szCs w:val="26"/>
          <w:lang w:val="en-US" w:eastAsia="zh-CN"/>
        </w:rPr>
        <w:sectPr>
          <w:headerReference r:id="rId17" w:type="default"/>
          <w:footerReference r:id="rId18" w:type="default"/>
          <w:pgSz w:w="11906" w:h="16838"/>
          <w:pgMar w:top="1701" w:right="1800" w:bottom="1701" w:left="1800" w:header="1077" w:footer="1077" w:gutter="0"/>
          <w:pgBorders>
            <w:top w:val="none" w:sz="0" w:space="0"/>
            <w:left w:val="none" w:sz="0" w:space="0"/>
            <w:bottom w:val="none" w:sz="0" w:space="0"/>
            <w:right w:val="none" w:sz="0" w:space="0"/>
          </w:pgBorders>
          <w:pgNumType w:fmt="decimal"/>
          <w:cols w:space="425" w:num="1"/>
          <w:docGrid w:linePitch="312" w:charSpace="0"/>
        </w:sectPr>
      </w:pPr>
      <w:r>
        <w:rPr>
          <w:rFonts w:hint="eastAsia" w:ascii="Arial" w:hAnsi="Arial" w:cs="Arial"/>
          <w:b w:val="0"/>
          <w:color w:val="auto"/>
          <w:sz w:val="26"/>
          <w:szCs w:val="26"/>
          <w:lang w:val="fr-FR" w:eastAsia="zh-CN"/>
        </w:rPr>
        <w:t>拟建项目沿线地表水环境保护目标分布详见表</w:t>
      </w:r>
      <w:r>
        <w:rPr>
          <w:rFonts w:hint="eastAsia" w:ascii="Arial" w:hAnsi="Arial" w:cs="Arial"/>
          <w:b w:val="0"/>
          <w:color w:val="auto"/>
          <w:sz w:val="26"/>
          <w:szCs w:val="26"/>
          <w:lang w:val="en-US" w:eastAsia="zh-CN"/>
        </w:rPr>
        <w:t>1.8-3所示。</w:t>
      </w:r>
    </w:p>
    <w:p w14:paraId="5409327E">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表1.8-3 拟建项目沿线地表水保护目标一览表</w:t>
      </w:r>
    </w:p>
    <w:tbl>
      <w:tblPr>
        <w:tblStyle w:val="1893"/>
        <w:tblW w:w="141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934"/>
        <w:gridCol w:w="3240"/>
        <w:gridCol w:w="3105"/>
        <w:gridCol w:w="1250"/>
        <w:gridCol w:w="4593"/>
      </w:tblGrid>
      <w:tr w14:paraId="68A83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1027" w:type="dxa"/>
            <w:tcBorders>
              <w:tl2br w:val="nil"/>
              <w:tr2bl w:val="nil"/>
            </w:tcBorders>
            <w:vAlign w:val="center"/>
          </w:tcPr>
          <w:p w14:paraId="051C53F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7"/>
                <w:sz w:val="22"/>
                <w:szCs w:val="22"/>
              </w:rPr>
              <w:t>类别</w:t>
            </w:r>
          </w:p>
        </w:tc>
        <w:tc>
          <w:tcPr>
            <w:tcW w:w="934" w:type="dxa"/>
            <w:tcBorders>
              <w:tl2br w:val="nil"/>
              <w:tr2bl w:val="nil"/>
            </w:tcBorders>
            <w:vAlign w:val="center"/>
          </w:tcPr>
          <w:p w14:paraId="0299A5A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名称</w:t>
            </w:r>
          </w:p>
        </w:tc>
        <w:tc>
          <w:tcPr>
            <w:tcW w:w="3240" w:type="dxa"/>
            <w:tcBorders>
              <w:tl2br w:val="nil"/>
              <w:tr2bl w:val="nil"/>
            </w:tcBorders>
            <w:vAlign w:val="center"/>
          </w:tcPr>
          <w:p w14:paraId="31BD29F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与拟建项目相互关系</w:t>
            </w:r>
          </w:p>
        </w:tc>
        <w:tc>
          <w:tcPr>
            <w:tcW w:w="3105" w:type="dxa"/>
            <w:tcBorders>
              <w:tl2br w:val="nil"/>
              <w:tr2bl w:val="nil"/>
            </w:tcBorders>
            <w:vAlign w:val="center"/>
          </w:tcPr>
          <w:p w14:paraId="53FAD3B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环境特征</w:t>
            </w:r>
          </w:p>
        </w:tc>
        <w:tc>
          <w:tcPr>
            <w:tcW w:w="1250" w:type="dxa"/>
            <w:tcBorders>
              <w:tl2br w:val="nil"/>
              <w:tr2bl w:val="nil"/>
            </w:tcBorders>
            <w:vAlign w:val="center"/>
          </w:tcPr>
          <w:p w14:paraId="2710763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影响时段</w:t>
            </w:r>
          </w:p>
        </w:tc>
        <w:tc>
          <w:tcPr>
            <w:tcW w:w="4593" w:type="dxa"/>
            <w:tcBorders>
              <w:tl2br w:val="nil"/>
              <w:tr2bl w:val="nil"/>
            </w:tcBorders>
            <w:vAlign w:val="center"/>
          </w:tcPr>
          <w:p w14:paraId="4B0792C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影响因素</w:t>
            </w:r>
          </w:p>
        </w:tc>
      </w:tr>
      <w:tr w14:paraId="4EDE3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027" w:type="dxa"/>
            <w:vMerge w:val="restart"/>
            <w:tcBorders>
              <w:tl2br w:val="nil"/>
              <w:tr2bl w:val="nil"/>
            </w:tcBorders>
            <w:vAlign w:val="center"/>
          </w:tcPr>
          <w:p w14:paraId="48F93EB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outlineLvl w:val="2"/>
              <w:rPr>
                <w:rFonts w:hint="default" w:ascii="Arial" w:hAnsi="Arial" w:cs="Arial"/>
                <w:spacing w:val="-3"/>
                <w:sz w:val="22"/>
                <w:szCs w:val="22"/>
              </w:rPr>
            </w:pPr>
            <w:bookmarkStart w:id="65" w:name="bookmark36"/>
            <w:bookmarkEnd w:id="65"/>
            <w:r>
              <w:rPr>
                <w:rFonts w:hint="default" w:ascii="Arial" w:hAnsi="Arial" w:cs="Arial"/>
                <w:spacing w:val="-3"/>
                <w:sz w:val="22"/>
                <w:szCs w:val="22"/>
              </w:rPr>
              <w:t>地表水</w:t>
            </w:r>
            <w:bookmarkStart w:id="66" w:name="bookmark36"/>
            <w:bookmarkEnd w:id="66"/>
          </w:p>
          <w:p w14:paraId="6CC22BD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outlineLvl w:val="2"/>
              <w:rPr>
                <w:rFonts w:hint="default" w:ascii="Arial" w:hAnsi="Arial" w:cs="Arial"/>
                <w:sz w:val="22"/>
                <w:szCs w:val="22"/>
              </w:rPr>
            </w:pPr>
            <w:r>
              <w:rPr>
                <w:rFonts w:hint="default" w:ascii="Arial" w:hAnsi="Arial" w:cs="Arial"/>
                <w:spacing w:val="-2"/>
                <w:sz w:val="22"/>
                <w:szCs w:val="22"/>
              </w:rPr>
              <w:t>环境</w:t>
            </w:r>
          </w:p>
        </w:tc>
        <w:tc>
          <w:tcPr>
            <w:tcW w:w="934" w:type="dxa"/>
            <w:vMerge w:val="restart"/>
            <w:tcBorders>
              <w:tl2br w:val="nil"/>
              <w:tr2bl w:val="nil"/>
            </w:tcBorders>
            <w:vAlign w:val="center"/>
          </w:tcPr>
          <w:p w14:paraId="6C21BCF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pacing w:val="-2"/>
                <w:sz w:val="22"/>
                <w:szCs w:val="22"/>
                <w:lang w:eastAsia="zh-CN"/>
              </w:rPr>
              <w:t>海螺沟</w:t>
            </w:r>
          </w:p>
        </w:tc>
        <w:tc>
          <w:tcPr>
            <w:tcW w:w="3240" w:type="dxa"/>
            <w:tcBorders>
              <w:tl2br w:val="nil"/>
              <w:tr2bl w:val="nil"/>
            </w:tcBorders>
            <w:vAlign w:val="center"/>
          </w:tcPr>
          <w:p w14:paraId="7D5DEFA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坝址上游约</w:t>
            </w:r>
            <w:r>
              <w:rPr>
                <w:rFonts w:hint="eastAsia" w:ascii="Arial" w:hAnsi="Arial" w:cs="Arial"/>
                <w:sz w:val="22"/>
                <w:szCs w:val="22"/>
                <w:lang w:val="en-US" w:eastAsia="zh-CN"/>
              </w:rPr>
              <w:t>0.55km的回水河段</w:t>
            </w:r>
          </w:p>
        </w:tc>
        <w:tc>
          <w:tcPr>
            <w:tcW w:w="3105" w:type="dxa"/>
            <w:vMerge w:val="restart"/>
            <w:tcBorders>
              <w:tl2br w:val="nil"/>
              <w:tr2bl w:val="nil"/>
            </w:tcBorders>
            <w:vAlign w:val="center"/>
          </w:tcPr>
          <w:p w14:paraId="749808A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eastAsia" w:ascii="Arial" w:hAnsi="Arial" w:cs="Arial"/>
                <w:spacing w:val="1"/>
                <w:sz w:val="22"/>
                <w:szCs w:val="22"/>
                <w:lang w:eastAsia="zh-CN"/>
              </w:rPr>
              <w:t>海螺沟</w:t>
            </w:r>
            <w:r>
              <w:rPr>
                <w:rFonts w:hint="default" w:ascii="Arial" w:hAnsi="Arial" w:cs="Arial"/>
                <w:spacing w:val="1"/>
                <w:sz w:val="22"/>
                <w:szCs w:val="22"/>
              </w:rPr>
              <w:t>，</w:t>
            </w:r>
            <w:r>
              <w:rPr>
                <w:rFonts w:hint="eastAsia" w:ascii="宋体" w:hAnsi="宋体" w:eastAsia="宋体" w:cs="宋体"/>
                <w:sz w:val="22"/>
                <w:szCs w:val="22"/>
              </w:rPr>
              <w:t>Ⅲ</w:t>
            </w:r>
            <w:r>
              <w:rPr>
                <w:rFonts w:hint="eastAsia" w:ascii="Arial" w:hAnsi="Arial" w:eastAsia="宋体" w:cs="Arial"/>
                <w:sz w:val="22"/>
                <w:szCs w:val="22"/>
                <w:lang w:eastAsia="zh-CN"/>
              </w:rPr>
              <w:t>类</w:t>
            </w:r>
            <w:r>
              <w:rPr>
                <w:rFonts w:hint="default" w:ascii="Arial" w:hAnsi="Arial" w:cs="Arial"/>
                <w:spacing w:val="1"/>
                <w:sz w:val="22"/>
                <w:szCs w:val="22"/>
              </w:rPr>
              <w:t>水域</w:t>
            </w:r>
            <w:r>
              <w:rPr>
                <w:rFonts w:hint="eastAsia" w:ascii="Arial" w:hAnsi="Arial" w:cs="Arial"/>
                <w:spacing w:val="1"/>
                <w:sz w:val="22"/>
                <w:szCs w:val="22"/>
                <w:lang w:eastAsia="zh-CN"/>
              </w:rPr>
              <w:t>，</w:t>
            </w:r>
            <w:r>
              <w:rPr>
                <w:rFonts w:hint="default" w:ascii="Arial" w:hAnsi="Arial" w:cs="Arial"/>
                <w:spacing w:val="1"/>
                <w:sz w:val="22"/>
                <w:szCs w:val="22"/>
              </w:rPr>
              <w:t>不涉及饮用水源保护区、取水口</w:t>
            </w:r>
          </w:p>
        </w:tc>
        <w:tc>
          <w:tcPr>
            <w:tcW w:w="1250" w:type="dxa"/>
            <w:tcBorders>
              <w:tl2br w:val="nil"/>
              <w:tr2bl w:val="nil"/>
            </w:tcBorders>
            <w:vAlign w:val="center"/>
          </w:tcPr>
          <w:p w14:paraId="499FFA2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2"/>
                <w:sz w:val="22"/>
                <w:szCs w:val="22"/>
              </w:rPr>
              <w:t>施工期、</w:t>
            </w:r>
          </w:p>
          <w:p w14:paraId="4B3DB95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营运期</w:t>
            </w:r>
          </w:p>
        </w:tc>
        <w:tc>
          <w:tcPr>
            <w:tcW w:w="4593" w:type="dxa"/>
            <w:tcBorders>
              <w:tl2br w:val="nil"/>
              <w:tr2bl w:val="nil"/>
            </w:tcBorders>
            <w:vAlign w:val="center"/>
          </w:tcPr>
          <w:p w14:paraId="6BA7691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坝体砌筑、清库、初期蓄水、成库后运行调节的</w:t>
            </w:r>
            <w:r>
              <w:rPr>
                <w:rFonts w:hint="default" w:ascii="Arial" w:hAnsi="Arial" w:cs="Arial"/>
                <w:spacing w:val="7"/>
                <w:sz w:val="22"/>
                <w:szCs w:val="22"/>
              </w:rPr>
              <w:t>影响</w:t>
            </w:r>
          </w:p>
        </w:tc>
      </w:tr>
      <w:tr w14:paraId="67FF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1027" w:type="dxa"/>
            <w:vMerge w:val="continue"/>
            <w:tcBorders>
              <w:tl2br w:val="nil"/>
              <w:tr2bl w:val="nil"/>
            </w:tcBorders>
            <w:vAlign w:val="center"/>
          </w:tcPr>
          <w:p w14:paraId="5E5CF854">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Merge w:val="continue"/>
            <w:tcBorders>
              <w:tl2br w:val="nil"/>
              <w:tr2bl w:val="nil"/>
            </w:tcBorders>
            <w:vAlign w:val="center"/>
          </w:tcPr>
          <w:p w14:paraId="2875DBFA">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3240" w:type="dxa"/>
            <w:vMerge w:val="restart"/>
            <w:tcBorders>
              <w:tl2br w:val="nil"/>
              <w:tr2bl w:val="nil"/>
            </w:tcBorders>
            <w:vAlign w:val="center"/>
          </w:tcPr>
          <w:p w14:paraId="217981D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坝后</w:t>
            </w:r>
            <w:r>
              <w:rPr>
                <w:rFonts w:hint="eastAsia" w:ascii="Arial" w:hAnsi="Arial" w:cs="Arial"/>
                <w:spacing w:val="-1"/>
                <w:sz w:val="22"/>
                <w:szCs w:val="22"/>
                <w:lang w:val="en-US" w:eastAsia="zh-CN"/>
              </w:rPr>
              <w:t>1.54</w:t>
            </w:r>
            <w:r>
              <w:rPr>
                <w:rFonts w:hint="default" w:ascii="Arial" w:hAnsi="Arial" w:cs="Arial"/>
                <w:spacing w:val="-1"/>
                <w:sz w:val="22"/>
                <w:szCs w:val="22"/>
              </w:rPr>
              <w:t>km</w:t>
            </w:r>
            <w:r>
              <w:rPr>
                <w:rFonts w:hint="eastAsia" w:ascii="Arial" w:hAnsi="Arial" w:cs="Arial"/>
                <w:spacing w:val="-1"/>
                <w:sz w:val="22"/>
                <w:szCs w:val="22"/>
                <w:lang w:eastAsia="zh-CN"/>
              </w:rPr>
              <w:t>的</w:t>
            </w:r>
            <w:r>
              <w:rPr>
                <w:rFonts w:hint="default" w:ascii="Arial" w:hAnsi="Arial" w:cs="Arial"/>
                <w:spacing w:val="-1"/>
                <w:sz w:val="22"/>
                <w:szCs w:val="22"/>
              </w:rPr>
              <w:t>减水河段</w:t>
            </w:r>
          </w:p>
        </w:tc>
        <w:tc>
          <w:tcPr>
            <w:tcW w:w="3105" w:type="dxa"/>
            <w:vMerge w:val="continue"/>
            <w:tcBorders>
              <w:tl2br w:val="nil"/>
              <w:tr2bl w:val="nil"/>
            </w:tcBorders>
            <w:vAlign w:val="center"/>
          </w:tcPr>
          <w:p w14:paraId="7ADB9F0D">
            <w:pPr>
              <w:pStyle w:val="2102"/>
              <w:keepNext w:val="0"/>
              <w:keepLines w:val="0"/>
              <w:pageBreakBefore w:val="0"/>
              <w:widowControl w:val="0"/>
              <w:kinsoku/>
              <w:wordWrap/>
              <w:overflowPunct/>
              <w:topLinePunct w:val="0"/>
              <w:autoSpaceDE/>
              <w:autoSpaceDN/>
              <w:bidi w:val="0"/>
              <w:adjustRightInd/>
              <w:snapToGrid/>
              <w:spacing w:line="300" w:lineRule="exact"/>
              <w:ind w:left="0" w:hanging="1823"/>
              <w:jc w:val="center"/>
              <w:textAlignment w:val="auto"/>
              <w:rPr>
                <w:rFonts w:hint="default" w:ascii="Arial" w:hAnsi="Arial" w:cs="Arial"/>
                <w:sz w:val="22"/>
                <w:szCs w:val="22"/>
              </w:rPr>
            </w:pPr>
          </w:p>
        </w:tc>
        <w:tc>
          <w:tcPr>
            <w:tcW w:w="1250" w:type="dxa"/>
            <w:tcBorders>
              <w:tl2br w:val="nil"/>
              <w:tr2bl w:val="nil"/>
            </w:tcBorders>
            <w:vAlign w:val="center"/>
          </w:tcPr>
          <w:p w14:paraId="3C5380BC">
            <w:pPr>
              <w:pStyle w:val="2102"/>
              <w:keepNext w:val="0"/>
              <w:keepLines w:val="0"/>
              <w:pageBreakBefore w:val="0"/>
              <w:widowControl w:val="0"/>
              <w:kinsoku/>
              <w:wordWrap/>
              <w:overflowPunct/>
              <w:topLinePunct w:val="0"/>
              <w:autoSpaceDE/>
              <w:autoSpaceDN/>
              <w:bidi w:val="0"/>
              <w:adjustRightInd/>
              <w:snapToGrid/>
              <w:spacing w:line="300" w:lineRule="exact"/>
              <w:ind w:left="0" w:firstLine="0"/>
              <w:jc w:val="center"/>
              <w:textAlignment w:val="auto"/>
              <w:rPr>
                <w:rFonts w:hint="default" w:ascii="Arial" w:hAnsi="Arial" w:cs="Arial"/>
                <w:sz w:val="22"/>
                <w:szCs w:val="22"/>
              </w:rPr>
            </w:pPr>
            <w:r>
              <w:rPr>
                <w:rFonts w:hint="default" w:ascii="Arial" w:hAnsi="Arial" w:cs="Arial"/>
                <w:spacing w:val="-2"/>
                <w:sz w:val="22"/>
                <w:szCs w:val="22"/>
              </w:rPr>
              <w:t>施工期</w:t>
            </w:r>
          </w:p>
        </w:tc>
        <w:tc>
          <w:tcPr>
            <w:tcW w:w="4593" w:type="dxa"/>
            <w:tcBorders>
              <w:tl2br w:val="nil"/>
              <w:tr2bl w:val="nil"/>
            </w:tcBorders>
            <w:vAlign w:val="center"/>
          </w:tcPr>
          <w:p w14:paraId="0FC4B5C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施工废水、水土流失造成河段泥沙淤积，施工期</w:t>
            </w:r>
            <w:r>
              <w:rPr>
                <w:rFonts w:hint="default" w:ascii="Arial" w:hAnsi="Arial" w:cs="Arial"/>
                <w:spacing w:val="1"/>
                <w:sz w:val="22"/>
                <w:szCs w:val="22"/>
              </w:rPr>
              <w:t>管线跨河拦河施工</w:t>
            </w:r>
          </w:p>
        </w:tc>
      </w:tr>
      <w:tr w14:paraId="0CEC1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27" w:type="dxa"/>
            <w:vMerge w:val="continue"/>
            <w:tcBorders>
              <w:tl2br w:val="nil"/>
              <w:tr2bl w:val="nil"/>
            </w:tcBorders>
            <w:vAlign w:val="center"/>
          </w:tcPr>
          <w:p w14:paraId="5131D495">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Merge w:val="continue"/>
            <w:tcBorders>
              <w:tl2br w:val="nil"/>
              <w:tr2bl w:val="nil"/>
            </w:tcBorders>
            <w:vAlign w:val="center"/>
          </w:tcPr>
          <w:p w14:paraId="115AA0E8">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3240" w:type="dxa"/>
            <w:vMerge w:val="continue"/>
            <w:tcBorders>
              <w:tl2br w:val="nil"/>
              <w:tr2bl w:val="nil"/>
            </w:tcBorders>
            <w:vAlign w:val="center"/>
          </w:tcPr>
          <w:p w14:paraId="1EA085F9">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3105" w:type="dxa"/>
            <w:vMerge w:val="continue"/>
            <w:tcBorders>
              <w:tl2br w:val="nil"/>
              <w:tr2bl w:val="nil"/>
            </w:tcBorders>
            <w:vAlign w:val="center"/>
          </w:tcPr>
          <w:p w14:paraId="5080FBDB">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250" w:type="dxa"/>
            <w:tcBorders>
              <w:tl2br w:val="nil"/>
              <w:tr2bl w:val="nil"/>
            </w:tcBorders>
            <w:vAlign w:val="center"/>
          </w:tcPr>
          <w:p w14:paraId="45D7160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营运期</w:t>
            </w:r>
          </w:p>
        </w:tc>
        <w:tc>
          <w:tcPr>
            <w:tcW w:w="4593" w:type="dxa"/>
            <w:tcBorders>
              <w:tl2br w:val="nil"/>
              <w:tr2bl w:val="nil"/>
            </w:tcBorders>
            <w:vAlign w:val="center"/>
          </w:tcPr>
          <w:p w14:paraId="4F4C71B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减水及</w:t>
            </w:r>
            <w:r>
              <w:rPr>
                <w:rFonts w:hint="eastAsia" w:ascii="Arial" w:hAnsi="Arial" w:cs="Arial"/>
                <w:sz w:val="22"/>
                <w:szCs w:val="22"/>
                <w:lang w:eastAsia="zh-CN"/>
              </w:rPr>
              <w:t>人饮、灌区</w:t>
            </w:r>
            <w:r>
              <w:rPr>
                <w:rFonts w:hint="default" w:ascii="Arial" w:hAnsi="Arial" w:cs="Arial"/>
                <w:sz w:val="22"/>
                <w:szCs w:val="22"/>
              </w:rPr>
              <w:t>回水影响，水资源配置影响</w:t>
            </w:r>
          </w:p>
        </w:tc>
      </w:tr>
      <w:tr w14:paraId="0EB97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27" w:type="dxa"/>
            <w:vMerge w:val="continue"/>
            <w:tcBorders>
              <w:tl2br w:val="nil"/>
              <w:tr2bl w:val="nil"/>
            </w:tcBorders>
            <w:vAlign w:val="center"/>
          </w:tcPr>
          <w:p w14:paraId="3E04F041">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Merge w:val="restart"/>
            <w:tcBorders>
              <w:tl2br w:val="nil"/>
              <w:tr2bl w:val="nil"/>
            </w:tcBorders>
            <w:vAlign w:val="center"/>
          </w:tcPr>
          <w:p w14:paraId="6EF63430">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高洞桥河</w:t>
            </w:r>
          </w:p>
        </w:tc>
        <w:tc>
          <w:tcPr>
            <w:tcW w:w="3240" w:type="dxa"/>
            <w:vMerge w:val="restart"/>
            <w:tcBorders>
              <w:tl2br w:val="nil"/>
              <w:tr2bl w:val="nil"/>
            </w:tcBorders>
            <w:vAlign w:val="center"/>
          </w:tcPr>
          <w:p w14:paraId="0C925185">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坝后</w:t>
            </w:r>
            <w:r>
              <w:rPr>
                <w:rFonts w:hint="eastAsia" w:ascii="Arial" w:hAnsi="Arial" w:cs="Arial"/>
                <w:sz w:val="22"/>
                <w:szCs w:val="22"/>
                <w:lang w:val="en-US" w:eastAsia="zh-CN"/>
              </w:rPr>
              <w:t>灌溉及人饮退水影响河段长5.27km</w:t>
            </w:r>
          </w:p>
        </w:tc>
        <w:tc>
          <w:tcPr>
            <w:tcW w:w="3105" w:type="dxa"/>
            <w:vMerge w:val="restart"/>
            <w:tcBorders>
              <w:tl2br w:val="nil"/>
              <w:tr2bl w:val="nil"/>
            </w:tcBorders>
            <w:vAlign w:val="center"/>
          </w:tcPr>
          <w:p w14:paraId="05742477">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高洞桥河，</w:t>
            </w:r>
            <w:r>
              <w:rPr>
                <w:rFonts w:hint="eastAsia" w:ascii="宋体" w:hAnsi="宋体" w:eastAsia="宋体" w:cs="宋体"/>
                <w:sz w:val="22"/>
                <w:szCs w:val="22"/>
              </w:rPr>
              <w:t>Ⅲ</w:t>
            </w:r>
            <w:r>
              <w:rPr>
                <w:rFonts w:hint="eastAsia" w:ascii="Arial" w:hAnsi="Arial" w:eastAsia="宋体" w:cs="Arial"/>
                <w:sz w:val="22"/>
                <w:szCs w:val="22"/>
                <w:lang w:eastAsia="zh-CN"/>
              </w:rPr>
              <w:t>类</w:t>
            </w:r>
            <w:r>
              <w:rPr>
                <w:rFonts w:hint="default" w:ascii="Arial" w:hAnsi="Arial" w:cs="Arial"/>
                <w:spacing w:val="1"/>
                <w:sz w:val="22"/>
                <w:szCs w:val="22"/>
              </w:rPr>
              <w:t>水域</w:t>
            </w:r>
            <w:r>
              <w:rPr>
                <w:rFonts w:hint="eastAsia" w:ascii="Arial" w:hAnsi="Arial" w:cs="Arial"/>
                <w:spacing w:val="1"/>
                <w:sz w:val="22"/>
                <w:szCs w:val="22"/>
                <w:lang w:eastAsia="zh-CN"/>
              </w:rPr>
              <w:t>，</w:t>
            </w:r>
            <w:r>
              <w:rPr>
                <w:rFonts w:hint="default" w:ascii="Arial" w:hAnsi="Arial" w:cs="Arial"/>
                <w:spacing w:val="1"/>
                <w:sz w:val="22"/>
                <w:szCs w:val="22"/>
              </w:rPr>
              <w:t>不涉及饮用水源保护区、取水口</w:t>
            </w:r>
          </w:p>
        </w:tc>
        <w:tc>
          <w:tcPr>
            <w:tcW w:w="1250" w:type="dxa"/>
            <w:tcBorders>
              <w:tl2br w:val="nil"/>
              <w:tr2bl w:val="nil"/>
            </w:tcBorders>
            <w:shd w:val="clear" w:color="auto" w:fill="auto"/>
            <w:vAlign w:val="center"/>
          </w:tcPr>
          <w:p w14:paraId="5039D52F">
            <w:pPr>
              <w:pStyle w:val="210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kern w:val="2"/>
                <w:sz w:val="22"/>
                <w:szCs w:val="22"/>
                <w:lang w:val="en-US" w:eastAsia="en-US" w:bidi="ar-SA"/>
              </w:rPr>
            </w:pPr>
            <w:r>
              <w:rPr>
                <w:rFonts w:hint="default" w:ascii="Arial" w:hAnsi="Arial" w:cs="Arial"/>
                <w:spacing w:val="-2"/>
                <w:sz w:val="22"/>
                <w:szCs w:val="22"/>
              </w:rPr>
              <w:t>施工期</w:t>
            </w:r>
          </w:p>
        </w:tc>
        <w:tc>
          <w:tcPr>
            <w:tcW w:w="4593" w:type="dxa"/>
            <w:tcBorders>
              <w:tl2br w:val="nil"/>
              <w:tr2bl w:val="nil"/>
            </w:tcBorders>
            <w:shd w:val="clear" w:color="auto" w:fill="auto"/>
            <w:vAlign w:val="center"/>
          </w:tcPr>
          <w:p w14:paraId="28D0FA2E">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kern w:val="2"/>
                <w:sz w:val="22"/>
                <w:szCs w:val="22"/>
                <w:lang w:val="en-US" w:eastAsia="en-US" w:bidi="ar-SA"/>
              </w:rPr>
            </w:pPr>
            <w:r>
              <w:rPr>
                <w:rFonts w:hint="default" w:ascii="Arial" w:hAnsi="Arial" w:cs="Arial"/>
                <w:spacing w:val="-1"/>
                <w:sz w:val="22"/>
                <w:szCs w:val="22"/>
              </w:rPr>
              <w:t>施工废水、水土流失造成河段泥沙淤积，施工期</w:t>
            </w:r>
            <w:r>
              <w:rPr>
                <w:rFonts w:hint="default" w:ascii="Arial" w:hAnsi="Arial" w:cs="Arial"/>
                <w:spacing w:val="1"/>
                <w:sz w:val="22"/>
                <w:szCs w:val="22"/>
              </w:rPr>
              <w:t>管线跨河拦河施工</w:t>
            </w:r>
          </w:p>
        </w:tc>
      </w:tr>
      <w:tr w14:paraId="6209C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27" w:type="dxa"/>
            <w:vMerge w:val="continue"/>
            <w:vAlign w:val="center"/>
          </w:tcPr>
          <w:p w14:paraId="1843E48A">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Merge w:val="continue"/>
            <w:vAlign w:val="center"/>
          </w:tcPr>
          <w:p w14:paraId="2C0EBD6F">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p>
        </w:tc>
        <w:tc>
          <w:tcPr>
            <w:tcW w:w="3240" w:type="dxa"/>
            <w:vMerge w:val="continue"/>
            <w:vAlign w:val="center"/>
          </w:tcPr>
          <w:p w14:paraId="44B14A37">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p>
        </w:tc>
        <w:tc>
          <w:tcPr>
            <w:tcW w:w="3105" w:type="dxa"/>
            <w:vMerge w:val="continue"/>
            <w:vAlign w:val="center"/>
          </w:tcPr>
          <w:p w14:paraId="79FB67C6">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p>
        </w:tc>
        <w:tc>
          <w:tcPr>
            <w:tcW w:w="0" w:type="auto"/>
            <w:shd w:val="clear" w:color="auto" w:fill="auto"/>
            <w:vAlign w:val="center"/>
          </w:tcPr>
          <w:p w14:paraId="1B38903F">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kern w:val="2"/>
                <w:sz w:val="22"/>
                <w:szCs w:val="22"/>
                <w:lang w:val="en-US" w:eastAsia="en-US" w:bidi="ar-SA"/>
              </w:rPr>
            </w:pPr>
            <w:r>
              <w:rPr>
                <w:rFonts w:hint="default" w:ascii="Arial" w:hAnsi="Arial" w:cs="Arial"/>
                <w:spacing w:val="3"/>
                <w:sz w:val="22"/>
                <w:szCs w:val="22"/>
              </w:rPr>
              <w:t>营运期</w:t>
            </w:r>
          </w:p>
        </w:tc>
        <w:tc>
          <w:tcPr>
            <w:tcW w:w="0" w:type="auto"/>
            <w:shd w:val="clear" w:color="auto" w:fill="auto"/>
            <w:vAlign w:val="center"/>
          </w:tcPr>
          <w:p w14:paraId="50E34E72">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kern w:val="2"/>
                <w:sz w:val="22"/>
                <w:szCs w:val="22"/>
                <w:lang w:val="en-US" w:eastAsia="en-US" w:bidi="ar-SA"/>
              </w:rPr>
            </w:pPr>
            <w:r>
              <w:rPr>
                <w:rFonts w:hint="default" w:ascii="Arial" w:hAnsi="Arial" w:cs="Arial"/>
                <w:sz w:val="22"/>
                <w:szCs w:val="22"/>
              </w:rPr>
              <w:t>减水及</w:t>
            </w:r>
            <w:r>
              <w:rPr>
                <w:rFonts w:hint="eastAsia" w:ascii="Arial" w:hAnsi="Arial" w:cs="Arial"/>
                <w:sz w:val="22"/>
                <w:szCs w:val="22"/>
                <w:lang w:eastAsia="zh-CN"/>
              </w:rPr>
              <w:t>人饮、灌区</w:t>
            </w:r>
            <w:r>
              <w:rPr>
                <w:rFonts w:hint="default" w:ascii="Arial" w:hAnsi="Arial" w:cs="Arial"/>
                <w:sz w:val="22"/>
                <w:szCs w:val="22"/>
              </w:rPr>
              <w:t>回水影响，水资源配置影响</w:t>
            </w:r>
          </w:p>
        </w:tc>
      </w:tr>
      <w:tr w14:paraId="5C2E8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27" w:type="dxa"/>
            <w:vMerge w:val="continue"/>
            <w:vAlign w:val="center"/>
          </w:tcPr>
          <w:p w14:paraId="4F3A5D88">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Align w:val="center"/>
          </w:tcPr>
          <w:p w14:paraId="6611994D">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双龙河</w:t>
            </w:r>
          </w:p>
        </w:tc>
        <w:tc>
          <w:tcPr>
            <w:tcW w:w="3240" w:type="dxa"/>
            <w:vAlign w:val="center"/>
          </w:tcPr>
          <w:p w14:paraId="68CE3854">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坝后</w:t>
            </w:r>
            <w:r>
              <w:rPr>
                <w:rFonts w:hint="eastAsia" w:ascii="Arial" w:hAnsi="Arial" w:cs="Arial"/>
                <w:sz w:val="22"/>
                <w:szCs w:val="22"/>
                <w:lang w:val="en-US" w:eastAsia="zh-CN"/>
              </w:rPr>
              <w:t>灌溉及人饮退水影响河段长0.68km</w:t>
            </w:r>
          </w:p>
        </w:tc>
        <w:tc>
          <w:tcPr>
            <w:tcW w:w="3105" w:type="dxa"/>
            <w:vAlign w:val="center"/>
          </w:tcPr>
          <w:p w14:paraId="1B71E890">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双龙河，</w:t>
            </w:r>
            <w:r>
              <w:rPr>
                <w:rFonts w:hint="eastAsia" w:ascii="宋体" w:hAnsi="宋体" w:eastAsia="宋体" w:cs="宋体"/>
                <w:sz w:val="22"/>
                <w:szCs w:val="22"/>
              </w:rPr>
              <w:t>Ⅲ</w:t>
            </w:r>
            <w:r>
              <w:rPr>
                <w:rFonts w:hint="eastAsia" w:ascii="Arial" w:hAnsi="Arial" w:eastAsia="宋体" w:cs="Arial"/>
                <w:sz w:val="22"/>
                <w:szCs w:val="22"/>
                <w:lang w:eastAsia="zh-CN"/>
              </w:rPr>
              <w:t>类</w:t>
            </w:r>
            <w:r>
              <w:rPr>
                <w:rFonts w:hint="default" w:ascii="Arial" w:hAnsi="Arial" w:cs="Arial"/>
                <w:spacing w:val="1"/>
                <w:sz w:val="22"/>
                <w:szCs w:val="22"/>
              </w:rPr>
              <w:t>水域</w:t>
            </w:r>
            <w:r>
              <w:rPr>
                <w:rFonts w:hint="eastAsia" w:ascii="Arial" w:hAnsi="Arial" w:cs="Arial"/>
                <w:spacing w:val="1"/>
                <w:sz w:val="22"/>
                <w:szCs w:val="22"/>
                <w:lang w:eastAsia="zh-CN"/>
              </w:rPr>
              <w:t>，</w:t>
            </w:r>
            <w:r>
              <w:rPr>
                <w:rFonts w:hint="default" w:ascii="Arial" w:hAnsi="Arial" w:cs="Arial"/>
                <w:spacing w:val="1"/>
                <w:sz w:val="22"/>
                <w:szCs w:val="22"/>
              </w:rPr>
              <w:t>不涉及饮用水源保护区、取水口</w:t>
            </w:r>
          </w:p>
        </w:tc>
        <w:tc>
          <w:tcPr>
            <w:tcW w:w="0" w:type="auto"/>
            <w:shd w:val="clear" w:color="auto" w:fill="auto"/>
            <w:vAlign w:val="center"/>
          </w:tcPr>
          <w:p w14:paraId="23C561DA">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kern w:val="2"/>
                <w:sz w:val="22"/>
                <w:szCs w:val="22"/>
                <w:lang w:val="en-US" w:eastAsia="en-US" w:bidi="ar-SA"/>
              </w:rPr>
            </w:pPr>
            <w:r>
              <w:rPr>
                <w:rFonts w:hint="default" w:ascii="Arial" w:hAnsi="Arial" w:cs="Arial"/>
                <w:spacing w:val="3"/>
                <w:sz w:val="22"/>
                <w:szCs w:val="22"/>
              </w:rPr>
              <w:t>营运期</w:t>
            </w:r>
          </w:p>
        </w:tc>
        <w:tc>
          <w:tcPr>
            <w:tcW w:w="0" w:type="auto"/>
            <w:shd w:val="clear" w:color="auto" w:fill="auto"/>
            <w:vAlign w:val="center"/>
          </w:tcPr>
          <w:p w14:paraId="1523B88D">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kern w:val="2"/>
                <w:sz w:val="22"/>
                <w:szCs w:val="22"/>
                <w:lang w:val="en-US" w:eastAsia="en-US" w:bidi="ar-SA"/>
              </w:rPr>
            </w:pPr>
            <w:r>
              <w:rPr>
                <w:rFonts w:hint="eastAsia" w:ascii="Arial" w:hAnsi="Arial" w:cs="Arial"/>
                <w:sz w:val="22"/>
                <w:szCs w:val="22"/>
                <w:lang w:eastAsia="zh-CN"/>
              </w:rPr>
              <w:t>人饮、灌区</w:t>
            </w:r>
            <w:r>
              <w:rPr>
                <w:rFonts w:hint="default" w:ascii="Arial" w:hAnsi="Arial" w:cs="Arial"/>
                <w:sz w:val="22"/>
                <w:szCs w:val="22"/>
              </w:rPr>
              <w:t>回水影响</w:t>
            </w:r>
          </w:p>
        </w:tc>
      </w:tr>
    </w:tbl>
    <w:p w14:paraId="325B75DB">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cs="Arial"/>
          <w:b w:val="0"/>
          <w:bCs w:val="0"/>
          <w:color w:val="auto"/>
          <w:sz w:val="26"/>
          <w:szCs w:val="26"/>
          <w:lang w:val="en-US" w:eastAsia="zh-CN"/>
        </w:rPr>
        <w:sectPr>
          <w:pgSz w:w="16838" w:h="11906" w:orient="landscape"/>
          <w:pgMar w:top="1800" w:right="1701" w:bottom="1800" w:left="1701" w:header="1134" w:footer="1134" w:gutter="0"/>
          <w:pgBorders>
            <w:top w:val="none" w:sz="0" w:space="0"/>
            <w:left w:val="none" w:sz="0" w:space="0"/>
            <w:bottom w:val="none" w:sz="0" w:space="0"/>
            <w:right w:val="none" w:sz="0" w:space="0"/>
          </w:pgBorders>
          <w:pgNumType w:fmt="decimal"/>
          <w:cols w:space="425" w:num="1"/>
          <w:docGrid w:linePitch="312" w:charSpace="0"/>
        </w:sectPr>
      </w:pPr>
    </w:p>
    <w:p w14:paraId="6C747163">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eastAsia="宋体" w:cs="Arial"/>
          <w:b/>
          <w:color w:val="auto"/>
          <w:kern w:val="0"/>
          <w:sz w:val="26"/>
          <w:szCs w:val="20"/>
          <w:highlight w:val="yellow"/>
          <w:lang w:val="en-US" w:eastAsia="zh-CN"/>
        </w:rPr>
      </w:pPr>
      <w:bookmarkStart w:id="67" w:name="_Toc34987801"/>
      <w:bookmarkStart w:id="68" w:name="_Toc36041000"/>
      <w:r>
        <w:rPr>
          <w:rFonts w:hint="eastAsia" w:ascii="Arial" w:hAnsi="Arial" w:eastAsia="宋体" w:cs="Arial"/>
          <w:b/>
          <w:color w:val="auto"/>
          <w:kern w:val="0"/>
          <w:sz w:val="26"/>
          <w:szCs w:val="20"/>
          <w:highlight w:val="none"/>
          <w:lang w:val="en-US" w:eastAsia="zh-CN"/>
        </w:rPr>
        <w:t>1.8.3 生态保护目标</w:t>
      </w:r>
      <w:bookmarkEnd w:id="67"/>
      <w:bookmarkEnd w:id="68"/>
    </w:p>
    <w:p w14:paraId="17347F9A">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fr-FR" w:eastAsia="zh-CN" w:bidi="ar-SA"/>
        </w:rPr>
      </w:pPr>
      <w:bookmarkStart w:id="69" w:name="_Toc36041001"/>
      <w:bookmarkStart w:id="70" w:name="_Toc34987802"/>
      <w:r>
        <w:rPr>
          <w:rFonts w:hint="eastAsia" w:ascii="Arial" w:hAnsi="Arial" w:cs="Arial"/>
          <w:b w:val="0"/>
          <w:color w:val="auto"/>
          <w:kern w:val="2"/>
          <w:sz w:val="26"/>
          <w:szCs w:val="26"/>
          <w:lang w:val="fr-FR" w:eastAsia="zh-CN" w:bidi="ar-SA"/>
        </w:rPr>
        <w:t>经核实，本项目占地及影响范围内不涉及国家公园、自然保护区、世界自然遗产地、生态保护红线、饮用水水源保护区、自然公园、城镇开发边界及重要水生生物的自然产卵场、索饵场、越冬场和洄游通道等，涉及的生态保护目标主要为基本农田、公益林地。具体情况如下：</w:t>
      </w:r>
    </w:p>
    <w:p w14:paraId="168CDFA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color w:val="auto"/>
          <w:kern w:val="0"/>
          <w:sz w:val="26"/>
          <w:szCs w:val="20"/>
          <w:highlight w:val="none"/>
          <w:lang w:val="en-US" w:eastAsia="zh-CN" w:bidi="ar-SA"/>
        </w:rPr>
      </w:pPr>
      <w:r>
        <w:rPr>
          <w:rFonts w:hint="eastAsia" w:ascii="Arial" w:hAnsi="Arial" w:eastAsia="宋体" w:cs="Arial"/>
          <w:b/>
          <w:color w:val="auto"/>
          <w:kern w:val="0"/>
          <w:sz w:val="26"/>
          <w:szCs w:val="20"/>
          <w:highlight w:val="none"/>
          <w:lang w:val="fr-FR" w:eastAsia="zh-CN" w:bidi="ar-SA"/>
        </w:rPr>
        <w:t>（</w:t>
      </w:r>
      <w:r>
        <w:rPr>
          <w:rFonts w:hint="eastAsia" w:ascii="Arial" w:hAnsi="Arial" w:eastAsia="宋体" w:cs="Arial"/>
          <w:b/>
          <w:color w:val="auto"/>
          <w:kern w:val="0"/>
          <w:sz w:val="26"/>
          <w:szCs w:val="20"/>
          <w:highlight w:val="none"/>
          <w:lang w:val="en-US" w:eastAsia="zh-CN" w:bidi="ar-SA"/>
        </w:rPr>
        <w:t>1）公益林地</w:t>
      </w:r>
    </w:p>
    <w:p w14:paraId="187D661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highlight w:val="none"/>
          <w:lang w:val="en-US" w:eastAsia="zh-CN" w:bidi="ar-SA"/>
        </w:rPr>
      </w:pPr>
      <w:r>
        <w:rPr>
          <w:rFonts w:hint="default" w:ascii="Arial" w:hAnsi="Arial" w:cs="Arial"/>
          <w:b w:val="0"/>
          <w:color w:val="auto"/>
          <w:kern w:val="2"/>
          <w:sz w:val="26"/>
          <w:szCs w:val="26"/>
          <w:lang w:val="fr-FR" w:eastAsia="zh-CN" w:bidi="ar-SA"/>
        </w:rPr>
        <w:t>根据重庆鑫和林业有限公司编制的《丰都县海螺沟水库工程拟使用林地可行性研究</w:t>
      </w:r>
      <w:r>
        <w:rPr>
          <w:rFonts w:hint="default" w:ascii="Arial" w:hAnsi="Arial" w:cs="Arial"/>
          <w:b w:val="0"/>
          <w:color w:val="auto"/>
          <w:kern w:val="2"/>
          <w:sz w:val="26"/>
          <w:szCs w:val="26"/>
          <w:highlight w:val="none"/>
          <w:lang w:val="fr-FR" w:eastAsia="zh-CN" w:bidi="ar-SA"/>
        </w:rPr>
        <w:t>报告》及批复</w:t>
      </w:r>
      <w:r>
        <w:rPr>
          <w:rFonts w:hint="eastAsia" w:ascii="Arial" w:hAnsi="Arial" w:cs="Arial"/>
          <w:b w:val="0"/>
          <w:color w:val="auto"/>
          <w:kern w:val="2"/>
          <w:sz w:val="26"/>
          <w:szCs w:val="26"/>
          <w:highlight w:val="none"/>
          <w:lang w:val="fr-FR" w:eastAsia="zh-CN" w:bidi="ar-SA"/>
        </w:rPr>
        <w:t>“</w:t>
      </w:r>
      <w:r>
        <w:rPr>
          <w:rFonts w:hint="default" w:ascii="Arial" w:hAnsi="Arial" w:cs="Arial"/>
          <w:b w:val="0"/>
          <w:color w:val="auto"/>
          <w:kern w:val="2"/>
          <w:sz w:val="26"/>
          <w:szCs w:val="26"/>
          <w:highlight w:val="none"/>
          <w:lang w:val="fr-FR" w:eastAsia="zh-CN" w:bidi="ar-SA"/>
        </w:rPr>
        <w:t>渝林许可地</w:t>
      </w:r>
      <w:r>
        <w:rPr>
          <w:rFonts w:hint="default" w:ascii="Arial" w:hAnsi="Arial" w:eastAsia="宋体" w:cs="Arial"/>
          <w:b w:val="0"/>
          <w:color w:val="auto"/>
          <w:kern w:val="2"/>
          <w:sz w:val="26"/>
          <w:szCs w:val="26"/>
          <w:highlight w:val="none"/>
          <w:lang w:val="fr-FR" w:eastAsia="zh-CN" w:bidi="ar-SA"/>
        </w:rPr>
        <w:t>〔</w:t>
      </w:r>
      <w:r>
        <w:rPr>
          <w:rFonts w:hint="default" w:ascii="Arial" w:hAnsi="Arial" w:eastAsia="宋体" w:cs="Arial"/>
          <w:b w:val="0"/>
          <w:color w:val="auto"/>
          <w:kern w:val="2"/>
          <w:sz w:val="26"/>
          <w:szCs w:val="26"/>
          <w:highlight w:val="none"/>
          <w:lang w:val="en-US" w:eastAsia="zh-CN" w:bidi="ar-SA"/>
        </w:rPr>
        <w:t>2023</w:t>
      </w:r>
      <w:r>
        <w:rPr>
          <w:rFonts w:hint="default" w:ascii="Arial" w:hAnsi="Arial" w:eastAsia="宋体" w:cs="Arial"/>
          <w:b w:val="0"/>
          <w:color w:val="auto"/>
          <w:kern w:val="2"/>
          <w:sz w:val="26"/>
          <w:szCs w:val="26"/>
          <w:highlight w:val="none"/>
          <w:lang w:val="fr-FR" w:eastAsia="zh-CN" w:bidi="ar-SA"/>
        </w:rPr>
        <w:t>〕</w:t>
      </w:r>
      <w:r>
        <w:rPr>
          <w:rFonts w:hint="default" w:ascii="Arial" w:hAnsi="Arial" w:eastAsia="宋体" w:cs="Arial"/>
          <w:b w:val="0"/>
          <w:color w:val="auto"/>
          <w:kern w:val="2"/>
          <w:sz w:val="26"/>
          <w:szCs w:val="26"/>
          <w:highlight w:val="none"/>
          <w:lang w:val="en-US" w:eastAsia="zh-CN" w:bidi="ar-SA"/>
        </w:rPr>
        <w:t>689号</w:t>
      </w:r>
      <w:r>
        <w:rPr>
          <w:rFonts w:hint="eastAsia" w:ascii="Arial" w:hAnsi="Arial" w:eastAsia="宋体" w:cs="Arial"/>
          <w:b w:val="0"/>
          <w:color w:val="auto"/>
          <w:kern w:val="2"/>
          <w:sz w:val="26"/>
          <w:szCs w:val="26"/>
          <w:highlight w:val="none"/>
          <w:lang w:val="en-US" w:eastAsia="zh-CN" w:bidi="ar-SA"/>
        </w:rPr>
        <w:t>”，本项目永久占地范围内分布有公益林地。</w:t>
      </w:r>
    </w:p>
    <w:p w14:paraId="01BBD940">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highlight w:val="none"/>
          <w:lang w:val="en-US" w:eastAsia="zh-CN" w:bidi="ar-SA"/>
        </w:rPr>
      </w:pPr>
      <w:r>
        <w:rPr>
          <w:rFonts w:hint="eastAsia" w:ascii="Arial" w:hAnsi="Arial" w:cs="Arial"/>
          <w:b w:val="0"/>
          <w:color w:val="auto"/>
          <w:kern w:val="2"/>
          <w:sz w:val="26"/>
          <w:szCs w:val="26"/>
          <w:highlight w:val="none"/>
          <w:lang w:val="fr-FR" w:eastAsia="zh-CN" w:bidi="ar-SA"/>
        </w:rPr>
        <w:t>根据丰都腾飞林业咨询有限公司编制的《</w:t>
      </w:r>
      <w:r>
        <w:rPr>
          <w:rFonts w:hint="default" w:ascii="Arial" w:hAnsi="Arial" w:cs="Arial"/>
          <w:b w:val="0"/>
          <w:color w:val="auto"/>
          <w:kern w:val="2"/>
          <w:sz w:val="26"/>
          <w:szCs w:val="26"/>
          <w:highlight w:val="none"/>
          <w:lang w:val="fr-FR" w:eastAsia="zh-CN" w:bidi="ar-SA"/>
        </w:rPr>
        <w:t>丰都县海螺沟水库</w:t>
      </w:r>
      <w:r>
        <w:rPr>
          <w:rFonts w:hint="eastAsia" w:ascii="Arial" w:hAnsi="Arial" w:cs="Arial"/>
          <w:b w:val="0"/>
          <w:color w:val="auto"/>
          <w:kern w:val="2"/>
          <w:sz w:val="26"/>
          <w:szCs w:val="26"/>
          <w:highlight w:val="none"/>
          <w:lang w:val="fr-FR" w:eastAsia="zh-CN" w:bidi="ar-SA"/>
        </w:rPr>
        <w:t>辅助施工设施项目拟临时使用林地现状调查表》及批复“</w:t>
      </w:r>
      <w:r>
        <w:rPr>
          <w:rFonts w:hint="default" w:ascii="Arial" w:hAnsi="Arial" w:cs="Arial"/>
          <w:b w:val="0"/>
          <w:color w:val="auto"/>
          <w:kern w:val="2"/>
          <w:sz w:val="26"/>
          <w:szCs w:val="26"/>
          <w:highlight w:val="none"/>
          <w:lang w:val="fr-FR" w:eastAsia="zh-CN" w:bidi="ar-SA"/>
        </w:rPr>
        <w:t>渝林许可地</w:t>
      </w:r>
      <w:r>
        <w:rPr>
          <w:rFonts w:hint="eastAsia" w:ascii="Arial" w:hAnsi="Arial" w:cs="Arial"/>
          <w:b w:val="0"/>
          <w:color w:val="auto"/>
          <w:kern w:val="2"/>
          <w:sz w:val="26"/>
          <w:szCs w:val="26"/>
          <w:highlight w:val="none"/>
          <w:lang w:val="fr-FR" w:eastAsia="zh-CN" w:bidi="ar-SA"/>
        </w:rPr>
        <w:t>临</w:t>
      </w:r>
      <w:r>
        <w:rPr>
          <w:rFonts w:hint="default" w:ascii="Arial" w:hAnsi="Arial" w:eastAsia="宋体" w:cs="Arial"/>
          <w:b w:val="0"/>
          <w:color w:val="auto"/>
          <w:kern w:val="2"/>
          <w:sz w:val="26"/>
          <w:szCs w:val="26"/>
          <w:highlight w:val="none"/>
          <w:lang w:val="fr-FR" w:eastAsia="zh-CN" w:bidi="ar-SA"/>
        </w:rPr>
        <w:t>〔</w:t>
      </w:r>
      <w:r>
        <w:rPr>
          <w:rFonts w:hint="default" w:ascii="Arial" w:hAnsi="Arial" w:eastAsia="宋体" w:cs="Arial"/>
          <w:b w:val="0"/>
          <w:color w:val="auto"/>
          <w:kern w:val="2"/>
          <w:sz w:val="26"/>
          <w:szCs w:val="26"/>
          <w:highlight w:val="none"/>
          <w:lang w:val="en-US" w:eastAsia="zh-CN" w:bidi="ar-SA"/>
        </w:rPr>
        <w:t>202</w:t>
      </w:r>
      <w:r>
        <w:rPr>
          <w:rFonts w:hint="eastAsia" w:ascii="Arial" w:hAnsi="Arial" w:cs="Arial"/>
          <w:b w:val="0"/>
          <w:color w:val="auto"/>
          <w:kern w:val="2"/>
          <w:sz w:val="26"/>
          <w:szCs w:val="26"/>
          <w:highlight w:val="none"/>
          <w:lang w:val="en-US" w:eastAsia="zh-CN" w:bidi="ar-SA"/>
        </w:rPr>
        <w:t>4</w:t>
      </w:r>
      <w:r>
        <w:rPr>
          <w:rFonts w:hint="default" w:ascii="Arial" w:hAnsi="Arial" w:eastAsia="宋体" w:cs="Arial"/>
          <w:b w:val="0"/>
          <w:color w:val="auto"/>
          <w:kern w:val="2"/>
          <w:sz w:val="26"/>
          <w:szCs w:val="26"/>
          <w:highlight w:val="none"/>
          <w:lang w:val="fr-FR" w:eastAsia="zh-CN" w:bidi="ar-SA"/>
        </w:rPr>
        <w:t>〕</w:t>
      </w:r>
      <w:r>
        <w:rPr>
          <w:rFonts w:hint="eastAsia" w:ascii="Arial" w:hAnsi="Arial" w:cs="Arial"/>
          <w:b w:val="0"/>
          <w:color w:val="auto"/>
          <w:kern w:val="2"/>
          <w:sz w:val="26"/>
          <w:szCs w:val="26"/>
          <w:highlight w:val="none"/>
          <w:lang w:val="en-US" w:eastAsia="zh-CN" w:bidi="ar-SA"/>
        </w:rPr>
        <w:t>036</w:t>
      </w:r>
      <w:r>
        <w:rPr>
          <w:rFonts w:hint="default" w:ascii="Arial" w:hAnsi="Arial" w:eastAsia="宋体" w:cs="Arial"/>
          <w:b w:val="0"/>
          <w:color w:val="auto"/>
          <w:kern w:val="2"/>
          <w:sz w:val="26"/>
          <w:szCs w:val="26"/>
          <w:highlight w:val="none"/>
          <w:lang w:val="en-US" w:eastAsia="zh-CN" w:bidi="ar-SA"/>
        </w:rPr>
        <w:t>号</w:t>
      </w:r>
      <w:r>
        <w:rPr>
          <w:rFonts w:hint="eastAsia" w:ascii="Arial" w:hAnsi="Arial" w:eastAsia="宋体" w:cs="Arial"/>
          <w:b w:val="0"/>
          <w:color w:val="auto"/>
          <w:kern w:val="2"/>
          <w:sz w:val="26"/>
          <w:szCs w:val="26"/>
          <w:highlight w:val="none"/>
          <w:lang w:val="en-US" w:eastAsia="zh-CN" w:bidi="ar-SA"/>
        </w:rPr>
        <w:t>”</w:t>
      </w:r>
      <w:r>
        <w:rPr>
          <w:rFonts w:hint="eastAsia" w:ascii="Arial" w:hAnsi="Arial" w:cs="Arial"/>
          <w:b w:val="0"/>
          <w:color w:val="auto"/>
          <w:kern w:val="2"/>
          <w:sz w:val="26"/>
          <w:szCs w:val="26"/>
          <w:highlight w:val="none"/>
          <w:lang w:val="en-US" w:eastAsia="zh-CN" w:bidi="ar-SA"/>
        </w:rPr>
        <w:t>，本项目临时占地范围内分布有</w:t>
      </w:r>
      <w:r>
        <w:rPr>
          <w:rFonts w:hint="eastAsia" w:ascii="Arial" w:hAnsi="Arial" w:eastAsia="宋体" w:cs="Arial"/>
          <w:b w:val="0"/>
          <w:color w:val="auto"/>
          <w:kern w:val="2"/>
          <w:sz w:val="26"/>
          <w:szCs w:val="26"/>
          <w:highlight w:val="none"/>
          <w:lang w:val="en-US" w:eastAsia="zh-CN" w:bidi="ar-SA"/>
        </w:rPr>
        <w:t>公益林地。</w:t>
      </w:r>
    </w:p>
    <w:p w14:paraId="0444642A">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color w:val="auto"/>
          <w:kern w:val="0"/>
          <w:sz w:val="26"/>
          <w:szCs w:val="20"/>
          <w:highlight w:val="none"/>
          <w:lang w:val="en-US" w:eastAsia="zh-CN" w:bidi="ar-SA"/>
        </w:rPr>
      </w:pPr>
      <w:r>
        <w:rPr>
          <w:rFonts w:hint="eastAsia" w:ascii="Arial" w:hAnsi="Arial" w:eastAsia="宋体" w:cs="Arial"/>
          <w:b/>
          <w:color w:val="auto"/>
          <w:kern w:val="0"/>
          <w:sz w:val="26"/>
          <w:szCs w:val="20"/>
          <w:highlight w:val="none"/>
          <w:lang w:val="fr-FR" w:eastAsia="zh-CN" w:bidi="ar-SA"/>
        </w:rPr>
        <w:t>（</w:t>
      </w:r>
      <w:r>
        <w:rPr>
          <w:rFonts w:hint="eastAsia" w:ascii="Arial" w:hAnsi="Arial" w:cs="Arial"/>
          <w:b/>
          <w:color w:val="auto"/>
          <w:kern w:val="0"/>
          <w:sz w:val="26"/>
          <w:szCs w:val="20"/>
          <w:highlight w:val="none"/>
          <w:lang w:val="en-US" w:eastAsia="zh-CN" w:bidi="ar-SA"/>
        </w:rPr>
        <w:t>2</w:t>
      </w:r>
      <w:r>
        <w:rPr>
          <w:rFonts w:hint="eastAsia" w:ascii="Arial" w:hAnsi="Arial" w:eastAsia="宋体" w:cs="Arial"/>
          <w:b/>
          <w:color w:val="auto"/>
          <w:kern w:val="0"/>
          <w:sz w:val="26"/>
          <w:szCs w:val="20"/>
          <w:highlight w:val="none"/>
          <w:lang w:val="en-US" w:eastAsia="zh-CN" w:bidi="ar-SA"/>
        </w:rPr>
        <w:t>）</w:t>
      </w:r>
      <w:r>
        <w:rPr>
          <w:rFonts w:hint="eastAsia" w:ascii="Arial" w:hAnsi="Arial" w:cs="Arial"/>
          <w:b/>
          <w:color w:val="auto"/>
          <w:kern w:val="0"/>
          <w:sz w:val="26"/>
          <w:szCs w:val="20"/>
          <w:highlight w:val="none"/>
          <w:lang w:val="en-US" w:eastAsia="zh-CN" w:bidi="ar-SA"/>
        </w:rPr>
        <w:t>基本农田</w:t>
      </w:r>
    </w:p>
    <w:p w14:paraId="3BFDF111">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fr-FR" w:eastAsia="zh-CN" w:bidi="ar-SA"/>
        </w:rPr>
        <w:t>根据叠图分析，本项目临时和永久占地范围内分布</w:t>
      </w:r>
      <w:r>
        <w:rPr>
          <w:rFonts w:hint="eastAsia" w:ascii="Arial" w:hAnsi="Arial" w:cs="Arial"/>
          <w:b w:val="0"/>
          <w:color w:val="auto"/>
          <w:kern w:val="2"/>
          <w:sz w:val="26"/>
          <w:szCs w:val="26"/>
          <w:highlight w:val="none"/>
          <w:lang w:val="fr-FR" w:eastAsia="zh-CN" w:bidi="ar-SA"/>
        </w:rPr>
        <w:t>有基本农田</w:t>
      </w:r>
      <w:r>
        <w:rPr>
          <w:rFonts w:hint="eastAsia" w:ascii="Arial" w:hAnsi="Arial" w:eastAsia="宋体" w:cs="Arial"/>
          <w:b w:val="0"/>
          <w:color w:val="auto"/>
          <w:kern w:val="2"/>
          <w:sz w:val="26"/>
          <w:szCs w:val="26"/>
          <w:highlight w:val="none"/>
          <w:lang w:val="en-US" w:eastAsia="zh-CN" w:bidi="ar-SA"/>
        </w:rPr>
        <w:t>。</w:t>
      </w:r>
    </w:p>
    <w:p w14:paraId="7856137F">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highlight w:val="none"/>
          <w:lang w:val="en-US" w:eastAsia="zh-CN" w:bidi="ar-SA"/>
        </w:rPr>
      </w:pPr>
      <w:r>
        <w:rPr>
          <w:rFonts w:hint="eastAsia" w:ascii="Arial" w:hAnsi="Arial" w:cs="Arial"/>
          <w:b w:val="0"/>
          <w:color w:val="auto"/>
          <w:kern w:val="2"/>
          <w:sz w:val="26"/>
          <w:szCs w:val="26"/>
          <w:lang w:val="fr-FR" w:eastAsia="zh-CN" w:bidi="ar-SA"/>
        </w:rPr>
        <w:t>项目</w:t>
      </w:r>
      <w:r>
        <w:rPr>
          <w:rFonts w:hint="eastAsia" w:ascii="Arial" w:hAnsi="Arial" w:cs="Arial"/>
          <w:b w:val="0"/>
          <w:color w:val="auto"/>
          <w:kern w:val="2"/>
          <w:sz w:val="26"/>
          <w:szCs w:val="26"/>
          <w:highlight w:val="none"/>
          <w:lang w:val="fr-FR" w:eastAsia="zh-CN" w:bidi="ar-SA"/>
        </w:rPr>
        <w:t>生态环境保护目标详见表</w:t>
      </w:r>
      <w:r>
        <w:rPr>
          <w:rFonts w:hint="eastAsia" w:ascii="Arial" w:hAnsi="Arial" w:cs="Arial"/>
          <w:b w:val="0"/>
          <w:color w:val="auto"/>
          <w:kern w:val="2"/>
          <w:sz w:val="26"/>
          <w:szCs w:val="26"/>
          <w:highlight w:val="none"/>
          <w:lang w:val="en-US" w:eastAsia="zh-CN" w:bidi="ar-SA"/>
        </w:rPr>
        <w:t>1.8-2所示。</w:t>
      </w:r>
    </w:p>
    <w:p w14:paraId="02C10734">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8</w:t>
      </w:r>
      <w:r>
        <w:rPr>
          <w:rFonts w:hint="eastAsia" w:ascii="Arial" w:hAnsi="Arial" w:eastAsia="宋体" w:cs="Arial"/>
          <w:b/>
          <w:color w:val="auto"/>
          <w:kern w:val="0"/>
          <w:sz w:val="26"/>
          <w:szCs w:val="20"/>
          <w:highlight w:val="none"/>
          <w:lang w:val="en-US" w:eastAsia="zh-CN"/>
        </w:rPr>
        <w:t>.4 地下水环境保护目标</w:t>
      </w:r>
    </w:p>
    <w:p w14:paraId="6A1631ED">
      <w:pPr>
        <w:pStyle w:val="1873"/>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Arial" w:hAnsi="Arial" w:cs="Arial"/>
          <w:sz w:val="26"/>
          <w:szCs w:val="26"/>
          <w:lang w:val="en-US" w:eastAsia="zh-CN"/>
        </w:rPr>
      </w:pPr>
      <w:r>
        <w:rPr>
          <w:rFonts w:hint="eastAsia" w:ascii="Arial" w:hAnsi="Arial" w:cs="Arial"/>
          <w:b w:val="0"/>
          <w:color w:val="auto"/>
          <w:kern w:val="2"/>
          <w:sz w:val="26"/>
          <w:szCs w:val="26"/>
          <w:lang w:val="fr-FR" w:eastAsia="zh-CN" w:bidi="ar-SA"/>
        </w:rPr>
        <w:t>根据现场走访调查，本项目地下水评价范围内无</w:t>
      </w:r>
      <w:r>
        <w:rPr>
          <w:rFonts w:hint="eastAsia" w:ascii="Arial" w:hAnsi="Arial" w:cs="Arial"/>
          <w:sz w:val="26"/>
          <w:szCs w:val="26"/>
          <w:lang w:val="en-US" w:eastAsia="zh-CN"/>
        </w:rPr>
        <w:t>集中式饮用水源地、分散式饮用水源地和热水、矿泉水、温泉等特殊地下水资源保护区、分布区，居民饮用水采取农村安全饮水工程供给的自来水，或收集的山涧溪水，无地下水开发利用。</w:t>
      </w:r>
    </w:p>
    <w:p w14:paraId="76F170E8">
      <w:pPr>
        <w:pStyle w:val="1873"/>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Arial" w:hAnsi="Arial" w:cs="Arial"/>
          <w:sz w:val="26"/>
          <w:szCs w:val="26"/>
          <w:lang w:val="fr-FR" w:eastAsia="zh-CN"/>
        </w:rPr>
      </w:pPr>
    </w:p>
    <w:p w14:paraId="4940DA6E">
      <w:pPr>
        <w:pStyle w:val="1873"/>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Arial" w:hAnsi="Arial" w:cs="Arial"/>
          <w:b w:val="0"/>
          <w:color w:val="auto"/>
          <w:kern w:val="2"/>
          <w:sz w:val="26"/>
          <w:szCs w:val="26"/>
          <w:highlight w:val="none"/>
          <w:lang w:val="en-US" w:eastAsia="zh-CN" w:bidi="ar-SA"/>
        </w:rPr>
        <w:sectPr>
          <w:headerReference r:id="rId19" w:type="default"/>
          <w:pgSz w:w="11906" w:h="16838"/>
          <w:pgMar w:top="1440" w:right="1701" w:bottom="1440"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AFFEAC">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highlight w:val="none"/>
          <w:lang w:val="en-US" w:eastAsia="zh-CN"/>
        </w:rPr>
      </w:pPr>
      <w:r>
        <w:rPr>
          <w:rFonts w:hint="eastAsia" w:ascii="Arial" w:hAnsi="Arial" w:cs="Arial"/>
          <w:b/>
          <w:bCs/>
          <w:color w:val="auto"/>
          <w:sz w:val="26"/>
          <w:szCs w:val="26"/>
          <w:highlight w:val="none"/>
          <w:lang w:val="en-US" w:eastAsia="zh-CN"/>
        </w:rPr>
        <w:t>表1.8-2  拟建项目生态环境保护目标一览表</w:t>
      </w:r>
    </w:p>
    <w:tbl>
      <w:tblPr>
        <w:tblStyle w:val="77"/>
        <w:tblW w:w="140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8"/>
        <w:gridCol w:w="2185"/>
        <w:gridCol w:w="3323"/>
        <w:gridCol w:w="3174"/>
        <w:gridCol w:w="1890"/>
        <w:gridCol w:w="2295"/>
      </w:tblGrid>
      <w:tr w14:paraId="2D3ED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noWrap w:val="0"/>
            <w:vAlign w:val="center"/>
          </w:tcPr>
          <w:p w14:paraId="4316091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类别</w:t>
            </w:r>
          </w:p>
        </w:tc>
        <w:tc>
          <w:tcPr>
            <w:tcW w:w="2185" w:type="dxa"/>
            <w:noWrap w:val="0"/>
            <w:vAlign w:val="center"/>
          </w:tcPr>
          <w:p w14:paraId="2823D6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名称</w:t>
            </w:r>
          </w:p>
        </w:tc>
        <w:tc>
          <w:tcPr>
            <w:tcW w:w="3323" w:type="dxa"/>
            <w:noWrap w:val="0"/>
            <w:vAlign w:val="center"/>
          </w:tcPr>
          <w:p w14:paraId="15E703D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与工程的区位关系</w:t>
            </w:r>
          </w:p>
        </w:tc>
        <w:tc>
          <w:tcPr>
            <w:tcW w:w="3174" w:type="dxa"/>
            <w:noWrap w:val="0"/>
            <w:vAlign w:val="center"/>
          </w:tcPr>
          <w:p w14:paraId="27BEBB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环境特征</w:t>
            </w:r>
          </w:p>
        </w:tc>
        <w:tc>
          <w:tcPr>
            <w:tcW w:w="1890" w:type="dxa"/>
            <w:noWrap w:val="0"/>
            <w:vAlign w:val="center"/>
          </w:tcPr>
          <w:p w14:paraId="5B2391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影响时段</w:t>
            </w:r>
          </w:p>
        </w:tc>
        <w:tc>
          <w:tcPr>
            <w:tcW w:w="2295" w:type="dxa"/>
            <w:noWrap w:val="0"/>
            <w:vAlign w:val="center"/>
          </w:tcPr>
          <w:p w14:paraId="116ADD8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可能的影响因素</w:t>
            </w:r>
          </w:p>
        </w:tc>
      </w:tr>
      <w:tr w14:paraId="0A7A9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1158" w:type="dxa"/>
            <w:vMerge w:val="restart"/>
            <w:noWrap w:val="0"/>
            <w:vAlign w:val="center"/>
          </w:tcPr>
          <w:p w14:paraId="75809D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color w:val="auto"/>
                <w:sz w:val="22"/>
                <w:szCs w:val="22"/>
              </w:rPr>
            </w:pPr>
            <w:r>
              <w:rPr>
                <w:rFonts w:hint="eastAsia" w:ascii="Arial" w:hAnsi="Arial" w:cs="Arial"/>
                <w:color w:val="auto"/>
                <w:sz w:val="22"/>
                <w:szCs w:val="22"/>
              </w:rPr>
              <w:t>生态环境</w:t>
            </w:r>
          </w:p>
        </w:tc>
        <w:tc>
          <w:tcPr>
            <w:tcW w:w="2185" w:type="dxa"/>
            <w:noWrap w:val="0"/>
            <w:vAlign w:val="center"/>
          </w:tcPr>
          <w:p w14:paraId="7ADA5A2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公益林地</w:t>
            </w:r>
          </w:p>
        </w:tc>
        <w:tc>
          <w:tcPr>
            <w:tcW w:w="3323" w:type="dxa"/>
            <w:noWrap w:val="0"/>
            <w:vAlign w:val="center"/>
          </w:tcPr>
          <w:p w14:paraId="7F15F2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 w:val="0"/>
                <w:color w:val="auto"/>
                <w:kern w:val="2"/>
                <w:sz w:val="22"/>
                <w:szCs w:val="22"/>
                <w:highlight w:val="none"/>
                <w:lang w:val="en-US" w:eastAsia="zh-CN" w:bidi="ar-SA"/>
              </w:rPr>
            </w:pPr>
            <w:r>
              <w:rPr>
                <w:rFonts w:hint="eastAsia" w:ascii="Arial" w:hAnsi="Arial" w:cs="Arial"/>
                <w:b w:val="0"/>
                <w:color w:val="auto"/>
                <w:kern w:val="2"/>
                <w:sz w:val="22"/>
                <w:szCs w:val="22"/>
                <w:highlight w:val="none"/>
                <w:lang w:val="en-US" w:eastAsia="zh-CN" w:bidi="ar-SA"/>
              </w:rPr>
              <w:t>为三级地方级公益林。</w:t>
            </w:r>
          </w:p>
        </w:tc>
        <w:tc>
          <w:tcPr>
            <w:tcW w:w="3174" w:type="dxa"/>
            <w:noWrap w:val="0"/>
            <w:vAlign w:val="center"/>
          </w:tcPr>
          <w:p w14:paraId="0516DE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主要为马尾松、桉树、柏木、枫杨等。</w:t>
            </w:r>
          </w:p>
        </w:tc>
        <w:tc>
          <w:tcPr>
            <w:tcW w:w="1890" w:type="dxa"/>
            <w:noWrap w:val="0"/>
            <w:vAlign w:val="center"/>
          </w:tcPr>
          <w:p w14:paraId="6B1605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color w:val="auto"/>
                <w:sz w:val="22"/>
                <w:szCs w:val="22"/>
              </w:rPr>
            </w:pPr>
            <w:r>
              <w:rPr>
                <w:rFonts w:hint="eastAsia" w:ascii="Arial" w:hAnsi="Arial" w:cs="Arial"/>
                <w:color w:val="auto"/>
                <w:sz w:val="22"/>
                <w:szCs w:val="22"/>
              </w:rPr>
              <w:t>施工期</w:t>
            </w:r>
          </w:p>
        </w:tc>
        <w:tc>
          <w:tcPr>
            <w:tcW w:w="2295" w:type="dxa"/>
            <w:noWrap w:val="0"/>
            <w:vAlign w:val="center"/>
          </w:tcPr>
          <w:p w14:paraId="6688E84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淹没、剥离破坏</w:t>
            </w:r>
          </w:p>
        </w:tc>
      </w:tr>
      <w:tr w14:paraId="01031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2DB6CC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noWrap w:val="0"/>
            <w:vAlign w:val="center"/>
          </w:tcPr>
          <w:p w14:paraId="6DDF71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基本农田</w:t>
            </w:r>
          </w:p>
        </w:tc>
        <w:tc>
          <w:tcPr>
            <w:tcW w:w="3323" w:type="dxa"/>
            <w:noWrap w:val="0"/>
            <w:vAlign w:val="center"/>
          </w:tcPr>
          <w:p w14:paraId="088454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highlight w:val="none"/>
              </w:rPr>
            </w:pPr>
            <w:r>
              <w:rPr>
                <w:rFonts w:hint="eastAsia" w:ascii="Arial" w:hAnsi="Arial" w:cs="Arial"/>
                <w:color w:val="auto"/>
                <w:sz w:val="22"/>
                <w:szCs w:val="22"/>
                <w:highlight w:val="none"/>
                <w:lang w:eastAsia="zh-CN"/>
              </w:rPr>
              <w:t>永久、临时占地范围内分布</w:t>
            </w:r>
          </w:p>
        </w:tc>
        <w:tc>
          <w:tcPr>
            <w:tcW w:w="3174" w:type="dxa"/>
            <w:noWrap w:val="0"/>
            <w:vAlign w:val="center"/>
          </w:tcPr>
          <w:p w14:paraId="0D1A3B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主要为水田、坡耕地</w:t>
            </w:r>
          </w:p>
        </w:tc>
        <w:tc>
          <w:tcPr>
            <w:tcW w:w="1890" w:type="dxa"/>
            <w:noWrap w:val="0"/>
            <w:vAlign w:val="center"/>
          </w:tcPr>
          <w:p w14:paraId="398876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hint="eastAsia" w:ascii="Arial" w:hAnsi="Arial" w:cs="Arial"/>
                <w:color w:val="auto"/>
                <w:sz w:val="22"/>
                <w:szCs w:val="22"/>
              </w:rPr>
              <w:t>施工期</w:t>
            </w:r>
          </w:p>
        </w:tc>
        <w:tc>
          <w:tcPr>
            <w:tcW w:w="2295" w:type="dxa"/>
            <w:noWrap w:val="0"/>
            <w:vAlign w:val="center"/>
          </w:tcPr>
          <w:p w14:paraId="0AE21E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施工占用</w:t>
            </w:r>
          </w:p>
        </w:tc>
      </w:tr>
      <w:tr w14:paraId="1210C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58" w:type="dxa"/>
            <w:vMerge w:val="continue"/>
            <w:noWrap w:val="0"/>
            <w:vAlign w:val="center"/>
          </w:tcPr>
          <w:p w14:paraId="5DDBE7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noWrap w:val="0"/>
            <w:vAlign w:val="center"/>
          </w:tcPr>
          <w:p w14:paraId="0EF923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color w:val="auto"/>
                <w:sz w:val="22"/>
                <w:szCs w:val="22"/>
              </w:rPr>
            </w:pPr>
            <w:r>
              <w:rPr>
                <w:rFonts w:hint="eastAsia" w:ascii="Arial" w:hAnsi="Arial" w:cs="Arial"/>
                <w:color w:val="auto"/>
                <w:sz w:val="22"/>
                <w:szCs w:val="22"/>
              </w:rPr>
              <w:t>陆生动物</w:t>
            </w:r>
          </w:p>
        </w:tc>
        <w:tc>
          <w:tcPr>
            <w:tcW w:w="3323" w:type="dxa"/>
            <w:shd w:val="clear" w:color="auto" w:fill="auto"/>
            <w:noWrap w:val="0"/>
            <w:vAlign w:val="center"/>
          </w:tcPr>
          <w:p w14:paraId="6C4535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水库淹没区及施工影响区</w:t>
            </w:r>
          </w:p>
        </w:tc>
        <w:tc>
          <w:tcPr>
            <w:tcW w:w="3174" w:type="dxa"/>
            <w:shd w:val="clear" w:color="auto" w:fill="auto"/>
            <w:noWrap w:val="0"/>
            <w:vAlign w:val="center"/>
          </w:tcPr>
          <w:p w14:paraId="6EED4C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常见的农田动物，如麻雀、山斑鸠、松鼠、蝙蝠、蜥蜴，家禽猪、牛、羊、鸡、鸭等，库区范围内未发现珍稀</w:t>
            </w:r>
            <w:r>
              <w:rPr>
                <w:rFonts w:hint="eastAsia" w:ascii="Arial" w:hAnsi="Arial" w:cs="Arial"/>
                <w:color w:val="auto"/>
                <w:sz w:val="22"/>
                <w:szCs w:val="22"/>
                <w:lang w:eastAsia="zh-CN"/>
              </w:rPr>
              <w:t>濒危</w:t>
            </w:r>
            <w:r>
              <w:rPr>
                <w:rFonts w:hint="eastAsia" w:ascii="Arial" w:hAnsi="Arial" w:cs="Arial"/>
                <w:color w:val="auto"/>
                <w:sz w:val="22"/>
                <w:szCs w:val="22"/>
              </w:rPr>
              <w:t>保护</w:t>
            </w:r>
            <w:r>
              <w:rPr>
                <w:rFonts w:hint="eastAsia" w:ascii="Arial" w:hAnsi="Arial" w:cs="Arial"/>
                <w:color w:val="auto"/>
                <w:sz w:val="22"/>
                <w:szCs w:val="22"/>
                <w:lang w:eastAsia="zh-CN"/>
              </w:rPr>
              <w:t>型</w:t>
            </w:r>
            <w:r>
              <w:rPr>
                <w:rFonts w:hint="eastAsia" w:ascii="Arial" w:hAnsi="Arial" w:cs="Arial"/>
                <w:color w:val="auto"/>
                <w:sz w:val="22"/>
                <w:szCs w:val="22"/>
              </w:rPr>
              <w:t>野生动物</w:t>
            </w:r>
          </w:p>
        </w:tc>
        <w:tc>
          <w:tcPr>
            <w:tcW w:w="1890" w:type="dxa"/>
            <w:shd w:val="clear" w:color="auto" w:fill="auto"/>
            <w:noWrap w:val="0"/>
            <w:vAlign w:val="center"/>
          </w:tcPr>
          <w:p w14:paraId="395DE22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34BCA0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惊扰、破坏部分栖息环境，施工阻隔，减水影响</w:t>
            </w:r>
          </w:p>
        </w:tc>
      </w:tr>
      <w:tr w14:paraId="35AB8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0C022FB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1BCEEE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陆生植物</w:t>
            </w:r>
          </w:p>
        </w:tc>
        <w:tc>
          <w:tcPr>
            <w:tcW w:w="3323" w:type="dxa"/>
            <w:shd w:val="clear" w:color="auto" w:fill="auto"/>
            <w:noWrap w:val="0"/>
            <w:vAlign w:val="center"/>
          </w:tcPr>
          <w:p w14:paraId="06BA30A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施工影响区、水库淹没区、减水段、回水区</w:t>
            </w:r>
          </w:p>
        </w:tc>
        <w:tc>
          <w:tcPr>
            <w:tcW w:w="3174" w:type="dxa"/>
            <w:shd w:val="clear" w:color="auto" w:fill="auto"/>
            <w:noWrap w:val="0"/>
            <w:vAlign w:val="center"/>
          </w:tcPr>
          <w:p w14:paraId="33F845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人工种植农作物</w:t>
            </w:r>
            <w:r>
              <w:rPr>
                <w:rFonts w:hint="eastAsia" w:ascii="Arial" w:hAnsi="Arial" w:cs="Arial"/>
                <w:color w:val="auto"/>
                <w:sz w:val="22"/>
                <w:szCs w:val="22"/>
                <w:lang w:eastAsia="zh-CN"/>
              </w:rPr>
              <w:t>、公益林、</w:t>
            </w:r>
            <w:r>
              <w:rPr>
                <w:rFonts w:hint="eastAsia" w:ascii="Arial" w:hAnsi="Arial" w:cs="Arial"/>
                <w:color w:val="auto"/>
                <w:sz w:val="22"/>
                <w:szCs w:val="22"/>
              </w:rPr>
              <w:t>一般商品林木、河滩地草本植物，</w:t>
            </w:r>
            <w:r>
              <w:rPr>
                <w:rFonts w:hint="eastAsia" w:ascii="Arial" w:hAnsi="Arial" w:cs="Arial"/>
                <w:color w:val="auto"/>
                <w:sz w:val="22"/>
                <w:szCs w:val="22"/>
                <w:lang w:eastAsia="zh-CN"/>
              </w:rPr>
              <w:t>马尾松、桉树、枫杨、柏木、水竹、麻栎、化香、构树</w:t>
            </w:r>
            <w:r>
              <w:rPr>
                <w:rFonts w:hint="eastAsia" w:ascii="Arial" w:hAnsi="Arial" w:cs="Arial"/>
                <w:color w:val="auto"/>
                <w:sz w:val="22"/>
                <w:szCs w:val="22"/>
              </w:rPr>
              <w:t>，未发现珍稀保护</w:t>
            </w:r>
            <w:r>
              <w:rPr>
                <w:rFonts w:hint="eastAsia" w:ascii="Arial" w:hAnsi="Arial" w:cs="Arial"/>
                <w:color w:val="auto"/>
                <w:sz w:val="22"/>
                <w:szCs w:val="22"/>
                <w:lang w:eastAsia="zh-CN"/>
              </w:rPr>
              <w:t>型</w:t>
            </w:r>
            <w:r>
              <w:rPr>
                <w:rFonts w:hint="eastAsia" w:ascii="Arial" w:hAnsi="Arial" w:cs="Arial"/>
                <w:color w:val="auto"/>
                <w:sz w:val="22"/>
                <w:szCs w:val="22"/>
              </w:rPr>
              <w:t>野生植物，</w:t>
            </w:r>
            <w:r>
              <w:rPr>
                <w:rFonts w:hint="eastAsia" w:ascii="Arial" w:hAnsi="Arial" w:cs="Arial"/>
                <w:color w:val="auto"/>
                <w:sz w:val="22"/>
                <w:szCs w:val="22"/>
                <w:lang w:eastAsia="zh-CN"/>
              </w:rPr>
              <w:t>未发现</w:t>
            </w:r>
            <w:r>
              <w:rPr>
                <w:rFonts w:hint="eastAsia" w:ascii="Arial" w:hAnsi="Arial" w:cs="Arial"/>
                <w:color w:val="auto"/>
                <w:sz w:val="22"/>
                <w:szCs w:val="22"/>
              </w:rPr>
              <w:t>名木古树和其他保护物种分布。</w:t>
            </w:r>
          </w:p>
        </w:tc>
        <w:tc>
          <w:tcPr>
            <w:tcW w:w="1890" w:type="dxa"/>
            <w:shd w:val="clear" w:color="auto" w:fill="auto"/>
            <w:noWrap w:val="0"/>
            <w:vAlign w:val="center"/>
          </w:tcPr>
          <w:p w14:paraId="4B802B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6535B2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淹没、剥离破坏，减水影响</w:t>
            </w:r>
          </w:p>
        </w:tc>
      </w:tr>
      <w:tr w14:paraId="5BC70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4463B7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0BFFFE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水生生态</w:t>
            </w:r>
          </w:p>
        </w:tc>
        <w:tc>
          <w:tcPr>
            <w:tcW w:w="3323" w:type="dxa"/>
            <w:shd w:val="clear" w:color="auto" w:fill="auto"/>
            <w:noWrap w:val="0"/>
            <w:vAlign w:val="center"/>
          </w:tcPr>
          <w:p w14:paraId="013394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水库库区、减水段</w:t>
            </w:r>
          </w:p>
        </w:tc>
        <w:tc>
          <w:tcPr>
            <w:tcW w:w="3174" w:type="dxa"/>
            <w:shd w:val="clear" w:color="auto" w:fill="auto"/>
            <w:noWrap w:val="0"/>
            <w:vAlign w:val="center"/>
          </w:tcPr>
          <w:p w14:paraId="576103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hint="eastAsia" w:ascii="Arial" w:hAnsi="Arial" w:cs="Arial"/>
                <w:color w:val="auto"/>
                <w:sz w:val="22"/>
                <w:szCs w:val="22"/>
              </w:rPr>
              <w:t>无鱼类“三场”、鱼泉等分布，</w:t>
            </w:r>
          </w:p>
          <w:p w14:paraId="3A81ECF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鱼类资源较少，主要为经济鱼类鲤鱼、鲫鱼、黄颡鱼、草鱼等；有少量的浮游动物和浮游植物，无国家重点保护鱼类和重庆市市级保护鱼类</w:t>
            </w:r>
            <w:r>
              <w:rPr>
                <w:rFonts w:hint="eastAsia" w:ascii="Arial" w:hAnsi="Arial" w:cs="Arial"/>
                <w:color w:val="auto"/>
                <w:sz w:val="22"/>
                <w:szCs w:val="22"/>
                <w:lang w:eastAsia="zh-CN"/>
              </w:rPr>
              <w:t>。</w:t>
            </w:r>
          </w:p>
        </w:tc>
        <w:tc>
          <w:tcPr>
            <w:tcW w:w="1890" w:type="dxa"/>
            <w:shd w:val="clear" w:color="auto" w:fill="auto"/>
            <w:noWrap w:val="0"/>
            <w:vAlign w:val="center"/>
          </w:tcPr>
          <w:p w14:paraId="139246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63FBC2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闸坝阻隔、工程河段水文情势改变、对水生生物多样性影响</w:t>
            </w:r>
          </w:p>
        </w:tc>
      </w:tr>
      <w:tr w14:paraId="1EA34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7798E6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3F97FE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生态系统</w:t>
            </w:r>
          </w:p>
        </w:tc>
        <w:tc>
          <w:tcPr>
            <w:tcW w:w="3323" w:type="dxa"/>
            <w:shd w:val="clear" w:color="auto" w:fill="auto"/>
            <w:noWrap w:val="0"/>
            <w:vAlign w:val="center"/>
          </w:tcPr>
          <w:p w14:paraId="7AF98AD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工程区、水库库区、减水段</w:t>
            </w:r>
          </w:p>
        </w:tc>
        <w:tc>
          <w:tcPr>
            <w:tcW w:w="3174" w:type="dxa"/>
            <w:shd w:val="clear" w:color="auto" w:fill="auto"/>
            <w:noWrap w:val="0"/>
            <w:vAlign w:val="center"/>
          </w:tcPr>
          <w:p w14:paraId="0F50353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农田、村镇、林地及河岸生态系统等。</w:t>
            </w:r>
          </w:p>
        </w:tc>
        <w:tc>
          <w:tcPr>
            <w:tcW w:w="1890" w:type="dxa"/>
            <w:shd w:val="clear" w:color="auto" w:fill="auto"/>
            <w:noWrap w:val="0"/>
            <w:vAlign w:val="center"/>
          </w:tcPr>
          <w:p w14:paraId="0048E2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7BF7AC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河道形态变化改河道两侧生态系统</w:t>
            </w:r>
          </w:p>
        </w:tc>
      </w:tr>
      <w:tr w14:paraId="003E3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55E2E44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55EC23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水土流失</w:t>
            </w:r>
          </w:p>
        </w:tc>
        <w:tc>
          <w:tcPr>
            <w:tcW w:w="3323" w:type="dxa"/>
            <w:shd w:val="clear" w:color="auto" w:fill="auto"/>
            <w:noWrap w:val="0"/>
            <w:vAlign w:val="center"/>
          </w:tcPr>
          <w:p w14:paraId="65F0F7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开挖工作面、弃土场等</w:t>
            </w:r>
          </w:p>
        </w:tc>
        <w:tc>
          <w:tcPr>
            <w:tcW w:w="3174" w:type="dxa"/>
            <w:shd w:val="clear" w:color="auto" w:fill="auto"/>
            <w:noWrap w:val="0"/>
            <w:vAlign w:val="center"/>
          </w:tcPr>
          <w:p w14:paraId="003C522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耕地、人工植被、经济林地</w:t>
            </w:r>
          </w:p>
        </w:tc>
        <w:tc>
          <w:tcPr>
            <w:tcW w:w="1890" w:type="dxa"/>
            <w:shd w:val="clear" w:color="auto" w:fill="auto"/>
            <w:noWrap w:val="0"/>
            <w:vAlign w:val="center"/>
          </w:tcPr>
          <w:p w14:paraId="31F70D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1EADC5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开挖、扰动、弃渣等导致新增水土流失</w:t>
            </w:r>
          </w:p>
        </w:tc>
      </w:tr>
      <w:tr w14:paraId="0ACD3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760081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6703C7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耕地及移民安置</w:t>
            </w:r>
          </w:p>
        </w:tc>
        <w:tc>
          <w:tcPr>
            <w:tcW w:w="3323" w:type="dxa"/>
            <w:shd w:val="clear" w:color="auto" w:fill="auto"/>
            <w:noWrap w:val="0"/>
            <w:vAlign w:val="center"/>
          </w:tcPr>
          <w:p w14:paraId="591D4E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工程占地范围内、库区</w:t>
            </w:r>
          </w:p>
        </w:tc>
        <w:tc>
          <w:tcPr>
            <w:tcW w:w="3174" w:type="dxa"/>
            <w:shd w:val="clear" w:color="auto" w:fill="auto"/>
            <w:noWrap w:val="0"/>
            <w:vAlign w:val="center"/>
          </w:tcPr>
          <w:p w14:paraId="425B76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水库淹没面积</w:t>
            </w:r>
            <w:r>
              <w:rPr>
                <w:rFonts w:hint="eastAsia" w:ascii="Arial" w:hAnsi="Arial" w:cs="Arial"/>
                <w:color w:val="auto"/>
                <w:sz w:val="22"/>
                <w:szCs w:val="22"/>
                <w:lang w:val="en-US" w:eastAsia="zh-CN"/>
              </w:rPr>
              <w:t>8.3068</w:t>
            </w:r>
            <w:r>
              <w:rPr>
                <w:rFonts w:hint="eastAsia" w:ascii="Arial" w:hAnsi="Arial" w:cs="Arial"/>
                <w:color w:val="auto"/>
                <w:sz w:val="22"/>
                <w:szCs w:val="22"/>
              </w:rPr>
              <w:t>hm</w:t>
            </w:r>
            <w:r>
              <w:rPr>
                <w:rFonts w:hint="eastAsia" w:ascii="Arial" w:hAnsi="Arial" w:cs="Arial"/>
                <w:color w:val="auto"/>
                <w:sz w:val="22"/>
                <w:szCs w:val="22"/>
                <w:vertAlign w:val="superscript"/>
              </w:rPr>
              <w:t>2</w:t>
            </w:r>
          </w:p>
        </w:tc>
        <w:tc>
          <w:tcPr>
            <w:tcW w:w="1890" w:type="dxa"/>
            <w:shd w:val="clear" w:color="auto" w:fill="auto"/>
            <w:noWrap w:val="0"/>
            <w:vAlign w:val="center"/>
          </w:tcPr>
          <w:p w14:paraId="21C05B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w:t>
            </w:r>
          </w:p>
        </w:tc>
        <w:tc>
          <w:tcPr>
            <w:tcW w:w="2295" w:type="dxa"/>
            <w:shd w:val="clear" w:color="auto" w:fill="auto"/>
            <w:noWrap w:val="0"/>
            <w:vAlign w:val="center"/>
          </w:tcPr>
          <w:p w14:paraId="29E83DF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淹没、安置</w:t>
            </w:r>
          </w:p>
        </w:tc>
      </w:tr>
    </w:tbl>
    <w:p w14:paraId="7CC08ABB">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Arial" w:hAnsi="Arial" w:cs="Arial"/>
          <w:b w:val="0"/>
          <w:color w:val="auto"/>
          <w:kern w:val="2"/>
          <w:sz w:val="26"/>
          <w:szCs w:val="26"/>
          <w:highlight w:val="none"/>
          <w:lang w:val="en-US" w:eastAsia="zh-CN" w:bidi="ar-SA"/>
        </w:rPr>
      </w:pPr>
    </w:p>
    <w:p w14:paraId="0A01B132">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lang w:val="en-US" w:eastAsia="zh-CN"/>
        </w:rPr>
      </w:pPr>
    </w:p>
    <w:p w14:paraId="63864B26">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lang w:val="en-US" w:eastAsia="zh-CN"/>
        </w:rPr>
      </w:pPr>
    </w:p>
    <w:p w14:paraId="794D95C6">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lang w:val="en-US" w:eastAsia="zh-CN"/>
        </w:rPr>
      </w:pPr>
    </w:p>
    <w:p w14:paraId="33CE3C5E">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highlight w:val="none"/>
          <w:lang w:val="en-US" w:eastAsia="zh-CN" w:bidi="ar-SA"/>
        </w:rPr>
        <w:sectPr>
          <w:pgSz w:w="16838" w:h="11906" w:orient="landscape"/>
          <w:pgMar w:top="1701" w:right="1440" w:bottom="1701" w:left="1440" w:header="1134" w:footer="1134" w:gutter="0"/>
          <w:pgBorders>
            <w:top w:val="none" w:sz="0" w:space="0"/>
            <w:left w:val="none" w:sz="0" w:space="0"/>
            <w:bottom w:val="none" w:sz="0" w:space="0"/>
            <w:right w:val="none" w:sz="0" w:space="0"/>
          </w:pgBorders>
          <w:pgNumType w:fmt="decimal"/>
          <w:cols w:space="425" w:num="1"/>
          <w:docGrid w:type="lines" w:linePitch="312" w:charSpace="0"/>
        </w:sectPr>
      </w:pPr>
    </w:p>
    <w:bookmarkEnd w:id="69"/>
    <w:bookmarkEnd w:id="70"/>
    <w:p w14:paraId="1CFB6E15">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sz w:val="26"/>
          <w:szCs w:val="26"/>
        </w:rPr>
      </w:pPr>
      <w:bookmarkStart w:id="71" w:name="_Toc16285"/>
      <w:r>
        <w:rPr>
          <w:rFonts w:hint="default" w:ascii="Arial" w:hAnsi="Arial" w:cs="Arial"/>
          <w:sz w:val="26"/>
          <w:szCs w:val="26"/>
        </w:rPr>
        <w:t>1.</w:t>
      </w:r>
      <w:r>
        <w:rPr>
          <w:rFonts w:hint="default" w:ascii="Arial" w:hAnsi="Arial" w:cs="Arial"/>
          <w:sz w:val="26"/>
          <w:szCs w:val="26"/>
          <w:lang w:val="en-US" w:eastAsia="zh-CN"/>
        </w:rPr>
        <w:t>9</w:t>
      </w:r>
      <w:r>
        <w:rPr>
          <w:rFonts w:hint="default" w:ascii="Arial" w:hAnsi="Arial" w:cs="Arial"/>
          <w:sz w:val="26"/>
          <w:szCs w:val="26"/>
        </w:rPr>
        <w:t>产业政策和规划</w:t>
      </w:r>
      <w:r>
        <w:rPr>
          <w:rFonts w:hint="eastAsia" w:ascii="Arial" w:hAnsi="Arial" w:cs="Arial"/>
          <w:sz w:val="26"/>
          <w:szCs w:val="26"/>
          <w:lang w:eastAsia="zh-CN"/>
        </w:rPr>
        <w:t>等</w:t>
      </w:r>
      <w:r>
        <w:rPr>
          <w:rFonts w:hint="default" w:ascii="Arial" w:hAnsi="Arial" w:cs="Arial"/>
          <w:sz w:val="26"/>
          <w:szCs w:val="26"/>
        </w:rPr>
        <w:t>符合性分析</w:t>
      </w:r>
      <w:bookmarkEnd w:id="71"/>
    </w:p>
    <w:p w14:paraId="324C7573">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9</w:t>
      </w:r>
      <w:r>
        <w:rPr>
          <w:rFonts w:hint="default" w:ascii="Arial" w:hAnsi="Arial" w:eastAsia="宋体" w:cs="Arial"/>
          <w:b/>
          <w:color w:val="auto"/>
          <w:kern w:val="0"/>
          <w:sz w:val="26"/>
          <w:szCs w:val="26"/>
          <w:highlight w:val="none"/>
          <w:lang w:val="en-US" w:eastAsia="zh-CN"/>
        </w:rPr>
        <w:t>.1与</w:t>
      </w:r>
      <w:r>
        <w:rPr>
          <w:rFonts w:hint="eastAsia" w:ascii="Arial" w:hAnsi="Arial" w:cs="Arial"/>
          <w:b/>
          <w:color w:val="auto"/>
          <w:kern w:val="0"/>
          <w:sz w:val="26"/>
          <w:szCs w:val="26"/>
          <w:highlight w:val="none"/>
          <w:lang w:val="en-US" w:eastAsia="zh-CN"/>
        </w:rPr>
        <w:t>国家</w:t>
      </w:r>
      <w:r>
        <w:rPr>
          <w:rFonts w:hint="default" w:ascii="Arial" w:hAnsi="Arial" w:eastAsia="宋体" w:cs="Arial"/>
          <w:b/>
          <w:color w:val="auto"/>
          <w:kern w:val="0"/>
          <w:sz w:val="26"/>
          <w:szCs w:val="26"/>
          <w:highlight w:val="none"/>
          <w:lang w:val="en-US" w:eastAsia="zh-CN"/>
        </w:rPr>
        <w:t>产业政策符合性分析</w:t>
      </w:r>
    </w:p>
    <w:p w14:paraId="7527BC3C">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fr-FR" w:eastAsia="zh-CN" w:bidi="ar-SA"/>
        </w:rPr>
      </w:pPr>
      <w:r>
        <w:rPr>
          <w:rFonts w:hint="eastAsia" w:ascii="Arial" w:hAnsi="Arial" w:cs="Arial"/>
          <w:b w:val="0"/>
          <w:color w:val="auto"/>
          <w:kern w:val="2"/>
          <w:sz w:val="26"/>
          <w:szCs w:val="26"/>
          <w:lang w:val="fr-FR" w:eastAsia="zh-CN" w:bidi="ar-SA"/>
        </w:rPr>
        <w:t>本项目属于《产业结构调整指导目录（20</w:t>
      </w:r>
      <w:r>
        <w:rPr>
          <w:rFonts w:hint="eastAsia" w:ascii="Arial" w:hAnsi="Arial" w:cs="Arial"/>
          <w:b w:val="0"/>
          <w:color w:val="auto"/>
          <w:kern w:val="2"/>
          <w:sz w:val="26"/>
          <w:szCs w:val="26"/>
          <w:lang w:val="en-US" w:eastAsia="zh-CN" w:bidi="ar-SA"/>
        </w:rPr>
        <w:t>24</w:t>
      </w:r>
      <w:r>
        <w:rPr>
          <w:rFonts w:hint="eastAsia" w:ascii="Arial" w:hAnsi="Arial" w:cs="Arial"/>
          <w:b w:val="0"/>
          <w:color w:val="auto"/>
          <w:kern w:val="2"/>
          <w:sz w:val="26"/>
          <w:szCs w:val="26"/>
          <w:lang w:val="fr-FR" w:eastAsia="zh-CN" w:bidi="ar-SA"/>
        </w:rPr>
        <w:t>年本）》“第一类鼓励类”中“二、水利”中“</w:t>
      </w:r>
      <w:r>
        <w:rPr>
          <w:rFonts w:hint="eastAsia" w:ascii="Arial" w:hAnsi="Arial" w:cs="Arial"/>
          <w:b w:val="0"/>
          <w:color w:val="auto"/>
          <w:kern w:val="2"/>
          <w:sz w:val="26"/>
          <w:szCs w:val="26"/>
          <w:lang w:val="en-US" w:eastAsia="zh-CN" w:bidi="ar-SA"/>
        </w:rPr>
        <w:t>2、节水供水工程”</w:t>
      </w:r>
      <w:r>
        <w:rPr>
          <w:rFonts w:hint="eastAsia" w:ascii="Arial" w:hAnsi="Arial" w:cs="Arial"/>
          <w:b w:val="0"/>
          <w:color w:val="auto"/>
          <w:kern w:val="2"/>
          <w:sz w:val="26"/>
          <w:szCs w:val="26"/>
          <w:lang w:val="fr-FR" w:eastAsia="zh-CN" w:bidi="ar-SA"/>
        </w:rPr>
        <w:t>，为鼓励类建设项目，符合国家产业政策要求。</w:t>
      </w:r>
    </w:p>
    <w:p w14:paraId="76165311">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fr-FR" w:eastAsia="zh-CN" w:bidi="ar-SA"/>
        </w:rPr>
      </w:pPr>
      <w:r>
        <w:rPr>
          <w:rFonts w:hint="eastAsia" w:ascii="Arial" w:hAnsi="Arial" w:cs="Arial"/>
          <w:b w:val="0"/>
          <w:color w:val="auto"/>
          <w:kern w:val="2"/>
          <w:sz w:val="26"/>
          <w:szCs w:val="26"/>
          <w:lang w:val="fr-FR" w:eastAsia="zh-CN" w:bidi="ar-SA"/>
        </w:rPr>
        <w:t>本项目已取得丰都县发展和改革委员会下发的可研批复，赋予的项目代码为</w:t>
      </w:r>
      <w:r>
        <w:rPr>
          <w:rFonts w:hint="eastAsia" w:ascii="Arial" w:hAnsi="Arial" w:cs="Arial"/>
          <w:b w:val="0"/>
          <w:color w:val="auto"/>
          <w:kern w:val="2"/>
          <w:sz w:val="26"/>
          <w:szCs w:val="26"/>
          <w:lang w:val="en-US" w:eastAsia="zh-CN" w:bidi="ar-SA"/>
        </w:rPr>
        <w:t>2206-500230-04-01-422735。</w:t>
      </w:r>
    </w:p>
    <w:p w14:paraId="7D265303">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CIDFont" w:hAnsi="CIDFont" w:eastAsia="CIDFont" w:cs="CIDFont"/>
          <w:color w:val="000000"/>
          <w:kern w:val="0"/>
          <w:sz w:val="26"/>
          <w:szCs w:val="26"/>
          <w:lang w:val="en-US" w:eastAsia="zh-CN" w:bidi="ar"/>
        </w:rPr>
      </w:pPr>
      <w:r>
        <w:rPr>
          <w:rFonts w:hint="eastAsia" w:ascii="Arial" w:hAnsi="Arial" w:cs="Arial"/>
          <w:b w:val="0"/>
          <w:color w:val="auto"/>
          <w:kern w:val="2"/>
          <w:sz w:val="26"/>
          <w:szCs w:val="26"/>
          <w:lang w:val="en-US" w:eastAsia="zh-CN" w:bidi="ar-SA"/>
        </w:rPr>
        <w:t>综上分析，拟建项目的建设符合国家和重庆市现行产业政策要求。</w:t>
      </w:r>
      <w:r>
        <w:rPr>
          <w:rFonts w:ascii="CIDFont" w:hAnsi="CIDFont" w:eastAsia="CIDFont" w:cs="CIDFont"/>
          <w:color w:val="000000"/>
          <w:kern w:val="0"/>
          <w:sz w:val="26"/>
          <w:szCs w:val="26"/>
          <w:lang w:val="en-US" w:eastAsia="zh-CN" w:bidi="ar"/>
        </w:rPr>
        <w:t xml:space="preserve"> </w:t>
      </w:r>
    </w:p>
    <w:p w14:paraId="01D688AF">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en-US" w:eastAsia="zh-CN"/>
        </w:rPr>
        <w:t>1.</w:t>
      </w:r>
      <w:r>
        <w:rPr>
          <w:rFonts w:hint="eastAsia" w:ascii="Arial" w:hAnsi="Arial" w:eastAsia="宋体" w:cs="Arial"/>
          <w:b/>
          <w:color w:val="auto"/>
          <w:kern w:val="0"/>
          <w:sz w:val="26"/>
          <w:szCs w:val="26"/>
          <w:highlight w:val="none"/>
          <w:lang w:val="en-US" w:eastAsia="zh-CN"/>
        </w:rPr>
        <w:t>9</w:t>
      </w:r>
      <w:r>
        <w:rPr>
          <w:rFonts w:hint="default" w:ascii="Arial" w:hAnsi="Arial" w:eastAsia="宋体" w:cs="Arial"/>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2</w:t>
      </w:r>
      <w:r>
        <w:rPr>
          <w:rFonts w:hint="default" w:ascii="Arial" w:hAnsi="Arial" w:eastAsia="宋体" w:cs="Arial"/>
          <w:b/>
          <w:color w:val="auto"/>
          <w:kern w:val="0"/>
          <w:sz w:val="26"/>
          <w:szCs w:val="26"/>
          <w:highlight w:val="none"/>
          <w:lang w:val="en-US" w:eastAsia="zh-CN"/>
        </w:rPr>
        <w:t>与</w:t>
      </w:r>
      <w:bookmarkStart w:id="72" w:name="OLE_LINK5"/>
      <w:r>
        <w:rPr>
          <w:rFonts w:hint="eastAsia" w:ascii="Arial" w:hAnsi="Arial" w:eastAsia="宋体" w:cs="Arial"/>
          <w:b/>
          <w:color w:val="auto"/>
          <w:kern w:val="0"/>
          <w:sz w:val="26"/>
          <w:szCs w:val="26"/>
          <w:highlight w:val="none"/>
          <w:lang w:val="en-US" w:eastAsia="zh-CN"/>
        </w:rPr>
        <w:t>《关于印发重庆市产业投资准入工作手册的通知》（渝发改投资〔2022〕1436号）</w:t>
      </w:r>
      <w:bookmarkEnd w:id="72"/>
      <w:r>
        <w:rPr>
          <w:rFonts w:hint="eastAsia" w:ascii="Arial" w:hAnsi="Arial" w:eastAsia="宋体" w:cs="Arial"/>
          <w:b/>
          <w:color w:val="auto"/>
          <w:kern w:val="0"/>
          <w:sz w:val="26"/>
          <w:szCs w:val="26"/>
          <w:highlight w:val="none"/>
          <w:lang w:val="en-US" w:eastAsia="zh-CN"/>
        </w:rPr>
        <w:t>的</w:t>
      </w:r>
      <w:r>
        <w:rPr>
          <w:rFonts w:hint="default" w:ascii="Arial" w:hAnsi="Arial" w:eastAsia="宋体" w:cs="Arial"/>
          <w:b/>
          <w:color w:val="auto"/>
          <w:kern w:val="0"/>
          <w:sz w:val="26"/>
          <w:szCs w:val="26"/>
          <w:highlight w:val="none"/>
          <w:lang w:val="en-US" w:eastAsia="zh-CN"/>
        </w:rPr>
        <w:t>符合性分析</w:t>
      </w:r>
    </w:p>
    <w:p w14:paraId="25E1C0A7">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本项目选址位于丰都县双龙镇田家山村，属于《关于印发重庆市产业投资准入工作手册的通知》（渝发改投资〔2022〕1436号）中划分的渝东北三峡库区城镇群，符合性分析详见表1.9-1所示。</w:t>
      </w:r>
    </w:p>
    <w:p w14:paraId="57751929">
      <w:pPr>
        <w:keepNext w:val="0"/>
        <w:keepLines w:val="0"/>
        <w:pageBreakBefore w:val="0"/>
        <w:widowControl w:val="0"/>
        <w:kinsoku/>
        <w:wordWrap/>
        <w:overflowPunct/>
        <w:topLinePunct w:val="0"/>
        <w:autoSpaceDE w:val="0"/>
        <w:autoSpaceDN w:val="0"/>
        <w:bidi w:val="0"/>
        <w:adjustRightInd w:val="0"/>
        <w:snapToGrid w:val="0"/>
        <w:spacing w:line="460" w:lineRule="exact"/>
        <w:ind w:firstLine="0" w:firstLineChars="0"/>
        <w:jc w:val="center"/>
        <w:textAlignment w:val="auto"/>
        <w:rPr>
          <w:rFonts w:hint="default" w:ascii="Arial" w:hAnsi="Arial" w:eastAsia="宋体" w:cs="Arial"/>
          <w:b/>
          <w:bCs/>
          <w:color w:val="auto"/>
          <w:kern w:val="0"/>
          <w:sz w:val="26"/>
          <w:szCs w:val="26"/>
          <w:highlight w:val="none"/>
          <w:lang w:val="en-US" w:eastAsia="zh-CN"/>
        </w:rPr>
      </w:pPr>
      <w:r>
        <w:rPr>
          <w:rFonts w:hint="eastAsia" w:ascii="Arial" w:hAnsi="Arial" w:cs="Arial"/>
          <w:b/>
          <w:bCs/>
          <w:color w:val="auto"/>
          <w:kern w:val="0"/>
          <w:sz w:val="26"/>
          <w:szCs w:val="26"/>
          <w:highlight w:val="none"/>
          <w:lang w:eastAsia="zh-CN"/>
        </w:rPr>
        <w:t>表</w:t>
      </w:r>
      <w:r>
        <w:rPr>
          <w:rFonts w:hint="eastAsia" w:ascii="Arial" w:hAnsi="Arial" w:cs="Arial"/>
          <w:b/>
          <w:bCs/>
          <w:color w:val="auto"/>
          <w:kern w:val="0"/>
          <w:sz w:val="26"/>
          <w:szCs w:val="26"/>
          <w:highlight w:val="none"/>
          <w:lang w:val="en-US" w:eastAsia="zh-CN"/>
        </w:rPr>
        <w:t>1.9-1  拟建项目与</w:t>
      </w:r>
      <w:r>
        <w:rPr>
          <w:rFonts w:hint="eastAsia" w:ascii="Arial" w:hAnsi="Arial" w:cs="Arial"/>
          <w:b/>
          <w:bCs/>
          <w:color w:val="auto"/>
          <w:kern w:val="0"/>
          <w:sz w:val="26"/>
          <w:szCs w:val="26"/>
          <w:highlight w:val="none"/>
          <w:lang w:eastAsia="zh-CN"/>
        </w:rPr>
        <w:t>重庆市产业投资准入工作手册的符合性分析</w:t>
      </w:r>
    </w:p>
    <w:tbl>
      <w:tblPr>
        <w:tblStyle w:val="77"/>
        <w:tblW w:w="90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5"/>
        <w:gridCol w:w="3562"/>
        <w:gridCol w:w="3463"/>
        <w:gridCol w:w="1088"/>
      </w:tblGrid>
      <w:tr w14:paraId="0E10C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67" w:type="dxa"/>
            <w:gridSpan w:val="2"/>
            <w:noWrap w:val="0"/>
            <w:vAlign w:val="center"/>
          </w:tcPr>
          <w:p w14:paraId="61D652DF">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准入条件要求</w:t>
            </w:r>
          </w:p>
        </w:tc>
        <w:tc>
          <w:tcPr>
            <w:tcW w:w="3463" w:type="dxa"/>
            <w:noWrap w:val="0"/>
            <w:vAlign w:val="center"/>
          </w:tcPr>
          <w:p w14:paraId="5B5E676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本项目情况</w:t>
            </w:r>
          </w:p>
        </w:tc>
        <w:tc>
          <w:tcPr>
            <w:tcW w:w="1088" w:type="dxa"/>
            <w:noWrap w:val="0"/>
            <w:vAlign w:val="center"/>
          </w:tcPr>
          <w:p w14:paraId="0E1651F2">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符合性</w:t>
            </w:r>
          </w:p>
        </w:tc>
      </w:tr>
      <w:tr w14:paraId="620EA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restart"/>
            <w:noWrap w:val="0"/>
            <w:vAlign w:val="center"/>
          </w:tcPr>
          <w:p w14:paraId="3CFD75BE">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全市范围内</w:t>
            </w:r>
            <w:r>
              <w:rPr>
                <w:rFonts w:hint="eastAsia" w:ascii="Arial" w:hAnsi="Arial" w:cs="Arial"/>
                <w:color w:val="auto"/>
                <w:sz w:val="22"/>
                <w:szCs w:val="22"/>
                <w:highlight w:val="none"/>
                <w:lang w:eastAsia="zh-CN"/>
              </w:rPr>
              <w:t>不予</w:t>
            </w:r>
            <w:r>
              <w:rPr>
                <w:rFonts w:hint="default" w:ascii="Arial" w:hAnsi="Arial" w:cs="Arial"/>
                <w:color w:val="auto"/>
                <w:sz w:val="22"/>
                <w:szCs w:val="22"/>
                <w:highlight w:val="none"/>
              </w:rPr>
              <w:t>准入的产业</w:t>
            </w:r>
          </w:p>
        </w:tc>
        <w:tc>
          <w:tcPr>
            <w:tcW w:w="3562" w:type="dxa"/>
            <w:noWrap w:val="0"/>
            <w:vAlign w:val="center"/>
          </w:tcPr>
          <w:p w14:paraId="6AC0E289">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国家产业结构调整指导目录中的淘汰类项目。</w:t>
            </w:r>
          </w:p>
        </w:tc>
        <w:tc>
          <w:tcPr>
            <w:tcW w:w="3463" w:type="dxa"/>
            <w:noWrap w:val="0"/>
            <w:vAlign w:val="center"/>
          </w:tcPr>
          <w:p w14:paraId="7BF924E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本</w:t>
            </w:r>
            <w:r>
              <w:rPr>
                <w:rFonts w:hint="default" w:ascii="Arial" w:hAnsi="Arial" w:eastAsia="Times New Roman" w:cs="Arial"/>
                <w:color w:val="auto"/>
                <w:sz w:val="22"/>
                <w:szCs w:val="22"/>
                <w:highlight w:val="none"/>
              </w:rPr>
              <w:t>项目属于《产业结构调整指导目录（</w:t>
            </w:r>
            <w:r>
              <w:rPr>
                <w:rFonts w:hint="eastAsia" w:ascii="Arial" w:hAnsi="Arial" w:eastAsia="宋体" w:cs="Arial"/>
                <w:color w:val="auto"/>
                <w:sz w:val="22"/>
                <w:szCs w:val="22"/>
                <w:highlight w:val="none"/>
                <w:lang w:val="en-US" w:eastAsia="zh-CN"/>
              </w:rPr>
              <w:t>2024</w:t>
            </w:r>
            <w:r>
              <w:rPr>
                <w:rFonts w:hint="default" w:ascii="Arial" w:hAnsi="Arial" w:eastAsia="Times New Roman" w:cs="Arial"/>
                <w:color w:val="auto"/>
                <w:sz w:val="22"/>
                <w:szCs w:val="22"/>
                <w:highlight w:val="none"/>
              </w:rPr>
              <w:t>年本）》中</w:t>
            </w:r>
            <w:r>
              <w:rPr>
                <w:rFonts w:hint="eastAsia" w:ascii="Arial" w:hAnsi="Arial" w:eastAsia="宋体" w:cs="Arial"/>
                <w:color w:val="auto"/>
                <w:sz w:val="22"/>
                <w:szCs w:val="22"/>
                <w:highlight w:val="none"/>
                <w:lang w:eastAsia="zh-CN"/>
              </w:rPr>
              <w:t>鼓励</w:t>
            </w:r>
            <w:r>
              <w:rPr>
                <w:rFonts w:hint="default" w:ascii="Arial" w:hAnsi="Arial" w:cs="Arial"/>
                <w:color w:val="auto"/>
                <w:sz w:val="22"/>
                <w:szCs w:val="22"/>
                <w:highlight w:val="none"/>
              </w:rPr>
              <w:t>类</w:t>
            </w:r>
            <w:r>
              <w:rPr>
                <w:rFonts w:hint="eastAsia" w:ascii="Arial" w:hAnsi="Arial" w:cs="Arial"/>
                <w:color w:val="auto"/>
                <w:sz w:val="22"/>
                <w:szCs w:val="22"/>
                <w:highlight w:val="none"/>
                <w:lang w:eastAsia="zh-CN"/>
              </w:rPr>
              <w:t>项目</w:t>
            </w:r>
            <w:r>
              <w:rPr>
                <w:rFonts w:hint="default" w:ascii="Arial" w:hAnsi="Arial" w:eastAsia="Times New Roman" w:cs="Arial"/>
                <w:color w:val="auto"/>
                <w:sz w:val="22"/>
                <w:szCs w:val="22"/>
                <w:highlight w:val="none"/>
              </w:rPr>
              <w:t>。</w:t>
            </w:r>
          </w:p>
        </w:tc>
        <w:tc>
          <w:tcPr>
            <w:tcW w:w="1088" w:type="dxa"/>
            <w:noWrap w:val="0"/>
            <w:vAlign w:val="center"/>
          </w:tcPr>
          <w:p w14:paraId="39ECD3A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7476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7F1CF5D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1CCA548F">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天然林商业性采伐</w:t>
            </w:r>
          </w:p>
        </w:tc>
        <w:tc>
          <w:tcPr>
            <w:tcW w:w="3463" w:type="dxa"/>
            <w:noWrap w:val="0"/>
            <w:vAlign w:val="center"/>
          </w:tcPr>
          <w:p w14:paraId="560BB57A">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606F577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33812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5CF6CA8B">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744CC9D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法律法规和相关政策明令不予准入的其他项目。</w:t>
            </w:r>
          </w:p>
        </w:tc>
        <w:tc>
          <w:tcPr>
            <w:tcW w:w="3463" w:type="dxa"/>
            <w:noWrap w:val="0"/>
            <w:vAlign w:val="center"/>
          </w:tcPr>
          <w:p w14:paraId="0766FA09">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本项目不属于</w:t>
            </w:r>
            <w:r>
              <w:rPr>
                <w:rFonts w:hint="default" w:ascii="Arial" w:hAnsi="Arial" w:cs="Arial"/>
                <w:color w:val="auto"/>
                <w:sz w:val="22"/>
                <w:szCs w:val="22"/>
                <w:highlight w:val="none"/>
              </w:rPr>
              <w:t>法律法规和相关政策明令不予准入的项目</w:t>
            </w:r>
            <w:r>
              <w:rPr>
                <w:rFonts w:hint="eastAsia" w:ascii="Arial" w:hAnsi="Arial" w:cs="Arial"/>
                <w:color w:val="auto"/>
                <w:sz w:val="22"/>
                <w:szCs w:val="22"/>
                <w:highlight w:val="none"/>
                <w:lang w:eastAsia="zh-CN"/>
              </w:rPr>
              <w:t>。</w:t>
            </w:r>
          </w:p>
        </w:tc>
        <w:tc>
          <w:tcPr>
            <w:tcW w:w="1088" w:type="dxa"/>
            <w:noWrap w:val="0"/>
            <w:vAlign w:val="center"/>
          </w:tcPr>
          <w:p w14:paraId="7F33AC4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C996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restart"/>
            <w:noWrap w:val="0"/>
            <w:vAlign w:val="center"/>
          </w:tcPr>
          <w:p w14:paraId="52B93935">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重点区域范围内不予准入的产业</w:t>
            </w:r>
          </w:p>
        </w:tc>
        <w:tc>
          <w:tcPr>
            <w:tcW w:w="3562" w:type="dxa"/>
            <w:noWrap w:val="0"/>
            <w:vAlign w:val="center"/>
          </w:tcPr>
          <w:p w14:paraId="4757465F">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外环绕城高速公路以内长江、嘉陵江水域采砂。</w:t>
            </w:r>
          </w:p>
        </w:tc>
        <w:tc>
          <w:tcPr>
            <w:tcW w:w="3463" w:type="dxa"/>
            <w:noWrap w:val="0"/>
            <w:vAlign w:val="center"/>
          </w:tcPr>
          <w:p w14:paraId="40AE184A">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本项目不涉及</w:t>
            </w:r>
          </w:p>
        </w:tc>
        <w:tc>
          <w:tcPr>
            <w:tcW w:w="1088" w:type="dxa"/>
            <w:noWrap w:val="0"/>
            <w:vAlign w:val="center"/>
          </w:tcPr>
          <w:p w14:paraId="186118DA">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B622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27B4019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1C067997">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二十五度以上陡坡地开垦种植农作物。</w:t>
            </w:r>
          </w:p>
        </w:tc>
        <w:tc>
          <w:tcPr>
            <w:tcW w:w="3463" w:type="dxa"/>
            <w:noWrap w:val="0"/>
            <w:vAlign w:val="center"/>
          </w:tcPr>
          <w:p w14:paraId="1D9A657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本项目不涉及</w:t>
            </w:r>
          </w:p>
        </w:tc>
        <w:tc>
          <w:tcPr>
            <w:tcW w:w="1088" w:type="dxa"/>
            <w:noWrap w:val="0"/>
            <w:vAlign w:val="center"/>
          </w:tcPr>
          <w:p w14:paraId="4CC1CCE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D9D7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6BF3962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136A5165">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在自然保护区核心区、缓冲区的岸线和河段范围内投资建设旅游和生产经营项目。</w:t>
            </w:r>
          </w:p>
        </w:tc>
        <w:tc>
          <w:tcPr>
            <w:tcW w:w="3463" w:type="dxa"/>
            <w:vMerge w:val="restart"/>
            <w:noWrap w:val="0"/>
            <w:vAlign w:val="center"/>
          </w:tcPr>
          <w:p w14:paraId="258D68EB">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选址位于丰都县双龙镇田家山村，占地及影响范围内不涉及风景名胜区、国家湿地公园、自然保护区、饮用水水源保护区、水产种质资源保护区，不属于</w:t>
            </w:r>
            <w:r>
              <w:rPr>
                <w:rFonts w:hint="default" w:ascii="Arial" w:hAnsi="Arial" w:cs="Arial"/>
                <w:color w:val="auto"/>
                <w:sz w:val="22"/>
                <w:szCs w:val="22"/>
                <w:highlight w:val="none"/>
              </w:rPr>
              <w:t>尾矿库、冶炼渣库和磷石膏库</w:t>
            </w:r>
            <w:r>
              <w:rPr>
                <w:rFonts w:hint="eastAsia" w:ascii="Arial" w:hAnsi="Arial" w:cs="Arial"/>
                <w:color w:val="auto"/>
                <w:sz w:val="22"/>
                <w:szCs w:val="22"/>
                <w:highlight w:val="none"/>
                <w:lang w:eastAsia="zh-CN"/>
              </w:rPr>
              <w:t>。</w:t>
            </w:r>
          </w:p>
        </w:tc>
        <w:tc>
          <w:tcPr>
            <w:tcW w:w="1088" w:type="dxa"/>
            <w:noWrap w:val="0"/>
            <w:vAlign w:val="center"/>
          </w:tcPr>
          <w:p w14:paraId="3770E550">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3AE1E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3AB1586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7FEEB50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3463" w:type="dxa"/>
            <w:vMerge w:val="continue"/>
            <w:noWrap w:val="0"/>
            <w:vAlign w:val="center"/>
          </w:tcPr>
          <w:p w14:paraId="21944EB7">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p>
        </w:tc>
        <w:tc>
          <w:tcPr>
            <w:tcW w:w="1088" w:type="dxa"/>
            <w:noWrap w:val="0"/>
            <w:vAlign w:val="center"/>
          </w:tcPr>
          <w:p w14:paraId="5BFF54A9">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B375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3EDA3EE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7F79D033">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长江干流岸线</w:t>
            </w:r>
            <w:r>
              <w:rPr>
                <w:rFonts w:hint="default" w:ascii="Arial" w:hAnsi="Arial" w:cs="Arial"/>
                <w:color w:val="auto"/>
                <w:sz w:val="22"/>
                <w:szCs w:val="22"/>
                <w:highlight w:val="none"/>
                <w:lang w:val="en-US" w:eastAsia="zh-CN"/>
              </w:rPr>
              <w:t>3</w:t>
            </w:r>
            <w:r>
              <w:rPr>
                <w:rFonts w:hint="default" w:ascii="Arial" w:hAnsi="Arial" w:cs="Arial"/>
                <w:color w:val="auto"/>
                <w:sz w:val="22"/>
                <w:szCs w:val="22"/>
                <w:highlight w:val="none"/>
              </w:rPr>
              <w:t>公里范围内和重要支流岸线1公里范围内新建、改建、扩建尾矿库、冶炼渣库和磷石膏库（以提升安全、生态环境保护水平为目的的改建除外）。</w:t>
            </w:r>
          </w:p>
        </w:tc>
        <w:tc>
          <w:tcPr>
            <w:tcW w:w="3463" w:type="dxa"/>
            <w:vMerge w:val="continue"/>
            <w:noWrap w:val="0"/>
            <w:vAlign w:val="center"/>
          </w:tcPr>
          <w:p w14:paraId="773376A2">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p>
        </w:tc>
        <w:tc>
          <w:tcPr>
            <w:tcW w:w="1088" w:type="dxa"/>
            <w:noWrap w:val="0"/>
            <w:vAlign w:val="center"/>
          </w:tcPr>
          <w:p w14:paraId="65A49ED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4050D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5007D2F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4ECC183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在风景名胜区核心景区的岸线和河段范围内投资建设与风景名胜资源保护无关的项目。</w:t>
            </w:r>
          </w:p>
        </w:tc>
        <w:tc>
          <w:tcPr>
            <w:tcW w:w="3463" w:type="dxa"/>
            <w:vMerge w:val="continue"/>
            <w:noWrap w:val="0"/>
            <w:vAlign w:val="center"/>
          </w:tcPr>
          <w:p w14:paraId="553AF1B6">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p>
        </w:tc>
        <w:tc>
          <w:tcPr>
            <w:tcW w:w="1088" w:type="dxa"/>
            <w:noWrap w:val="0"/>
            <w:vAlign w:val="center"/>
          </w:tcPr>
          <w:p w14:paraId="23AE382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7B6D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2C6D3725">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0B2E7E7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在国家湿地公园的岸线和河段范围内挖沙、采矿，以及任何不符合主体功能定位的投资建设项目。</w:t>
            </w:r>
          </w:p>
        </w:tc>
        <w:tc>
          <w:tcPr>
            <w:tcW w:w="3463" w:type="dxa"/>
            <w:vMerge w:val="continue"/>
            <w:noWrap w:val="0"/>
            <w:vAlign w:val="center"/>
          </w:tcPr>
          <w:p w14:paraId="7ED2EC5A">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p>
        </w:tc>
        <w:tc>
          <w:tcPr>
            <w:tcW w:w="1088" w:type="dxa"/>
            <w:noWrap w:val="0"/>
            <w:vAlign w:val="center"/>
          </w:tcPr>
          <w:p w14:paraId="0B9C527D">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F9FF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5DF39ADA">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5057DE1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在《长江岸线保护和开发利用总体规划》划定的岸线保护区和保留区内投资建设除事关公共安全及公众利益的防洪护岸、河道治理、供水、生态环境保护、航道整治、国家重要基础设施以外的项目。</w:t>
            </w:r>
          </w:p>
        </w:tc>
        <w:tc>
          <w:tcPr>
            <w:tcW w:w="3463" w:type="dxa"/>
            <w:noWrap w:val="0"/>
            <w:vAlign w:val="center"/>
          </w:tcPr>
          <w:p w14:paraId="78DB0BD5">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bookmarkStart w:id="73" w:name="OLE_LINK6"/>
            <w:r>
              <w:rPr>
                <w:rFonts w:hint="eastAsia" w:ascii="Arial" w:hAnsi="Arial" w:cs="Arial"/>
                <w:color w:val="auto"/>
                <w:kern w:val="0"/>
                <w:sz w:val="22"/>
                <w:szCs w:val="22"/>
                <w:highlight w:val="none"/>
                <w:lang w:eastAsia="zh-CN"/>
              </w:rPr>
              <w:t>本项目所在河流为海螺沟，不涉及长江划定的岸线保护区和保留区。</w:t>
            </w:r>
            <w:bookmarkEnd w:id="73"/>
          </w:p>
        </w:tc>
        <w:tc>
          <w:tcPr>
            <w:tcW w:w="1088" w:type="dxa"/>
            <w:noWrap w:val="0"/>
            <w:vAlign w:val="center"/>
          </w:tcPr>
          <w:p w14:paraId="26E0FF9B">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74D59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2C2E197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12401B2F">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在《全国重要江河湖泊水功能区划》划定的河段及湖泊保护区、保留区内投资建设不利于水资源及自然生态保护的项目。</w:t>
            </w:r>
          </w:p>
        </w:tc>
        <w:tc>
          <w:tcPr>
            <w:tcW w:w="3463" w:type="dxa"/>
            <w:noWrap w:val="0"/>
            <w:vAlign w:val="center"/>
          </w:tcPr>
          <w:p w14:paraId="0B561C95">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kern w:val="0"/>
                <w:sz w:val="22"/>
                <w:szCs w:val="22"/>
                <w:highlight w:val="none"/>
                <w:lang w:eastAsia="zh-CN"/>
              </w:rPr>
              <w:t>本项目所在河流为海螺沟，</w:t>
            </w:r>
            <w:r>
              <w:rPr>
                <w:rFonts w:hint="eastAsia" w:ascii="Arial" w:hAnsi="Arial" w:cs="Arial"/>
                <w:color w:val="auto"/>
                <w:sz w:val="22"/>
                <w:szCs w:val="22"/>
                <w:highlight w:val="none"/>
                <w:lang w:eastAsia="zh-CN"/>
              </w:rPr>
              <w:t>不涉及</w:t>
            </w:r>
            <w:r>
              <w:rPr>
                <w:rFonts w:hint="default" w:ascii="Arial" w:hAnsi="Arial" w:cs="Arial"/>
                <w:color w:val="auto"/>
                <w:sz w:val="22"/>
                <w:szCs w:val="22"/>
                <w:highlight w:val="none"/>
              </w:rPr>
              <w:t>全国重要江河湖泊</w:t>
            </w:r>
            <w:r>
              <w:rPr>
                <w:rFonts w:hint="eastAsia" w:ascii="Arial" w:hAnsi="Arial" w:cs="Arial"/>
                <w:color w:val="auto"/>
                <w:sz w:val="22"/>
                <w:szCs w:val="22"/>
                <w:highlight w:val="none"/>
                <w:lang w:eastAsia="zh-CN"/>
              </w:rPr>
              <w:t>。</w:t>
            </w:r>
          </w:p>
        </w:tc>
        <w:tc>
          <w:tcPr>
            <w:tcW w:w="1088" w:type="dxa"/>
            <w:noWrap w:val="0"/>
            <w:vAlign w:val="center"/>
          </w:tcPr>
          <w:p w14:paraId="480151C2">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78266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restart"/>
            <w:noWrap w:val="0"/>
            <w:vAlign w:val="center"/>
          </w:tcPr>
          <w:p w14:paraId="0B38F8A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全市范围内限制准入类</w:t>
            </w:r>
          </w:p>
        </w:tc>
        <w:tc>
          <w:tcPr>
            <w:tcW w:w="3562" w:type="dxa"/>
            <w:noWrap w:val="0"/>
            <w:vAlign w:val="center"/>
          </w:tcPr>
          <w:p w14:paraId="5618A4AE">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新建、扩建不符合国家产能置换要求的严重过剩产能行业的项目。新建、扩建不符合要求的高耗能高排放项目。</w:t>
            </w:r>
          </w:p>
        </w:tc>
        <w:tc>
          <w:tcPr>
            <w:tcW w:w="3463" w:type="dxa"/>
            <w:noWrap w:val="0"/>
            <w:vAlign w:val="center"/>
          </w:tcPr>
          <w:p w14:paraId="01B0F28B">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0FA55D53">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5A8BC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46EA30F2">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0313D96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新建、扩建不符合国家石化、现代煤化工等产业布局规划的项目。</w:t>
            </w:r>
          </w:p>
        </w:tc>
        <w:tc>
          <w:tcPr>
            <w:tcW w:w="3463" w:type="dxa"/>
            <w:noWrap w:val="0"/>
            <w:vAlign w:val="center"/>
          </w:tcPr>
          <w:p w14:paraId="1103D62F">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w:t>
            </w:r>
          </w:p>
        </w:tc>
        <w:tc>
          <w:tcPr>
            <w:tcW w:w="1088" w:type="dxa"/>
            <w:noWrap w:val="0"/>
            <w:vAlign w:val="center"/>
          </w:tcPr>
          <w:p w14:paraId="053995BD">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174C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2570E59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50E82880">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在合规园区外新建、扩建钢铁、石化、化工、焦化、建材、有色、制浆造纸等高污染项目。</w:t>
            </w:r>
          </w:p>
        </w:tc>
        <w:tc>
          <w:tcPr>
            <w:tcW w:w="3463" w:type="dxa"/>
            <w:noWrap w:val="0"/>
            <w:vAlign w:val="center"/>
          </w:tcPr>
          <w:p w14:paraId="592FA8E2">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6203F94B">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2BA1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tcBorders>
              <w:bottom w:val="single" w:color="auto" w:sz="4" w:space="0"/>
            </w:tcBorders>
            <w:noWrap w:val="0"/>
            <w:vAlign w:val="center"/>
          </w:tcPr>
          <w:p w14:paraId="6906E11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tcBorders>
              <w:bottom w:val="single" w:color="auto" w:sz="4" w:space="0"/>
            </w:tcBorders>
            <w:noWrap w:val="0"/>
            <w:vAlign w:val="center"/>
          </w:tcPr>
          <w:p w14:paraId="528F3BDE">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《汽车产业投资管理规定》（国家发展和改革委员会令第22号）明确禁止建设的汽车投资项目。</w:t>
            </w:r>
          </w:p>
        </w:tc>
        <w:tc>
          <w:tcPr>
            <w:tcW w:w="3463" w:type="dxa"/>
            <w:noWrap w:val="0"/>
            <w:vAlign w:val="center"/>
          </w:tcPr>
          <w:p w14:paraId="22C3CEA0">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134B344E">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EABB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restart"/>
            <w:tcBorders>
              <w:top w:val="single" w:color="auto" w:sz="4" w:space="0"/>
            </w:tcBorders>
            <w:noWrap w:val="0"/>
            <w:vAlign w:val="center"/>
          </w:tcPr>
          <w:p w14:paraId="603E3056">
            <w:pPr>
              <w:pStyle w:val="1091"/>
              <w:keepNext w:val="0"/>
              <w:keepLines w:val="0"/>
              <w:pageBreakBefore w:val="0"/>
              <w:widowControl w:val="0"/>
              <w:shd w:val="clear" w:color="auto" w:fill="auto"/>
              <w:kinsoku/>
              <w:wordWrap/>
              <w:overflowPunct/>
              <w:topLinePunct w:val="0"/>
              <w:autoSpaceDE/>
              <w:autoSpaceDN/>
              <w:bidi w:val="0"/>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重点区域范围内限制准入类</w:t>
            </w:r>
          </w:p>
        </w:tc>
        <w:tc>
          <w:tcPr>
            <w:tcW w:w="3562" w:type="dxa"/>
            <w:tcBorders>
              <w:top w:val="single" w:color="auto" w:sz="4" w:space="0"/>
            </w:tcBorders>
            <w:noWrap w:val="0"/>
            <w:vAlign w:val="center"/>
          </w:tcPr>
          <w:p w14:paraId="30A16CD5">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长江干支流、重要湖泊岸线1公里范围内新建、扩建化工园区和化工项目，长江、嘉陵江、乌江岸线1公里范围内布局新建纸浆制造、印染等存在环境风险的项目。</w:t>
            </w:r>
          </w:p>
        </w:tc>
        <w:tc>
          <w:tcPr>
            <w:tcW w:w="3463" w:type="dxa"/>
            <w:noWrap w:val="0"/>
            <w:vAlign w:val="center"/>
          </w:tcPr>
          <w:p w14:paraId="001D43C2">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4EE912A2">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7A770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1C7ADBF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0FDCA842">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在水产种质资源保护区的岸线和河段范围内新建围湖造田等投资建设项目。</w:t>
            </w:r>
          </w:p>
        </w:tc>
        <w:tc>
          <w:tcPr>
            <w:tcW w:w="3463" w:type="dxa"/>
            <w:noWrap w:val="0"/>
            <w:vAlign w:val="center"/>
          </w:tcPr>
          <w:p w14:paraId="2E878CA9">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w:t>
            </w:r>
            <w:r>
              <w:rPr>
                <w:rFonts w:hint="eastAsia" w:ascii="Arial" w:hAnsi="Arial" w:cs="Arial"/>
                <w:color w:val="auto"/>
                <w:kern w:val="0"/>
                <w:sz w:val="22"/>
                <w:szCs w:val="22"/>
                <w:highlight w:val="none"/>
                <w:lang w:eastAsia="zh-CN"/>
              </w:rPr>
              <w:t>所在河流为海螺沟，不涉及水产种质资源保护区。</w:t>
            </w:r>
          </w:p>
        </w:tc>
        <w:tc>
          <w:tcPr>
            <w:tcW w:w="1088" w:type="dxa"/>
            <w:noWrap w:val="0"/>
            <w:vAlign w:val="center"/>
          </w:tcPr>
          <w:p w14:paraId="6F78247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bl>
    <w:p w14:paraId="71934582">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Arial" w:hAnsi="Arial" w:cs="Arial"/>
          <w:b w:val="0"/>
          <w:color w:val="auto"/>
          <w:kern w:val="2"/>
          <w:sz w:val="26"/>
          <w:szCs w:val="26"/>
          <w:lang w:val="en-US" w:eastAsia="zh-CN" w:bidi="ar-SA"/>
        </w:rPr>
      </w:pPr>
    </w:p>
    <w:p w14:paraId="158F6685">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由表1.9-1可知，本项目与《关于印发重庆市产业投资准入工作手册的通知》（渝发改投资〔2022〕1436号）相符。</w:t>
      </w:r>
    </w:p>
    <w:p w14:paraId="2990002E">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eastAsia="宋体" w:cs="Arial"/>
          <w:b/>
          <w:color w:val="auto"/>
          <w:kern w:val="0"/>
          <w:sz w:val="26"/>
          <w:szCs w:val="26"/>
          <w:highlight w:val="none"/>
          <w:lang w:val="en-US" w:eastAsia="zh-CN"/>
        </w:rPr>
      </w:pPr>
      <w:r>
        <w:rPr>
          <w:rFonts w:hint="eastAsia" w:ascii="Arial" w:hAnsi="Arial" w:eastAsia="宋体" w:cs="Arial"/>
          <w:b/>
          <w:color w:val="auto"/>
          <w:kern w:val="0"/>
          <w:sz w:val="26"/>
          <w:szCs w:val="26"/>
          <w:highlight w:val="none"/>
          <w:lang w:val="en-US" w:eastAsia="zh-CN"/>
        </w:rPr>
        <w:t>1.9.3与《长江经济带发展负面清单指南（试行，2022年版）》（长江办</w:t>
      </w:r>
      <w:r>
        <w:rPr>
          <w:rFonts w:hint="eastAsia" w:ascii="宋体" w:hAnsi="宋体" w:eastAsia="宋体" w:cs="宋体"/>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2022</w:t>
      </w:r>
      <w:r>
        <w:rPr>
          <w:rFonts w:hint="eastAsia" w:ascii="宋体" w:hAnsi="宋体" w:eastAsia="宋体" w:cs="宋体"/>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7号）的符合性分析</w:t>
      </w:r>
    </w:p>
    <w:p w14:paraId="4B2F3FC6">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为深入贯彻落实习近平总书记关于推动长江经济带发展的重要讲话和指示批示精神，</w:t>
      </w:r>
      <w:r>
        <w:rPr>
          <w:rFonts w:hint="default" w:ascii="Arial" w:hAnsi="Arial" w:eastAsia="宋体" w:cs="Arial"/>
          <w:b w:val="0"/>
          <w:color w:val="auto"/>
          <w:kern w:val="2"/>
          <w:sz w:val="26"/>
          <w:szCs w:val="26"/>
          <w:lang w:val="en-US" w:eastAsia="zh-CN" w:bidi="ar-SA"/>
        </w:rPr>
        <w:t>认真落实长江保护法，进一步完善长江经济带负面清单管理制度体系，经推动长江经济带发展领导小组批准同意，印发了《长江经济带发展负面清单指南（试行，2022 年版）》</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 xml:space="preserve">本项目与其相关符合性分析详见表 </w:t>
      </w:r>
      <w:r>
        <w:rPr>
          <w:rFonts w:hint="eastAsia" w:ascii="Arial" w:hAnsi="Arial" w:eastAsia="宋体" w:cs="Arial"/>
          <w:b w:val="0"/>
          <w:color w:val="auto"/>
          <w:kern w:val="2"/>
          <w:sz w:val="26"/>
          <w:szCs w:val="26"/>
          <w:lang w:val="en-US" w:eastAsia="zh-CN" w:bidi="ar-SA"/>
        </w:rPr>
        <w:t>1.</w:t>
      </w:r>
      <w:r>
        <w:rPr>
          <w:rFonts w:hint="eastAsia" w:ascii="Arial" w:hAnsi="Arial" w:cs="Arial"/>
          <w:b w:val="0"/>
          <w:color w:val="auto"/>
          <w:kern w:val="2"/>
          <w:sz w:val="26"/>
          <w:szCs w:val="26"/>
          <w:lang w:val="en-US" w:eastAsia="zh-CN" w:bidi="ar-SA"/>
        </w:rPr>
        <w:t>9</w:t>
      </w:r>
      <w:r>
        <w:rPr>
          <w:rFonts w:hint="default" w:ascii="Arial" w:hAnsi="Arial" w:eastAsia="宋体"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2</w:t>
      </w:r>
      <w:r>
        <w:rPr>
          <w:rFonts w:hint="default" w:ascii="Arial" w:hAnsi="Arial" w:eastAsia="宋体" w:cs="Arial"/>
          <w:b w:val="0"/>
          <w:color w:val="auto"/>
          <w:kern w:val="2"/>
          <w:sz w:val="26"/>
          <w:szCs w:val="26"/>
          <w:lang w:val="en-US" w:eastAsia="zh-CN" w:bidi="ar-SA"/>
        </w:rPr>
        <w:t>。</w:t>
      </w:r>
    </w:p>
    <w:p w14:paraId="3A1DC7E1">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sz w:val="26"/>
          <w:szCs w:val="26"/>
          <w:highlight w:val="none"/>
          <w:lang w:eastAsia="zh-CN"/>
        </w:rPr>
      </w:pPr>
      <w:r>
        <w:rPr>
          <w:rFonts w:hint="eastAsia" w:ascii="Arial" w:hAnsi="Arial" w:cs="Arial"/>
          <w:b/>
          <w:sz w:val="26"/>
          <w:szCs w:val="26"/>
          <w:highlight w:val="none"/>
          <w:lang w:eastAsia="zh-CN"/>
        </w:rPr>
        <w:t>表1.</w:t>
      </w:r>
      <w:r>
        <w:rPr>
          <w:rFonts w:hint="eastAsia" w:ascii="Arial" w:hAnsi="Arial" w:cs="Arial"/>
          <w:b/>
          <w:sz w:val="26"/>
          <w:szCs w:val="26"/>
          <w:highlight w:val="none"/>
          <w:lang w:val="en-US" w:eastAsia="zh-CN"/>
        </w:rPr>
        <w:t>9-2</w:t>
      </w:r>
      <w:r>
        <w:rPr>
          <w:rFonts w:hint="eastAsia" w:ascii="Arial" w:hAnsi="Arial" w:cs="Arial"/>
          <w:b/>
          <w:sz w:val="26"/>
          <w:szCs w:val="26"/>
          <w:highlight w:val="none"/>
          <w:lang w:eastAsia="zh-CN"/>
        </w:rPr>
        <w:t xml:space="preserve">  拟建项目</w:t>
      </w:r>
      <w:r>
        <w:rPr>
          <w:rFonts w:hint="eastAsia" w:ascii="Arial" w:hAnsi="Arial" w:cs="Arial"/>
          <w:b/>
          <w:sz w:val="26"/>
          <w:szCs w:val="26"/>
          <w:highlight w:val="none"/>
          <w:lang w:val="en-US" w:eastAsia="zh-CN"/>
        </w:rPr>
        <w:t>与“长江办</w:t>
      </w:r>
      <w:r>
        <w:rPr>
          <w:rFonts w:hint="eastAsia" w:ascii="宋体" w:hAnsi="宋体" w:eastAsia="宋体" w:cs="宋体"/>
          <w:b/>
          <w:sz w:val="26"/>
          <w:szCs w:val="26"/>
          <w:highlight w:val="none"/>
          <w:lang w:val="en-US" w:eastAsia="zh-CN"/>
        </w:rPr>
        <w:t>〔</w:t>
      </w:r>
      <w:r>
        <w:rPr>
          <w:rFonts w:hint="eastAsia" w:ascii="Arial" w:hAnsi="Arial" w:cs="Arial"/>
          <w:b/>
          <w:sz w:val="26"/>
          <w:szCs w:val="26"/>
          <w:highlight w:val="none"/>
          <w:lang w:val="en-US" w:eastAsia="zh-CN"/>
        </w:rPr>
        <w:t>2022</w:t>
      </w:r>
      <w:r>
        <w:rPr>
          <w:rFonts w:hint="eastAsia" w:ascii="宋体" w:hAnsi="宋体" w:eastAsia="宋体" w:cs="宋体"/>
          <w:b/>
          <w:sz w:val="26"/>
          <w:szCs w:val="26"/>
          <w:highlight w:val="none"/>
          <w:lang w:val="en-US" w:eastAsia="zh-CN"/>
        </w:rPr>
        <w:t>〕</w:t>
      </w:r>
      <w:r>
        <w:rPr>
          <w:rFonts w:hint="eastAsia" w:ascii="Arial" w:hAnsi="Arial" w:cs="Arial"/>
          <w:b/>
          <w:sz w:val="26"/>
          <w:szCs w:val="26"/>
          <w:highlight w:val="none"/>
          <w:lang w:val="en-US" w:eastAsia="zh-CN"/>
        </w:rPr>
        <w:t xml:space="preserve">7号文”符合性分析表 </w:t>
      </w:r>
    </w:p>
    <w:tbl>
      <w:tblPr>
        <w:tblStyle w:val="78"/>
        <w:tblW w:w="93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4703"/>
        <w:gridCol w:w="3001"/>
        <w:gridCol w:w="904"/>
      </w:tblGrid>
      <w:tr w14:paraId="0A14E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334B3240">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序号</w:t>
            </w:r>
          </w:p>
        </w:tc>
        <w:tc>
          <w:tcPr>
            <w:tcW w:w="4703" w:type="dxa"/>
            <w:tcBorders>
              <w:tl2br w:val="nil"/>
              <w:tr2bl w:val="nil"/>
            </w:tcBorders>
            <w:noWrap w:val="0"/>
            <w:vAlign w:val="center"/>
          </w:tcPr>
          <w:p w14:paraId="6DA4F948">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rPr>
            </w:pPr>
            <w:r>
              <w:rPr>
                <w:rFonts w:hint="default" w:ascii="Arial" w:hAnsi="Arial" w:eastAsia="宋体" w:cs="Arial"/>
                <w:color w:val="auto"/>
                <w:sz w:val="22"/>
                <w:szCs w:val="22"/>
                <w:highlight w:val="none"/>
                <w:vertAlign w:val="baseline"/>
                <w:lang w:val="en-US" w:eastAsia="zh-CN"/>
              </w:rPr>
              <w:t>负面清单实施细则</w:t>
            </w:r>
          </w:p>
        </w:tc>
        <w:tc>
          <w:tcPr>
            <w:tcW w:w="3001" w:type="dxa"/>
            <w:tcBorders>
              <w:tl2br w:val="nil"/>
              <w:tr2bl w:val="nil"/>
            </w:tcBorders>
            <w:noWrap w:val="0"/>
            <w:vAlign w:val="center"/>
          </w:tcPr>
          <w:p w14:paraId="4F7CFD4E">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sz w:val="22"/>
                <w:szCs w:val="22"/>
                <w:highlight w:val="none"/>
                <w:vertAlign w:val="baseline"/>
                <w:lang w:eastAsia="zh-CN"/>
              </w:rPr>
            </w:pPr>
            <w:r>
              <w:rPr>
                <w:rFonts w:hint="default" w:ascii="Arial" w:hAnsi="Arial" w:eastAsia="宋体" w:cs="Arial"/>
                <w:color w:val="auto"/>
                <w:sz w:val="22"/>
                <w:szCs w:val="22"/>
                <w:highlight w:val="none"/>
                <w:vertAlign w:val="baseline"/>
                <w:lang w:eastAsia="zh-CN"/>
              </w:rPr>
              <w:t>本项目情况</w:t>
            </w:r>
          </w:p>
        </w:tc>
        <w:tc>
          <w:tcPr>
            <w:tcW w:w="904" w:type="dxa"/>
            <w:tcBorders>
              <w:tl2br w:val="nil"/>
              <w:tr2bl w:val="nil"/>
            </w:tcBorders>
            <w:noWrap w:val="0"/>
            <w:vAlign w:val="center"/>
          </w:tcPr>
          <w:p w14:paraId="1A569012">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rPr>
            </w:pPr>
            <w:r>
              <w:rPr>
                <w:rFonts w:hint="default" w:ascii="Arial" w:hAnsi="Arial" w:eastAsia="宋体" w:cs="Arial"/>
                <w:color w:val="auto"/>
                <w:sz w:val="22"/>
                <w:szCs w:val="22"/>
                <w:highlight w:val="none"/>
                <w:vertAlign w:val="baseline"/>
                <w:lang w:val="en-US" w:eastAsia="zh-CN"/>
              </w:rPr>
              <w:t>符合性</w:t>
            </w:r>
          </w:p>
        </w:tc>
      </w:tr>
      <w:tr w14:paraId="5F7E4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DAA4B0C">
            <w:pPr>
              <w:pStyle w:val="1816"/>
              <w:keepNext w:val="0"/>
              <w:keepLines w:val="0"/>
              <w:pageBreakBefore w:val="0"/>
              <w:kinsoku/>
              <w:wordWrap/>
              <w:overflowPunct/>
              <w:topLinePunct w:val="0"/>
              <w:autoSpaceDE/>
              <w:autoSpaceDN/>
              <w:bidi w:val="0"/>
              <w:snapToGrid/>
              <w:spacing w:line="300" w:lineRule="exact"/>
              <w:ind w:firstLine="0" w:firstLineChars="0"/>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rPr>
              <w:t>1</w:t>
            </w:r>
          </w:p>
        </w:tc>
        <w:tc>
          <w:tcPr>
            <w:tcW w:w="4703" w:type="dxa"/>
            <w:tcBorders>
              <w:tl2br w:val="nil"/>
              <w:tr2bl w:val="nil"/>
            </w:tcBorders>
            <w:noWrap w:val="0"/>
            <w:vAlign w:val="center"/>
          </w:tcPr>
          <w:p w14:paraId="1B8024A7">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禁止建设不符合全国和省级港口布局规划以及港口总体规划的码头项目，禁止建设不符合《长江干线过江通道布局规划》的过长江通道项目。</w:t>
            </w:r>
          </w:p>
        </w:tc>
        <w:tc>
          <w:tcPr>
            <w:tcW w:w="3001" w:type="dxa"/>
            <w:tcBorders>
              <w:tl2br w:val="nil"/>
              <w:tr2bl w:val="nil"/>
            </w:tcBorders>
            <w:noWrap w:val="0"/>
            <w:vAlign w:val="center"/>
          </w:tcPr>
          <w:p w14:paraId="35AF5B47">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eastAsia" w:ascii="Arial" w:hAnsi="Arial" w:eastAsia="宋体" w:cs="Arial"/>
                <w:color w:val="auto"/>
                <w:kern w:val="0"/>
                <w:sz w:val="22"/>
                <w:szCs w:val="22"/>
                <w:vertAlign w:val="baseline"/>
                <w:lang w:val="en-US" w:eastAsia="zh-CN"/>
              </w:rPr>
              <w:t>本项目不属于码头，且不涉及长江。</w:t>
            </w:r>
          </w:p>
        </w:tc>
        <w:tc>
          <w:tcPr>
            <w:tcW w:w="904" w:type="dxa"/>
            <w:tcBorders>
              <w:tl2br w:val="nil"/>
              <w:tr2bl w:val="nil"/>
            </w:tcBorders>
            <w:noWrap w:val="0"/>
            <w:vAlign w:val="center"/>
          </w:tcPr>
          <w:p w14:paraId="39F68590">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0EB6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51D8A808">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rPr>
              <w:t>2</w:t>
            </w:r>
          </w:p>
        </w:tc>
        <w:tc>
          <w:tcPr>
            <w:tcW w:w="4703" w:type="dxa"/>
            <w:tcBorders>
              <w:tl2br w:val="nil"/>
              <w:tr2bl w:val="nil"/>
            </w:tcBorders>
            <w:noWrap w:val="0"/>
            <w:vAlign w:val="center"/>
          </w:tcPr>
          <w:p w14:paraId="7823B9EA">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3001" w:type="dxa"/>
            <w:vMerge w:val="restart"/>
            <w:tcBorders>
              <w:tl2br w:val="nil"/>
              <w:tr2bl w:val="nil"/>
            </w:tcBorders>
            <w:noWrap w:val="0"/>
            <w:vAlign w:val="center"/>
          </w:tcPr>
          <w:p w14:paraId="653A7499">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选址位于丰都县双龙镇田家山村，占地及影响范围内不涉及风景名胜区、国家湿地公园、自然保护区、饮用水水源保护区、水产种质资源保护区等生态敏感区。</w:t>
            </w:r>
          </w:p>
        </w:tc>
        <w:tc>
          <w:tcPr>
            <w:tcW w:w="904" w:type="dxa"/>
            <w:tcBorders>
              <w:tl2br w:val="nil"/>
              <w:tr2bl w:val="nil"/>
            </w:tcBorders>
            <w:noWrap w:val="0"/>
            <w:vAlign w:val="center"/>
          </w:tcPr>
          <w:p w14:paraId="42C0CDDF">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77B58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613A7F7F">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rPr>
              <w:t>3</w:t>
            </w:r>
          </w:p>
        </w:tc>
        <w:tc>
          <w:tcPr>
            <w:tcW w:w="4703" w:type="dxa"/>
            <w:tcBorders>
              <w:tl2br w:val="nil"/>
              <w:tr2bl w:val="nil"/>
            </w:tcBorders>
            <w:noWrap w:val="0"/>
            <w:vAlign w:val="center"/>
          </w:tcPr>
          <w:p w14:paraId="2973FF69">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001" w:type="dxa"/>
            <w:vMerge w:val="continue"/>
            <w:tcBorders>
              <w:tl2br w:val="nil"/>
              <w:tr2bl w:val="nil"/>
            </w:tcBorders>
            <w:noWrap w:val="0"/>
            <w:vAlign w:val="center"/>
          </w:tcPr>
          <w:p w14:paraId="6D1EE58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p>
        </w:tc>
        <w:tc>
          <w:tcPr>
            <w:tcW w:w="904" w:type="dxa"/>
            <w:tcBorders>
              <w:tl2br w:val="nil"/>
              <w:tr2bl w:val="nil"/>
            </w:tcBorders>
            <w:noWrap w:val="0"/>
            <w:vAlign w:val="center"/>
          </w:tcPr>
          <w:p w14:paraId="313C14E5">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7A76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13ACD6BE">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rPr>
              <w:t>4</w:t>
            </w:r>
          </w:p>
        </w:tc>
        <w:tc>
          <w:tcPr>
            <w:tcW w:w="4703" w:type="dxa"/>
            <w:tcBorders>
              <w:tl2br w:val="nil"/>
              <w:tr2bl w:val="nil"/>
            </w:tcBorders>
            <w:noWrap w:val="0"/>
            <w:vAlign w:val="center"/>
          </w:tcPr>
          <w:p w14:paraId="66B83E62">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3001" w:type="dxa"/>
            <w:vMerge w:val="continue"/>
            <w:tcBorders>
              <w:tl2br w:val="nil"/>
              <w:tr2bl w:val="nil"/>
            </w:tcBorders>
            <w:noWrap w:val="0"/>
            <w:vAlign w:val="center"/>
          </w:tcPr>
          <w:p w14:paraId="5E34B80A">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p>
        </w:tc>
        <w:tc>
          <w:tcPr>
            <w:tcW w:w="904" w:type="dxa"/>
            <w:tcBorders>
              <w:tl2br w:val="nil"/>
              <w:tr2bl w:val="nil"/>
            </w:tcBorders>
            <w:noWrap w:val="0"/>
            <w:vAlign w:val="center"/>
          </w:tcPr>
          <w:p w14:paraId="6F17A8F8">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CDA7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04A9C09">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5</w:t>
            </w:r>
          </w:p>
        </w:tc>
        <w:tc>
          <w:tcPr>
            <w:tcW w:w="4703" w:type="dxa"/>
            <w:tcBorders>
              <w:tl2br w:val="nil"/>
              <w:tr2bl w:val="nil"/>
            </w:tcBorders>
            <w:noWrap w:val="0"/>
            <w:vAlign w:val="center"/>
          </w:tcPr>
          <w:p w14:paraId="7ED86B76">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违法利用、占用长江流域河湖岸线。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3001" w:type="dxa"/>
            <w:tcBorders>
              <w:tl2br w:val="nil"/>
              <w:tr2bl w:val="nil"/>
            </w:tcBorders>
            <w:noWrap w:val="0"/>
            <w:vAlign w:val="center"/>
          </w:tcPr>
          <w:p w14:paraId="0CFD788F">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000000"/>
                <w:kern w:val="0"/>
                <w:sz w:val="22"/>
                <w:szCs w:val="22"/>
                <w:vertAlign w:val="baseline"/>
                <w:lang w:val="en-US" w:eastAsia="zh-CN" w:bidi="ar"/>
              </w:rPr>
              <w:t>本项目所在河流为海螺沟，</w:t>
            </w:r>
            <w:bookmarkStart w:id="74" w:name="OLE_LINK7"/>
            <w:r>
              <w:rPr>
                <w:rFonts w:hint="default" w:ascii="Arial" w:hAnsi="Arial" w:eastAsia="宋体" w:cs="Arial"/>
                <w:b w:val="0"/>
                <w:bCs w:val="0"/>
                <w:color w:val="000000"/>
                <w:kern w:val="0"/>
                <w:sz w:val="22"/>
                <w:szCs w:val="22"/>
                <w:vertAlign w:val="baseline"/>
                <w:lang w:val="en-US" w:eastAsia="zh-CN" w:bidi="ar"/>
              </w:rPr>
              <w:t>不涉及长江划定的岸线保护区和保留区</w:t>
            </w:r>
            <w:r>
              <w:rPr>
                <w:rFonts w:hint="eastAsia" w:ascii="Arial" w:hAnsi="Arial" w:eastAsia="宋体" w:cs="Arial"/>
                <w:b w:val="0"/>
                <w:bCs w:val="0"/>
                <w:color w:val="000000"/>
                <w:kern w:val="0"/>
                <w:sz w:val="22"/>
                <w:szCs w:val="22"/>
                <w:vertAlign w:val="baseline"/>
                <w:lang w:val="en-US" w:eastAsia="zh-CN" w:bidi="ar"/>
              </w:rPr>
              <w:t>，不涉及</w:t>
            </w:r>
            <w:r>
              <w:rPr>
                <w:rFonts w:hint="default" w:ascii="Arial" w:hAnsi="Arial" w:eastAsia="宋体" w:cs="Arial"/>
                <w:b w:val="0"/>
                <w:bCs w:val="0"/>
                <w:color w:val="auto"/>
                <w:kern w:val="0"/>
                <w:sz w:val="22"/>
                <w:szCs w:val="22"/>
                <w:highlight w:val="none"/>
                <w:vertAlign w:val="baseline"/>
                <w:lang w:val="en-US" w:eastAsia="zh-CN" w:bidi="ar"/>
              </w:rPr>
              <w:t>全国重要江河湖泊划定的河段保护区、保留区</w:t>
            </w:r>
            <w:r>
              <w:rPr>
                <w:rFonts w:hint="eastAsia" w:ascii="Arial" w:hAnsi="Arial" w:eastAsia="宋体" w:cs="Arial"/>
                <w:b w:val="0"/>
                <w:bCs w:val="0"/>
                <w:color w:val="auto"/>
                <w:kern w:val="0"/>
                <w:sz w:val="22"/>
                <w:szCs w:val="22"/>
                <w:highlight w:val="none"/>
                <w:vertAlign w:val="baseline"/>
                <w:lang w:val="en-US" w:eastAsia="zh-CN" w:bidi="ar"/>
              </w:rPr>
              <w:t>，</w:t>
            </w:r>
            <w:bookmarkEnd w:id="74"/>
            <w:r>
              <w:rPr>
                <w:rFonts w:hint="eastAsia" w:ascii="Arial" w:hAnsi="Arial" w:eastAsia="宋体" w:cs="Arial"/>
                <w:b w:val="0"/>
                <w:bCs w:val="0"/>
                <w:color w:val="000000"/>
                <w:kern w:val="0"/>
                <w:sz w:val="22"/>
                <w:szCs w:val="22"/>
                <w:vertAlign w:val="baseline"/>
                <w:lang w:val="en-US" w:eastAsia="zh-CN" w:bidi="ar"/>
              </w:rPr>
              <w:t>且为水库项目，建成后具有人饮、灌溉供水功能。</w:t>
            </w:r>
          </w:p>
        </w:tc>
        <w:tc>
          <w:tcPr>
            <w:tcW w:w="904" w:type="dxa"/>
            <w:tcBorders>
              <w:tl2br w:val="nil"/>
              <w:tr2bl w:val="nil"/>
            </w:tcBorders>
            <w:noWrap w:val="0"/>
            <w:vAlign w:val="center"/>
          </w:tcPr>
          <w:p w14:paraId="7978B65A">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74798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8DD9E8A">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6</w:t>
            </w:r>
          </w:p>
        </w:tc>
        <w:tc>
          <w:tcPr>
            <w:tcW w:w="4703" w:type="dxa"/>
            <w:tcBorders>
              <w:tl2br w:val="nil"/>
              <w:tr2bl w:val="nil"/>
            </w:tcBorders>
            <w:noWrap w:val="0"/>
            <w:vAlign w:val="center"/>
          </w:tcPr>
          <w:p w14:paraId="5C7F7BC4">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禁止未经许可在长江干支流及湖泊新设、改设或扩大排污口。</w:t>
            </w:r>
          </w:p>
        </w:tc>
        <w:tc>
          <w:tcPr>
            <w:tcW w:w="3001" w:type="dxa"/>
            <w:tcBorders>
              <w:tl2br w:val="nil"/>
              <w:tr2bl w:val="nil"/>
            </w:tcBorders>
            <w:noWrap w:val="0"/>
            <w:vAlign w:val="center"/>
          </w:tcPr>
          <w:p w14:paraId="6238CF95">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2D16DDFE">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35345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95FFF94">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7</w:t>
            </w:r>
          </w:p>
        </w:tc>
        <w:tc>
          <w:tcPr>
            <w:tcW w:w="4703" w:type="dxa"/>
            <w:tcBorders>
              <w:tl2br w:val="nil"/>
              <w:tr2bl w:val="nil"/>
            </w:tcBorders>
            <w:noWrap w:val="0"/>
            <w:vAlign w:val="center"/>
          </w:tcPr>
          <w:p w14:paraId="5517E24B">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禁止在“一江一口两湖七河”和332个水生生物保护区开展生产性捕捞。</w:t>
            </w:r>
          </w:p>
        </w:tc>
        <w:tc>
          <w:tcPr>
            <w:tcW w:w="3001" w:type="dxa"/>
            <w:tcBorders>
              <w:tl2br w:val="nil"/>
              <w:tr2bl w:val="nil"/>
            </w:tcBorders>
            <w:noWrap w:val="0"/>
            <w:vAlign w:val="center"/>
          </w:tcPr>
          <w:p w14:paraId="33792CB2">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0F86767A">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58B21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39A0F00C">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8</w:t>
            </w:r>
          </w:p>
        </w:tc>
        <w:tc>
          <w:tcPr>
            <w:tcW w:w="4703" w:type="dxa"/>
            <w:tcBorders>
              <w:tl2br w:val="nil"/>
              <w:tr2bl w:val="nil"/>
            </w:tcBorders>
            <w:noWrap w:val="0"/>
            <w:vAlign w:val="center"/>
          </w:tcPr>
          <w:p w14:paraId="3F6AE39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长江干支流、重要湖泊岸线一公里范围内新建、扩建化工园区和化工项目。禁止在长江岸线三公里范围内和重要支流岸线一公里范围内新建、改建、扩建尾矿库、冶炼渣库和磷石膏库，以提升安全、生态环境保护水平为目的的改扩建除外。</w:t>
            </w:r>
          </w:p>
        </w:tc>
        <w:tc>
          <w:tcPr>
            <w:tcW w:w="3001" w:type="dxa"/>
            <w:tcBorders>
              <w:tl2br w:val="nil"/>
              <w:tr2bl w:val="nil"/>
            </w:tcBorders>
            <w:noWrap w:val="0"/>
            <w:vAlign w:val="center"/>
          </w:tcPr>
          <w:p w14:paraId="2E199B81">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75CEDFBF">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46A13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1670F7E1">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9</w:t>
            </w:r>
          </w:p>
        </w:tc>
        <w:tc>
          <w:tcPr>
            <w:tcW w:w="4703" w:type="dxa"/>
            <w:tcBorders>
              <w:tl2br w:val="nil"/>
              <w:tr2bl w:val="nil"/>
            </w:tcBorders>
            <w:noWrap w:val="0"/>
            <w:vAlign w:val="center"/>
          </w:tcPr>
          <w:p w14:paraId="1B289738">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禁止在合规园区外新建、扩建钢铁、石化、化工、焦化、建材、有色、制浆造纸等高污染项目。</w:t>
            </w:r>
          </w:p>
        </w:tc>
        <w:tc>
          <w:tcPr>
            <w:tcW w:w="3001" w:type="dxa"/>
            <w:tcBorders>
              <w:tl2br w:val="nil"/>
              <w:tr2bl w:val="nil"/>
            </w:tcBorders>
            <w:noWrap w:val="0"/>
            <w:vAlign w:val="center"/>
          </w:tcPr>
          <w:p w14:paraId="64C2E7E9">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4FCCC3C9">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7660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1F2B0F17">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10</w:t>
            </w:r>
          </w:p>
        </w:tc>
        <w:tc>
          <w:tcPr>
            <w:tcW w:w="4703" w:type="dxa"/>
            <w:tcBorders>
              <w:tl2br w:val="nil"/>
              <w:tr2bl w:val="nil"/>
            </w:tcBorders>
            <w:noWrap w:val="0"/>
            <w:vAlign w:val="center"/>
          </w:tcPr>
          <w:p w14:paraId="568DF2E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禁止新建、扩建不符合国家石化、现代煤化工等产业布局规划的项目。</w:t>
            </w:r>
          </w:p>
        </w:tc>
        <w:tc>
          <w:tcPr>
            <w:tcW w:w="3001" w:type="dxa"/>
            <w:tcBorders>
              <w:tl2br w:val="nil"/>
              <w:tr2bl w:val="nil"/>
            </w:tcBorders>
            <w:noWrap w:val="0"/>
            <w:vAlign w:val="center"/>
          </w:tcPr>
          <w:p w14:paraId="50E37D55">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297DDC49">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2E74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C4F58DD">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11</w:t>
            </w:r>
          </w:p>
        </w:tc>
        <w:tc>
          <w:tcPr>
            <w:tcW w:w="4703" w:type="dxa"/>
            <w:tcBorders>
              <w:tl2br w:val="nil"/>
              <w:tr2bl w:val="nil"/>
            </w:tcBorders>
            <w:noWrap w:val="0"/>
            <w:vAlign w:val="center"/>
          </w:tcPr>
          <w:p w14:paraId="6D641D57">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禁止新建、扩建法律法规和相关政策命令禁止的落后产能项目。禁止新建、扩建不符合国家产能置换要求的严重过剩产能行业的项目。禁止新建、扩建不符合要求的高耗能高排放项目。</w:t>
            </w:r>
          </w:p>
        </w:tc>
        <w:tc>
          <w:tcPr>
            <w:tcW w:w="3001" w:type="dxa"/>
            <w:tcBorders>
              <w:tl2br w:val="nil"/>
              <w:tr2bl w:val="nil"/>
            </w:tcBorders>
            <w:shd w:val="clear" w:color="auto" w:fill="auto"/>
            <w:noWrap w:val="0"/>
            <w:vAlign w:val="center"/>
          </w:tcPr>
          <w:p w14:paraId="1732313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bCs/>
                <w:color w:val="auto"/>
                <w:kern w:val="0"/>
                <w:sz w:val="22"/>
                <w:szCs w:val="22"/>
                <w:highlight w:val="none"/>
                <w:lang w:val="en-US" w:eastAsia="zh-CN" w:bidi="ar-SA"/>
              </w:rPr>
            </w:pPr>
            <w:r>
              <w:rPr>
                <w:rFonts w:hint="default" w:ascii="Arial" w:hAnsi="Arial" w:cs="Arial"/>
                <w:color w:val="auto"/>
                <w:sz w:val="22"/>
                <w:szCs w:val="22"/>
                <w:highlight w:val="none"/>
              </w:rPr>
              <w:t>本</w:t>
            </w:r>
            <w:r>
              <w:rPr>
                <w:rFonts w:hint="default" w:ascii="Arial" w:hAnsi="Arial" w:eastAsia="Times New Roman" w:cs="Arial"/>
                <w:color w:val="auto"/>
                <w:sz w:val="22"/>
                <w:szCs w:val="22"/>
                <w:highlight w:val="none"/>
              </w:rPr>
              <w:t>项目属于《产业结构调整指导目录（</w:t>
            </w:r>
            <w:r>
              <w:rPr>
                <w:rFonts w:hint="eastAsia" w:ascii="Arial" w:hAnsi="Arial" w:eastAsia="宋体" w:cs="Arial"/>
                <w:color w:val="auto"/>
                <w:sz w:val="22"/>
                <w:szCs w:val="22"/>
                <w:highlight w:val="none"/>
                <w:lang w:val="en-US" w:eastAsia="zh-CN"/>
              </w:rPr>
              <w:t>2024</w:t>
            </w:r>
            <w:r>
              <w:rPr>
                <w:rFonts w:hint="default" w:ascii="Arial" w:hAnsi="Arial" w:eastAsia="Times New Roman" w:cs="Arial"/>
                <w:color w:val="auto"/>
                <w:sz w:val="22"/>
                <w:szCs w:val="22"/>
                <w:highlight w:val="none"/>
              </w:rPr>
              <w:t>年本）》中</w:t>
            </w:r>
            <w:r>
              <w:rPr>
                <w:rFonts w:hint="eastAsia" w:ascii="Arial" w:hAnsi="Arial" w:eastAsia="宋体" w:cs="Arial"/>
                <w:color w:val="auto"/>
                <w:sz w:val="22"/>
                <w:szCs w:val="22"/>
                <w:highlight w:val="none"/>
                <w:lang w:eastAsia="zh-CN"/>
              </w:rPr>
              <w:t>鼓励</w:t>
            </w:r>
            <w:r>
              <w:rPr>
                <w:rFonts w:hint="default" w:ascii="Arial" w:hAnsi="Arial" w:cs="Arial"/>
                <w:color w:val="auto"/>
                <w:sz w:val="22"/>
                <w:szCs w:val="22"/>
                <w:highlight w:val="none"/>
              </w:rPr>
              <w:t>类</w:t>
            </w:r>
            <w:r>
              <w:rPr>
                <w:rFonts w:hint="eastAsia" w:ascii="Arial" w:hAnsi="Arial" w:cs="Arial"/>
                <w:color w:val="auto"/>
                <w:sz w:val="22"/>
                <w:szCs w:val="22"/>
                <w:highlight w:val="none"/>
                <w:lang w:eastAsia="zh-CN"/>
              </w:rPr>
              <w:t>项目</w:t>
            </w:r>
            <w:r>
              <w:rPr>
                <w:rFonts w:hint="default" w:ascii="Arial" w:hAnsi="Arial" w:eastAsia="Times New Roman" w:cs="Arial"/>
                <w:color w:val="auto"/>
                <w:sz w:val="22"/>
                <w:szCs w:val="22"/>
                <w:highlight w:val="none"/>
              </w:rPr>
              <w:t>。</w:t>
            </w:r>
          </w:p>
        </w:tc>
        <w:tc>
          <w:tcPr>
            <w:tcW w:w="904" w:type="dxa"/>
            <w:tcBorders>
              <w:tl2br w:val="nil"/>
              <w:tr2bl w:val="nil"/>
            </w:tcBorders>
            <w:noWrap w:val="0"/>
            <w:vAlign w:val="center"/>
          </w:tcPr>
          <w:p w14:paraId="0BF0D49A">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518D4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1F888C38">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12</w:t>
            </w:r>
          </w:p>
        </w:tc>
        <w:tc>
          <w:tcPr>
            <w:tcW w:w="4703" w:type="dxa"/>
            <w:tcBorders>
              <w:tl2br w:val="nil"/>
              <w:tr2bl w:val="nil"/>
            </w:tcBorders>
            <w:noWrap w:val="0"/>
            <w:vAlign w:val="center"/>
          </w:tcPr>
          <w:p w14:paraId="63823874">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0"/>
                <w:sz w:val="22"/>
                <w:szCs w:val="22"/>
                <w:highlight w:val="none"/>
                <w:vertAlign w:val="baseline"/>
                <w:lang w:val="en-US" w:eastAsia="zh-CN" w:bidi="ar"/>
              </w:rPr>
            </w:pPr>
            <w:r>
              <w:rPr>
                <w:rFonts w:hint="default" w:ascii="Arial" w:hAnsi="Arial" w:eastAsia="宋体" w:cs="Arial"/>
                <w:color w:val="000000"/>
                <w:kern w:val="0"/>
                <w:sz w:val="22"/>
                <w:szCs w:val="22"/>
                <w:vertAlign w:val="baseline"/>
                <w:lang w:val="en-US" w:eastAsia="zh-CN" w:bidi="ar"/>
              </w:rPr>
              <w:t>法律法规及相关政策文件有更加严格规定的从其规定。</w:t>
            </w:r>
          </w:p>
        </w:tc>
        <w:tc>
          <w:tcPr>
            <w:tcW w:w="3001" w:type="dxa"/>
            <w:tcBorders>
              <w:tl2br w:val="nil"/>
              <w:tr2bl w:val="nil"/>
            </w:tcBorders>
            <w:noWrap w:val="0"/>
            <w:vAlign w:val="center"/>
          </w:tcPr>
          <w:p w14:paraId="0641179B">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0"/>
                <w:sz w:val="22"/>
                <w:szCs w:val="22"/>
                <w:highlight w:val="none"/>
                <w:vertAlign w:val="baseline"/>
                <w:lang w:val="en-US" w:eastAsia="zh-CN" w:bidi="ar"/>
              </w:rPr>
            </w:pPr>
            <w:r>
              <w:rPr>
                <w:rFonts w:hint="default" w:ascii="Arial" w:hAnsi="Arial" w:eastAsia="宋体" w:cs="Arial"/>
                <w:color w:val="000000"/>
                <w:kern w:val="0"/>
                <w:sz w:val="22"/>
                <w:szCs w:val="22"/>
                <w:vertAlign w:val="baseline"/>
                <w:lang w:val="en-US" w:eastAsia="zh-CN" w:bidi="ar"/>
              </w:rPr>
              <w:t>本项目严格执行法律法规及相关政策文件。</w:t>
            </w:r>
          </w:p>
        </w:tc>
        <w:tc>
          <w:tcPr>
            <w:tcW w:w="904" w:type="dxa"/>
            <w:tcBorders>
              <w:tl2br w:val="nil"/>
              <w:tr2bl w:val="nil"/>
            </w:tcBorders>
            <w:noWrap w:val="0"/>
            <w:vAlign w:val="center"/>
          </w:tcPr>
          <w:p w14:paraId="2F94E7FD">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bCs w:val="0"/>
                <w:color w:val="auto"/>
                <w:kern w:val="0"/>
                <w:sz w:val="22"/>
                <w:szCs w:val="22"/>
                <w:highlight w:val="none"/>
                <w:vertAlign w:val="baseline"/>
                <w:lang w:val="en-US" w:eastAsia="zh-CN" w:bidi="ar"/>
              </w:rPr>
            </w:pPr>
            <w:r>
              <w:rPr>
                <w:rFonts w:hint="default" w:ascii="Arial" w:hAnsi="Arial" w:eastAsia="宋体" w:cs="Arial"/>
                <w:b w:val="0"/>
                <w:bCs w:val="0"/>
                <w:color w:val="auto"/>
                <w:kern w:val="0"/>
                <w:sz w:val="22"/>
                <w:szCs w:val="22"/>
                <w:highlight w:val="none"/>
                <w:vertAlign w:val="baseline"/>
                <w:lang w:val="en-US" w:eastAsia="zh-CN" w:bidi="ar"/>
              </w:rPr>
              <w:t>符合</w:t>
            </w:r>
          </w:p>
        </w:tc>
      </w:tr>
    </w:tbl>
    <w:p w14:paraId="0438415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rPr>
          <w:rFonts w:hint="default" w:ascii="Arial" w:hAnsi="Arial" w:cs="Arial"/>
          <w:color w:val="auto"/>
          <w:kern w:val="0"/>
          <w:szCs w:val="21"/>
        </w:rPr>
      </w:pPr>
      <w:bookmarkStart w:id="75" w:name="OLE_LINK8"/>
    </w:p>
    <w:p w14:paraId="0BBDA969">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综上所述，本项目</w:t>
      </w:r>
      <w:r>
        <w:rPr>
          <w:rFonts w:hint="eastAsia" w:ascii="Arial" w:hAnsi="Arial" w:eastAsia="宋体" w:cs="Arial"/>
          <w:b w:val="0"/>
          <w:color w:val="auto"/>
          <w:kern w:val="2"/>
          <w:sz w:val="26"/>
          <w:szCs w:val="26"/>
          <w:lang w:val="en-US" w:eastAsia="zh-CN" w:bidi="ar-SA"/>
        </w:rPr>
        <w:t>为水利基础设施建设，选线不涉及饮用水水源保护区、生态保护红线、自然保护区、风景名胜区、国家湿地公园等生态敏感区，与</w:t>
      </w:r>
      <w:r>
        <w:rPr>
          <w:rFonts w:hint="default" w:ascii="Arial" w:hAnsi="Arial" w:eastAsia="宋体" w:cs="Arial"/>
          <w:b w:val="0"/>
          <w:color w:val="auto"/>
          <w:kern w:val="2"/>
          <w:sz w:val="26"/>
          <w:szCs w:val="26"/>
          <w:lang w:val="en-US" w:eastAsia="zh-CN" w:bidi="ar-SA"/>
        </w:rPr>
        <w:t>《长江经济带发展负面清单指南（试行，2022年版）》（长江办</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7号）</w:t>
      </w:r>
      <w:r>
        <w:rPr>
          <w:rFonts w:hint="eastAsia" w:ascii="Arial" w:hAnsi="Arial" w:eastAsia="宋体" w:cs="Arial"/>
          <w:b w:val="0"/>
          <w:color w:val="auto"/>
          <w:kern w:val="2"/>
          <w:sz w:val="26"/>
          <w:szCs w:val="26"/>
          <w:lang w:val="en-US" w:eastAsia="zh-CN" w:bidi="ar-SA"/>
        </w:rPr>
        <w:t>相符</w:t>
      </w:r>
      <w:r>
        <w:rPr>
          <w:rFonts w:hint="default" w:ascii="Arial" w:hAnsi="Arial" w:eastAsia="宋体" w:cs="Arial"/>
          <w:b w:val="0"/>
          <w:color w:val="auto"/>
          <w:kern w:val="2"/>
          <w:sz w:val="26"/>
          <w:szCs w:val="26"/>
          <w:lang w:val="en-US" w:eastAsia="zh-CN" w:bidi="ar-SA"/>
        </w:rPr>
        <w:t>。</w:t>
      </w:r>
      <w:bookmarkEnd w:id="75"/>
      <w:r>
        <w:rPr>
          <w:rFonts w:hint="default" w:ascii="Arial" w:hAnsi="Arial" w:eastAsia="宋体" w:cs="Arial"/>
          <w:b w:val="0"/>
          <w:color w:val="auto"/>
          <w:kern w:val="2"/>
          <w:sz w:val="26"/>
          <w:szCs w:val="26"/>
          <w:lang w:val="en-US" w:eastAsia="zh-CN" w:bidi="ar-SA"/>
        </w:rPr>
        <w:t xml:space="preserve"> </w:t>
      </w:r>
    </w:p>
    <w:p w14:paraId="7ED1E523">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1.9.4与《四川省、重庆市长江经济带发展负面清单实施细则（试行，2022年版）》符</w:t>
      </w:r>
      <w:r>
        <w:rPr>
          <w:rFonts w:hint="default" w:ascii="Arial" w:hAnsi="Arial" w:cs="Arial"/>
          <w:b/>
          <w:color w:val="auto"/>
          <w:kern w:val="0"/>
          <w:sz w:val="26"/>
          <w:szCs w:val="20"/>
          <w:highlight w:val="none"/>
          <w:lang w:val="en-US" w:eastAsia="zh-CN"/>
        </w:rPr>
        <w:t>合性分析</w:t>
      </w:r>
    </w:p>
    <w:p w14:paraId="751148F6">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拟建项目位于丰都县双龙镇田家山村，主要为建设水库及配套输水管线，与《四川省推动长江经济带发展领导小组办公室、重庆市推动长江经济带发展领导小组办公室关于印发〈四川省、重庆市长江经济带发展负面清单实施细</w:t>
      </w:r>
      <w:r>
        <w:rPr>
          <w:rFonts w:hint="default" w:ascii="Arial" w:hAnsi="Arial" w:eastAsia="宋体" w:cs="Arial"/>
          <w:b w:val="0"/>
          <w:color w:val="auto"/>
          <w:kern w:val="2"/>
          <w:sz w:val="26"/>
          <w:szCs w:val="26"/>
          <w:lang w:val="en-US" w:eastAsia="zh-CN" w:bidi="ar-SA"/>
        </w:rPr>
        <w:t>则（试行，2022 年版）〉的通知》（川长江办</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17号）符合性分析，详见表</w:t>
      </w:r>
      <w:r>
        <w:rPr>
          <w:rFonts w:hint="eastAsia" w:ascii="Arial" w:hAnsi="Arial" w:eastAsia="宋体" w:cs="Arial"/>
          <w:b w:val="0"/>
          <w:color w:val="auto"/>
          <w:kern w:val="2"/>
          <w:sz w:val="26"/>
          <w:szCs w:val="26"/>
          <w:lang w:val="en-US" w:eastAsia="zh-CN" w:bidi="ar-SA"/>
        </w:rPr>
        <w:t>1.</w:t>
      </w:r>
      <w:r>
        <w:rPr>
          <w:rFonts w:hint="eastAsia" w:ascii="Arial" w:hAnsi="Arial" w:cs="Arial"/>
          <w:b w:val="0"/>
          <w:color w:val="auto"/>
          <w:kern w:val="2"/>
          <w:sz w:val="26"/>
          <w:szCs w:val="26"/>
          <w:lang w:val="en-US" w:eastAsia="zh-CN" w:bidi="ar-SA"/>
        </w:rPr>
        <w:t>9</w:t>
      </w:r>
      <w:r>
        <w:rPr>
          <w:rFonts w:hint="default" w:ascii="Arial" w:hAnsi="Arial" w:eastAsia="宋体"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3所示</w:t>
      </w:r>
      <w:r>
        <w:rPr>
          <w:rFonts w:hint="default" w:ascii="Arial" w:hAnsi="Arial" w:eastAsia="宋体" w:cs="Arial"/>
          <w:b w:val="0"/>
          <w:color w:val="auto"/>
          <w:kern w:val="2"/>
          <w:sz w:val="26"/>
          <w:szCs w:val="26"/>
          <w:lang w:val="en-US" w:eastAsia="zh-CN" w:bidi="ar-SA"/>
        </w:rPr>
        <w:t xml:space="preserve">。 </w:t>
      </w:r>
    </w:p>
    <w:p w14:paraId="1BAAE9BB">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.9-3与“</w:t>
      </w:r>
      <w:r>
        <w:rPr>
          <w:rFonts w:hint="default" w:ascii="Arial" w:hAnsi="Arial" w:eastAsia="宋体" w:cs="Arial"/>
          <w:b/>
          <w:bCs w:val="0"/>
          <w:color w:val="auto"/>
          <w:kern w:val="2"/>
          <w:sz w:val="26"/>
          <w:szCs w:val="26"/>
          <w:lang w:val="en-US" w:eastAsia="zh-CN" w:bidi="ar-SA"/>
        </w:rPr>
        <w:t>川长江办</w:t>
      </w:r>
      <w:r>
        <w:rPr>
          <w:rFonts w:hint="eastAsia" w:ascii="Arial" w:hAnsi="Arial" w:eastAsia="宋体" w:cs="Arial"/>
          <w:b/>
          <w:bCs w:val="0"/>
          <w:color w:val="auto"/>
          <w:kern w:val="2"/>
          <w:sz w:val="26"/>
          <w:szCs w:val="26"/>
          <w:lang w:val="en-US" w:eastAsia="zh-CN" w:bidi="ar-SA"/>
        </w:rPr>
        <w:t>〔</w:t>
      </w:r>
      <w:r>
        <w:rPr>
          <w:rFonts w:hint="default" w:ascii="Arial" w:hAnsi="Arial" w:eastAsia="宋体" w:cs="Arial"/>
          <w:b/>
          <w:bCs w:val="0"/>
          <w:color w:val="auto"/>
          <w:kern w:val="2"/>
          <w:sz w:val="26"/>
          <w:szCs w:val="26"/>
          <w:lang w:val="en-US" w:eastAsia="zh-CN" w:bidi="ar-SA"/>
        </w:rPr>
        <w:t>2022</w:t>
      </w:r>
      <w:r>
        <w:rPr>
          <w:rFonts w:hint="eastAsia" w:ascii="Arial" w:hAnsi="Arial" w:eastAsia="宋体" w:cs="Arial"/>
          <w:b/>
          <w:bCs w:val="0"/>
          <w:color w:val="auto"/>
          <w:kern w:val="2"/>
          <w:sz w:val="26"/>
          <w:szCs w:val="26"/>
          <w:lang w:val="en-US" w:eastAsia="zh-CN" w:bidi="ar-SA"/>
        </w:rPr>
        <w:t>〕</w:t>
      </w:r>
      <w:r>
        <w:rPr>
          <w:rFonts w:hint="default" w:ascii="Arial" w:hAnsi="Arial" w:eastAsia="宋体" w:cs="Arial"/>
          <w:b/>
          <w:bCs w:val="0"/>
          <w:color w:val="auto"/>
          <w:kern w:val="2"/>
          <w:sz w:val="26"/>
          <w:szCs w:val="26"/>
          <w:lang w:val="en-US" w:eastAsia="zh-CN" w:bidi="ar-SA"/>
        </w:rPr>
        <w:t>17号</w:t>
      </w:r>
      <w:r>
        <w:rPr>
          <w:rFonts w:hint="eastAsia" w:ascii="Arial" w:hAnsi="Arial" w:cs="Arial"/>
          <w:b/>
          <w:bCs w:val="0"/>
          <w:sz w:val="26"/>
          <w:szCs w:val="26"/>
          <w:highlight w:val="none"/>
          <w:lang w:val="en-US" w:eastAsia="zh-CN"/>
        </w:rPr>
        <w:t xml:space="preserve">”文符合性分析表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2"/>
        <w:gridCol w:w="4417"/>
        <w:gridCol w:w="2412"/>
        <w:gridCol w:w="1141"/>
        <w:gridCol w:w="6"/>
      </w:tblGrid>
      <w:tr w14:paraId="55390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0D2500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417" w:type="dxa"/>
            <w:tcBorders>
              <w:tl2br w:val="nil"/>
              <w:tr2bl w:val="nil"/>
            </w:tcBorders>
            <w:noWrap w:val="0"/>
            <w:vAlign w:val="center"/>
          </w:tcPr>
          <w:p w14:paraId="0D88B2E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2412" w:type="dxa"/>
            <w:tcBorders>
              <w:tl2br w:val="nil"/>
              <w:tr2bl w:val="nil"/>
            </w:tcBorders>
            <w:noWrap w:val="0"/>
            <w:vAlign w:val="center"/>
          </w:tcPr>
          <w:p w14:paraId="233F1BD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1147" w:type="dxa"/>
            <w:gridSpan w:val="2"/>
            <w:tcBorders>
              <w:tl2br w:val="nil"/>
              <w:tr2bl w:val="nil"/>
            </w:tcBorders>
            <w:noWrap w:val="0"/>
            <w:vAlign w:val="center"/>
          </w:tcPr>
          <w:p w14:paraId="783A91D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5E5BC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0D1F077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417" w:type="dxa"/>
            <w:tcBorders>
              <w:tl2br w:val="nil"/>
              <w:tr2bl w:val="nil"/>
            </w:tcBorders>
            <w:noWrap w:val="0"/>
            <w:vAlign w:val="center"/>
          </w:tcPr>
          <w:p w14:paraId="2E9AF1C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禁止新建、改建和扩建不符合全国港口布局规划以及《四川省内河水运发展规划》《泸州-宜宾-乐山港口群布局规划》《重庆港总体规划（2035年）》等省级港口布局规划及市级港口总体规划的码头项目。</w:t>
            </w:r>
          </w:p>
        </w:tc>
        <w:tc>
          <w:tcPr>
            <w:tcW w:w="2412" w:type="dxa"/>
            <w:tcBorders>
              <w:tl2br w:val="nil"/>
              <w:tr2bl w:val="nil"/>
            </w:tcBorders>
            <w:noWrap w:val="0"/>
            <w:vAlign w:val="center"/>
          </w:tcPr>
          <w:p w14:paraId="37B80D7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kern w:val="0"/>
                <w:sz w:val="22"/>
                <w:szCs w:val="22"/>
                <w:vertAlign w:val="baseline"/>
                <w:lang w:val="en-US" w:eastAsia="zh-CN"/>
              </w:rPr>
              <w:t>本项目不属于码头</w:t>
            </w:r>
          </w:p>
        </w:tc>
        <w:tc>
          <w:tcPr>
            <w:tcW w:w="1147" w:type="dxa"/>
            <w:gridSpan w:val="2"/>
            <w:tcBorders>
              <w:tl2br w:val="nil"/>
              <w:tr2bl w:val="nil"/>
            </w:tcBorders>
            <w:noWrap w:val="0"/>
            <w:vAlign w:val="center"/>
          </w:tcPr>
          <w:p w14:paraId="73E6B97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590C5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56850C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2</w:t>
            </w:r>
          </w:p>
        </w:tc>
        <w:tc>
          <w:tcPr>
            <w:tcW w:w="4417" w:type="dxa"/>
            <w:tcBorders>
              <w:tl2br w:val="nil"/>
              <w:tr2bl w:val="nil"/>
            </w:tcBorders>
            <w:noWrap w:val="0"/>
            <w:vAlign w:val="center"/>
          </w:tcPr>
          <w:p w14:paraId="616E252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禁止新建、改建和扩建不符合《长江于线过江通道布局规划2020</w:t>
            </w:r>
            <w:r>
              <w:rPr>
                <w:rFonts w:hint="eastAsia" w:ascii="Arial" w:hAnsi="Arial" w:cs="Arial"/>
                <w:color w:val="auto"/>
                <w:sz w:val="22"/>
                <w:szCs w:val="22"/>
                <w:highlight w:val="none"/>
                <w:lang w:val="en-US" w:eastAsia="zh-CN"/>
              </w:rPr>
              <w:t>~</w:t>
            </w:r>
            <w:r>
              <w:rPr>
                <w:rFonts w:hint="default" w:ascii="Arial" w:hAnsi="Arial" w:cs="Arial"/>
                <w:color w:val="auto"/>
                <w:sz w:val="22"/>
                <w:szCs w:val="22"/>
                <w:highlight w:val="none"/>
              </w:rPr>
              <w:t>2035年）》的过长江通道项目（含桥梁、隧道），国家发展改革委同意过长江通道线位调整的除外。</w:t>
            </w:r>
          </w:p>
        </w:tc>
        <w:tc>
          <w:tcPr>
            <w:tcW w:w="2412" w:type="dxa"/>
            <w:tcBorders>
              <w:tl2br w:val="nil"/>
              <w:tr2bl w:val="nil"/>
            </w:tcBorders>
            <w:noWrap w:val="0"/>
            <w:vAlign w:val="center"/>
          </w:tcPr>
          <w:p w14:paraId="4724B13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w:t>
            </w:r>
          </w:p>
        </w:tc>
        <w:tc>
          <w:tcPr>
            <w:tcW w:w="1147" w:type="dxa"/>
            <w:gridSpan w:val="2"/>
            <w:tcBorders>
              <w:tl2br w:val="nil"/>
              <w:tr2bl w:val="nil"/>
            </w:tcBorders>
            <w:noWrap w:val="0"/>
            <w:vAlign w:val="center"/>
          </w:tcPr>
          <w:p w14:paraId="73071F7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08BC0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2078FB3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3</w:t>
            </w:r>
          </w:p>
        </w:tc>
        <w:tc>
          <w:tcPr>
            <w:tcW w:w="4417" w:type="dxa"/>
            <w:tcBorders>
              <w:tl2br w:val="nil"/>
              <w:tr2bl w:val="nil"/>
            </w:tcBorders>
            <w:noWrap w:val="0"/>
            <w:vAlign w:val="center"/>
          </w:tcPr>
          <w:p w14:paraId="019B1DE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禁止在自然保护区核心区、缓冲区的岸线和河段范围内投资建设旅游和生产经营项目。自然保护区的内部未分区的，依照核心区和缓冲区的规定管控。</w:t>
            </w:r>
          </w:p>
        </w:tc>
        <w:tc>
          <w:tcPr>
            <w:tcW w:w="2412" w:type="dxa"/>
            <w:vMerge w:val="restart"/>
            <w:tcBorders>
              <w:tl2br w:val="nil"/>
              <w:tr2bl w:val="nil"/>
            </w:tcBorders>
            <w:noWrap w:val="0"/>
            <w:vAlign w:val="center"/>
          </w:tcPr>
          <w:p w14:paraId="7CEA4DD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选址位于丰都县双龙镇田家山村，占地及影响范围内不涉及风景名胜区、国家湿地公园、自然保护区、饮用水水源保护区、水产种质资源保护区等生态敏感区，</w:t>
            </w:r>
            <w:r>
              <w:rPr>
                <w:rFonts w:hint="default" w:ascii="Arial" w:hAnsi="Arial" w:eastAsia="宋体" w:cs="Arial"/>
                <w:b w:val="0"/>
                <w:bCs w:val="0"/>
                <w:color w:val="000000"/>
                <w:kern w:val="0"/>
                <w:sz w:val="22"/>
                <w:szCs w:val="22"/>
                <w:vertAlign w:val="baseline"/>
                <w:lang w:val="en-US" w:eastAsia="zh-CN" w:bidi="ar"/>
              </w:rPr>
              <w:t>不涉及长江划定的岸线保护区和保留区</w:t>
            </w:r>
            <w:r>
              <w:rPr>
                <w:rFonts w:hint="eastAsia" w:ascii="Arial" w:hAnsi="Arial" w:eastAsia="宋体" w:cs="Arial"/>
                <w:b w:val="0"/>
                <w:bCs w:val="0"/>
                <w:color w:val="000000"/>
                <w:kern w:val="0"/>
                <w:sz w:val="22"/>
                <w:szCs w:val="22"/>
                <w:vertAlign w:val="baseline"/>
                <w:lang w:val="en-US" w:eastAsia="zh-CN" w:bidi="ar"/>
              </w:rPr>
              <w:t>、</w:t>
            </w:r>
            <w:r>
              <w:rPr>
                <w:rFonts w:hint="default" w:ascii="Arial" w:hAnsi="Arial" w:eastAsia="宋体" w:cs="Arial"/>
                <w:b w:val="0"/>
                <w:bCs w:val="0"/>
                <w:color w:val="auto"/>
                <w:kern w:val="0"/>
                <w:sz w:val="22"/>
                <w:szCs w:val="22"/>
                <w:highlight w:val="none"/>
                <w:vertAlign w:val="baseline"/>
                <w:lang w:val="en-US" w:eastAsia="zh-CN" w:bidi="ar"/>
              </w:rPr>
              <w:t>全国重要江河湖泊划定的河段保护区、保留区</w:t>
            </w:r>
            <w:r>
              <w:rPr>
                <w:rFonts w:hint="eastAsia" w:ascii="Arial" w:hAnsi="Arial" w:eastAsia="宋体" w:cs="Arial"/>
                <w:b w:val="0"/>
                <w:bCs w:val="0"/>
                <w:color w:val="auto"/>
                <w:kern w:val="0"/>
                <w:sz w:val="22"/>
                <w:szCs w:val="22"/>
                <w:highlight w:val="none"/>
                <w:vertAlign w:val="baseline"/>
                <w:lang w:val="en-US" w:eastAsia="zh-CN" w:bidi="ar"/>
              </w:rPr>
              <w:t>。</w:t>
            </w:r>
          </w:p>
        </w:tc>
        <w:tc>
          <w:tcPr>
            <w:tcW w:w="1147" w:type="dxa"/>
            <w:gridSpan w:val="2"/>
            <w:vMerge w:val="restart"/>
            <w:tcBorders>
              <w:tl2br w:val="nil"/>
              <w:tr2bl w:val="nil"/>
            </w:tcBorders>
            <w:noWrap w:val="0"/>
            <w:vAlign w:val="center"/>
          </w:tcPr>
          <w:p w14:paraId="0524D8F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1955B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5FB6D46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4</w:t>
            </w:r>
          </w:p>
        </w:tc>
        <w:tc>
          <w:tcPr>
            <w:tcW w:w="4417" w:type="dxa"/>
            <w:tcBorders>
              <w:tl2br w:val="nil"/>
              <w:tr2bl w:val="nil"/>
            </w:tcBorders>
            <w:noWrap w:val="0"/>
            <w:vAlign w:val="center"/>
          </w:tcPr>
          <w:p w14:paraId="68A9321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禁止违反风景名胜区规划，在风景名胜区内设立各类开发区。禁止在风景名胜区核心景区的岸线和河段范围内建设宾馆招待所训中心、疗养院以及与风景名胜资源保护无关的项目。</w:t>
            </w:r>
          </w:p>
        </w:tc>
        <w:tc>
          <w:tcPr>
            <w:tcW w:w="2412" w:type="dxa"/>
            <w:vMerge w:val="continue"/>
            <w:tcBorders>
              <w:tl2br w:val="nil"/>
              <w:tr2bl w:val="nil"/>
            </w:tcBorders>
            <w:noWrap w:val="0"/>
            <w:vAlign w:val="center"/>
          </w:tcPr>
          <w:p w14:paraId="31D19A6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67CD09A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169C9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CD95D8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5</w:t>
            </w:r>
          </w:p>
        </w:tc>
        <w:tc>
          <w:tcPr>
            <w:tcW w:w="4417" w:type="dxa"/>
            <w:tcBorders>
              <w:tl2br w:val="nil"/>
              <w:tr2bl w:val="nil"/>
            </w:tcBorders>
            <w:noWrap w:val="0"/>
            <w:vAlign w:val="center"/>
          </w:tcPr>
          <w:p w14:paraId="31672A7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禁止在饮用水水源准保护区的岸线和河段范围内新建扩建对水体污染严重的建设项目改建增加排污量的建设项目。</w:t>
            </w:r>
          </w:p>
        </w:tc>
        <w:tc>
          <w:tcPr>
            <w:tcW w:w="2412" w:type="dxa"/>
            <w:vMerge w:val="continue"/>
            <w:tcBorders>
              <w:tl2br w:val="nil"/>
              <w:tr2bl w:val="nil"/>
            </w:tcBorders>
            <w:noWrap w:val="0"/>
            <w:vAlign w:val="center"/>
          </w:tcPr>
          <w:p w14:paraId="5C26581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16279A9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277BA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23670A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6</w:t>
            </w:r>
          </w:p>
        </w:tc>
        <w:tc>
          <w:tcPr>
            <w:tcW w:w="4417" w:type="dxa"/>
            <w:tcBorders>
              <w:tl2br w:val="nil"/>
              <w:tr2bl w:val="nil"/>
            </w:tcBorders>
            <w:noWrap w:val="0"/>
            <w:vAlign w:val="center"/>
          </w:tcPr>
          <w:p w14:paraId="6EDA6B5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饮用水水源二级保护区的岸线和河段范围内除遵守准保护区规定外禁止新建、改建、扩建排放污染物的投资建设项目；禁止从事对水体有污染的水产养殖等活动。</w:t>
            </w:r>
          </w:p>
        </w:tc>
        <w:tc>
          <w:tcPr>
            <w:tcW w:w="2412" w:type="dxa"/>
            <w:vMerge w:val="continue"/>
            <w:tcBorders>
              <w:tl2br w:val="nil"/>
              <w:tr2bl w:val="nil"/>
            </w:tcBorders>
            <w:noWrap w:val="0"/>
            <w:vAlign w:val="center"/>
          </w:tcPr>
          <w:p w14:paraId="54A1B50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5C22690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24FF1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782" w:type="dxa"/>
            <w:tcBorders>
              <w:tl2br w:val="nil"/>
              <w:tr2bl w:val="nil"/>
            </w:tcBorders>
            <w:noWrap w:val="0"/>
            <w:vAlign w:val="center"/>
          </w:tcPr>
          <w:p w14:paraId="228F190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7</w:t>
            </w:r>
          </w:p>
        </w:tc>
        <w:tc>
          <w:tcPr>
            <w:tcW w:w="4417" w:type="dxa"/>
            <w:tcBorders>
              <w:tl2br w:val="nil"/>
              <w:tr2bl w:val="nil"/>
            </w:tcBorders>
            <w:noWrap w:val="0"/>
            <w:vAlign w:val="center"/>
          </w:tcPr>
          <w:p w14:paraId="10F79F3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412" w:type="dxa"/>
            <w:vMerge w:val="continue"/>
            <w:tcBorders>
              <w:tl2br w:val="nil"/>
              <w:tr2bl w:val="nil"/>
            </w:tcBorders>
            <w:noWrap w:val="0"/>
            <w:vAlign w:val="center"/>
          </w:tcPr>
          <w:p w14:paraId="400FEB8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5EECE53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67BA8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7A7D18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8</w:t>
            </w:r>
          </w:p>
        </w:tc>
        <w:tc>
          <w:tcPr>
            <w:tcW w:w="4417" w:type="dxa"/>
            <w:tcBorders>
              <w:tl2br w:val="nil"/>
              <w:tr2bl w:val="nil"/>
            </w:tcBorders>
            <w:noWrap w:val="0"/>
            <w:vAlign w:val="center"/>
          </w:tcPr>
          <w:p w14:paraId="46139D1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禁止在水产种质资源保护区岸线和河段范围内新建围湖造田、围湖造地或挖沙采石等投资建设项目。</w:t>
            </w:r>
          </w:p>
        </w:tc>
        <w:tc>
          <w:tcPr>
            <w:tcW w:w="2412" w:type="dxa"/>
            <w:vMerge w:val="continue"/>
            <w:tcBorders>
              <w:tl2br w:val="nil"/>
              <w:tr2bl w:val="nil"/>
            </w:tcBorders>
            <w:noWrap w:val="0"/>
            <w:vAlign w:val="center"/>
          </w:tcPr>
          <w:p w14:paraId="714C327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50610BA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10AB6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6A201A0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9</w:t>
            </w:r>
          </w:p>
        </w:tc>
        <w:tc>
          <w:tcPr>
            <w:tcW w:w="4417" w:type="dxa"/>
            <w:tcBorders>
              <w:tl2br w:val="nil"/>
              <w:tr2bl w:val="nil"/>
            </w:tcBorders>
            <w:noWrap w:val="0"/>
            <w:vAlign w:val="center"/>
          </w:tcPr>
          <w:p w14:paraId="551A34C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2412" w:type="dxa"/>
            <w:vMerge w:val="continue"/>
            <w:tcBorders>
              <w:tl2br w:val="nil"/>
              <w:tr2bl w:val="nil"/>
            </w:tcBorders>
            <w:noWrap w:val="0"/>
            <w:vAlign w:val="center"/>
          </w:tcPr>
          <w:p w14:paraId="2AB0AD2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14A5DA4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4BF88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7157FF4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10</w:t>
            </w:r>
          </w:p>
        </w:tc>
        <w:tc>
          <w:tcPr>
            <w:tcW w:w="4417" w:type="dxa"/>
            <w:tcBorders>
              <w:tl2br w:val="nil"/>
              <w:tr2bl w:val="nil"/>
            </w:tcBorders>
            <w:noWrap w:val="0"/>
            <w:vAlign w:val="center"/>
          </w:tcPr>
          <w:p w14:paraId="6C6E187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412" w:type="dxa"/>
            <w:vMerge w:val="continue"/>
            <w:tcBorders>
              <w:tl2br w:val="nil"/>
              <w:tr2bl w:val="nil"/>
            </w:tcBorders>
            <w:noWrap w:val="0"/>
            <w:vAlign w:val="center"/>
          </w:tcPr>
          <w:p w14:paraId="736E216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483F46D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684DB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60CC82D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11</w:t>
            </w:r>
          </w:p>
        </w:tc>
        <w:tc>
          <w:tcPr>
            <w:tcW w:w="4417" w:type="dxa"/>
            <w:tcBorders>
              <w:tl2br w:val="nil"/>
              <w:tr2bl w:val="nil"/>
            </w:tcBorders>
            <w:noWrap w:val="0"/>
            <w:vAlign w:val="center"/>
          </w:tcPr>
          <w:p w14:paraId="77E19C7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禁止在《全国重要江河湖泊水功能区划》划定的河段及湖泊保护区、保留区内投资建设不利于水资源及自然生态保护的项目。</w:t>
            </w:r>
          </w:p>
        </w:tc>
        <w:tc>
          <w:tcPr>
            <w:tcW w:w="2412" w:type="dxa"/>
            <w:vMerge w:val="continue"/>
            <w:tcBorders>
              <w:tl2br w:val="nil"/>
              <w:tr2bl w:val="nil"/>
            </w:tcBorders>
            <w:noWrap w:val="0"/>
            <w:vAlign w:val="center"/>
          </w:tcPr>
          <w:p w14:paraId="3C33A67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0362ADA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3E00E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32A225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12</w:t>
            </w:r>
          </w:p>
        </w:tc>
        <w:tc>
          <w:tcPr>
            <w:tcW w:w="4417" w:type="dxa"/>
            <w:tcBorders>
              <w:tl2br w:val="nil"/>
              <w:tr2bl w:val="nil"/>
            </w:tcBorders>
            <w:noWrap w:val="0"/>
            <w:vAlign w:val="center"/>
          </w:tcPr>
          <w:p w14:paraId="25D0F79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禁止在长江流域江河、湖泊新设、改设或者扩大排污口，经有管辖权的生态环境主管部门或者长江流域生态环境监督管理机构同意的除外。</w:t>
            </w:r>
          </w:p>
        </w:tc>
        <w:tc>
          <w:tcPr>
            <w:tcW w:w="2412" w:type="dxa"/>
            <w:tcBorders>
              <w:tl2br w:val="nil"/>
              <w:tr2bl w:val="nil"/>
            </w:tcBorders>
            <w:noWrap w:val="0"/>
            <w:vAlign w:val="center"/>
          </w:tcPr>
          <w:p w14:paraId="54B93D8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本项目不</w:t>
            </w:r>
            <w:r>
              <w:rPr>
                <w:rFonts w:hint="eastAsia" w:ascii="Arial" w:hAnsi="Arial" w:cs="Arial"/>
                <w:color w:val="auto"/>
                <w:sz w:val="22"/>
                <w:szCs w:val="22"/>
                <w:highlight w:val="none"/>
                <w:lang w:eastAsia="zh-CN"/>
              </w:rPr>
              <w:t>涉及</w:t>
            </w:r>
          </w:p>
        </w:tc>
        <w:tc>
          <w:tcPr>
            <w:tcW w:w="1147" w:type="dxa"/>
            <w:gridSpan w:val="2"/>
            <w:tcBorders>
              <w:tl2br w:val="nil"/>
              <w:tr2bl w:val="nil"/>
            </w:tcBorders>
            <w:noWrap w:val="0"/>
            <w:vAlign w:val="center"/>
          </w:tcPr>
          <w:p w14:paraId="0552143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2613A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9C7A9D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13</w:t>
            </w:r>
          </w:p>
        </w:tc>
        <w:tc>
          <w:tcPr>
            <w:tcW w:w="4417" w:type="dxa"/>
            <w:tcBorders>
              <w:tl2br w:val="nil"/>
              <w:tr2bl w:val="nil"/>
            </w:tcBorders>
            <w:noWrap w:val="0"/>
            <w:vAlign w:val="center"/>
          </w:tcPr>
          <w:p w14:paraId="3E62179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禁止在长江干流、大渡河、峨江、赤水河、汜江、嘉陵江、乌江、汉江和51个（四川省45个、重庆市个）水生生物保护区开展生产性捕捞。</w:t>
            </w:r>
          </w:p>
        </w:tc>
        <w:tc>
          <w:tcPr>
            <w:tcW w:w="2412" w:type="dxa"/>
            <w:tcBorders>
              <w:tl2br w:val="nil"/>
              <w:tr2bl w:val="nil"/>
            </w:tcBorders>
            <w:noWrap w:val="0"/>
            <w:vAlign w:val="center"/>
          </w:tcPr>
          <w:p w14:paraId="63FD46C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本项目不</w:t>
            </w:r>
            <w:r>
              <w:rPr>
                <w:rFonts w:hint="eastAsia" w:ascii="Arial" w:hAnsi="Arial" w:cs="Arial"/>
                <w:color w:val="auto"/>
                <w:sz w:val="22"/>
                <w:szCs w:val="22"/>
                <w:highlight w:val="none"/>
                <w:lang w:eastAsia="zh-CN"/>
              </w:rPr>
              <w:t>涉及</w:t>
            </w:r>
          </w:p>
        </w:tc>
        <w:tc>
          <w:tcPr>
            <w:tcW w:w="1147" w:type="dxa"/>
            <w:gridSpan w:val="2"/>
            <w:tcBorders>
              <w:tl2br w:val="nil"/>
              <w:tr2bl w:val="nil"/>
            </w:tcBorders>
            <w:noWrap w:val="0"/>
            <w:vAlign w:val="center"/>
          </w:tcPr>
          <w:p w14:paraId="360411A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751C9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141634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14</w:t>
            </w:r>
          </w:p>
        </w:tc>
        <w:tc>
          <w:tcPr>
            <w:tcW w:w="4417" w:type="dxa"/>
            <w:tcBorders>
              <w:tl2br w:val="nil"/>
              <w:tr2bl w:val="nil"/>
            </w:tcBorders>
            <w:noWrap w:val="0"/>
            <w:vAlign w:val="center"/>
          </w:tcPr>
          <w:p w14:paraId="09D6150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禁止在长江干支流、重要湖泊岸线一公里范围内新建、扩建化工园区和化工项目。</w:t>
            </w:r>
          </w:p>
        </w:tc>
        <w:tc>
          <w:tcPr>
            <w:tcW w:w="2412" w:type="dxa"/>
            <w:tcBorders>
              <w:tl2br w:val="nil"/>
              <w:tr2bl w:val="nil"/>
            </w:tcBorders>
            <w:noWrap w:val="0"/>
            <w:vAlign w:val="center"/>
          </w:tcPr>
          <w:p w14:paraId="3288F7E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default" w:ascii="Arial" w:hAnsi="Arial" w:cs="Arial"/>
                <w:color w:val="auto"/>
                <w:sz w:val="22"/>
                <w:szCs w:val="22"/>
                <w:highlight w:val="none"/>
              </w:rPr>
              <w:t>不</w:t>
            </w:r>
            <w:r>
              <w:rPr>
                <w:rFonts w:hint="eastAsia" w:ascii="Arial" w:hAnsi="Arial" w:cs="Arial"/>
                <w:color w:val="auto"/>
                <w:sz w:val="22"/>
                <w:szCs w:val="22"/>
                <w:highlight w:val="none"/>
                <w:lang w:eastAsia="zh-CN"/>
              </w:rPr>
              <w:t>涉及</w:t>
            </w:r>
          </w:p>
        </w:tc>
        <w:tc>
          <w:tcPr>
            <w:tcW w:w="1147" w:type="dxa"/>
            <w:gridSpan w:val="2"/>
            <w:tcBorders>
              <w:tl2br w:val="nil"/>
              <w:tr2bl w:val="nil"/>
            </w:tcBorders>
            <w:noWrap w:val="0"/>
            <w:vAlign w:val="center"/>
          </w:tcPr>
          <w:p w14:paraId="6D762E2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2CCD6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2E9FE98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15</w:t>
            </w:r>
          </w:p>
        </w:tc>
        <w:tc>
          <w:tcPr>
            <w:tcW w:w="4417" w:type="dxa"/>
            <w:tcBorders>
              <w:tl2br w:val="nil"/>
              <w:tr2bl w:val="nil"/>
            </w:tcBorders>
            <w:noWrap w:val="0"/>
            <w:vAlign w:val="center"/>
          </w:tcPr>
          <w:p w14:paraId="392D509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禁止在长江干流岸线三公里范围内和重要支流岸线一公里范围内新建、改建扩建尾矿库、冶炼渣库、磷石膏库，以提升安全、生态环境保护水平为目的的改建除外。</w:t>
            </w:r>
          </w:p>
        </w:tc>
        <w:tc>
          <w:tcPr>
            <w:tcW w:w="2412" w:type="dxa"/>
            <w:tcBorders>
              <w:tl2br w:val="nil"/>
              <w:tr2bl w:val="nil"/>
            </w:tcBorders>
            <w:noWrap w:val="0"/>
            <w:vAlign w:val="center"/>
          </w:tcPr>
          <w:p w14:paraId="69BB8F3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w:t>
            </w:r>
          </w:p>
        </w:tc>
        <w:tc>
          <w:tcPr>
            <w:tcW w:w="1147" w:type="dxa"/>
            <w:gridSpan w:val="2"/>
            <w:tcBorders>
              <w:tl2br w:val="nil"/>
              <w:tr2bl w:val="nil"/>
            </w:tcBorders>
            <w:noWrap w:val="0"/>
            <w:vAlign w:val="center"/>
          </w:tcPr>
          <w:p w14:paraId="751B3B5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63477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7D46E8A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16</w:t>
            </w:r>
          </w:p>
        </w:tc>
        <w:tc>
          <w:tcPr>
            <w:tcW w:w="4417" w:type="dxa"/>
            <w:tcBorders>
              <w:tl2br w:val="nil"/>
              <w:tr2bl w:val="nil"/>
            </w:tcBorders>
            <w:noWrap w:val="0"/>
            <w:vAlign w:val="center"/>
          </w:tcPr>
          <w:p w14:paraId="1DF38FD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禁止在生态保护</w:t>
            </w:r>
            <w:r>
              <w:rPr>
                <w:rFonts w:hint="eastAsia" w:ascii="Arial" w:hAnsi="Arial" w:cs="Arial"/>
                <w:color w:val="auto"/>
                <w:sz w:val="22"/>
                <w:szCs w:val="22"/>
                <w:highlight w:val="none"/>
                <w:lang w:eastAsia="zh-CN"/>
              </w:rPr>
              <w:t>红</w:t>
            </w:r>
            <w:r>
              <w:rPr>
                <w:rFonts w:hint="default" w:ascii="Arial" w:hAnsi="Arial" w:cs="Arial"/>
                <w:color w:val="auto"/>
                <w:sz w:val="22"/>
                <w:szCs w:val="22"/>
                <w:highlight w:val="none"/>
              </w:rPr>
              <w:t>线区域、永久基本农田集中区域和其他需要特别保护的区域内选址建设尾矿库、冶炼渣库、磷石膏库。</w:t>
            </w:r>
          </w:p>
        </w:tc>
        <w:tc>
          <w:tcPr>
            <w:tcW w:w="2412" w:type="dxa"/>
            <w:tcBorders>
              <w:tl2br w:val="nil"/>
              <w:tr2bl w:val="nil"/>
            </w:tcBorders>
            <w:noWrap w:val="0"/>
            <w:vAlign w:val="center"/>
          </w:tcPr>
          <w:p w14:paraId="488F9F2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不涉及丰都县划定的生态保护红线，占地范围内分布有基本农田</w:t>
            </w:r>
            <w:r>
              <w:rPr>
                <w:rFonts w:hint="eastAsia" w:ascii="Arial" w:hAnsi="Arial" w:cs="Arial"/>
                <w:color w:val="auto"/>
                <w:sz w:val="22"/>
                <w:szCs w:val="22"/>
                <w:highlight w:val="none"/>
                <w:lang w:val="en-US" w:eastAsia="zh-CN"/>
              </w:rPr>
              <w:t>，但已办理用地手续。</w:t>
            </w:r>
          </w:p>
        </w:tc>
        <w:tc>
          <w:tcPr>
            <w:tcW w:w="1147" w:type="dxa"/>
            <w:gridSpan w:val="2"/>
            <w:tcBorders>
              <w:tl2br w:val="nil"/>
              <w:tr2bl w:val="nil"/>
            </w:tcBorders>
            <w:noWrap w:val="0"/>
            <w:vAlign w:val="center"/>
          </w:tcPr>
          <w:p w14:paraId="246F0B2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14675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602949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17</w:t>
            </w:r>
          </w:p>
        </w:tc>
        <w:tc>
          <w:tcPr>
            <w:tcW w:w="4417" w:type="dxa"/>
            <w:tcBorders>
              <w:tl2br w:val="nil"/>
              <w:tr2bl w:val="nil"/>
            </w:tcBorders>
            <w:noWrap w:val="0"/>
            <w:vAlign w:val="center"/>
          </w:tcPr>
          <w:p w14:paraId="58F6D54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禁止在合规园区外新建、扩建钢铁、石化、化工、焦化、建材、有色、制浆造纸等高污染项目。</w:t>
            </w:r>
          </w:p>
        </w:tc>
        <w:tc>
          <w:tcPr>
            <w:tcW w:w="2412" w:type="dxa"/>
            <w:tcBorders>
              <w:tl2br w:val="nil"/>
              <w:tr2bl w:val="nil"/>
            </w:tcBorders>
            <w:noWrap w:val="0"/>
            <w:vAlign w:val="center"/>
          </w:tcPr>
          <w:p w14:paraId="54748CD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w:t>
            </w:r>
          </w:p>
        </w:tc>
        <w:tc>
          <w:tcPr>
            <w:tcW w:w="1147" w:type="dxa"/>
            <w:gridSpan w:val="2"/>
            <w:tcBorders>
              <w:tl2br w:val="nil"/>
              <w:tr2bl w:val="nil"/>
            </w:tcBorders>
            <w:noWrap w:val="0"/>
            <w:vAlign w:val="center"/>
          </w:tcPr>
          <w:p w14:paraId="5CC866E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73937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CDEE72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18</w:t>
            </w:r>
          </w:p>
        </w:tc>
        <w:tc>
          <w:tcPr>
            <w:tcW w:w="4417" w:type="dxa"/>
            <w:tcBorders>
              <w:tl2br w:val="nil"/>
              <w:tr2bl w:val="nil"/>
            </w:tcBorders>
            <w:noWrap w:val="0"/>
            <w:vAlign w:val="center"/>
          </w:tcPr>
          <w:p w14:paraId="03C8011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禁止新建、扩建不符合国家石化、现代煤化工等产业布局规划的项目严格控制新增炼油产能，未列入《石化产业规划布局方案（修订版）》的新增炼油产能一律不得建设）。</w:t>
            </w:r>
          </w:p>
          <w:p w14:paraId="39C3127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新建煤制烯经、煤制芳经项目必须列入《现代煤化工产业创新发展布局方案》，必须符合《现代煤化工建设项目环境准入条件（试行）》要求。</w:t>
            </w:r>
          </w:p>
        </w:tc>
        <w:tc>
          <w:tcPr>
            <w:tcW w:w="2412" w:type="dxa"/>
            <w:tcBorders>
              <w:tl2br w:val="nil"/>
              <w:tr2bl w:val="nil"/>
            </w:tcBorders>
            <w:noWrap w:val="0"/>
            <w:vAlign w:val="center"/>
          </w:tcPr>
          <w:p w14:paraId="1595D98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default" w:ascii="Arial" w:hAnsi="Arial" w:cs="Arial"/>
                <w:color w:val="auto"/>
                <w:sz w:val="22"/>
                <w:szCs w:val="22"/>
                <w:highlight w:val="none"/>
              </w:rPr>
              <w:t>不涉及</w:t>
            </w:r>
          </w:p>
        </w:tc>
        <w:tc>
          <w:tcPr>
            <w:tcW w:w="1147" w:type="dxa"/>
            <w:gridSpan w:val="2"/>
            <w:tcBorders>
              <w:tl2br w:val="nil"/>
              <w:tr2bl w:val="nil"/>
            </w:tcBorders>
            <w:noWrap w:val="0"/>
            <w:vAlign w:val="center"/>
          </w:tcPr>
          <w:p w14:paraId="1199664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5D107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54ADC44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19</w:t>
            </w:r>
          </w:p>
        </w:tc>
        <w:tc>
          <w:tcPr>
            <w:tcW w:w="4417" w:type="dxa"/>
            <w:tcBorders>
              <w:tl2br w:val="nil"/>
              <w:tr2bl w:val="nil"/>
            </w:tcBorders>
            <w:noWrap w:val="0"/>
            <w:vAlign w:val="center"/>
          </w:tcPr>
          <w:p w14:paraId="2E610EA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412" w:type="dxa"/>
            <w:vMerge w:val="restart"/>
            <w:tcBorders>
              <w:tl2br w:val="nil"/>
              <w:tr2bl w:val="nil"/>
            </w:tcBorders>
            <w:noWrap w:val="0"/>
            <w:vAlign w:val="center"/>
          </w:tcPr>
          <w:p w14:paraId="2EFFA03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default" w:ascii="Arial" w:hAnsi="Arial" w:cs="Arial"/>
                <w:color w:val="auto"/>
                <w:sz w:val="22"/>
                <w:szCs w:val="22"/>
                <w:highlight w:val="none"/>
              </w:rPr>
              <w:t>属于《产业结构调整指导目录》</w:t>
            </w:r>
            <w:r>
              <w:rPr>
                <w:rFonts w:hint="eastAsia" w:ascii="Arial" w:hAnsi="Arial" w:cs="Arial"/>
                <w:color w:val="auto"/>
                <w:sz w:val="22"/>
                <w:szCs w:val="22"/>
                <w:highlight w:val="none"/>
                <w:lang w:eastAsia="zh-CN"/>
              </w:rPr>
              <w:t>（</w:t>
            </w:r>
            <w:r>
              <w:rPr>
                <w:rFonts w:hint="eastAsia" w:ascii="Arial" w:hAnsi="Arial" w:cs="Arial"/>
                <w:color w:val="auto"/>
                <w:sz w:val="22"/>
                <w:szCs w:val="22"/>
                <w:highlight w:val="none"/>
                <w:lang w:val="en-US" w:eastAsia="zh-CN"/>
              </w:rPr>
              <w:t>2024年本）中鼓励类项目</w:t>
            </w:r>
            <w:r>
              <w:rPr>
                <w:rFonts w:hint="default" w:ascii="Arial" w:hAnsi="Arial" w:cs="Arial"/>
                <w:color w:val="auto"/>
                <w:sz w:val="22"/>
                <w:szCs w:val="22"/>
                <w:highlight w:val="none"/>
              </w:rPr>
              <w:t>。</w:t>
            </w:r>
          </w:p>
        </w:tc>
        <w:tc>
          <w:tcPr>
            <w:tcW w:w="1147" w:type="dxa"/>
            <w:gridSpan w:val="2"/>
            <w:tcBorders>
              <w:tl2br w:val="nil"/>
              <w:tr2bl w:val="nil"/>
            </w:tcBorders>
            <w:noWrap w:val="0"/>
            <w:vAlign w:val="center"/>
          </w:tcPr>
          <w:p w14:paraId="6644046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4201B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5B37D68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20</w:t>
            </w:r>
          </w:p>
        </w:tc>
        <w:tc>
          <w:tcPr>
            <w:tcW w:w="4417" w:type="dxa"/>
            <w:tcBorders>
              <w:tl2br w:val="nil"/>
              <w:tr2bl w:val="nil"/>
            </w:tcBorders>
            <w:noWrap w:val="0"/>
            <w:vAlign w:val="center"/>
          </w:tcPr>
          <w:p w14:paraId="557F4C1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禁止新建、扩建不符合国家产能置换要求的严重过剩产能行业的项目。对于不符合国家产能置换要求的严重过剩产能行业，不得以其他任何名义任何方式备案新增产能项目。</w:t>
            </w:r>
          </w:p>
        </w:tc>
        <w:tc>
          <w:tcPr>
            <w:tcW w:w="2412" w:type="dxa"/>
            <w:vMerge w:val="continue"/>
            <w:tcBorders>
              <w:tl2br w:val="nil"/>
              <w:tr2bl w:val="nil"/>
            </w:tcBorders>
            <w:noWrap w:val="0"/>
            <w:vAlign w:val="center"/>
          </w:tcPr>
          <w:p w14:paraId="12819F4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tcBorders>
              <w:tl2br w:val="nil"/>
              <w:tr2bl w:val="nil"/>
            </w:tcBorders>
            <w:noWrap w:val="0"/>
            <w:vAlign w:val="center"/>
          </w:tcPr>
          <w:p w14:paraId="70351F2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2EF52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074352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21</w:t>
            </w:r>
          </w:p>
        </w:tc>
        <w:tc>
          <w:tcPr>
            <w:tcW w:w="4417" w:type="dxa"/>
            <w:tcBorders>
              <w:tl2br w:val="nil"/>
              <w:tr2bl w:val="nil"/>
            </w:tcBorders>
            <w:noWrap w:val="0"/>
            <w:vAlign w:val="center"/>
          </w:tcPr>
          <w:p w14:paraId="719B234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禁止建设以燃油汽车投资项目（不在中回境内销售产品的投资项目除外）：</w:t>
            </w:r>
          </w:p>
          <w:p w14:paraId="6AEDC55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①新建独立燃油汽车企业</w:t>
            </w:r>
          </w:p>
          <w:p w14:paraId="0E58F4C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②现有汽车企业跨乘用车、商用车类别建设燃油汽车生产能力）；</w:t>
            </w:r>
          </w:p>
          <w:p w14:paraId="110D58E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③外省现有燃油汽车企业整体搬迁至本省（列入国家级区域发展规划或不改变企业股权结构的项目除外）；</w:t>
            </w:r>
          </w:p>
          <w:p w14:paraId="4BBAE8E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④对行业管理部门特别公示的燃油汽车企业进行投资（企业原有股东投资或将该企业转为非独立法人的投资项目除外）。</w:t>
            </w:r>
          </w:p>
        </w:tc>
        <w:tc>
          <w:tcPr>
            <w:tcW w:w="2412" w:type="dxa"/>
            <w:tcBorders>
              <w:tl2br w:val="nil"/>
              <w:tr2bl w:val="nil"/>
            </w:tcBorders>
            <w:noWrap w:val="0"/>
            <w:vAlign w:val="center"/>
          </w:tcPr>
          <w:p w14:paraId="3AD5CF8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eastAsia" w:ascii="Arial" w:hAnsi="Arial" w:cs="Arial"/>
                <w:color w:val="auto"/>
                <w:sz w:val="22"/>
                <w:szCs w:val="22"/>
                <w:highlight w:val="none"/>
                <w:lang w:eastAsia="zh-CN"/>
              </w:rPr>
              <w:t>不涉及</w:t>
            </w:r>
          </w:p>
        </w:tc>
        <w:tc>
          <w:tcPr>
            <w:tcW w:w="1147" w:type="dxa"/>
            <w:gridSpan w:val="2"/>
            <w:tcBorders>
              <w:tl2br w:val="nil"/>
              <w:tr2bl w:val="nil"/>
            </w:tcBorders>
            <w:noWrap w:val="0"/>
            <w:vAlign w:val="center"/>
          </w:tcPr>
          <w:p w14:paraId="1BD6392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01B62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0" w:hRule="atLeast"/>
          <w:jc w:val="center"/>
        </w:trPr>
        <w:tc>
          <w:tcPr>
            <w:tcW w:w="782" w:type="dxa"/>
            <w:tcBorders>
              <w:tl2br w:val="nil"/>
              <w:tr2bl w:val="nil"/>
            </w:tcBorders>
            <w:noWrap w:val="0"/>
            <w:vAlign w:val="center"/>
          </w:tcPr>
          <w:p w14:paraId="625F8C9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22</w:t>
            </w:r>
          </w:p>
        </w:tc>
        <w:tc>
          <w:tcPr>
            <w:tcW w:w="4417" w:type="dxa"/>
            <w:tcBorders>
              <w:tl2br w:val="nil"/>
              <w:tr2bl w:val="nil"/>
            </w:tcBorders>
            <w:noWrap w:val="0"/>
            <w:vAlign w:val="center"/>
          </w:tcPr>
          <w:p w14:paraId="7CADFC9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禁止新建扩建不符合要求的高耗能、高排放、低水平项目。</w:t>
            </w:r>
          </w:p>
        </w:tc>
        <w:tc>
          <w:tcPr>
            <w:tcW w:w="2412" w:type="dxa"/>
            <w:tcBorders>
              <w:tl2br w:val="nil"/>
              <w:tr2bl w:val="nil"/>
            </w:tcBorders>
            <w:noWrap w:val="0"/>
            <w:vAlign w:val="center"/>
          </w:tcPr>
          <w:p w14:paraId="3CE9DD2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default" w:ascii="Arial" w:hAnsi="Arial" w:cs="Arial"/>
                <w:color w:val="auto"/>
                <w:sz w:val="22"/>
                <w:szCs w:val="22"/>
                <w:highlight w:val="none"/>
              </w:rPr>
              <w:t>不属于高耗能、高排放、低水平项目。</w:t>
            </w:r>
          </w:p>
        </w:tc>
        <w:tc>
          <w:tcPr>
            <w:tcW w:w="1141" w:type="dxa"/>
            <w:tcBorders>
              <w:tl2br w:val="nil"/>
              <w:tr2bl w:val="nil"/>
            </w:tcBorders>
            <w:noWrap w:val="0"/>
            <w:vAlign w:val="center"/>
          </w:tcPr>
          <w:p w14:paraId="6679681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bl>
    <w:p w14:paraId="4A5AF2AB">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60"/>
        <w:textAlignment w:val="auto"/>
        <w:rPr>
          <w:rFonts w:hint="default" w:ascii="Arial" w:hAnsi="Arial" w:eastAsia="宋体" w:cs="Arial"/>
          <w:b w:val="0"/>
          <w:color w:val="auto"/>
          <w:kern w:val="2"/>
          <w:sz w:val="26"/>
          <w:szCs w:val="26"/>
          <w:lang w:val="en-US" w:eastAsia="zh-CN" w:bidi="ar-SA"/>
        </w:rPr>
      </w:pPr>
    </w:p>
    <w:p w14:paraId="24CB2214">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综上所述，本项目</w:t>
      </w:r>
      <w:r>
        <w:rPr>
          <w:rFonts w:hint="eastAsia" w:ascii="Arial" w:hAnsi="Arial" w:eastAsia="宋体" w:cs="Arial"/>
          <w:b w:val="0"/>
          <w:color w:val="auto"/>
          <w:kern w:val="2"/>
          <w:sz w:val="26"/>
          <w:szCs w:val="26"/>
          <w:lang w:val="en-US" w:eastAsia="zh-CN" w:bidi="ar-SA"/>
        </w:rPr>
        <w:t>为水利基础设施建设，选线不涉及饮用水水源保护区、生态保护红线、自然保护区、风景名胜区、国家湿地公园等生态敏感区，与</w:t>
      </w:r>
      <w:r>
        <w:rPr>
          <w:rFonts w:hint="default" w:ascii="Arial" w:hAnsi="Arial" w:eastAsia="宋体" w:cs="Arial"/>
          <w:b w:val="0"/>
          <w:color w:val="auto"/>
          <w:kern w:val="2"/>
          <w:sz w:val="26"/>
          <w:szCs w:val="26"/>
          <w:lang w:val="en-US" w:eastAsia="zh-CN" w:bidi="ar-SA"/>
        </w:rPr>
        <w:t>《长江经济带发展负面清单指南（试行，2022年版）》（长江办</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7号）</w:t>
      </w:r>
      <w:r>
        <w:rPr>
          <w:rFonts w:hint="eastAsia" w:ascii="Arial" w:hAnsi="Arial" w:eastAsia="宋体" w:cs="Arial"/>
          <w:b w:val="0"/>
          <w:color w:val="auto"/>
          <w:kern w:val="2"/>
          <w:sz w:val="26"/>
          <w:szCs w:val="26"/>
          <w:lang w:val="en-US" w:eastAsia="zh-CN" w:bidi="ar-SA"/>
        </w:rPr>
        <w:t>相符</w:t>
      </w:r>
      <w:r>
        <w:rPr>
          <w:rFonts w:hint="default" w:ascii="Arial" w:hAnsi="Arial" w:eastAsia="宋体" w:cs="Arial"/>
          <w:b w:val="0"/>
          <w:color w:val="auto"/>
          <w:kern w:val="2"/>
          <w:sz w:val="26"/>
          <w:szCs w:val="26"/>
          <w:lang w:val="en-US" w:eastAsia="zh-CN" w:bidi="ar-SA"/>
        </w:rPr>
        <w:t>。</w:t>
      </w:r>
    </w:p>
    <w:p w14:paraId="69DD6371">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1.9.5与《</w:t>
      </w:r>
      <w:bookmarkStart w:id="76" w:name="OLE_LINK9"/>
      <w:r>
        <w:rPr>
          <w:rFonts w:hint="eastAsia" w:ascii="Arial" w:hAnsi="Arial" w:eastAsia="宋体" w:cs="Arial"/>
          <w:b/>
          <w:color w:val="auto"/>
          <w:kern w:val="0"/>
          <w:sz w:val="26"/>
          <w:szCs w:val="20"/>
          <w:highlight w:val="none"/>
          <w:lang w:val="en-US" w:eastAsia="zh-CN"/>
        </w:rPr>
        <w:t>长江经济带生态环境保护规划</w:t>
      </w:r>
      <w:bookmarkEnd w:id="76"/>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（环规</w:t>
      </w:r>
      <w:r>
        <w:rPr>
          <w:rFonts w:hint="default" w:ascii="Arial" w:hAnsi="Arial" w:cs="Arial"/>
          <w:b/>
          <w:color w:val="auto"/>
          <w:kern w:val="0"/>
          <w:sz w:val="26"/>
          <w:szCs w:val="20"/>
          <w:highlight w:val="none"/>
          <w:lang w:val="en-US" w:eastAsia="zh-CN"/>
        </w:rPr>
        <w:t>财</w:t>
      </w:r>
      <w:r>
        <w:rPr>
          <w:rFonts w:hint="default" w:ascii="Arial" w:hAnsi="Arial" w:eastAsia="宋体" w:cs="Arial"/>
          <w:b/>
          <w:color w:val="auto"/>
          <w:kern w:val="0"/>
          <w:sz w:val="26"/>
          <w:szCs w:val="20"/>
          <w:highlight w:val="none"/>
          <w:lang w:val="en-US" w:eastAsia="zh-CN"/>
        </w:rPr>
        <w:t>〔2017〕88号）</w:t>
      </w:r>
      <w:r>
        <w:rPr>
          <w:rFonts w:hint="eastAsia" w:ascii="Arial" w:hAnsi="Arial" w:eastAsia="宋体" w:cs="Arial"/>
          <w:b/>
          <w:color w:val="auto"/>
          <w:kern w:val="0"/>
          <w:sz w:val="26"/>
          <w:szCs w:val="20"/>
          <w:highlight w:val="none"/>
          <w:lang w:val="en-US" w:eastAsia="zh-CN"/>
        </w:rPr>
        <w:t>的符合性分析</w:t>
      </w:r>
    </w:p>
    <w:p w14:paraId="54D92392">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拟建项目位于丰都县双龙镇田家山村，主要为建设水库及配套输水管线，与《长江经济带生态环境保护规划》的符合性分析详见表1.9-4所示。</w:t>
      </w:r>
    </w:p>
    <w:p w14:paraId="54506B97">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.9-4 与“</w:t>
      </w:r>
      <w:r>
        <w:rPr>
          <w:rFonts w:hint="eastAsia" w:ascii="Arial" w:hAnsi="Arial" w:eastAsia="宋体" w:cs="Arial"/>
          <w:b/>
          <w:color w:val="auto"/>
          <w:kern w:val="0"/>
          <w:sz w:val="26"/>
          <w:szCs w:val="20"/>
          <w:highlight w:val="none"/>
          <w:lang w:val="en-US" w:eastAsia="zh-CN"/>
        </w:rPr>
        <w:t>长江经济带生态环境保护规划</w:t>
      </w:r>
      <w:r>
        <w:rPr>
          <w:rFonts w:hint="eastAsia" w:ascii="Arial" w:hAnsi="Arial" w:cs="Arial"/>
          <w:b/>
          <w:color w:val="auto"/>
          <w:kern w:val="0"/>
          <w:sz w:val="26"/>
          <w:szCs w:val="20"/>
          <w:highlight w:val="none"/>
          <w:lang w:val="en-US" w:eastAsia="zh-CN"/>
        </w:rPr>
        <w:t>”</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617"/>
        <w:gridCol w:w="2533"/>
        <w:gridCol w:w="949"/>
      </w:tblGrid>
      <w:tr w14:paraId="4F82B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11DD6B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617" w:type="dxa"/>
            <w:tcBorders>
              <w:tl2br w:val="nil"/>
              <w:tr2bl w:val="nil"/>
            </w:tcBorders>
            <w:noWrap w:val="0"/>
            <w:vAlign w:val="center"/>
          </w:tcPr>
          <w:p w14:paraId="651E13F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2533" w:type="dxa"/>
            <w:tcBorders>
              <w:tl2br w:val="nil"/>
              <w:tr2bl w:val="nil"/>
            </w:tcBorders>
            <w:noWrap w:val="0"/>
            <w:vAlign w:val="center"/>
          </w:tcPr>
          <w:p w14:paraId="62ABAC2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949" w:type="dxa"/>
            <w:tcBorders>
              <w:tl2br w:val="nil"/>
              <w:tr2bl w:val="nil"/>
            </w:tcBorders>
            <w:noWrap w:val="0"/>
            <w:vAlign w:val="center"/>
          </w:tcPr>
          <w:p w14:paraId="4CB7F7B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7CDB5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4884127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617" w:type="dxa"/>
            <w:tcBorders>
              <w:tl2br w:val="nil"/>
              <w:tr2bl w:val="nil"/>
            </w:tcBorders>
            <w:noWrap w:val="0"/>
            <w:vAlign w:val="center"/>
          </w:tcPr>
          <w:p w14:paraId="37B2BAE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b/>
                <w:bCs/>
                <w:color w:val="auto"/>
                <w:sz w:val="22"/>
                <w:szCs w:val="22"/>
                <w:highlight w:val="none"/>
                <w:lang w:eastAsia="zh-CN"/>
              </w:rPr>
              <w:t>分区保护重点</w:t>
            </w:r>
            <w:r>
              <w:rPr>
                <w:rFonts w:hint="eastAsia" w:ascii="Arial" w:hAnsi="Arial" w:cs="Arial"/>
                <w:color w:val="auto"/>
                <w:sz w:val="22"/>
                <w:szCs w:val="22"/>
                <w:highlight w:val="none"/>
                <w:lang w:eastAsia="zh-CN"/>
              </w:rPr>
              <w:t>：上游区包括重庆、四川、贵州、云南等省市，区域水土流失、荒漠化严重，矿产资源开发等带来的环境污染和生态破坏问题突出，大城市及周边污染形势严峻。应重点加强水源涵养、水土保持、生物多样性维护和高原湖泊湿地保护，强化自然保护区建设和管护，合理开发利用水资源，禁止煤炭、有色金属、磷矿等资源的无序开发，加大湖库、湿地等敏感区的保护力度，加强云贵川喀斯特地区、金沙江中下游、嘉陵江流域、沱江流域、乌江中上游、三峡库区等区域水土流失治理与生态恢复，推进成渝城市群环境质量持续改善。</w:t>
            </w:r>
          </w:p>
        </w:tc>
        <w:tc>
          <w:tcPr>
            <w:tcW w:w="2533" w:type="dxa"/>
            <w:tcBorders>
              <w:tl2br w:val="nil"/>
              <w:tr2bl w:val="nil"/>
            </w:tcBorders>
            <w:noWrap w:val="0"/>
            <w:vAlign w:val="center"/>
          </w:tcPr>
          <w:p w14:paraId="424BE7D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本项目主要为新建水库及配套输水管线，对项目所在地水域水质有改善作用；</w:t>
            </w:r>
            <w:r>
              <w:rPr>
                <w:spacing w:val="-1"/>
                <w:sz w:val="22"/>
                <w:szCs w:val="22"/>
              </w:rPr>
              <w:t>同时</w:t>
            </w:r>
            <w:r>
              <w:rPr>
                <w:rFonts w:hint="eastAsia"/>
                <w:spacing w:val="-1"/>
                <w:sz w:val="22"/>
                <w:szCs w:val="22"/>
                <w:lang w:eastAsia="zh-CN"/>
              </w:rPr>
              <w:t>将对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spacing w:val="1"/>
                <w:sz w:val="22"/>
                <w:szCs w:val="22"/>
              </w:rPr>
              <w:t>；此外，通过</w:t>
            </w:r>
            <w:r>
              <w:rPr>
                <w:rFonts w:hint="eastAsia"/>
                <w:spacing w:val="1"/>
                <w:sz w:val="22"/>
                <w:szCs w:val="22"/>
                <w:lang w:eastAsia="zh-CN"/>
              </w:rPr>
              <w:t>下泄生态流量</w:t>
            </w:r>
            <w:r>
              <w:rPr>
                <w:spacing w:val="-1"/>
                <w:sz w:val="22"/>
                <w:szCs w:val="22"/>
              </w:rPr>
              <w:t>，保护水生生</w:t>
            </w:r>
            <w:r>
              <w:rPr>
                <w:spacing w:val="-2"/>
                <w:sz w:val="22"/>
                <w:szCs w:val="22"/>
              </w:rPr>
              <w:t>态环境</w:t>
            </w:r>
            <w:r>
              <w:rPr>
                <w:rFonts w:hint="eastAsia"/>
                <w:spacing w:val="-2"/>
                <w:sz w:val="22"/>
                <w:szCs w:val="22"/>
                <w:lang w:eastAsia="zh-CN"/>
              </w:rPr>
              <w:t>。</w:t>
            </w:r>
          </w:p>
        </w:tc>
        <w:tc>
          <w:tcPr>
            <w:tcW w:w="949" w:type="dxa"/>
            <w:tcBorders>
              <w:tl2br w:val="nil"/>
              <w:tr2bl w:val="nil"/>
            </w:tcBorders>
            <w:noWrap w:val="0"/>
            <w:vAlign w:val="center"/>
          </w:tcPr>
          <w:p w14:paraId="54A98EA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39272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4421C9F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617" w:type="dxa"/>
            <w:tcBorders>
              <w:tl2br w:val="nil"/>
              <w:tr2bl w:val="nil"/>
            </w:tcBorders>
            <w:noWrap w:val="0"/>
            <w:vAlign w:val="center"/>
          </w:tcPr>
          <w:p w14:paraId="03D5961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b/>
                <w:bCs/>
                <w:color w:val="auto"/>
                <w:sz w:val="22"/>
                <w:szCs w:val="22"/>
                <w:highlight w:val="none"/>
                <w:lang w:eastAsia="zh-CN"/>
              </w:rPr>
              <w:t>推进重点领域节水</w:t>
            </w:r>
            <w:r>
              <w:rPr>
                <w:rFonts w:hint="eastAsia" w:ascii="Arial" w:hAnsi="Arial" w:cs="Arial"/>
                <w:color w:val="auto"/>
                <w:sz w:val="22"/>
                <w:szCs w:val="22"/>
                <w:highlight w:val="none"/>
                <w:lang w:eastAsia="zh-CN"/>
              </w:rPr>
              <w:t>：大力推进农业、工业、城镇节水，建设节水型社会。强化农业节水，优化农业种植结构，加快实施大中型灌区节水改造和南方节水减排区域规模化高效节水灌溉行动。推广和普及田间节水技术，开辟抗旱水源，科学调度抗旱用水。到2020年，农田灌溉水有效利用系数达到0.529以上。强化工业节水，以南京、武汉、长沙、重庆、成都等城市为重点，实施高耗水行业生产工艺节水改造，降低单位产品用水量。</w:t>
            </w:r>
          </w:p>
        </w:tc>
        <w:tc>
          <w:tcPr>
            <w:tcW w:w="2533" w:type="dxa"/>
            <w:tcBorders>
              <w:tl2br w:val="nil"/>
              <w:tr2bl w:val="nil"/>
            </w:tcBorders>
            <w:noWrap w:val="0"/>
            <w:vAlign w:val="center"/>
          </w:tcPr>
          <w:p w14:paraId="627CAE8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vertAlign w:val="baseline"/>
                <w:lang w:val="en-US" w:eastAsia="zh-CN"/>
              </w:rPr>
            </w:pPr>
            <w:r>
              <w:rPr>
                <w:rFonts w:hint="eastAsia" w:ascii="Arial" w:hAnsi="Arial" w:cs="Arial"/>
                <w:color w:val="auto"/>
                <w:sz w:val="22"/>
                <w:szCs w:val="22"/>
                <w:highlight w:val="none"/>
                <w:lang w:eastAsia="zh-CN"/>
              </w:rPr>
              <w:t>本项目主要为新建水库及配套输水管线，建成后可解决</w:t>
            </w:r>
            <w:r>
              <w:rPr>
                <w:rFonts w:hint="eastAsia" w:ascii="Arial" w:hAnsi="Arial" w:cs="Arial"/>
                <w:color w:val="auto"/>
                <w:sz w:val="22"/>
                <w:szCs w:val="22"/>
                <w:highlight w:val="none"/>
                <w:lang w:val="en-US" w:eastAsia="zh-CN"/>
              </w:rPr>
              <w:t>2000亩耕地的灌溉用水需求，同时本评价提出采取</w:t>
            </w:r>
            <w:r>
              <w:rPr>
                <w:spacing w:val="-1"/>
                <w:sz w:val="22"/>
                <w:szCs w:val="22"/>
              </w:rPr>
              <w:t>滴灌、喷灌等方式，以提高</w:t>
            </w:r>
            <w:r>
              <w:rPr>
                <w:sz w:val="22"/>
                <w:szCs w:val="22"/>
              </w:rPr>
              <w:t>水资源利用效率</w:t>
            </w:r>
            <w:r>
              <w:rPr>
                <w:rFonts w:hint="eastAsia"/>
                <w:sz w:val="22"/>
                <w:szCs w:val="22"/>
                <w:lang w:eastAsia="zh-CN"/>
              </w:rPr>
              <w:t>，强化农业节水。</w:t>
            </w:r>
          </w:p>
        </w:tc>
        <w:tc>
          <w:tcPr>
            <w:tcW w:w="949" w:type="dxa"/>
            <w:tcBorders>
              <w:tl2br w:val="nil"/>
              <w:tr2bl w:val="nil"/>
            </w:tcBorders>
            <w:noWrap w:val="0"/>
            <w:vAlign w:val="center"/>
          </w:tcPr>
          <w:p w14:paraId="7EA0DD0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6ECE1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52DBA9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617" w:type="dxa"/>
            <w:tcBorders>
              <w:tl2br w:val="nil"/>
              <w:tr2bl w:val="nil"/>
            </w:tcBorders>
            <w:noWrap w:val="0"/>
            <w:vAlign w:val="center"/>
          </w:tcPr>
          <w:p w14:paraId="6A62E72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b/>
                <w:bCs/>
                <w:color w:val="auto"/>
                <w:sz w:val="22"/>
                <w:szCs w:val="22"/>
                <w:highlight w:val="none"/>
                <w:lang w:eastAsia="zh-CN"/>
              </w:rPr>
            </w:pPr>
            <w:r>
              <w:rPr>
                <w:spacing w:val="-4"/>
                <w:sz w:val="22"/>
                <w:szCs w:val="22"/>
              </w:rPr>
              <w:t>统筹流域水资源开发利用</w:t>
            </w:r>
            <w:r>
              <w:rPr>
                <w:rFonts w:hint="eastAsia"/>
                <w:spacing w:val="-4"/>
                <w:sz w:val="22"/>
                <w:szCs w:val="22"/>
                <w:lang w:eastAsia="zh-CN"/>
              </w:rPr>
              <w:t>：</w:t>
            </w:r>
            <w:r>
              <w:rPr>
                <w:spacing w:val="-4"/>
                <w:sz w:val="22"/>
                <w:szCs w:val="22"/>
              </w:rPr>
              <w:t>重庆、贵州、云南等省</w:t>
            </w:r>
            <w:r>
              <w:rPr>
                <w:spacing w:val="9"/>
                <w:sz w:val="22"/>
                <w:szCs w:val="22"/>
              </w:rPr>
              <w:t xml:space="preserve">  </w:t>
            </w:r>
            <w:r>
              <w:rPr>
                <w:spacing w:val="-3"/>
                <w:sz w:val="22"/>
                <w:szCs w:val="22"/>
              </w:rPr>
              <w:t>市水利基础设施建设要与生态环境保护相协调，落实生态环境保护措施，加快水资源配置工程建设，解</w:t>
            </w:r>
            <w:r>
              <w:rPr>
                <w:spacing w:val="-4"/>
                <w:sz w:val="22"/>
                <w:szCs w:val="22"/>
              </w:rPr>
              <w:t>决部分</w:t>
            </w:r>
            <w:r>
              <w:rPr>
                <w:spacing w:val="-3"/>
                <w:sz w:val="22"/>
                <w:szCs w:val="22"/>
              </w:rPr>
              <w:t>地区工程型缺水问题，提升城乡供水保障。努力</w:t>
            </w:r>
            <w:r>
              <w:rPr>
                <w:spacing w:val="-4"/>
                <w:sz w:val="22"/>
                <w:szCs w:val="22"/>
              </w:rPr>
              <w:t>恢复长</w:t>
            </w:r>
            <w:r>
              <w:rPr>
                <w:spacing w:val="-3"/>
                <w:sz w:val="22"/>
                <w:szCs w:val="22"/>
              </w:rPr>
              <w:t>江下游地区百湖千田万沟塘的容水纳水能力，</w:t>
            </w:r>
            <w:r>
              <w:rPr>
                <w:spacing w:val="-4"/>
                <w:sz w:val="22"/>
                <w:szCs w:val="22"/>
              </w:rPr>
              <w:t>加强污水</w:t>
            </w:r>
            <w:r>
              <w:rPr>
                <w:spacing w:val="-6"/>
                <w:sz w:val="22"/>
                <w:szCs w:val="22"/>
              </w:rPr>
              <w:t>深度处理，加大再生水开发利用力度，促进解决长江口、</w:t>
            </w:r>
            <w:r>
              <w:rPr>
                <w:spacing w:val="-4"/>
                <w:sz w:val="22"/>
                <w:szCs w:val="22"/>
              </w:rPr>
              <w:t>平原河网等局部地区缺水问题。</w:t>
            </w:r>
          </w:p>
        </w:tc>
        <w:tc>
          <w:tcPr>
            <w:tcW w:w="2533" w:type="dxa"/>
            <w:tcBorders>
              <w:tl2br w:val="nil"/>
              <w:tr2bl w:val="nil"/>
            </w:tcBorders>
            <w:noWrap w:val="0"/>
            <w:vAlign w:val="center"/>
          </w:tcPr>
          <w:p w14:paraId="138F1A7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本项目主要为新建水库及配套输水管线，建成后可解决</w:t>
            </w:r>
            <w:r>
              <w:rPr>
                <w:rFonts w:hint="eastAsia" w:ascii="Arial" w:hAnsi="Arial" w:eastAsia="宋体" w:cs="Arial"/>
                <w:color w:val="auto"/>
                <w:kern w:val="0"/>
                <w:sz w:val="22"/>
                <w:szCs w:val="22"/>
                <w:highlight w:val="none"/>
                <w:lang w:val="en-US" w:eastAsia="zh-CN"/>
              </w:rPr>
              <w:t>7000农村居民人饮</w:t>
            </w:r>
            <w:r>
              <w:rPr>
                <w:rFonts w:hint="eastAsia" w:ascii="Arial" w:hAnsi="Arial" w:cs="Arial"/>
                <w:color w:val="auto"/>
                <w:kern w:val="0"/>
                <w:sz w:val="22"/>
                <w:szCs w:val="22"/>
                <w:highlight w:val="none"/>
                <w:lang w:val="en-US" w:eastAsia="zh-CN"/>
              </w:rPr>
              <w:t>及</w:t>
            </w:r>
            <w:r>
              <w:rPr>
                <w:rFonts w:hint="eastAsia" w:ascii="Arial" w:hAnsi="Arial" w:eastAsia="宋体" w:cs="Arial"/>
                <w:color w:val="auto"/>
                <w:kern w:val="0"/>
                <w:sz w:val="22"/>
                <w:szCs w:val="22"/>
                <w:highlight w:val="none"/>
                <w:lang w:val="en-US" w:eastAsia="zh-CN"/>
              </w:rPr>
              <w:t>2000亩耕地灌溉</w:t>
            </w:r>
            <w:r>
              <w:rPr>
                <w:rFonts w:hint="eastAsia" w:ascii="Arial" w:hAnsi="Arial" w:cs="Arial"/>
                <w:color w:val="auto"/>
                <w:kern w:val="0"/>
                <w:sz w:val="22"/>
                <w:szCs w:val="22"/>
                <w:highlight w:val="none"/>
                <w:lang w:val="en-US" w:eastAsia="zh-CN"/>
              </w:rPr>
              <w:t>用水，解决区域缺水问题，提高城乡供水保障；同时将划定水源保护区、下泄生态流量等生态保护措施，保护区域生态环境。</w:t>
            </w:r>
          </w:p>
        </w:tc>
        <w:tc>
          <w:tcPr>
            <w:tcW w:w="949" w:type="dxa"/>
            <w:tcBorders>
              <w:tl2br w:val="nil"/>
              <w:tr2bl w:val="nil"/>
            </w:tcBorders>
            <w:noWrap w:val="0"/>
            <w:vAlign w:val="center"/>
          </w:tcPr>
          <w:p w14:paraId="23E9A7F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04827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72CCC6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4</w:t>
            </w:r>
          </w:p>
        </w:tc>
        <w:tc>
          <w:tcPr>
            <w:tcW w:w="4617" w:type="dxa"/>
            <w:tcBorders>
              <w:tl2br w:val="nil"/>
              <w:tr2bl w:val="nil"/>
            </w:tcBorders>
            <w:noWrap w:val="0"/>
            <w:vAlign w:val="center"/>
          </w:tcPr>
          <w:p w14:paraId="6263ED8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spacing w:val="-4"/>
                <w:sz w:val="22"/>
                <w:szCs w:val="22"/>
              </w:rPr>
            </w:pPr>
            <w:r>
              <w:rPr>
                <w:b/>
                <w:bCs/>
                <w:spacing w:val="-1"/>
                <w:sz w:val="22"/>
                <w:szCs w:val="22"/>
              </w:rPr>
              <w:t>开展水土流失综合治理</w:t>
            </w:r>
            <w:r>
              <w:rPr>
                <w:rFonts w:hint="eastAsia"/>
                <w:b/>
                <w:bCs/>
                <w:spacing w:val="-1"/>
                <w:sz w:val="22"/>
                <w:szCs w:val="22"/>
                <w:lang w:eastAsia="zh-CN"/>
              </w:rPr>
              <w:t>：</w:t>
            </w:r>
            <w:r>
              <w:rPr>
                <w:spacing w:val="-1"/>
                <w:sz w:val="22"/>
                <w:szCs w:val="22"/>
              </w:rPr>
              <w:t>建设沿江、沿河、环湖水</w:t>
            </w:r>
            <w:r>
              <w:rPr>
                <w:spacing w:val="1"/>
                <w:sz w:val="22"/>
                <w:szCs w:val="22"/>
              </w:rPr>
              <w:t>资源保护带和生态隔离带，增强水源涵养和水土保持能力。加强云南、贵州、四川、重庆、湖北等省市中上游地区的坡耕地水土流失治理。以金沙江中下</w:t>
            </w:r>
            <w:r>
              <w:rPr>
                <w:sz w:val="22"/>
                <w:szCs w:val="22"/>
              </w:rPr>
              <w:t>游、嘉陵江上游、乌江流域、三峡库区、丹江口库区、洞庭湖、鄱</w:t>
            </w:r>
            <w:r>
              <w:rPr>
                <w:spacing w:val="3"/>
                <w:sz w:val="22"/>
                <w:szCs w:val="22"/>
              </w:rPr>
              <w:t>阳湖等区域为重点，实施小流域综合治理和崩岗治理，</w:t>
            </w:r>
            <w:r>
              <w:rPr>
                <w:spacing w:val="1"/>
                <w:sz w:val="22"/>
                <w:szCs w:val="22"/>
              </w:rPr>
              <w:t>加快推进丹江口、三峡库区等重要水源保护</w:t>
            </w:r>
            <w:r>
              <w:rPr>
                <w:sz w:val="22"/>
                <w:szCs w:val="22"/>
              </w:rPr>
              <w:t>区生态清洁</w:t>
            </w:r>
            <w:r>
              <w:rPr>
                <w:spacing w:val="-1"/>
                <w:sz w:val="22"/>
                <w:szCs w:val="22"/>
              </w:rPr>
              <w:t>小流域建设。</w:t>
            </w:r>
          </w:p>
        </w:tc>
        <w:tc>
          <w:tcPr>
            <w:tcW w:w="2533" w:type="dxa"/>
            <w:tcBorders>
              <w:tl2br w:val="nil"/>
              <w:tr2bl w:val="nil"/>
            </w:tcBorders>
            <w:noWrap w:val="0"/>
            <w:vAlign w:val="center"/>
          </w:tcPr>
          <w:p w14:paraId="7288492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本项目建设单位委托编制了水土保持报告，并取得了批复，后续实施过程中将严格按照水土保持报告及批复落实各项水保措施。</w:t>
            </w:r>
          </w:p>
        </w:tc>
        <w:tc>
          <w:tcPr>
            <w:tcW w:w="949" w:type="dxa"/>
            <w:tcBorders>
              <w:tl2br w:val="nil"/>
              <w:tr2bl w:val="nil"/>
            </w:tcBorders>
            <w:noWrap w:val="0"/>
            <w:vAlign w:val="center"/>
          </w:tcPr>
          <w:p w14:paraId="0587F9F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358F1356">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eastAsia="宋体" w:cs="Arial"/>
          <w:b w:val="0"/>
          <w:color w:val="auto"/>
          <w:kern w:val="2"/>
          <w:sz w:val="26"/>
          <w:szCs w:val="26"/>
          <w:lang w:val="en-US" w:eastAsia="zh-CN" w:bidi="ar-SA"/>
        </w:rPr>
      </w:pPr>
    </w:p>
    <w:p w14:paraId="61408EA5">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由表1.9-4可知，本项目建成后可解决区域缺水问题，同时在采取划定水源保护区、下泄生态流量等措施后，对区域生态环境影响小，与</w:t>
      </w:r>
      <w:r>
        <w:rPr>
          <w:rFonts w:hint="eastAsia" w:ascii="Arial" w:hAnsi="Arial" w:eastAsia="宋体" w:cs="Arial"/>
          <w:b w:val="0"/>
          <w:color w:val="auto"/>
          <w:kern w:val="2"/>
          <w:sz w:val="26"/>
          <w:szCs w:val="26"/>
          <w:lang w:val="en-US" w:eastAsia="zh-CN" w:bidi="ar-SA"/>
        </w:rPr>
        <w:t>《长江经济带生态环境保护规划》</w:t>
      </w:r>
      <w:r>
        <w:rPr>
          <w:rFonts w:hint="eastAsia" w:ascii="Arial" w:hAnsi="Arial" w:cs="Arial"/>
          <w:b w:val="0"/>
          <w:color w:val="auto"/>
          <w:kern w:val="2"/>
          <w:sz w:val="26"/>
          <w:szCs w:val="26"/>
          <w:lang w:val="en-US" w:eastAsia="zh-CN" w:bidi="ar-SA"/>
        </w:rPr>
        <w:t>相符。</w:t>
      </w:r>
    </w:p>
    <w:p w14:paraId="10A4B810">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w:t>
      </w:r>
      <w:r>
        <w:rPr>
          <w:rFonts w:hint="eastAsia" w:ascii="Arial" w:hAnsi="Arial" w:cs="Arial"/>
          <w:b/>
          <w:color w:val="auto"/>
          <w:kern w:val="0"/>
          <w:sz w:val="26"/>
          <w:szCs w:val="20"/>
          <w:highlight w:val="none"/>
          <w:lang w:val="en-US" w:eastAsia="zh-CN"/>
        </w:rPr>
        <w:t>6</w:t>
      </w:r>
      <w:r>
        <w:rPr>
          <w:rFonts w:hint="eastAsia" w:ascii="Arial" w:hAnsi="Arial" w:eastAsia="宋体" w:cs="Arial"/>
          <w:b/>
          <w:color w:val="auto"/>
          <w:kern w:val="0"/>
          <w:sz w:val="26"/>
          <w:szCs w:val="20"/>
          <w:highlight w:val="none"/>
          <w:lang w:val="en-US" w:eastAsia="zh-CN"/>
        </w:rPr>
        <w:t>与</w:t>
      </w:r>
      <w:r>
        <w:rPr>
          <w:rFonts w:hint="eastAsia" w:ascii="Arial" w:hAnsi="Arial" w:cs="Arial"/>
          <w:b/>
          <w:color w:val="auto"/>
          <w:kern w:val="0"/>
          <w:sz w:val="26"/>
          <w:szCs w:val="20"/>
          <w:highlight w:val="none"/>
          <w:lang w:val="en-US" w:eastAsia="zh-CN"/>
        </w:rPr>
        <w:t>《长江保护修复攻坚战行动计划》</w:t>
      </w:r>
      <w:r>
        <w:rPr>
          <w:rFonts w:hint="default" w:ascii="Arial" w:hAnsi="Arial" w:cs="Arial"/>
          <w:b/>
          <w:color w:val="auto"/>
          <w:kern w:val="0"/>
          <w:sz w:val="26"/>
          <w:szCs w:val="20"/>
          <w:highlight w:val="none"/>
          <w:lang w:val="en-US" w:eastAsia="zh-CN"/>
        </w:rPr>
        <w:t>（环水体</w:t>
      </w:r>
      <w:r>
        <w:rPr>
          <w:rFonts w:hint="default" w:ascii="Arial" w:hAnsi="Arial" w:eastAsia="宋体" w:cs="Arial"/>
          <w:b/>
          <w:color w:val="auto"/>
          <w:kern w:val="0"/>
          <w:sz w:val="26"/>
          <w:szCs w:val="20"/>
          <w:highlight w:val="none"/>
          <w:lang w:val="en-US" w:eastAsia="zh-CN"/>
        </w:rPr>
        <w:t>〔2018〕181号）</w:t>
      </w:r>
      <w:r>
        <w:rPr>
          <w:rFonts w:hint="default" w:ascii="Arial" w:hAnsi="Arial" w:cs="Arial"/>
          <w:b/>
          <w:color w:val="auto"/>
          <w:kern w:val="0"/>
          <w:sz w:val="26"/>
          <w:szCs w:val="20"/>
          <w:highlight w:val="none"/>
          <w:lang w:val="en-US" w:eastAsia="zh-CN"/>
        </w:rPr>
        <w:t>的符合性分析</w:t>
      </w:r>
    </w:p>
    <w:p w14:paraId="4D6C4DF6">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本项目与《长江保护修复攻坚战行动计划》</w:t>
      </w:r>
      <w:r>
        <w:rPr>
          <w:rFonts w:hint="default" w:ascii="Arial" w:hAnsi="Arial" w:cs="Arial"/>
          <w:b w:val="0"/>
          <w:bCs/>
          <w:color w:val="auto"/>
          <w:kern w:val="0"/>
          <w:sz w:val="26"/>
          <w:szCs w:val="20"/>
          <w:highlight w:val="none"/>
          <w:lang w:val="en-US" w:eastAsia="zh-CN"/>
        </w:rPr>
        <w:t>（环水体</w:t>
      </w:r>
      <w:r>
        <w:rPr>
          <w:rFonts w:hint="default" w:ascii="Arial" w:hAnsi="Arial" w:eastAsia="宋体" w:cs="Arial"/>
          <w:b w:val="0"/>
          <w:bCs/>
          <w:color w:val="auto"/>
          <w:kern w:val="0"/>
          <w:sz w:val="26"/>
          <w:szCs w:val="20"/>
          <w:highlight w:val="none"/>
          <w:lang w:val="en-US" w:eastAsia="zh-CN"/>
        </w:rPr>
        <w:t>〔2018〕181号）</w:t>
      </w:r>
      <w:r>
        <w:rPr>
          <w:rFonts w:hint="eastAsia" w:ascii="Arial" w:hAnsi="Arial" w:cs="Arial"/>
          <w:b w:val="0"/>
          <w:color w:val="auto"/>
          <w:kern w:val="2"/>
          <w:sz w:val="26"/>
          <w:szCs w:val="26"/>
          <w:lang w:val="en-US" w:eastAsia="zh-CN" w:bidi="ar-SA"/>
        </w:rPr>
        <w:t>的符合性分析详见表1.9-5所示。</w:t>
      </w:r>
    </w:p>
    <w:p w14:paraId="2944C02C">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.9-5与“</w:t>
      </w:r>
      <w:r>
        <w:rPr>
          <w:rFonts w:hint="eastAsia" w:ascii="Arial" w:hAnsi="Arial" w:cs="Arial"/>
          <w:b/>
          <w:color w:val="auto"/>
          <w:kern w:val="0"/>
          <w:sz w:val="26"/>
          <w:szCs w:val="20"/>
          <w:highlight w:val="none"/>
          <w:lang w:val="en-US" w:eastAsia="zh-CN"/>
        </w:rPr>
        <w:t>长江保护修复攻坚战行动计划”</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762"/>
        <w:gridCol w:w="2458"/>
        <w:gridCol w:w="879"/>
      </w:tblGrid>
      <w:tr w14:paraId="25822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9AB681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762" w:type="dxa"/>
            <w:tcBorders>
              <w:tl2br w:val="nil"/>
              <w:tr2bl w:val="nil"/>
            </w:tcBorders>
            <w:noWrap w:val="0"/>
            <w:vAlign w:val="center"/>
          </w:tcPr>
          <w:p w14:paraId="204D585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2458" w:type="dxa"/>
            <w:tcBorders>
              <w:tl2br w:val="nil"/>
              <w:tr2bl w:val="nil"/>
            </w:tcBorders>
            <w:noWrap w:val="0"/>
            <w:vAlign w:val="center"/>
          </w:tcPr>
          <w:p w14:paraId="34458F0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879" w:type="dxa"/>
            <w:tcBorders>
              <w:tl2br w:val="nil"/>
              <w:tr2bl w:val="nil"/>
            </w:tcBorders>
            <w:noWrap w:val="0"/>
            <w:vAlign w:val="center"/>
          </w:tcPr>
          <w:p w14:paraId="5380137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00C0E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AE3A5E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762" w:type="dxa"/>
            <w:tcBorders>
              <w:tl2br w:val="nil"/>
              <w:tr2bl w:val="nil"/>
            </w:tcBorders>
            <w:noWrap w:val="0"/>
            <w:vAlign w:val="center"/>
          </w:tcPr>
          <w:p w14:paraId="5CB84F4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加强饮用水水源保护。推动饮用水水源地规范化建设，划定饮用水水源保护区，规范保护区标志及交通警示标志设置，建设一级保护区隔离防护工程。全面推进长江经济带饮用水水源地环境保护专项行动，重点排查和整治县级及以上城市饮用水水源保护区内的违法违规问题。</w:t>
            </w:r>
          </w:p>
        </w:tc>
        <w:tc>
          <w:tcPr>
            <w:tcW w:w="2458" w:type="dxa"/>
            <w:tcBorders>
              <w:tl2br w:val="nil"/>
              <w:tr2bl w:val="nil"/>
            </w:tcBorders>
            <w:noWrap w:val="0"/>
            <w:vAlign w:val="center"/>
          </w:tcPr>
          <w:p w14:paraId="1FFFC58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本项目蓄水后将按规定划定饮用水水源保护区，并设置规范的</w:t>
            </w:r>
            <w:r>
              <w:rPr>
                <w:rFonts w:hint="eastAsia" w:ascii="Arial" w:hAnsi="Arial" w:eastAsia="宋体" w:cs="Arial"/>
                <w:color w:val="auto"/>
                <w:sz w:val="22"/>
                <w:szCs w:val="22"/>
                <w:highlight w:val="none"/>
                <w:lang w:eastAsia="zh-CN"/>
              </w:rPr>
              <w:t>保护区标志及交通警示标志</w:t>
            </w:r>
            <w:r>
              <w:rPr>
                <w:rFonts w:hint="eastAsia" w:ascii="Arial" w:hAnsi="Arial" w:cs="Arial"/>
                <w:color w:val="auto"/>
                <w:sz w:val="22"/>
                <w:szCs w:val="22"/>
                <w:highlight w:val="none"/>
                <w:lang w:eastAsia="zh-CN"/>
              </w:rPr>
              <w:t>，建设</w:t>
            </w:r>
            <w:r>
              <w:rPr>
                <w:rFonts w:hint="eastAsia" w:ascii="Arial" w:hAnsi="Arial" w:eastAsia="宋体" w:cs="Arial"/>
                <w:color w:val="auto"/>
                <w:sz w:val="22"/>
                <w:szCs w:val="22"/>
                <w:highlight w:val="none"/>
                <w:lang w:eastAsia="zh-CN"/>
              </w:rPr>
              <w:t>一级保护区隔离防护工程</w:t>
            </w:r>
            <w:r>
              <w:rPr>
                <w:rFonts w:hint="eastAsia" w:ascii="Arial" w:hAnsi="Arial" w:cs="Arial"/>
                <w:color w:val="auto"/>
                <w:sz w:val="22"/>
                <w:szCs w:val="22"/>
                <w:highlight w:val="none"/>
                <w:lang w:eastAsia="zh-CN"/>
              </w:rPr>
              <w:t>。</w:t>
            </w:r>
          </w:p>
        </w:tc>
        <w:tc>
          <w:tcPr>
            <w:tcW w:w="879" w:type="dxa"/>
            <w:tcBorders>
              <w:tl2br w:val="nil"/>
              <w:tr2bl w:val="nil"/>
            </w:tcBorders>
            <w:noWrap w:val="0"/>
            <w:vAlign w:val="center"/>
          </w:tcPr>
          <w:p w14:paraId="6D7C2C0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7DC08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F68474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762" w:type="dxa"/>
            <w:tcBorders>
              <w:tl2br w:val="nil"/>
              <w:tr2bl w:val="nil"/>
            </w:tcBorders>
            <w:noWrap w:val="0"/>
            <w:vAlign w:val="center"/>
          </w:tcPr>
          <w:p w14:paraId="5E3BEE6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切实保障生态流量。加强流域水量统一调度，切实保障长江干流、主要支流和重点湖库基本生态用水需求。深化河湖水系连通运行管理，实施长江上中游水库群联合调度，增加枯水期下泄流量，确保生态用水比例只增不减。</w:t>
            </w:r>
          </w:p>
        </w:tc>
        <w:tc>
          <w:tcPr>
            <w:tcW w:w="2458" w:type="dxa"/>
            <w:tcBorders>
              <w:tl2br w:val="nil"/>
              <w:tr2bl w:val="nil"/>
            </w:tcBorders>
            <w:noWrap w:val="0"/>
            <w:vAlign w:val="center"/>
          </w:tcPr>
          <w:p w14:paraId="19F65EE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本项目运营期将设置生态流量下泄装置，并设置监控装置联网运行，加强生态调度，确保下游减水河段生态用水需求。</w:t>
            </w:r>
          </w:p>
        </w:tc>
        <w:tc>
          <w:tcPr>
            <w:tcW w:w="879" w:type="dxa"/>
            <w:tcBorders>
              <w:tl2br w:val="nil"/>
              <w:tr2bl w:val="nil"/>
            </w:tcBorders>
            <w:noWrap w:val="0"/>
            <w:vAlign w:val="center"/>
          </w:tcPr>
          <w:p w14:paraId="36ECF36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2C47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0A6092E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762" w:type="dxa"/>
            <w:tcBorders>
              <w:tl2br w:val="nil"/>
              <w:tr2bl w:val="nil"/>
            </w:tcBorders>
            <w:noWrap w:val="0"/>
            <w:vAlign w:val="center"/>
          </w:tcPr>
          <w:p w14:paraId="4D627EE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实行水资源消耗总量和强度双控。严格用水总量指标管理，健全覆盖省、市、县三级行政区域的用水总量控制指标体系，加快完成跨省江河流域水量分配，严格取用水管控。严格用水强度指标管理，建立重点用水单位监控名录，对纳入取水许可管理的单位和其他用水大户实行计划用水管理。</w:t>
            </w:r>
          </w:p>
        </w:tc>
        <w:tc>
          <w:tcPr>
            <w:tcW w:w="2458" w:type="dxa"/>
            <w:tcBorders>
              <w:tl2br w:val="nil"/>
              <w:tr2bl w:val="nil"/>
            </w:tcBorders>
            <w:noWrap w:val="0"/>
            <w:vAlign w:val="center"/>
          </w:tcPr>
          <w:p w14:paraId="4956DAC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w:t>
            </w:r>
            <w:r>
              <w:rPr>
                <w:rFonts w:hint="eastAsia" w:ascii="Arial" w:hAnsi="Arial" w:cs="Arial"/>
                <w:color w:val="auto"/>
                <w:sz w:val="22"/>
                <w:szCs w:val="22"/>
                <w:highlight w:val="none"/>
                <w:lang w:eastAsia="zh-CN"/>
              </w:rPr>
              <w:t>建成后可解决</w:t>
            </w:r>
            <w:r>
              <w:rPr>
                <w:rFonts w:hint="eastAsia" w:ascii="Arial" w:hAnsi="Arial" w:eastAsia="宋体" w:cs="Arial"/>
                <w:color w:val="auto"/>
                <w:kern w:val="0"/>
                <w:sz w:val="22"/>
                <w:szCs w:val="22"/>
                <w:highlight w:val="none"/>
                <w:lang w:val="en-US" w:eastAsia="zh-CN"/>
              </w:rPr>
              <w:t>7000农村居民人饮</w:t>
            </w:r>
            <w:r>
              <w:rPr>
                <w:rFonts w:hint="eastAsia" w:ascii="Arial" w:hAnsi="Arial" w:cs="Arial"/>
                <w:color w:val="auto"/>
                <w:kern w:val="0"/>
                <w:sz w:val="22"/>
                <w:szCs w:val="22"/>
                <w:highlight w:val="none"/>
                <w:lang w:val="en-US" w:eastAsia="zh-CN"/>
              </w:rPr>
              <w:t>及</w:t>
            </w:r>
            <w:r>
              <w:rPr>
                <w:rFonts w:hint="eastAsia" w:ascii="Arial" w:hAnsi="Arial" w:eastAsia="宋体" w:cs="Arial"/>
                <w:color w:val="auto"/>
                <w:kern w:val="0"/>
                <w:sz w:val="22"/>
                <w:szCs w:val="22"/>
                <w:highlight w:val="none"/>
                <w:lang w:val="en-US" w:eastAsia="zh-CN"/>
              </w:rPr>
              <w:t>2000亩耕地灌溉</w:t>
            </w:r>
            <w:r>
              <w:rPr>
                <w:rFonts w:hint="eastAsia" w:ascii="Arial" w:hAnsi="Arial" w:cs="Arial"/>
                <w:color w:val="auto"/>
                <w:kern w:val="0"/>
                <w:sz w:val="22"/>
                <w:szCs w:val="22"/>
                <w:highlight w:val="none"/>
                <w:lang w:val="en-US" w:eastAsia="zh-CN"/>
              </w:rPr>
              <w:t>用水，解决区域缺水问题。供水过程中严格管控供水总量，加强运行调度管控，确保合理供水。</w:t>
            </w:r>
          </w:p>
        </w:tc>
        <w:tc>
          <w:tcPr>
            <w:tcW w:w="879" w:type="dxa"/>
            <w:tcBorders>
              <w:tl2br w:val="nil"/>
              <w:tr2bl w:val="nil"/>
            </w:tcBorders>
            <w:noWrap w:val="0"/>
            <w:vAlign w:val="center"/>
          </w:tcPr>
          <w:p w14:paraId="0E86E8C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3D2819D3">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0E1A4D7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由表1.9-5可知，本项目与《长江保护修复攻坚战行动计划》</w:t>
      </w:r>
      <w:r>
        <w:rPr>
          <w:rFonts w:hint="default" w:ascii="Arial" w:hAnsi="Arial" w:cs="Arial"/>
          <w:b w:val="0"/>
          <w:bCs/>
          <w:color w:val="auto"/>
          <w:kern w:val="0"/>
          <w:sz w:val="26"/>
          <w:szCs w:val="20"/>
          <w:highlight w:val="none"/>
          <w:lang w:val="en-US" w:eastAsia="zh-CN"/>
        </w:rPr>
        <w:t>（环水体</w:t>
      </w:r>
      <w:r>
        <w:rPr>
          <w:rFonts w:hint="default" w:ascii="Arial" w:hAnsi="Arial" w:eastAsia="宋体" w:cs="Arial"/>
          <w:b w:val="0"/>
          <w:bCs/>
          <w:color w:val="auto"/>
          <w:kern w:val="0"/>
          <w:sz w:val="26"/>
          <w:szCs w:val="20"/>
          <w:highlight w:val="none"/>
          <w:lang w:val="en-US" w:eastAsia="zh-CN"/>
        </w:rPr>
        <w:t>〔2018〕181号）</w:t>
      </w:r>
      <w:r>
        <w:rPr>
          <w:rFonts w:hint="eastAsia" w:ascii="Arial" w:hAnsi="Arial" w:cs="Arial"/>
          <w:b w:val="0"/>
          <w:bCs/>
          <w:color w:val="auto"/>
          <w:kern w:val="0"/>
          <w:sz w:val="26"/>
          <w:szCs w:val="20"/>
          <w:highlight w:val="none"/>
          <w:lang w:val="en-US" w:eastAsia="zh-CN"/>
        </w:rPr>
        <w:t>相符。</w:t>
      </w:r>
    </w:p>
    <w:p w14:paraId="41873580">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cs="Arial"/>
          <w:b/>
          <w:color w:val="auto"/>
          <w:kern w:val="0"/>
          <w:sz w:val="26"/>
          <w:szCs w:val="20"/>
          <w:highlight w:val="none"/>
          <w:lang w:val="en-US" w:eastAsia="zh-CN"/>
        </w:rPr>
      </w:pPr>
      <w:r>
        <w:rPr>
          <w:rFonts w:hint="default" w:ascii="Arial" w:hAnsi="Arial" w:eastAsia="宋体" w:cs="Arial"/>
          <w:b/>
          <w:color w:val="auto"/>
          <w:kern w:val="0"/>
          <w:sz w:val="26"/>
          <w:szCs w:val="20"/>
          <w:highlight w:val="none"/>
          <w:lang w:val="en-US" w:eastAsia="zh-CN"/>
        </w:rPr>
        <w:t>1.9.7</w:t>
      </w:r>
      <w:r>
        <w:rPr>
          <w:rFonts w:hint="default" w:ascii="Arial" w:hAnsi="Arial" w:cs="Arial"/>
          <w:b/>
          <w:color w:val="auto"/>
          <w:kern w:val="0"/>
          <w:sz w:val="26"/>
          <w:szCs w:val="20"/>
          <w:highlight w:val="none"/>
          <w:lang w:val="en-US" w:eastAsia="zh-CN"/>
        </w:rPr>
        <w:t>与《重庆市深入打好长江保护修复攻坚战行动方案）《渝环规</w:t>
      </w:r>
      <w:r>
        <w:rPr>
          <w:rFonts w:hint="default" w:ascii="Arial" w:hAnsi="Arial" w:eastAsia="宋体" w:cs="Arial"/>
          <w:b/>
          <w:color w:val="auto"/>
          <w:kern w:val="0"/>
          <w:sz w:val="26"/>
          <w:szCs w:val="20"/>
          <w:highlight w:val="none"/>
          <w:lang w:val="en-US" w:eastAsia="zh-CN"/>
        </w:rPr>
        <w:t>〔2023〕1号）的符合性分析</w:t>
      </w:r>
    </w:p>
    <w:p w14:paraId="2C7A5FFC">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本项目与《重庆市深入打好长江保护修复攻坚战行动方案）《渝环规〔2023〕1号）的符合性分析详见表1.9-6所示。</w:t>
      </w:r>
    </w:p>
    <w:p w14:paraId="49CA719E">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.9-6 与“</w:t>
      </w:r>
      <w:r>
        <w:rPr>
          <w:rFonts w:hint="default" w:ascii="Arial" w:hAnsi="Arial" w:cs="Arial"/>
          <w:b/>
          <w:color w:val="auto"/>
          <w:kern w:val="0"/>
          <w:sz w:val="26"/>
          <w:szCs w:val="20"/>
          <w:highlight w:val="none"/>
          <w:lang w:val="en-US" w:eastAsia="zh-CN"/>
        </w:rPr>
        <w:t>渝环规</w:t>
      </w:r>
      <w:r>
        <w:rPr>
          <w:rFonts w:hint="default" w:ascii="Arial" w:hAnsi="Arial" w:eastAsia="宋体" w:cs="Arial"/>
          <w:b/>
          <w:color w:val="auto"/>
          <w:kern w:val="0"/>
          <w:sz w:val="26"/>
          <w:szCs w:val="20"/>
          <w:highlight w:val="none"/>
          <w:lang w:val="en-US" w:eastAsia="zh-CN"/>
        </w:rPr>
        <w:t>〔2023〕1号</w:t>
      </w:r>
      <w:r>
        <w:rPr>
          <w:rFonts w:hint="eastAsia" w:ascii="Arial" w:hAnsi="Arial" w:cs="Arial"/>
          <w:b/>
          <w:color w:val="auto"/>
          <w:kern w:val="0"/>
          <w:sz w:val="26"/>
          <w:szCs w:val="20"/>
          <w:highlight w:val="none"/>
          <w:lang w:val="en-US" w:eastAsia="zh-CN"/>
        </w:rPr>
        <w:t>”</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084"/>
        <w:gridCol w:w="3136"/>
        <w:gridCol w:w="879"/>
      </w:tblGrid>
      <w:tr w14:paraId="484C4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478935D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084" w:type="dxa"/>
            <w:tcBorders>
              <w:tl2br w:val="nil"/>
              <w:tr2bl w:val="nil"/>
            </w:tcBorders>
            <w:noWrap w:val="0"/>
            <w:vAlign w:val="center"/>
          </w:tcPr>
          <w:p w14:paraId="1C0EC5D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3136" w:type="dxa"/>
            <w:tcBorders>
              <w:tl2br w:val="nil"/>
              <w:tr2bl w:val="nil"/>
            </w:tcBorders>
            <w:noWrap w:val="0"/>
            <w:vAlign w:val="center"/>
          </w:tcPr>
          <w:p w14:paraId="0CE3656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879" w:type="dxa"/>
            <w:tcBorders>
              <w:tl2br w:val="nil"/>
              <w:tr2bl w:val="nil"/>
            </w:tcBorders>
            <w:noWrap w:val="0"/>
            <w:vAlign w:val="center"/>
          </w:tcPr>
          <w:p w14:paraId="6682A8A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40CF7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717BAA9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084" w:type="dxa"/>
            <w:tcBorders>
              <w:tl2br w:val="nil"/>
              <w:tr2bl w:val="nil"/>
            </w:tcBorders>
            <w:noWrap w:val="0"/>
            <w:vAlign w:val="center"/>
          </w:tcPr>
          <w:p w14:paraId="16D8B3D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加强用水总量和强度控制红线管理，建立和完善用水强度、用水总量控制指标体系。</w:t>
            </w:r>
          </w:p>
        </w:tc>
        <w:tc>
          <w:tcPr>
            <w:tcW w:w="3136" w:type="dxa"/>
            <w:tcBorders>
              <w:tl2br w:val="nil"/>
              <w:tr2bl w:val="nil"/>
            </w:tcBorders>
            <w:noWrap w:val="0"/>
            <w:vAlign w:val="center"/>
          </w:tcPr>
          <w:p w14:paraId="765A826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w:t>
            </w:r>
            <w:r>
              <w:rPr>
                <w:rFonts w:hint="eastAsia" w:ascii="Arial" w:hAnsi="Arial" w:cs="Arial"/>
                <w:color w:val="auto"/>
                <w:sz w:val="22"/>
                <w:szCs w:val="22"/>
                <w:highlight w:val="none"/>
                <w:lang w:eastAsia="zh-CN"/>
              </w:rPr>
              <w:t>建成后可解决</w:t>
            </w:r>
            <w:r>
              <w:rPr>
                <w:rFonts w:hint="eastAsia" w:ascii="Arial" w:hAnsi="Arial" w:eastAsia="宋体" w:cs="Arial"/>
                <w:color w:val="auto"/>
                <w:kern w:val="0"/>
                <w:sz w:val="22"/>
                <w:szCs w:val="22"/>
                <w:highlight w:val="none"/>
                <w:lang w:val="en-US" w:eastAsia="zh-CN"/>
              </w:rPr>
              <w:t>7000农村居民人饮</w:t>
            </w:r>
            <w:r>
              <w:rPr>
                <w:rFonts w:hint="eastAsia" w:ascii="Arial" w:hAnsi="Arial" w:cs="Arial"/>
                <w:color w:val="auto"/>
                <w:kern w:val="0"/>
                <w:sz w:val="22"/>
                <w:szCs w:val="22"/>
                <w:highlight w:val="none"/>
                <w:lang w:val="en-US" w:eastAsia="zh-CN"/>
              </w:rPr>
              <w:t>及</w:t>
            </w:r>
            <w:r>
              <w:rPr>
                <w:rFonts w:hint="eastAsia" w:ascii="Arial" w:hAnsi="Arial" w:eastAsia="宋体" w:cs="Arial"/>
                <w:color w:val="auto"/>
                <w:kern w:val="0"/>
                <w:sz w:val="22"/>
                <w:szCs w:val="22"/>
                <w:highlight w:val="none"/>
                <w:lang w:val="en-US" w:eastAsia="zh-CN"/>
              </w:rPr>
              <w:t>2000亩耕地灌溉</w:t>
            </w:r>
            <w:r>
              <w:rPr>
                <w:rFonts w:hint="eastAsia" w:ascii="Arial" w:hAnsi="Arial" w:cs="Arial"/>
                <w:color w:val="auto"/>
                <w:kern w:val="0"/>
                <w:sz w:val="22"/>
                <w:szCs w:val="22"/>
                <w:highlight w:val="none"/>
                <w:lang w:val="en-US" w:eastAsia="zh-CN"/>
              </w:rPr>
              <w:t>用水，解决区域缺水问题。供水过程中严格管控供水总量，加强运行调度管控，确保合理供水。</w:t>
            </w:r>
          </w:p>
        </w:tc>
        <w:tc>
          <w:tcPr>
            <w:tcW w:w="879" w:type="dxa"/>
            <w:tcBorders>
              <w:tl2br w:val="nil"/>
              <w:tr2bl w:val="nil"/>
            </w:tcBorders>
            <w:noWrap w:val="0"/>
            <w:vAlign w:val="center"/>
          </w:tcPr>
          <w:p w14:paraId="7650FD3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301F5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08359C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084" w:type="dxa"/>
            <w:tcBorders>
              <w:tl2br w:val="nil"/>
              <w:tr2bl w:val="nil"/>
            </w:tcBorders>
            <w:noWrap w:val="0"/>
            <w:vAlign w:val="center"/>
          </w:tcPr>
          <w:p w14:paraId="50C5935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 健全河流生态流量保障机制。制定并落实河流生态流量（水位）保障实施方案，明确生态流量（水位）保障目标，加强生态流量（水位）监管，建设完善生态流量监测设施。优化控制性水工程联合调度。</w:t>
            </w:r>
          </w:p>
        </w:tc>
        <w:tc>
          <w:tcPr>
            <w:tcW w:w="3136" w:type="dxa"/>
            <w:tcBorders>
              <w:tl2br w:val="nil"/>
              <w:tr2bl w:val="nil"/>
            </w:tcBorders>
            <w:noWrap w:val="0"/>
            <w:vAlign w:val="center"/>
          </w:tcPr>
          <w:p w14:paraId="51F4865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本项目运营期将设置生态流量下泄装置，并设置监控装置联网运行，加强生态调度，确保下游减水河段生态用水需求。</w:t>
            </w:r>
          </w:p>
        </w:tc>
        <w:tc>
          <w:tcPr>
            <w:tcW w:w="879" w:type="dxa"/>
            <w:tcBorders>
              <w:tl2br w:val="nil"/>
              <w:tr2bl w:val="nil"/>
            </w:tcBorders>
            <w:noWrap w:val="0"/>
            <w:vAlign w:val="center"/>
          </w:tcPr>
          <w:p w14:paraId="6FB9D37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631E7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9FC7A3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084" w:type="dxa"/>
            <w:tcBorders>
              <w:tl2br w:val="nil"/>
              <w:tr2bl w:val="nil"/>
            </w:tcBorders>
            <w:noWrap w:val="0"/>
            <w:vAlign w:val="center"/>
          </w:tcPr>
          <w:p w14:paraId="3179472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巩固城市饮用水水源保护成果，加大乡镇集中式饮用水水源保护力度，基本完成乡镇集中式饮用水水源保护区划定与勘界立标，同步完善标志标牌和隔离防护设施，加强交通穿越活动管理，依法清理集中式饮用水水源保护区内排污口、规模化畜禽养殖场、工业企业，深化推进集中式饮用水水源地规范化建设。</w:t>
            </w:r>
          </w:p>
        </w:tc>
        <w:tc>
          <w:tcPr>
            <w:tcW w:w="3136" w:type="dxa"/>
            <w:tcBorders>
              <w:tl2br w:val="nil"/>
              <w:tr2bl w:val="nil"/>
            </w:tcBorders>
            <w:noWrap w:val="0"/>
            <w:vAlign w:val="center"/>
          </w:tcPr>
          <w:p w14:paraId="1276F34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本项目蓄水后将按规定划定饮用水水源保护区，并设置规范的</w:t>
            </w:r>
            <w:r>
              <w:rPr>
                <w:rFonts w:hint="eastAsia" w:ascii="Arial" w:hAnsi="Arial" w:eastAsia="宋体" w:cs="Arial"/>
                <w:color w:val="auto"/>
                <w:sz w:val="22"/>
                <w:szCs w:val="22"/>
                <w:highlight w:val="none"/>
                <w:lang w:eastAsia="zh-CN"/>
              </w:rPr>
              <w:t>保护区标志及交通警示标志</w:t>
            </w:r>
            <w:r>
              <w:rPr>
                <w:rFonts w:hint="eastAsia" w:ascii="Arial" w:hAnsi="Arial" w:cs="Arial"/>
                <w:color w:val="auto"/>
                <w:sz w:val="22"/>
                <w:szCs w:val="22"/>
                <w:highlight w:val="none"/>
                <w:lang w:eastAsia="zh-CN"/>
              </w:rPr>
              <w:t>，建设</w:t>
            </w:r>
            <w:r>
              <w:rPr>
                <w:rFonts w:hint="eastAsia" w:ascii="Arial" w:hAnsi="Arial" w:eastAsia="宋体" w:cs="Arial"/>
                <w:color w:val="auto"/>
                <w:sz w:val="22"/>
                <w:szCs w:val="22"/>
                <w:highlight w:val="none"/>
                <w:lang w:eastAsia="zh-CN"/>
              </w:rPr>
              <w:t>一级保护区隔离防护工程</w:t>
            </w:r>
            <w:r>
              <w:rPr>
                <w:rFonts w:hint="eastAsia" w:ascii="Arial" w:hAnsi="Arial" w:cs="Arial"/>
                <w:color w:val="auto"/>
                <w:sz w:val="22"/>
                <w:szCs w:val="22"/>
                <w:highlight w:val="none"/>
                <w:lang w:eastAsia="zh-CN"/>
              </w:rPr>
              <w:t>。</w:t>
            </w:r>
            <w:r>
              <w:rPr>
                <w:spacing w:val="-1"/>
                <w:sz w:val="22"/>
                <w:szCs w:val="22"/>
              </w:rPr>
              <w:t>同时</w:t>
            </w:r>
            <w:r>
              <w:rPr>
                <w:rFonts w:hint="eastAsia"/>
                <w:spacing w:val="-1"/>
                <w:sz w:val="22"/>
                <w:szCs w:val="22"/>
                <w:lang w:eastAsia="zh-CN"/>
              </w:rPr>
              <w:t>将对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rFonts w:hint="eastAsia"/>
                <w:spacing w:val="2"/>
                <w:sz w:val="22"/>
                <w:szCs w:val="22"/>
                <w:lang w:eastAsia="zh-CN"/>
              </w:rPr>
              <w:t>。</w:t>
            </w:r>
          </w:p>
        </w:tc>
        <w:tc>
          <w:tcPr>
            <w:tcW w:w="879" w:type="dxa"/>
            <w:tcBorders>
              <w:tl2br w:val="nil"/>
              <w:tr2bl w:val="nil"/>
            </w:tcBorders>
            <w:noWrap w:val="0"/>
            <w:vAlign w:val="center"/>
          </w:tcPr>
          <w:p w14:paraId="559F681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5067B91D">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674565A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由表1.9-6可知，本项目与《重庆市深入打好长江保护修复攻坚战行动方案）《渝环规〔2023〕1号）</w:t>
      </w:r>
      <w:r>
        <w:rPr>
          <w:rFonts w:hint="eastAsia" w:ascii="Arial" w:hAnsi="Arial" w:cs="Arial"/>
          <w:b w:val="0"/>
          <w:bCs/>
          <w:color w:val="auto"/>
          <w:kern w:val="0"/>
          <w:sz w:val="26"/>
          <w:szCs w:val="20"/>
          <w:highlight w:val="none"/>
          <w:lang w:val="en-US" w:eastAsia="zh-CN"/>
        </w:rPr>
        <w:t>相符。</w:t>
      </w:r>
    </w:p>
    <w:p w14:paraId="02CB81A9">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1.9.8与《丰都县长江保护修复攻坚战实施方案》的符合性分析</w:t>
      </w:r>
    </w:p>
    <w:p w14:paraId="1BC8E647">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本项目与</w:t>
      </w:r>
      <w:r>
        <w:rPr>
          <w:rFonts w:hint="eastAsia" w:ascii="Arial" w:hAnsi="Arial" w:cs="Arial"/>
          <w:b w:val="0"/>
          <w:bCs/>
          <w:color w:val="auto"/>
          <w:kern w:val="0"/>
          <w:sz w:val="26"/>
          <w:szCs w:val="20"/>
          <w:highlight w:val="none"/>
          <w:lang w:val="en-US" w:eastAsia="zh-CN"/>
        </w:rPr>
        <w:t>《丰都县长江保护修复攻坚战实施方案》</w:t>
      </w:r>
      <w:r>
        <w:rPr>
          <w:rFonts w:hint="eastAsia" w:ascii="Arial" w:hAnsi="Arial" w:cs="Arial"/>
          <w:b w:val="0"/>
          <w:color w:val="auto"/>
          <w:kern w:val="2"/>
          <w:sz w:val="26"/>
          <w:szCs w:val="26"/>
          <w:lang w:val="en-US" w:eastAsia="zh-CN" w:bidi="ar-SA"/>
        </w:rPr>
        <w:t>的符合性分析详见表1.9-7所示。</w:t>
      </w:r>
    </w:p>
    <w:p w14:paraId="40B790A3">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.9-7  与“</w:t>
      </w:r>
      <w:r>
        <w:rPr>
          <w:rFonts w:hint="eastAsia" w:ascii="Arial" w:hAnsi="Arial" w:cs="Arial"/>
          <w:b/>
          <w:color w:val="auto"/>
          <w:kern w:val="0"/>
          <w:sz w:val="26"/>
          <w:szCs w:val="20"/>
          <w:highlight w:val="none"/>
          <w:lang w:val="en-US" w:eastAsia="zh-CN"/>
        </w:rPr>
        <w:t>丰都县长江保护修复攻坚战实施方案”</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084"/>
        <w:gridCol w:w="3136"/>
        <w:gridCol w:w="879"/>
      </w:tblGrid>
      <w:tr w14:paraId="728D6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346DC03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084" w:type="dxa"/>
            <w:tcBorders>
              <w:tl2br w:val="nil"/>
              <w:tr2bl w:val="nil"/>
            </w:tcBorders>
            <w:noWrap w:val="0"/>
            <w:vAlign w:val="center"/>
          </w:tcPr>
          <w:p w14:paraId="242805E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3136" w:type="dxa"/>
            <w:tcBorders>
              <w:tl2br w:val="nil"/>
              <w:tr2bl w:val="nil"/>
            </w:tcBorders>
            <w:noWrap w:val="0"/>
            <w:vAlign w:val="center"/>
          </w:tcPr>
          <w:p w14:paraId="39CBA20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879" w:type="dxa"/>
            <w:tcBorders>
              <w:tl2br w:val="nil"/>
              <w:tr2bl w:val="nil"/>
            </w:tcBorders>
            <w:noWrap w:val="0"/>
            <w:vAlign w:val="center"/>
          </w:tcPr>
          <w:p w14:paraId="3181EC4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62215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59" w:type="dxa"/>
            <w:tcBorders>
              <w:tl2br w:val="nil"/>
              <w:tr2bl w:val="nil"/>
            </w:tcBorders>
            <w:noWrap w:val="0"/>
            <w:vAlign w:val="center"/>
          </w:tcPr>
          <w:p w14:paraId="602C933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084" w:type="dxa"/>
            <w:tcBorders>
              <w:tl2br w:val="nil"/>
              <w:tr2bl w:val="nil"/>
            </w:tcBorders>
            <w:noWrap w:val="0"/>
            <w:vAlign w:val="center"/>
          </w:tcPr>
          <w:p w14:paraId="696C55D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加强饮用水水源保护。推动饮用水水源地规范化建设，划定饮用水水源保护区，规范保护区标志及交通警示标志设置，建设一级保护区隔离防护工程。全面推进长江经济带饮用水水源地环境保护专项行动，重点排查和整治全县城市饮用水水源保护区内的违法违规问题。</w:t>
            </w:r>
          </w:p>
        </w:tc>
        <w:tc>
          <w:tcPr>
            <w:tcW w:w="3136" w:type="dxa"/>
            <w:tcBorders>
              <w:tl2br w:val="nil"/>
              <w:tr2bl w:val="nil"/>
            </w:tcBorders>
            <w:shd w:val="clear" w:color="auto" w:fill="auto"/>
            <w:noWrap w:val="0"/>
            <w:vAlign w:val="center"/>
          </w:tcPr>
          <w:p w14:paraId="1741652F">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本项目蓄水后将按规定划定饮用水水源保护区，并设置规范的</w:t>
            </w:r>
            <w:r>
              <w:rPr>
                <w:rFonts w:hint="eastAsia" w:ascii="Arial" w:hAnsi="Arial" w:eastAsia="宋体" w:cs="Arial"/>
                <w:color w:val="auto"/>
                <w:sz w:val="22"/>
                <w:szCs w:val="22"/>
                <w:highlight w:val="none"/>
                <w:lang w:eastAsia="zh-CN"/>
              </w:rPr>
              <w:t>保护区标志及交通警示标志</w:t>
            </w:r>
            <w:r>
              <w:rPr>
                <w:rFonts w:hint="eastAsia" w:ascii="Arial" w:hAnsi="Arial" w:cs="Arial"/>
                <w:color w:val="auto"/>
                <w:sz w:val="22"/>
                <w:szCs w:val="22"/>
                <w:highlight w:val="none"/>
                <w:lang w:eastAsia="zh-CN"/>
              </w:rPr>
              <w:t>，建设</w:t>
            </w:r>
            <w:r>
              <w:rPr>
                <w:rFonts w:hint="eastAsia" w:ascii="Arial" w:hAnsi="Arial" w:eastAsia="宋体" w:cs="Arial"/>
                <w:color w:val="auto"/>
                <w:sz w:val="22"/>
                <w:szCs w:val="22"/>
                <w:highlight w:val="none"/>
                <w:lang w:eastAsia="zh-CN"/>
              </w:rPr>
              <w:t>一级保护区隔离防护工程</w:t>
            </w:r>
            <w:r>
              <w:rPr>
                <w:rFonts w:hint="eastAsia" w:ascii="Arial" w:hAnsi="Arial" w:cs="Arial"/>
                <w:color w:val="auto"/>
                <w:sz w:val="22"/>
                <w:szCs w:val="22"/>
                <w:highlight w:val="none"/>
                <w:lang w:eastAsia="zh-CN"/>
              </w:rPr>
              <w:t>。</w:t>
            </w:r>
          </w:p>
        </w:tc>
        <w:tc>
          <w:tcPr>
            <w:tcW w:w="879" w:type="dxa"/>
            <w:tcBorders>
              <w:tl2br w:val="nil"/>
              <w:tr2bl w:val="nil"/>
            </w:tcBorders>
            <w:shd w:val="clear" w:color="auto" w:fill="auto"/>
            <w:noWrap w:val="0"/>
            <w:vAlign w:val="center"/>
          </w:tcPr>
          <w:p w14:paraId="6C19D9F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sz w:val="22"/>
                <w:szCs w:val="22"/>
                <w:highlight w:val="none"/>
                <w:lang w:eastAsia="zh-CN"/>
              </w:rPr>
              <w:t>符合</w:t>
            </w:r>
          </w:p>
        </w:tc>
      </w:tr>
      <w:tr w14:paraId="22848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A7ED05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084" w:type="dxa"/>
            <w:tcBorders>
              <w:tl2br w:val="nil"/>
              <w:tr2bl w:val="nil"/>
            </w:tcBorders>
            <w:noWrap w:val="0"/>
            <w:vAlign w:val="center"/>
          </w:tcPr>
          <w:p w14:paraId="69BE7CD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实行水资源消耗总量和强度双控。严格用水总量指标管理，健全覆盖全县行政区域的用水总量控制指标体系，严格取用水管控。严格用水强度指标管理，建立重点监控取水单位名录，强化重点监控取水单位管理。</w:t>
            </w:r>
          </w:p>
        </w:tc>
        <w:tc>
          <w:tcPr>
            <w:tcW w:w="3136" w:type="dxa"/>
            <w:tcBorders>
              <w:tl2br w:val="nil"/>
              <w:tr2bl w:val="nil"/>
            </w:tcBorders>
            <w:shd w:val="clear" w:color="auto" w:fill="auto"/>
            <w:noWrap w:val="0"/>
            <w:vAlign w:val="center"/>
          </w:tcPr>
          <w:p w14:paraId="38FD0797">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w:t>
            </w:r>
            <w:r>
              <w:rPr>
                <w:rFonts w:hint="eastAsia" w:ascii="Arial" w:hAnsi="Arial" w:cs="Arial"/>
                <w:color w:val="auto"/>
                <w:sz w:val="22"/>
                <w:szCs w:val="22"/>
                <w:highlight w:val="none"/>
                <w:lang w:eastAsia="zh-CN"/>
              </w:rPr>
              <w:t>建成后可解决</w:t>
            </w:r>
            <w:r>
              <w:rPr>
                <w:rFonts w:hint="eastAsia" w:ascii="Arial" w:hAnsi="Arial" w:eastAsia="宋体" w:cs="Arial"/>
                <w:color w:val="auto"/>
                <w:kern w:val="0"/>
                <w:sz w:val="22"/>
                <w:szCs w:val="22"/>
                <w:highlight w:val="none"/>
                <w:lang w:val="en-US" w:eastAsia="zh-CN"/>
              </w:rPr>
              <w:t>7000农村居民人饮</w:t>
            </w:r>
            <w:r>
              <w:rPr>
                <w:rFonts w:hint="eastAsia" w:ascii="Arial" w:hAnsi="Arial" w:cs="Arial"/>
                <w:color w:val="auto"/>
                <w:kern w:val="0"/>
                <w:sz w:val="22"/>
                <w:szCs w:val="22"/>
                <w:highlight w:val="none"/>
                <w:lang w:val="en-US" w:eastAsia="zh-CN"/>
              </w:rPr>
              <w:t>及</w:t>
            </w:r>
            <w:r>
              <w:rPr>
                <w:rFonts w:hint="eastAsia" w:ascii="Arial" w:hAnsi="Arial" w:eastAsia="宋体" w:cs="Arial"/>
                <w:color w:val="auto"/>
                <w:kern w:val="0"/>
                <w:sz w:val="22"/>
                <w:szCs w:val="22"/>
                <w:highlight w:val="none"/>
                <w:lang w:val="en-US" w:eastAsia="zh-CN"/>
              </w:rPr>
              <w:t>2000亩耕地灌溉</w:t>
            </w:r>
            <w:r>
              <w:rPr>
                <w:rFonts w:hint="eastAsia" w:ascii="Arial" w:hAnsi="Arial" w:cs="Arial"/>
                <w:color w:val="auto"/>
                <w:kern w:val="0"/>
                <w:sz w:val="22"/>
                <w:szCs w:val="22"/>
                <w:highlight w:val="none"/>
                <w:lang w:val="en-US" w:eastAsia="zh-CN"/>
              </w:rPr>
              <w:t>用水，解决区域缺水问题。供水过程中严格管控供水总量，加强运行调度管控，确保合理供水。</w:t>
            </w:r>
          </w:p>
        </w:tc>
        <w:tc>
          <w:tcPr>
            <w:tcW w:w="879" w:type="dxa"/>
            <w:tcBorders>
              <w:tl2br w:val="nil"/>
              <w:tr2bl w:val="nil"/>
            </w:tcBorders>
            <w:shd w:val="clear" w:color="auto" w:fill="auto"/>
            <w:noWrap w:val="0"/>
            <w:vAlign w:val="center"/>
          </w:tcPr>
          <w:p w14:paraId="07DC42F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sz w:val="22"/>
                <w:szCs w:val="22"/>
                <w:highlight w:val="none"/>
                <w:lang w:eastAsia="zh-CN"/>
              </w:rPr>
              <w:t>符合</w:t>
            </w:r>
          </w:p>
        </w:tc>
      </w:tr>
      <w:tr w14:paraId="2A091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4998BDD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084" w:type="dxa"/>
            <w:tcBorders>
              <w:tl2br w:val="nil"/>
              <w:tr2bl w:val="nil"/>
            </w:tcBorders>
            <w:noWrap w:val="0"/>
            <w:vAlign w:val="center"/>
          </w:tcPr>
          <w:p w14:paraId="0FB3D96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切实保障生态流量。加强流域水量统一调度，切实保障长江干流、主要支流基本生态用水需求。深化水系连通运行管理，做好水库调度，增加枯水期下泄流量，确保生态用水比例只增不减。</w:t>
            </w:r>
          </w:p>
        </w:tc>
        <w:tc>
          <w:tcPr>
            <w:tcW w:w="3136" w:type="dxa"/>
            <w:tcBorders>
              <w:tl2br w:val="nil"/>
              <w:tr2bl w:val="nil"/>
            </w:tcBorders>
            <w:shd w:val="clear" w:color="auto" w:fill="auto"/>
            <w:noWrap w:val="0"/>
            <w:vAlign w:val="center"/>
          </w:tcPr>
          <w:p w14:paraId="00D83DE2">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本项目运营期将设置生态流量下泄装置，并设置监控装置联网运行，加强生态调度，确保下游减水河段生态用水需求。</w:t>
            </w:r>
          </w:p>
        </w:tc>
        <w:tc>
          <w:tcPr>
            <w:tcW w:w="879" w:type="dxa"/>
            <w:tcBorders>
              <w:tl2br w:val="nil"/>
              <w:tr2bl w:val="nil"/>
            </w:tcBorders>
            <w:shd w:val="clear" w:color="auto" w:fill="auto"/>
            <w:noWrap w:val="0"/>
            <w:vAlign w:val="center"/>
          </w:tcPr>
          <w:p w14:paraId="3857841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sz w:val="22"/>
                <w:szCs w:val="22"/>
                <w:highlight w:val="none"/>
                <w:lang w:eastAsia="zh-CN"/>
              </w:rPr>
              <w:t>符合</w:t>
            </w:r>
          </w:p>
        </w:tc>
      </w:tr>
    </w:tbl>
    <w:p w14:paraId="484ABC70">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3EEADC9C">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由表1.9-7可知，本项目与</w:t>
      </w:r>
      <w:r>
        <w:rPr>
          <w:rFonts w:hint="eastAsia" w:ascii="Arial" w:hAnsi="Arial" w:cs="Arial"/>
          <w:b w:val="0"/>
          <w:bCs/>
          <w:color w:val="auto"/>
          <w:kern w:val="0"/>
          <w:sz w:val="26"/>
          <w:szCs w:val="20"/>
          <w:highlight w:val="none"/>
          <w:lang w:val="en-US" w:eastAsia="zh-CN"/>
        </w:rPr>
        <w:t>《丰都县长江保护修复攻坚战实施方案》相符。</w:t>
      </w:r>
    </w:p>
    <w:p w14:paraId="2F1AE187">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1.9.9</w:t>
      </w:r>
      <w:r>
        <w:rPr>
          <w:rFonts w:hint="default" w:ascii="Arial" w:hAnsi="Arial" w:cs="Arial"/>
          <w:b/>
          <w:color w:val="auto"/>
          <w:kern w:val="0"/>
          <w:sz w:val="26"/>
          <w:szCs w:val="20"/>
          <w:highlight w:val="none"/>
          <w:lang w:val="en-US" w:eastAsia="zh-CN"/>
        </w:rPr>
        <w:t>《重庆市生态功能区划（修编）》（渝府</w:t>
      </w:r>
      <w:r>
        <w:rPr>
          <w:rFonts w:hint="default" w:ascii="Arial" w:hAnsi="Arial" w:eastAsia="宋体" w:cs="Arial"/>
          <w:b/>
          <w:color w:val="auto"/>
          <w:kern w:val="0"/>
          <w:sz w:val="26"/>
          <w:szCs w:val="20"/>
          <w:highlight w:val="none"/>
          <w:lang w:val="en-US" w:eastAsia="zh-CN"/>
        </w:rPr>
        <w:t>〔2008〕133号）</w:t>
      </w:r>
      <w:r>
        <w:rPr>
          <w:rFonts w:hint="eastAsia" w:ascii="宋体" w:hAnsi="宋体" w:eastAsia="宋体" w:cs="宋体"/>
          <w:b/>
          <w:color w:val="auto"/>
          <w:kern w:val="0"/>
          <w:sz w:val="26"/>
          <w:szCs w:val="20"/>
          <w:highlight w:val="none"/>
          <w:lang w:val="en-US" w:eastAsia="zh-CN"/>
        </w:rPr>
        <w:t>的符合性分析</w:t>
      </w:r>
    </w:p>
    <w:p w14:paraId="1B8F5F9A">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拟建项目位于丰都县双龙镇田家山村，</w:t>
      </w:r>
      <w:r>
        <w:rPr>
          <w:rFonts w:hint="eastAsia" w:ascii="Arial" w:hAnsi="Arial" w:cs="Arial"/>
          <w:b w:val="0"/>
          <w:color w:val="auto"/>
          <w:kern w:val="2"/>
          <w:sz w:val="26"/>
          <w:szCs w:val="26"/>
          <w:lang w:val="en-US" w:eastAsia="zh-CN" w:bidi="ar-SA"/>
        </w:rPr>
        <w:t>属于</w:t>
      </w:r>
      <w:r>
        <w:rPr>
          <w:rFonts w:hint="default" w:ascii="Arial" w:hAnsi="Arial" w:cs="Arial"/>
          <w:b w:val="0"/>
          <w:color w:val="auto"/>
          <w:kern w:val="2"/>
          <w:sz w:val="26"/>
          <w:szCs w:val="26"/>
          <w:lang w:val="en-US" w:eastAsia="zh-CN" w:bidi="ar-SA"/>
        </w:rPr>
        <w:t>《重庆市生态功能区划（修编）》（渝府〔2008〕133号）</w:t>
      </w:r>
      <w:r>
        <w:rPr>
          <w:rFonts w:hint="eastAsia" w:ascii="Arial" w:hAnsi="Arial" w:cs="Arial"/>
          <w:b w:val="0"/>
          <w:color w:val="auto"/>
          <w:kern w:val="2"/>
          <w:sz w:val="26"/>
          <w:szCs w:val="26"/>
          <w:lang w:val="en-US" w:eastAsia="zh-CN" w:bidi="ar-SA"/>
        </w:rPr>
        <w:t>中划定的“三峡库区（腹地）平行岭谷低山—丘陵生态区”，主要生态问题为：水土流失是全市面广、强度高的集中分布区，石漠化是全市面积广、强度高、分布最集中的区域之一，地质灾害是我市集中分布区，洪涝和干旱是我市频率最高的地区，次级河流水污染严重，生态系统退化趋势较明显，三峡水库消落区生态环境问题较严峻。</w:t>
      </w:r>
    </w:p>
    <w:p w14:paraId="2B248E84">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在建设及运行过程中，均将严格落实本环评报告及水土保持方案提出的各项生态保护、恢复措施，降低水土流失量，减缓对区域生态环境的影响。同时，本项目建成后可解决区域缺水问题，库区预留有足够的防洪库容，可避免洪涝破坏；并将按规定下泄生态流量，确保下游减水河段水质。由此可见，本项目与</w:t>
      </w:r>
      <w:r>
        <w:rPr>
          <w:rFonts w:hint="default" w:ascii="Arial" w:hAnsi="Arial" w:cs="Arial"/>
          <w:b w:val="0"/>
          <w:color w:val="auto"/>
          <w:kern w:val="2"/>
          <w:sz w:val="26"/>
          <w:szCs w:val="26"/>
          <w:lang w:val="en-US" w:eastAsia="zh-CN" w:bidi="ar-SA"/>
        </w:rPr>
        <w:t>《重庆市生态功能区划（修编）》（渝府〔2008〕133号）</w:t>
      </w:r>
      <w:r>
        <w:rPr>
          <w:rFonts w:hint="eastAsia" w:ascii="Arial" w:hAnsi="Arial" w:cs="Arial"/>
          <w:b w:val="0"/>
          <w:color w:val="auto"/>
          <w:kern w:val="2"/>
          <w:sz w:val="26"/>
          <w:szCs w:val="26"/>
          <w:lang w:val="en-US" w:eastAsia="zh-CN" w:bidi="ar-SA"/>
        </w:rPr>
        <w:t>相符。</w:t>
      </w:r>
    </w:p>
    <w:p w14:paraId="3B6160D5">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1.9.10与</w:t>
      </w:r>
      <w:r>
        <w:rPr>
          <w:rFonts w:hint="eastAsia" w:ascii="Arial" w:hAnsi="Arial" w:cs="Arial"/>
          <w:b/>
          <w:color w:val="auto"/>
          <w:kern w:val="0"/>
          <w:sz w:val="26"/>
          <w:szCs w:val="20"/>
          <w:highlight w:val="none"/>
          <w:lang w:val="en-US" w:eastAsia="zh-CN"/>
        </w:rPr>
        <w:t>《水利建设项目（引调水工程）环境影响评价文件审批原则》的符合性分析</w:t>
      </w:r>
    </w:p>
    <w:p w14:paraId="05A113E7">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val="0"/>
          <w:bCs/>
          <w:color w:val="auto"/>
          <w:kern w:val="0"/>
          <w:sz w:val="26"/>
          <w:szCs w:val="20"/>
          <w:highlight w:val="none"/>
          <w:lang w:val="en-US" w:eastAsia="zh-CN"/>
        </w:rPr>
      </w:pPr>
      <w:r>
        <w:rPr>
          <w:rFonts w:hint="eastAsia" w:ascii="Arial" w:hAnsi="Arial" w:cs="Arial"/>
          <w:b w:val="0"/>
          <w:bCs/>
          <w:color w:val="auto"/>
          <w:kern w:val="0"/>
          <w:sz w:val="26"/>
          <w:szCs w:val="20"/>
          <w:highlight w:val="none"/>
          <w:lang w:val="en-US" w:eastAsia="zh-CN"/>
        </w:rPr>
        <w:t>本项目与《水利建设项目（引调水工程）环境影响评价文件审批原则》的符合性分析详见表1.9-8所示。</w:t>
      </w:r>
    </w:p>
    <w:p w14:paraId="5158C189">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p>
    <w:p w14:paraId="71CE42D8">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.9-8  与“</w:t>
      </w:r>
      <w:r>
        <w:rPr>
          <w:rFonts w:hint="eastAsia" w:ascii="Arial" w:hAnsi="Arial" w:cs="Arial"/>
          <w:b/>
          <w:color w:val="auto"/>
          <w:kern w:val="0"/>
          <w:sz w:val="26"/>
          <w:szCs w:val="20"/>
          <w:highlight w:val="none"/>
          <w:lang w:val="en-US" w:eastAsia="zh-CN"/>
        </w:rPr>
        <w:t>丰都县长江保护修复攻坚战实施方案”</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084"/>
        <w:gridCol w:w="3136"/>
        <w:gridCol w:w="879"/>
      </w:tblGrid>
      <w:tr w14:paraId="19005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9D8C9D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084" w:type="dxa"/>
            <w:tcBorders>
              <w:tl2br w:val="nil"/>
              <w:tr2bl w:val="nil"/>
            </w:tcBorders>
            <w:noWrap w:val="0"/>
            <w:vAlign w:val="center"/>
          </w:tcPr>
          <w:p w14:paraId="6C72743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3136" w:type="dxa"/>
            <w:tcBorders>
              <w:tl2br w:val="nil"/>
              <w:tr2bl w:val="nil"/>
            </w:tcBorders>
            <w:noWrap w:val="0"/>
            <w:vAlign w:val="center"/>
          </w:tcPr>
          <w:p w14:paraId="0B30C3F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879" w:type="dxa"/>
            <w:tcBorders>
              <w:tl2br w:val="nil"/>
              <w:tr2bl w:val="nil"/>
            </w:tcBorders>
            <w:noWrap w:val="0"/>
            <w:vAlign w:val="center"/>
          </w:tcPr>
          <w:p w14:paraId="36C0AB5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2692D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tcBorders>
              <w:tl2br w:val="nil"/>
              <w:tr2bl w:val="nil"/>
            </w:tcBorders>
            <w:noWrap w:val="0"/>
            <w:vAlign w:val="center"/>
          </w:tcPr>
          <w:p w14:paraId="707E439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084" w:type="dxa"/>
            <w:tcBorders>
              <w:tl2br w:val="nil"/>
              <w:tr2bl w:val="nil"/>
            </w:tcBorders>
            <w:noWrap w:val="0"/>
            <w:vAlign w:val="center"/>
          </w:tcPr>
          <w:p w14:paraId="11BF33F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符合资源与环境保护相关法律法规和政策，与主体功能区规划、生态功能区划等相协调，开发任务、供水范围及对象、调水规模、选址选线等工程主要内容总体满足流域综合规划、水资源综合规划、水资源开发利用（含供水）规划、工程规划、流域水污染防治规划、流域生态保护规划等相关规划、规划环评及审查意见要求。</w:t>
            </w:r>
          </w:p>
          <w:p w14:paraId="45C50DD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符合“先节水后调水、先治污后通水、先环保后用水”原则，与水资源开发利用及区域用水总量控制、用水效率控制、水（环境）功能区限制纳污控制等相协调。充分考虑调出区经济社会发展和生态环境用水需求，调水量不得超出调出区水资源利用上限，受水区水资源配置与区域水资源水环境承载能力相适应。</w:t>
            </w:r>
          </w:p>
        </w:tc>
        <w:tc>
          <w:tcPr>
            <w:tcW w:w="3136" w:type="dxa"/>
            <w:tcBorders>
              <w:tl2br w:val="nil"/>
              <w:tr2bl w:val="nil"/>
            </w:tcBorders>
            <w:shd w:val="clear" w:color="auto" w:fill="auto"/>
            <w:noWrap w:val="0"/>
            <w:vAlign w:val="center"/>
          </w:tcPr>
          <w:p w14:paraId="700F6FBE">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本项目属于《重庆市渠溪河流域综合规划环境影响报告书》中规划建设的水库，运营期通过建立合理的运行调度机制，保护水环境。</w:t>
            </w:r>
          </w:p>
        </w:tc>
        <w:tc>
          <w:tcPr>
            <w:tcW w:w="879" w:type="dxa"/>
            <w:tcBorders>
              <w:tl2br w:val="nil"/>
              <w:tr2bl w:val="nil"/>
            </w:tcBorders>
            <w:shd w:val="clear" w:color="auto" w:fill="auto"/>
            <w:noWrap w:val="0"/>
            <w:vAlign w:val="center"/>
          </w:tcPr>
          <w:p w14:paraId="6043705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sz w:val="22"/>
                <w:szCs w:val="22"/>
                <w:highlight w:val="none"/>
                <w:lang w:eastAsia="zh-CN"/>
              </w:rPr>
              <w:t>符合</w:t>
            </w:r>
          </w:p>
        </w:tc>
      </w:tr>
      <w:tr w14:paraId="7F204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33C50A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084" w:type="dxa"/>
            <w:tcBorders>
              <w:tl2br w:val="nil"/>
              <w:tr2bl w:val="nil"/>
            </w:tcBorders>
            <w:noWrap w:val="0"/>
            <w:vAlign w:val="center"/>
          </w:tcPr>
          <w:p w14:paraId="2404056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工程选址选线、施工布置和水库淹没原则上不得占用自然保护区、风景名胜区、生态保护红线等敏感区内法律法规禁止占用的区域和已明确作为栖息地保护区域，并与饮用水水源保护区的有关保护要求相协调。</w:t>
            </w:r>
          </w:p>
        </w:tc>
        <w:tc>
          <w:tcPr>
            <w:tcW w:w="3136" w:type="dxa"/>
            <w:tcBorders>
              <w:tl2br w:val="nil"/>
              <w:tr2bl w:val="nil"/>
            </w:tcBorders>
            <w:shd w:val="clear" w:color="auto" w:fill="auto"/>
            <w:noWrap w:val="0"/>
            <w:vAlign w:val="center"/>
          </w:tcPr>
          <w:p w14:paraId="213437F5">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本项目占地范围内不涉及自然保护区、风景名胜区、生态保护红线等敏感区域。</w:t>
            </w:r>
          </w:p>
        </w:tc>
        <w:tc>
          <w:tcPr>
            <w:tcW w:w="879" w:type="dxa"/>
            <w:tcBorders>
              <w:tl2br w:val="nil"/>
              <w:tr2bl w:val="nil"/>
            </w:tcBorders>
            <w:shd w:val="clear" w:color="auto" w:fill="auto"/>
            <w:noWrap w:val="0"/>
            <w:vAlign w:val="center"/>
          </w:tcPr>
          <w:p w14:paraId="54794CB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4F39E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0CE2561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084" w:type="dxa"/>
            <w:tcBorders>
              <w:tl2br w:val="nil"/>
              <w:tr2bl w:val="nil"/>
            </w:tcBorders>
            <w:noWrap w:val="0"/>
            <w:vAlign w:val="center"/>
          </w:tcPr>
          <w:p w14:paraId="48819FE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调水和水库调蓄造成调出区取水枢纽下游水量减少和水文情势改变且带来不利影响的，在统筹考虑满足下游河道水生生态、水环境、景观、湿地等生态环境用水及生产、生活用水需求的基础上，提出了调水总量和过程控制、输水线路或末端调蓄能力保障、生态流量泄放、生态（联合）调度等措施，明确了生态流量泄放和在线监测设施以及管理措施等内容。针对水库下泄或调出低温水、泄洪造成的气体过饱和等导致的不利生态环境影响，提出了分层取水、优化泄洪形式或调度方式、管理等措施。根据水质管理目标要求，提出了水源区污染源治理、库底环境清理、污水处理等水质保障措施；兼顾城乡生活供水任务的，还提出了划定饮用水水源保护区、设置隔离防护带等措施。</w:t>
            </w:r>
          </w:p>
        </w:tc>
        <w:tc>
          <w:tcPr>
            <w:tcW w:w="3136" w:type="dxa"/>
            <w:tcBorders>
              <w:tl2br w:val="nil"/>
              <w:tr2bl w:val="nil"/>
            </w:tcBorders>
            <w:shd w:val="clear" w:color="auto" w:fill="auto"/>
            <w:noWrap w:val="0"/>
            <w:vAlign w:val="center"/>
          </w:tcPr>
          <w:p w14:paraId="4D435B03">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eastAsia" w:ascii="Arial" w:hAnsi="Arial" w:eastAsia="宋体" w:cs="Arial"/>
                <w:b/>
                <w:bCs/>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本项目蓄水前将进行库底清理，并给出水源保护区划定建议，并对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rFonts w:hint="eastAsia"/>
                <w:spacing w:val="2"/>
                <w:sz w:val="22"/>
                <w:szCs w:val="22"/>
                <w:lang w:eastAsia="zh-CN"/>
              </w:rPr>
              <w:t>。运营期采取分层取水，避免供给低温水；建设</w:t>
            </w:r>
            <w:r>
              <w:rPr>
                <w:rFonts w:hint="eastAsia" w:ascii="Arial" w:hAnsi="Arial" w:cs="Arial"/>
                <w:color w:val="auto"/>
                <w:kern w:val="2"/>
                <w:sz w:val="22"/>
                <w:szCs w:val="22"/>
                <w:highlight w:val="none"/>
                <w:lang w:val="en-US" w:eastAsia="zh-CN" w:bidi="ar-SA"/>
              </w:rPr>
              <w:t>生态流量下泄装置，并设置监控装置联网运行，加强生态调度，确保下游减水河段生态用水需求。</w:t>
            </w:r>
          </w:p>
        </w:tc>
        <w:tc>
          <w:tcPr>
            <w:tcW w:w="879" w:type="dxa"/>
            <w:tcBorders>
              <w:tl2br w:val="nil"/>
              <w:tr2bl w:val="nil"/>
            </w:tcBorders>
            <w:shd w:val="clear" w:color="auto" w:fill="auto"/>
            <w:noWrap w:val="0"/>
            <w:vAlign w:val="center"/>
          </w:tcPr>
          <w:p w14:paraId="47E403B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E434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6BB24CD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4</w:t>
            </w:r>
          </w:p>
        </w:tc>
        <w:tc>
          <w:tcPr>
            <w:tcW w:w="4084" w:type="dxa"/>
            <w:tcBorders>
              <w:tl2br w:val="nil"/>
              <w:tr2bl w:val="nil"/>
            </w:tcBorders>
            <w:noWrap w:val="0"/>
            <w:vAlign w:val="center"/>
          </w:tcPr>
          <w:p w14:paraId="710C80C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根据输水线路水环境保护需求，提出了划定饮用水水源保护区、源头治理、截污导流、河道清淤或建设隔离带等措施，保障输水水质达标。输水河湖具有航运、旅游等其他功能且可能对水质安全带来不利影响的，提出了不得影响输水水质的港口码头选址建设要求、制定限制或禁止运输的货物种类目录、船舶污染防治等水污染防范措施。</w:t>
            </w:r>
          </w:p>
        </w:tc>
        <w:tc>
          <w:tcPr>
            <w:tcW w:w="3136" w:type="dxa"/>
            <w:tcBorders>
              <w:tl2br w:val="nil"/>
              <w:tr2bl w:val="nil"/>
            </w:tcBorders>
            <w:shd w:val="clear" w:color="auto" w:fill="auto"/>
            <w:noWrap w:val="0"/>
            <w:vAlign w:val="center"/>
          </w:tcPr>
          <w:p w14:paraId="280FDF52">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本项目蓄水前将进行库底清理，并给出水源保护区划定建议，并对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rFonts w:hint="eastAsia"/>
                <w:spacing w:val="2"/>
                <w:sz w:val="22"/>
                <w:szCs w:val="22"/>
                <w:lang w:eastAsia="zh-CN"/>
              </w:rPr>
              <w:t>。采取地埋式管道输水，可保障供水水质。</w:t>
            </w:r>
          </w:p>
        </w:tc>
        <w:tc>
          <w:tcPr>
            <w:tcW w:w="879" w:type="dxa"/>
            <w:tcBorders>
              <w:tl2br w:val="nil"/>
              <w:tr2bl w:val="nil"/>
            </w:tcBorders>
            <w:shd w:val="clear" w:color="auto" w:fill="auto"/>
            <w:noWrap w:val="0"/>
            <w:vAlign w:val="center"/>
          </w:tcPr>
          <w:p w14:paraId="7540EBE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8E08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6CEB888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5</w:t>
            </w:r>
          </w:p>
        </w:tc>
        <w:tc>
          <w:tcPr>
            <w:tcW w:w="4084" w:type="dxa"/>
            <w:tcBorders>
              <w:tl2br w:val="nil"/>
              <w:tr2bl w:val="nil"/>
            </w:tcBorders>
            <w:noWrap w:val="0"/>
            <w:vAlign w:val="center"/>
          </w:tcPr>
          <w:p w14:paraId="4CC0A1E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受水区水污染治理以改善水环境质量为目标，遵循“增水不增污”或“增水减污”原则，并有经相关地方人民政府认可的 水污染防治相关规划作为支撑。</w:t>
            </w:r>
          </w:p>
        </w:tc>
        <w:tc>
          <w:tcPr>
            <w:tcW w:w="3136" w:type="dxa"/>
            <w:tcBorders>
              <w:tl2br w:val="nil"/>
              <w:tr2bl w:val="nil"/>
            </w:tcBorders>
            <w:shd w:val="clear" w:color="auto" w:fill="auto"/>
            <w:noWrap w:val="0"/>
            <w:vAlign w:val="center"/>
          </w:tcPr>
          <w:p w14:paraId="1B9014DC">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本项目受水区水污染治理由当地相关职能部门实施，本项目在运行过程中建设合理的运行调度机制，保护水环境。</w:t>
            </w:r>
          </w:p>
        </w:tc>
        <w:tc>
          <w:tcPr>
            <w:tcW w:w="879" w:type="dxa"/>
            <w:tcBorders>
              <w:tl2br w:val="nil"/>
              <w:tr2bl w:val="nil"/>
            </w:tcBorders>
            <w:shd w:val="clear" w:color="auto" w:fill="auto"/>
            <w:noWrap w:val="0"/>
            <w:vAlign w:val="center"/>
          </w:tcPr>
          <w:p w14:paraId="611D6D6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02722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3E5F129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6</w:t>
            </w:r>
          </w:p>
        </w:tc>
        <w:tc>
          <w:tcPr>
            <w:tcW w:w="4084" w:type="dxa"/>
            <w:tcBorders>
              <w:tl2br w:val="nil"/>
              <w:tr2bl w:val="nil"/>
            </w:tcBorders>
            <w:noWrap w:val="0"/>
            <w:vAlign w:val="center"/>
          </w:tcPr>
          <w:p w14:paraId="75C96BC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项目建设可能造成水库和输水沿线周边地下水位变化，引起土壤潜育化、沼泽化、盐碱化、沙化或植被退化演替等次生生态影响的，提出了封堵、导排、防护等针对性措施。</w:t>
            </w:r>
          </w:p>
        </w:tc>
        <w:tc>
          <w:tcPr>
            <w:tcW w:w="3136" w:type="dxa"/>
            <w:tcBorders>
              <w:tl2br w:val="nil"/>
              <w:tr2bl w:val="nil"/>
            </w:tcBorders>
            <w:shd w:val="clear" w:color="auto" w:fill="auto"/>
            <w:noWrap w:val="0"/>
            <w:vAlign w:val="center"/>
          </w:tcPr>
          <w:p w14:paraId="502304A2">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本项目为小（2）型水库，库容较小，不会造成周边地下水水位明显变化，不会引起</w:t>
            </w:r>
            <w:r>
              <w:rPr>
                <w:rFonts w:hint="eastAsia" w:ascii="Arial" w:hAnsi="Arial" w:eastAsia="宋体" w:cs="Arial"/>
                <w:color w:val="auto"/>
                <w:sz w:val="22"/>
                <w:szCs w:val="22"/>
                <w:highlight w:val="none"/>
                <w:lang w:eastAsia="zh-CN"/>
              </w:rPr>
              <w:t>土壤潜育化、沼泽化、盐碱化、沙化或植被退化演替等次生生态影响</w:t>
            </w:r>
            <w:r>
              <w:rPr>
                <w:rFonts w:hint="eastAsia" w:ascii="Arial" w:hAnsi="Arial" w:cs="Arial"/>
                <w:color w:val="auto"/>
                <w:sz w:val="22"/>
                <w:szCs w:val="22"/>
                <w:highlight w:val="none"/>
                <w:lang w:eastAsia="zh-CN"/>
              </w:rPr>
              <w:t>。</w:t>
            </w:r>
          </w:p>
        </w:tc>
        <w:tc>
          <w:tcPr>
            <w:tcW w:w="879" w:type="dxa"/>
            <w:tcBorders>
              <w:tl2br w:val="nil"/>
              <w:tr2bl w:val="nil"/>
            </w:tcBorders>
            <w:shd w:val="clear" w:color="auto" w:fill="auto"/>
            <w:noWrap w:val="0"/>
            <w:vAlign w:val="center"/>
          </w:tcPr>
          <w:p w14:paraId="70EAD0C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5FBB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C57A52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7</w:t>
            </w:r>
          </w:p>
        </w:tc>
        <w:tc>
          <w:tcPr>
            <w:tcW w:w="4084" w:type="dxa"/>
            <w:tcBorders>
              <w:tl2br w:val="nil"/>
              <w:tr2bl w:val="nil"/>
            </w:tcBorders>
            <w:noWrap w:val="0"/>
            <w:vAlign w:val="center"/>
          </w:tcPr>
          <w:p w14:paraId="66B85F4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对鱼类等水生生物的生境、物种多样性及资源量等造成不利影响的，提出了优化工程设计及调度、栖息地保护、水生生物通道恢复、增殖放流、拦鱼等措施。栖息地保护措施包括干（支）流生境保留、生境修复（或重建）等，采用生境保留的应明确河段范围及保护措施。水生生物通道恢复措施包括鱼道、升鱼机、集运鱼系统等，在必要的水工模型试验基础上，明确了过鱼对象、主要参数、运行要求等，且满足可研阶段设计深度要求。鱼类增殖 放流措施应明确增殖站地点、增殖放流对象、放流规模、放流地点等。</w:t>
            </w:r>
          </w:p>
        </w:tc>
        <w:tc>
          <w:tcPr>
            <w:tcW w:w="3136" w:type="dxa"/>
            <w:tcBorders>
              <w:tl2br w:val="nil"/>
              <w:tr2bl w:val="nil"/>
            </w:tcBorders>
            <w:shd w:val="clear" w:color="auto" w:fill="auto"/>
            <w:noWrap w:val="0"/>
            <w:vAlign w:val="center"/>
          </w:tcPr>
          <w:p w14:paraId="53318ECD">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本项目所在流域水生生物资源匮乏，无鱼类“三场”分布，运营期将</w:t>
            </w:r>
            <w:r>
              <w:rPr>
                <w:rFonts w:hint="eastAsia"/>
                <w:spacing w:val="2"/>
                <w:sz w:val="22"/>
                <w:szCs w:val="22"/>
                <w:lang w:eastAsia="zh-CN"/>
              </w:rPr>
              <w:t>建设</w:t>
            </w:r>
            <w:r>
              <w:rPr>
                <w:rFonts w:hint="eastAsia" w:ascii="Arial" w:hAnsi="Arial" w:cs="Arial"/>
                <w:color w:val="auto"/>
                <w:kern w:val="2"/>
                <w:sz w:val="22"/>
                <w:szCs w:val="22"/>
                <w:highlight w:val="none"/>
                <w:lang w:val="en-US" w:eastAsia="zh-CN" w:bidi="ar-SA"/>
              </w:rPr>
              <w:t>生态流量下泄装置，并设置监控装置联网运行，加强生态调度，确保下游减水河段生态用水需求。</w:t>
            </w:r>
          </w:p>
        </w:tc>
        <w:tc>
          <w:tcPr>
            <w:tcW w:w="879" w:type="dxa"/>
            <w:tcBorders>
              <w:tl2br w:val="nil"/>
              <w:tr2bl w:val="nil"/>
            </w:tcBorders>
            <w:shd w:val="clear" w:color="auto" w:fill="auto"/>
            <w:noWrap w:val="0"/>
            <w:vAlign w:val="center"/>
          </w:tcPr>
          <w:p w14:paraId="62BB786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508A0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B2EC50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8</w:t>
            </w:r>
          </w:p>
        </w:tc>
        <w:tc>
          <w:tcPr>
            <w:tcW w:w="4084" w:type="dxa"/>
            <w:tcBorders>
              <w:tl2br w:val="nil"/>
              <w:tr2bl w:val="nil"/>
            </w:tcBorders>
            <w:noWrap w:val="0"/>
            <w:vAlign w:val="center"/>
          </w:tcPr>
          <w:p w14:paraId="24AD199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对珍稀濒危和重点保护野生动、植物及其生境造成影响的，提出了优化工程布置和调度运行方案、合理安排工期、应急救护、建设或保留动物通道、移栽、就地保护或再造类似生境等避让、减缓和补偿措施。项目涉及风景名胜区等环境敏感区并对景观产生影响的，提出了工程方案优化、景观塑造等措施。</w:t>
            </w:r>
          </w:p>
        </w:tc>
        <w:tc>
          <w:tcPr>
            <w:tcW w:w="3136" w:type="dxa"/>
            <w:tcBorders>
              <w:tl2br w:val="nil"/>
              <w:tr2bl w:val="nil"/>
            </w:tcBorders>
            <w:shd w:val="clear" w:color="auto" w:fill="auto"/>
            <w:noWrap w:val="0"/>
            <w:vAlign w:val="center"/>
          </w:tcPr>
          <w:p w14:paraId="3F573DFD">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本项目占地及影响范围内未发现珍惜濒危保护型野生动植物，不涉及风景名胜区等特殊生态敏感区。</w:t>
            </w:r>
          </w:p>
        </w:tc>
        <w:tc>
          <w:tcPr>
            <w:tcW w:w="879" w:type="dxa"/>
            <w:tcBorders>
              <w:tl2br w:val="nil"/>
              <w:tr2bl w:val="nil"/>
            </w:tcBorders>
            <w:shd w:val="clear" w:color="auto" w:fill="auto"/>
            <w:noWrap w:val="0"/>
            <w:vAlign w:val="center"/>
          </w:tcPr>
          <w:p w14:paraId="329A29E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64516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7A30949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9</w:t>
            </w:r>
          </w:p>
        </w:tc>
        <w:tc>
          <w:tcPr>
            <w:tcW w:w="4084" w:type="dxa"/>
            <w:tcBorders>
              <w:tl2br w:val="nil"/>
              <w:tr2bl w:val="nil"/>
            </w:tcBorders>
            <w:noWrap w:val="0"/>
            <w:vAlign w:val="center"/>
          </w:tcPr>
          <w:p w14:paraId="7209C85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施工组织方案具有环境合理性，对料场、弃土（渣）场等施工场地提出了水土流失防治和施工迹地生态恢复等措施。根据环境保护相关标准和要求，对施工期各类废（污）水、废气、噪声、固体废物等提出防治或处置措施。</w:t>
            </w:r>
          </w:p>
        </w:tc>
        <w:tc>
          <w:tcPr>
            <w:tcW w:w="3136" w:type="dxa"/>
            <w:tcBorders>
              <w:tl2br w:val="nil"/>
              <w:tr2bl w:val="nil"/>
            </w:tcBorders>
            <w:shd w:val="clear" w:color="auto" w:fill="auto"/>
            <w:noWrap w:val="0"/>
            <w:vAlign w:val="center"/>
          </w:tcPr>
          <w:p w14:paraId="4DAA3E26">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本报告将针对项目各施工临时设施提出迹地生态恢复措施，对施工期产生的“三废”及噪声提出了切实可行的污染防治措施，同时根据水土保持方案落实各项水保措施。</w:t>
            </w:r>
          </w:p>
        </w:tc>
        <w:tc>
          <w:tcPr>
            <w:tcW w:w="879" w:type="dxa"/>
            <w:tcBorders>
              <w:tl2br w:val="nil"/>
              <w:tr2bl w:val="nil"/>
            </w:tcBorders>
            <w:shd w:val="clear" w:color="auto" w:fill="auto"/>
            <w:noWrap w:val="0"/>
            <w:vAlign w:val="center"/>
          </w:tcPr>
          <w:p w14:paraId="3DE00E6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19A6B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0A6A7D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10</w:t>
            </w:r>
          </w:p>
        </w:tc>
        <w:tc>
          <w:tcPr>
            <w:tcW w:w="4084" w:type="dxa"/>
            <w:tcBorders>
              <w:tl2br w:val="nil"/>
              <w:tr2bl w:val="nil"/>
            </w:tcBorders>
            <w:noWrap w:val="0"/>
            <w:vAlign w:val="center"/>
          </w:tcPr>
          <w:p w14:paraId="07512EE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移民安置涉及的农业土地开垦、移民安置区建设、企业迁建、专业项目改复建工程等，其建设方式和选址具有环境合理性，对环境造成不利影响的，提出了生态保护、污水处理与垃圾处置等措施。针对城（集）镇迁建及配套的重大环保基础设施建设、重要交通和水利工程改复建、污染型企业迁建等重大移民安置专项工程，依法提出了单独开展环境影响评价要求。</w:t>
            </w:r>
          </w:p>
        </w:tc>
        <w:tc>
          <w:tcPr>
            <w:tcW w:w="3136" w:type="dxa"/>
            <w:tcBorders>
              <w:tl2br w:val="nil"/>
              <w:tr2bl w:val="nil"/>
            </w:tcBorders>
            <w:shd w:val="clear" w:color="auto" w:fill="auto"/>
            <w:noWrap w:val="0"/>
            <w:vAlign w:val="center"/>
          </w:tcPr>
          <w:p w14:paraId="05AF1F11">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default" w:ascii="Arial" w:hAnsi="Arial" w:cs="Arial"/>
                <w:color w:val="auto"/>
                <w:kern w:val="2"/>
                <w:sz w:val="22"/>
                <w:szCs w:val="22"/>
                <w:highlight w:val="none"/>
                <w:lang w:val="en-US" w:eastAsia="zh-CN" w:bidi="ar-SA"/>
              </w:rPr>
              <w:t>本项目移民安置规划报告已经取得丰都县人民政府下发的批复</w:t>
            </w:r>
            <w:r>
              <w:rPr>
                <w:rFonts w:hint="eastAsia" w:ascii="Arial" w:hAnsi="Arial" w:cs="Arial"/>
                <w:color w:val="auto"/>
                <w:kern w:val="2"/>
                <w:sz w:val="22"/>
                <w:szCs w:val="22"/>
                <w:highlight w:val="none"/>
                <w:lang w:val="en-US" w:eastAsia="zh-CN" w:bidi="ar-SA"/>
              </w:rPr>
              <w:t>“</w:t>
            </w:r>
            <w:r>
              <w:rPr>
                <w:rFonts w:hint="default" w:ascii="Arial" w:hAnsi="Arial" w:cs="Arial"/>
                <w:color w:val="auto"/>
                <w:kern w:val="2"/>
                <w:sz w:val="22"/>
                <w:szCs w:val="22"/>
                <w:highlight w:val="none"/>
                <w:lang w:val="en-US" w:eastAsia="zh-CN" w:bidi="ar-SA"/>
              </w:rPr>
              <w:t>丰都府</w:t>
            </w:r>
            <w:r>
              <w:rPr>
                <w:rFonts w:hint="default" w:ascii="Arial" w:hAnsi="Arial" w:eastAsia="宋体" w:cs="Arial"/>
                <w:color w:val="auto"/>
                <w:kern w:val="2"/>
                <w:sz w:val="22"/>
                <w:szCs w:val="22"/>
                <w:highlight w:val="none"/>
                <w:lang w:val="en-US" w:eastAsia="zh-CN" w:bidi="ar-SA"/>
              </w:rPr>
              <w:t>〔2024〕14号</w:t>
            </w:r>
            <w:r>
              <w:rPr>
                <w:rFonts w:hint="eastAsia" w:ascii="Arial" w:hAnsi="Arial" w:eastAsia="宋体" w:cs="Arial"/>
                <w:color w:val="auto"/>
                <w:kern w:val="2"/>
                <w:sz w:val="22"/>
                <w:szCs w:val="22"/>
                <w:highlight w:val="none"/>
                <w:lang w:val="en-US" w:eastAsia="zh-CN" w:bidi="ar-SA"/>
              </w:rPr>
              <w:t>”。</w:t>
            </w:r>
          </w:p>
        </w:tc>
        <w:tc>
          <w:tcPr>
            <w:tcW w:w="879" w:type="dxa"/>
            <w:tcBorders>
              <w:tl2br w:val="nil"/>
              <w:tr2bl w:val="nil"/>
            </w:tcBorders>
            <w:shd w:val="clear" w:color="auto" w:fill="auto"/>
            <w:noWrap w:val="0"/>
            <w:vAlign w:val="center"/>
          </w:tcPr>
          <w:p w14:paraId="4087CE4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3FFE0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D2196F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11</w:t>
            </w:r>
          </w:p>
        </w:tc>
        <w:tc>
          <w:tcPr>
            <w:tcW w:w="4084" w:type="dxa"/>
            <w:tcBorders>
              <w:tl2br w:val="nil"/>
              <w:tr2bl w:val="nil"/>
            </w:tcBorders>
            <w:noWrap w:val="0"/>
            <w:vAlign w:val="center"/>
          </w:tcPr>
          <w:p w14:paraId="3D3EC63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项目存在水污染、富营养化或外来物种入侵等环境风险的，提出了针对性风险防范措施和环境应急预案编制、与地方人民政府及其相关部门和受影响单位建立应急联动机制的要求。</w:t>
            </w:r>
          </w:p>
        </w:tc>
        <w:tc>
          <w:tcPr>
            <w:tcW w:w="3136" w:type="dxa"/>
            <w:tcBorders>
              <w:tl2br w:val="nil"/>
              <w:tr2bl w:val="nil"/>
            </w:tcBorders>
            <w:shd w:val="clear" w:color="auto" w:fill="auto"/>
            <w:noWrap w:val="0"/>
            <w:vAlign w:val="center"/>
          </w:tcPr>
          <w:p w14:paraId="7EAB2271">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本报告针对项目运营期可能存在的富营养化现象，提出了预防、减缓措施。</w:t>
            </w:r>
          </w:p>
        </w:tc>
        <w:tc>
          <w:tcPr>
            <w:tcW w:w="879" w:type="dxa"/>
            <w:tcBorders>
              <w:tl2br w:val="nil"/>
              <w:tr2bl w:val="nil"/>
            </w:tcBorders>
            <w:shd w:val="clear" w:color="auto" w:fill="auto"/>
            <w:noWrap w:val="0"/>
            <w:vAlign w:val="center"/>
          </w:tcPr>
          <w:p w14:paraId="2F4F5D4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7BE5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8B26D4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12</w:t>
            </w:r>
          </w:p>
        </w:tc>
        <w:tc>
          <w:tcPr>
            <w:tcW w:w="4084" w:type="dxa"/>
            <w:tcBorders>
              <w:tl2br w:val="nil"/>
              <w:tr2bl w:val="nil"/>
            </w:tcBorders>
            <w:noWrap w:val="0"/>
            <w:vAlign w:val="center"/>
          </w:tcPr>
          <w:p w14:paraId="21AE5BA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改、扩建项目应在全面梳理与项目有关的现有工程环境问题基础上，提出了“以新带老”措施。</w:t>
            </w:r>
          </w:p>
        </w:tc>
        <w:tc>
          <w:tcPr>
            <w:tcW w:w="3136" w:type="dxa"/>
            <w:tcBorders>
              <w:tl2br w:val="nil"/>
              <w:tr2bl w:val="nil"/>
            </w:tcBorders>
            <w:shd w:val="clear" w:color="auto" w:fill="auto"/>
            <w:noWrap w:val="0"/>
            <w:vAlign w:val="center"/>
          </w:tcPr>
          <w:p w14:paraId="76B8B52F">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本项目为新建，不涉及</w:t>
            </w:r>
          </w:p>
        </w:tc>
        <w:tc>
          <w:tcPr>
            <w:tcW w:w="879" w:type="dxa"/>
            <w:tcBorders>
              <w:tl2br w:val="nil"/>
              <w:tr2bl w:val="nil"/>
            </w:tcBorders>
            <w:shd w:val="clear" w:color="auto" w:fill="auto"/>
            <w:noWrap w:val="0"/>
            <w:vAlign w:val="center"/>
          </w:tcPr>
          <w:p w14:paraId="29E84ED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w:t>
            </w:r>
          </w:p>
        </w:tc>
      </w:tr>
      <w:tr w14:paraId="12035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3DCA71B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13</w:t>
            </w:r>
          </w:p>
        </w:tc>
        <w:tc>
          <w:tcPr>
            <w:tcW w:w="4084" w:type="dxa"/>
            <w:tcBorders>
              <w:tl2br w:val="nil"/>
              <w:tr2bl w:val="nil"/>
            </w:tcBorders>
            <w:noWrap w:val="0"/>
            <w:vAlign w:val="center"/>
          </w:tcPr>
          <w:p w14:paraId="0DD2236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按相关导则及规定要求，制定了水环境、生态、土壤、大气、噪声等环境监测计划，明确了监测网点、因子、频次等有关要求，提出了根据监测评估结果开展环境影响后评价或优化环境保护措施的要求。根据需要和相关规定，提出了环境保护设计、环境监理、开展科学研究等环境管理要求和相关保障措施。</w:t>
            </w:r>
          </w:p>
        </w:tc>
        <w:tc>
          <w:tcPr>
            <w:tcW w:w="3136" w:type="dxa"/>
            <w:tcBorders>
              <w:tl2br w:val="nil"/>
              <w:tr2bl w:val="nil"/>
            </w:tcBorders>
            <w:shd w:val="clear" w:color="auto" w:fill="auto"/>
            <w:noWrap w:val="0"/>
            <w:vAlign w:val="center"/>
          </w:tcPr>
          <w:p w14:paraId="37A2C7F8">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本次评价根据相关环境要素导则提出了水、噪声、生态环境提出了监测计划，</w:t>
            </w:r>
            <w:r>
              <w:rPr>
                <w:rFonts w:hint="eastAsia" w:ascii="Arial" w:hAnsi="Arial" w:eastAsia="宋体" w:cs="Arial"/>
                <w:color w:val="auto"/>
                <w:sz w:val="22"/>
                <w:szCs w:val="22"/>
                <w:highlight w:val="none"/>
                <w:lang w:eastAsia="zh-CN"/>
              </w:rPr>
              <w:t>明确了监测</w:t>
            </w:r>
            <w:r>
              <w:rPr>
                <w:rFonts w:hint="eastAsia" w:ascii="Arial" w:hAnsi="Arial" w:cs="Arial"/>
                <w:color w:val="auto"/>
                <w:sz w:val="22"/>
                <w:szCs w:val="22"/>
                <w:highlight w:val="none"/>
                <w:lang w:eastAsia="zh-CN"/>
              </w:rPr>
              <w:t>点位</w:t>
            </w:r>
            <w:r>
              <w:rPr>
                <w:rFonts w:hint="eastAsia" w:ascii="Arial" w:hAnsi="Arial" w:eastAsia="宋体" w:cs="Arial"/>
                <w:color w:val="auto"/>
                <w:sz w:val="22"/>
                <w:szCs w:val="22"/>
                <w:highlight w:val="none"/>
                <w:lang w:eastAsia="zh-CN"/>
              </w:rPr>
              <w:t>、因子、频次等</w:t>
            </w:r>
            <w:r>
              <w:rPr>
                <w:rFonts w:hint="eastAsia" w:ascii="Arial" w:hAnsi="Arial" w:cs="Arial"/>
                <w:color w:val="auto"/>
                <w:sz w:val="22"/>
                <w:szCs w:val="22"/>
                <w:highlight w:val="none"/>
                <w:lang w:eastAsia="zh-CN"/>
              </w:rPr>
              <w:t>。同时对环境保护、环境监理提出了建议。</w:t>
            </w:r>
          </w:p>
        </w:tc>
        <w:tc>
          <w:tcPr>
            <w:tcW w:w="879" w:type="dxa"/>
            <w:tcBorders>
              <w:tl2br w:val="nil"/>
              <w:tr2bl w:val="nil"/>
            </w:tcBorders>
            <w:shd w:val="clear" w:color="auto" w:fill="auto"/>
            <w:noWrap w:val="0"/>
            <w:vAlign w:val="center"/>
          </w:tcPr>
          <w:p w14:paraId="545904A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093A4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883430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14</w:t>
            </w:r>
          </w:p>
        </w:tc>
        <w:tc>
          <w:tcPr>
            <w:tcW w:w="4084" w:type="dxa"/>
            <w:tcBorders>
              <w:tl2br w:val="nil"/>
              <w:tr2bl w:val="nil"/>
            </w:tcBorders>
            <w:noWrap w:val="0"/>
            <w:vAlign w:val="center"/>
          </w:tcPr>
          <w:p w14:paraId="2EF83B3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对环境保护措施进行了深入论证，具有明确的责任主体、投资、时间节点和预期效果等，确保科学有效、安全可行、绿色协调。</w:t>
            </w:r>
          </w:p>
        </w:tc>
        <w:tc>
          <w:tcPr>
            <w:tcW w:w="3136" w:type="dxa"/>
            <w:tcBorders>
              <w:tl2br w:val="nil"/>
              <w:tr2bl w:val="nil"/>
            </w:tcBorders>
            <w:shd w:val="clear" w:color="auto" w:fill="auto"/>
            <w:noWrap w:val="0"/>
            <w:vAlign w:val="center"/>
          </w:tcPr>
          <w:p w14:paraId="309C863C">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本次评价针对各</w:t>
            </w:r>
            <w:r>
              <w:rPr>
                <w:rFonts w:hint="eastAsia" w:ascii="Arial" w:hAnsi="Arial" w:eastAsia="宋体" w:cs="Arial"/>
                <w:color w:val="auto"/>
                <w:sz w:val="22"/>
                <w:szCs w:val="22"/>
                <w:highlight w:val="none"/>
                <w:lang w:eastAsia="zh-CN"/>
              </w:rPr>
              <w:t>环境保护措施</w:t>
            </w:r>
            <w:r>
              <w:rPr>
                <w:rFonts w:hint="eastAsia" w:ascii="Arial" w:hAnsi="Arial" w:cs="Arial"/>
                <w:color w:val="auto"/>
                <w:sz w:val="22"/>
                <w:szCs w:val="22"/>
                <w:highlight w:val="none"/>
                <w:lang w:eastAsia="zh-CN"/>
              </w:rPr>
              <w:t>进行了深入论证，明确了</w:t>
            </w:r>
            <w:r>
              <w:rPr>
                <w:rFonts w:hint="eastAsia" w:ascii="Arial" w:hAnsi="Arial" w:eastAsia="宋体" w:cs="Arial"/>
                <w:color w:val="auto"/>
                <w:sz w:val="22"/>
                <w:szCs w:val="22"/>
                <w:highlight w:val="none"/>
                <w:lang w:eastAsia="zh-CN"/>
              </w:rPr>
              <w:t>责任主体、投资、时间节点和预期效果等</w:t>
            </w:r>
            <w:r>
              <w:rPr>
                <w:rFonts w:hint="eastAsia" w:ascii="Arial" w:hAnsi="Arial" w:cs="Arial"/>
                <w:color w:val="auto"/>
                <w:sz w:val="22"/>
                <w:szCs w:val="22"/>
                <w:highlight w:val="none"/>
                <w:lang w:eastAsia="zh-CN"/>
              </w:rPr>
              <w:t>。</w:t>
            </w:r>
          </w:p>
        </w:tc>
        <w:tc>
          <w:tcPr>
            <w:tcW w:w="879" w:type="dxa"/>
            <w:tcBorders>
              <w:tl2br w:val="nil"/>
              <w:tr2bl w:val="nil"/>
            </w:tcBorders>
            <w:shd w:val="clear" w:color="auto" w:fill="auto"/>
            <w:noWrap w:val="0"/>
            <w:vAlign w:val="center"/>
          </w:tcPr>
          <w:p w14:paraId="52E974F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1497B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3EA90DF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15</w:t>
            </w:r>
          </w:p>
        </w:tc>
        <w:tc>
          <w:tcPr>
            <w:tcW w:w="4084" w:type="dxa"/>
            <w:tcBorders>
              <w:tl2br w:val="nil"/>
              <w:tr2bl w:val="nil"/>
            </w:tcBorders>
            <w:noWrap w:val="0"/>
            <w:vAlign w:val="center"/>
          </w:tcPr>
          <w:p w14:paraId="44985CD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按相关规定开展了信息公开和公众参与。</w:t>
            </w:r>
          </w:p>
        </w:tc>
        <w:tc>
          <w:tcPr>
            <w:tcW w:w="3136" w:type="dxa"/>
            <w:tcBorders>
              <w:tl2br w:val="nil"/>
              <w:tr2bl w:val="nil"/>
            </w:tcBorders>
            <w:shd w:val="clear" w:color="auto" w:fill="auto"/>
            <w:noWrap w:val="0"/>
            <w:vAlign w:val="center"/>
          </w:tcPr>
          <w:p w14:paraId="0633E8B4">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本报告编制过程中，建设单位按规定开展了公众参与工作。</w:t>
            </w:r>
          </w:p>
        </w:tc>
        <w:tc>
          <w:tcPr>
            <w:tcW w:w="879" w:type="dxa"/>
            <w:tcBorders>
              <w:tl2br w:val="nil"/>
              <w:tr2bl w:val="nil"/>
            </w:tcBorders>
            <w:shd w:val="clear" w:color="auto" w:fill="auto"/>
            <w:noWrap w:val="0"/>
            <w:vAlign w:val="center"/>
          </w:tcPr>
          <w:p w14:paraId="59C8301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4ED4EB4D">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649A56A7">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由表1.9-8可知，本项目与</w:t>
      </w:r>
      <w:r>
        <w:rPr>
          <w:rFonts w:hint="eastAsia" w:ascii="Arial" w:hAnsi="Arial" w:cs="Arial"/>
          <w:b w:val="0"/>
          <w:bCs/>
          <w:color w:val="auto"/>
          <w:kern w:val="0"/>
          <w:sz w:val="26"/>
          <w:szCs w:val="20"/>
          <w:highlight w:val="none"/>
          <w:lang w:val="en-US" w:eastAsia="zh-CN"/>
        </w:rPr>
        <w:t>《水利建设项目（引调水工程）环境影响评价文件审批原则》相符。</w:t>
      </w:r>
    </w:p>
    <w:p w14:paraId="0F88C8E3">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w:t>
      </w:r>
      <w:r>
        <w:rPr>
          <w:rFonts w:hint="eastAsia" w:ascii="Arial" w:hAnsi="Arial" w:cs="Arial"/>
          <w:b/>
          <w:color w:val="auto"/>
          <w:kern w:val="0"/>
          <w:sz w:val="26"/>
          <w:szCs w:val="20"/>
          <w:highlight w:val="none"/>
          <w:lang w:val="en-US" w:eastAsia="zh-CN"/>
        </w:rPr>
        <w:t>11</w:t>
      </w:r>
      <w:r>
        <w:rPr>
          <w:rFonts w:hint="eastAsia" w:ascii="Arial" w:hAnsi="Arial" w:eastAsia="宋体" w:cs="Arial"/>
          <w:b/>
          <w:color w:val="auto"/>
          <w:kern w:val="0"/>
          <w:sz w:val="26"/>
          <w:szCs w:val="20"/>
          <w:highlight w:val="none"/>
          <w:lang w:val="en-US" w:eastAsia="zh-CN"/>
        </w:rPr>
        <w:t>与《中华人民共和国长江保护法》的符合性分析</w:t>
      </w:r>
    </w:p>
    <w:p w14:paraId="1BC0F53B">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本项目与《中华人民共和国长江保护法》的符合性分析详见表1.9-9所示。</w:t>
      </w:r>
    </w:p>
    <w:p w14:paraId="73DF5995">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.9-9  与“</w:t>
      </w:r>
      <w:r>
        <w:rPr>
          <w:rFonts w:hint="eastAsia" w:ascii="Arial" w:hAnsi="Arial" w:cs="Arial"/>
          <w:b/>
          <w:color w:val="auto"/>
          <w:kern w:val="0"/>
          <w:sz w:val="26"/>
          <w:szCs w:val="20"/>
          <w:highlight w:val="none"/>
          <w:lang w:val="en-US" w:eastAsia="zh-CN"/>
        </w:rPr>
        <w:t>中华人民共和国长江保护法”</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617"/>
        <w:gridCol w:w="2533"/>
        <w:gridCol w:w="949"/>
      </w:tblGrid>
      <w:tr w14:paraId="3C35F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7D9A2F6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617" w:type="dxa"/>
            <w:tcBorders>
              <w:tl2br w:val="nil"/>
              <w:tr2bl w:val="nil"/>
            </w:tcBorders>
            <w:noWrap w:val="0"/>
            <w:vAlign w:val="center"/>
          </w:tcPr>
          <w:p w14:paraId="35F7328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2533" w:type="dxa"/>
            <w:tcBorders>
              <w:tl2br w:val="nil"/>
              <w:tr2bl w:val="nil"/>
            </w:tcBorders>
            <w:noWrap w:val="0"/>
            <w:vAlign w:val="center"/>
          </w:tcPr>
          <w:p w14:paraId="6345032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949" w:type="dxa"/>
            <w:tcBorders>
              <w:tl2br w:val="nil"/>
              <w:tr2bl w:val="nil"/>
            </w:tcBorders>
            <w:noWrap w:val="0"/>
            <w:vAlign w:val="center"/>
          </w:tcPr>
          <w:p w14:paraId="5247D36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410FD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7C424BE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617" w:type="dxa"/>
            <w:tcBorders>
              <w:tl2br w:val="nil"/>
              <w:tr2bl w:val="nil"/>
            </w:tcBorders>
            <w:noWrap w:val="0"/>
            <w:vAlign w:val="center"/>
          </w:tcPr>
          <w:p w14:paraId="1D364A6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第三十一条：长江干流、重要支流和重要湖泊上游的水利水电、航运枢纽等工程应当将生态用水调度纳入日常运行调度规程，建立常规生态调度机制，保证河湖生态流量;其下泄流量不符合生态流量泄放要求的，由县级以上人民政府水行政主管部门提出整改措施并监督实施。</w:t>
            </w:r>
          </w:p>
        </w:tc>
        <w:tc>
          <w:tcPr>
            <w:tcW w:w="2533" w:type="dxa"/>
            <w:tcBorders>
              <w:tl2br w:val="nil"/>
              <w:tr2bl w:val="nil"/>
            </w:tcBorders>
            <w:noWrap w:val="0"/>
            <w:vAlign w:val="center"/>
          </w:tcPr>
          <w:p w14:paraId="64F619C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eastAsia="宋体" w:cs="Arial"/>
                <w:color w:val="auto"/>
                <w:kern w:val="2"/>
                <w:sz w:val="22"/>
                <w:szCs w:val="22"/>
                <w:highlight w:val="none"/>
                <w:lang w:val="en-US" w:eastAsia="zh-CN" w:bidi="ar-SA"/>
              </w:rPr>
              <w:t>本项目所在流域为海螺沟，为长江左岸一级支流</w:t>
            </w:r>
            <w:r>
              <w:rPr>
                <w:rFonts w:hint="eastAsia" w:ascii="Arial" w:hAnsi="Arial" w:eastAsia="宋体" w:cs="Arial"/>
                <w:color w:val="auto"/>
                <w:kern w:val="0"/>
                <w:sz w:val="22"/>
                <w:szCs w:val="22"/>
                <w:highlight w:val="none"/>
                <w:lang w:val="en-US" w:eastAsia="zh-CN"/>
              </w:rPr>
              <w:t>渠溪河左岸一级支流双龙河</w:t>
            </w:r>
            <w:r>
              <w:rPr>
                <w:rFonts w:hint="eastAsia" w:ascii="Arial" w:hAnsi="Arial" w:cs="Arial"/>
                <w:color w:val="auto"/>
                <w:kern w:val="0"/>
                <w:sz w:val="22"/>
                <w:szCs w:val="22"/>
                <w:highlight w:val="none"/>
                <w:lang w:val="en-US" w:eastAsia="zh-CN"/>
              </w:rPr>
              <w:t>右岸一级支流高洞桥河左岸一级</w:t>
            </w:r>
            <w:r>
              <w:rPr>
                <w:rFonts w:hint="eastAsia" w:ascii="Arial" w:hAnsi="Arial" w:eastAsia="宋体" w:cs="Arial"/>
                <w:color w:val="auto"/>
                <w:kern w:val="0"/>
                <w:sz w:val="22"/>
                <w:szCs w:val="22"/>
                <w:highlight w:val="none"/>
                <w:lang w:val="en-US" w:eastAsia="zh-CN"/>
              </w:rPr>
              <w:t>支流</w:t>
            </w:r>
            <w:r>
              <w:rPr>
                <w:rFonts w:hint="eastAsia" w:ascii="Arial" w:hAnsi="Arial" w:eastAsia="宋体" w:cs="Arial"/>
                <w:color w:val="auto"/>
                <w:kern w:val="2"/>
                <w:sz w:val="22"/>
                <w:szCs w:val="22"/>
                <w:highlight w:val="none"/>
                <w:lang w:val="fr-FR" w:eastAsia="zh-CN" w:bidi="ar-SA"/>
              </w:rPr>
              <w:t>，运营期将建设生态流量下泄装置，</w:t>
            </w:r>
            <w:r>
              <w:rPr>
                <w:rFonts w:hint="eastAsia" w:ascii="Arial" w:hAnsi="Arial" w:cs="Arial"/>
                <w:color w:val="auto"/>
                <w:kern w:val="2"/>
                <w:sz w:val="22"/>
                <w:szCs w:val="22"/>
                <w:highlight w:val="none"/>
                <w:lang w:val="en-US" w:eastAsia="zh-CN" w:bidi="ar-SA"/>
              </w:rPr>
              <w:t>并设置监控装置联网运行，</w:t>
            </w:r>
            <w:r>
              <w:rPr>
                <w:rFonts w:hint="eastAsia" w:ascii="Arial" w:hAnsi="Arial" w:eastAsia="宋体" w:cs="Arial"/>
                <w:color w:val="auto"/>
                <w:kern w:val="2"/>
                <w:sz w:val="22"/>
                <w:szCs w:val="22"/>
                <w:highlight w:val="none"/>
                <w:lang w:val="fr-FR" w:eastAsia="zh-CN" w:bidi="ar-SA"/>
              </w:rPr>
              <w:t>同时将生态用水纳入日常运行调度中，</w:t>
            </w:r>
            <w:r>
              <w:rPr>
                <w:rFonts w:hint="eastAsia" w:ascii="Arial" w:hAnsi="Arial" w:cs="Arial"/>
                <w:color w:val="auto"/>
                <w:kern w:val="2"/>
                <w:sz w:val="22"/>
                <w:szCs w:val="22"/>
                <w:highlight w:val="none"/>
                <w:lang w:val="fr-FR" w:eastAsia="zh-CN" w:bidi="ar-SA"/>
              </w:rPr>
              <w:t>保护</w:t>
            </w:r>
            <w:r>
              <w:rPr>
                <w:rFonts w:hint="eastAsia" w:ascii="Arial" w:hAnsi="Arial" w:eastAsia="宋体" w:cs="Arial"/>
                <w:color w:val="auto"/>
                <w:kern w:val="2"/>
                <w:sz w:val="22"/>
                <w:szCs w:val="22"/>
                <w:highlight w:val="none"/>
                <w:lang w:val="fr-FR" w:eastAsia="zh-CN" w:bidi="ar-SA"/>
              </w:rPr>
              <w:t>所在流域生态环境。</w:t>
            </w:r>
          </w:p>
        </w:tc>
        <w:tc>
          <w:tcPr>
            <w:tcW w:w="949" w:type="dxa"/>
            <w:tcBorders>
              <w:tl2br w:val="nil"/>
              <w:tr2bl w:val="nil"/>
            </w:tcBorders>
            <w:noWrap w:val="0"/>
            <w:vAlign w:val="center"/>
          </w:tcPr>
          <w:p w14:paraId="5D2F42A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1A95D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069883D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617" w:type="dxa"/>
            <w:tcBorders>
              <w:tl2br w:val="nil"/>
              <w:tr2bl w:val="nil"/>
            </w:tcBorders>
            <w:noWrap w:val="0"/>
            <w:vAlign w:val="center"/>
          </w:tcPr>
          <w:p w14:paraId="6BB3B89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第五十九条：在长江流域水生生物产卵场、索饵场、越冬场和洄游通道等重要栖息地应当实施生态环境修复和其他保护措施。对鱼类等水生生物洄游产生阻隔的涉水工程应当结合实际采取建设过鱼设施、河湖连通、生态调度、灌江纳苗、基因保存、增殖放流、人工繁育等多种措施，充分满足水生生物的生态需求。</w:t>
            </w:r>
          </w:p>
        </w:tc>
        <w:tc>
          <w:tcPr>
            <w:tcW w:w="2533" w:type="dxa"/>
            <w:tcBorders>
              <w:tl2br w:val="nil"/>
              <w:tr2bl w:val="nil"/>
            </w:tcBorders>
            <w:noWrap w:val="0"/>
            <w:vAlign w:val="center"/>
          </w:tcPr>
          <w:p w14:paraId="2AFAA3A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根据水生生态现状调查结果，本项目所在河段无鱼类“三场”分布，</w:t>
            </w:r>
            <w:r>
              <w:rPr>
                <w:rFonts w:hint="eastAsia" w:ascii="Arial" w:hAnsi="Arial" w:eastAsia="宋体" w:cs="Arial"/>
                <w:color w:val="auto"/>
                <w:kern w:val="2"/>
                <w:sz w:val="22"/>
                <w:szCs w:val="22"/>
                <w:highlight w:val="none"/>
                <w:lang w:val="fr-FR" w:eastAsia="zh-CN" w:bidi="ar-SA"/>
              </w:rPr>
              <w:t>运营期将建设生态流量下泄装置，</w:t>
            </w:r>
            <w:r>
              <w:rPr>
                <w:rFonts w:hint="eastAsia" w:ascii="Arial" w:hAnsi="Arial" w:cs="Arial"/>
                <w:color w:val="auto"/>
                <w:kern w:val="2"/>
                <w:sz w:val="22"/>
                <w:szCs w:val="22"/>
                <w:highlight w:val="none"/>
                <w:lang w:val="en-US" w:eastAsia="zh-CN" w:bidi="ar-SA"/>
              </w:rPr>
              <w:t>并设置监控装置联网运行，</w:t>
            </w:r>
            <w:r>
              <w:rPr>
                <w:rFonts w:hint="eastAsia" w:ascii="Arial" w:hAnsi="Arial" w:cs="Arial"/>
                <w:color w:val="auto"/>
                <w:kern w:val="2"/>
                <w:sz w:val="22"/>
                <w:szCs w:val="22"/>
                <w:highlight w:val="none"/>
                <w:lang w:val="fr-FR" w:eastAsia="zh-CN" w:bidi="ar-SA"/>
              </w:rPr>
              <w:t>确保下游减水河段内水生生物用水需求。</w:t>
            </w:r>
          </w:p>
        </w:tc>
        <w:tc>
          <w:tcPr>
            <w:tcW w:w="949" w:type="dxa"/>
            <w:tcBorders>
              <w:tl2br w:val="nil"/>
              <w:tr2bl w:val="nil"/>
            </w:tcBorders>
            <w:noWrap w:val="0"/>
            <w:vAlign w:val="center"/>
          </w:tcPr>
          <w:p w14:paraId="1D7CA6B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2AAD293B">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701741FB">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由表1.9-9可知，本项目与《中华人民共和国长江保护法》</w:t>
      </w:r>
      <w:r>
        <w:rPr>
          <w:rFonts w:hint="eastAsia" w:ascii="Arial" w:hAnsi="Arial" w:cs="Arial"/>
          <w:b w:val="0"/>
          <w:bCs/>
          <w:color w:val="auto"/>
          <w:kern w:val="0"/>
          <w:sz w:val="26"/>
          <w:szCs w:val="20"/>
          <w:highlight w:val="none"/>
          <w:lang w:val="en-US" w:eastAsia="zh-CN"/>
        </w:rPr>
        <w:t>相符。</w:t>
      </w:r>
    </w:p>
    <w:p w14:paraId="5CEB9395">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1.9.12与</w:t>
      </w:r>
      <w:r>
        <w:rPr>
          <w:rFonts w:hint="eastAsia" w:ascii="Arial" w:hAnsi="Arial" w:cs="Arial"/>
          <w:b/>
          <w:color w:val="auto"/>
          <w:kern w:val="0"/>
          <w:sz w:val="26"/>
          <w:szCs w:val="20"/>
          <w:highlight w:val="none"/>
          <w:lang w:val="en-US" w:eastAsia="zh-CN"/>
        </w:rPr>
        <w:t>基本农田保护相关文件的</w:t>
      </w:r>
      <w:r>
        <w:rPr>
          <w:rFonts w:hint="eastAsia" w:ascii="Arial" w:hAnsi="Arial" w:eastAsia="宋体" w:cs="Arial"/>
          <w:b/>
          <w:color w:val="auto"/>
          <w:kern w:val="0"/>
          <w:sz w:val="26"/>
          <w:szCs w:val="20"/>
          <w:highlight w:val="none"/>
          <w:lang w:val="en-US" w:eastAsia="zh-CN"/>
        </w:rPr>
        <w:t xml:space="preserve">符性分析 </w:t>
      </w:r>
    </w:p>
    <w:p w14:paraId="5CF19881">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（1）相关文件要求</w:t>
      </w:r>
    </w:p>
    <w:p w14:paraId="68059CC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根据《中华人民共和国基本农田保护条例》：第十五条国家能源、交通、水利、军事设施等重点建设项目选址确实无法避开基本农田保护区，需要占用基本农田，涉及农用地转用或者征用土地的，必须经国务院批准。</w:t>
      </w:r>
    </w:p>
    <w:p w14:paraId="7D368C6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根据《国务院关于授权和委托用地审批权的决定》</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国发</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2020</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4号</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、《重庆市人民政府关于印发重庆市承接国家建设用地审批权委托试点实施方案的通知》</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渝府地</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2020</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439号</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等文件要求，涉及占用永久基本农田的建设项目报市规划自然资 源局用地预审。</w:t>
      </w:r>
    </w:p>
    <w:p w14:paraId="4323A0E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w:t>
      </w:r>
      <w:r>
        <w:rPr>
          <w:rFonts w:hint="default" w:ascii="Arial" w:hAnsi="Arial" w:eastAsia="宋体" w:cs="Arial"/>
          <w:b w:val="0"/>
          <w:color w:val="auto"/>
          <w:kern w:val="2"/>
          <w:sz w:val="26"/>
          <w:szCs w:val="26"/>
          <w:lang w:val="en-US" w:eastAsia="zh-CN" w:bidi="ar-SA"/>
        </w:rPr>
        <w:t>《自然资源部关于做好占用永久基本农田重大建设项目用地预审的通知》</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自然资规</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2018</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3号</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充分发挥用地预审源头把关作用，全面落实永久基本农田特殊保护的要求。重大建设项目必须首先依据规划优化选址，避让永久基本农田；确实难以避让的，建设单位在可行性研究阶段，必须对占用永久基本农田的必要性和占用规模的合理性进行充分论证。市县级自然资源主管部门要按照法定程序，依据规划修改和永久基本农田补划的要求，认真组织编制规划修改方案暨永久基本农田补划方案，确保永久基本农田补足补优；省级自然资源主管部门负责组织对占用永久基本农田的必要性、合理性和补划方案的可行性进行踏勘论证，并在用地预审初审中进行实质性审查，对占用和补划永久基本农田的真实性、准确性和合理性负责。</w:t>
      </w:r>
    </w:p>
    <w:p w14:paraId="057AF3AF">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（2）符合性分析</w:t>
      </w:r>
    </w:p>
    <w:p w14:paraId="46D03C22">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宋体" w:hAnsi="宋体" w:eastAsia="宋体" w:cs="宋体"/>
          <w:spacing w:val="0"/>
          <w:sz w:val="26"/>
          <w:szCs w:val="26"/>
        </w:rPr>
      </w:pPr>
      <w:r>
        <w:rPr>
          <w:rFonts w:hint="eastAsia" w:ascii="Arial" w:hAnsi="Arial" w:cs="Arial"/>
          <w:b w:val="0"/>
          <w:color w:val="auto"/>
          <w:spacing w:val="0"/>
          <w:kern w:val="2"/>
          <w:sz w:val="26"/>
          <w:szCs w:val="26"/>
          <w:lang w:val="en-US" w:eastAsia="zh-CN" w:bidi="ar-SA"/>
        </w:rPr>
        <w:t>本项目为水利基础设施建设，根据叠图分</w:t>
      </w:r>
      <w:r>
        <w:rPr>
          <w:rFonts w:hint="eastAsia" w:ascii="Arial" w:hAnsi="Arial" w:cs="Arial"/>
          <w:b w:val="0"/>
          <w:color w:val="auto"/>
          <w:spacing w:val="0"/>
          <w:kern w:val="2"/>
          <w:sz w:val="26"/>
          <w:szCs w:val="26"/>
          <w:highlight w:val="none"/>
          <w:lang w:val="en-US" w:eastAsia="zh-CN" w:bidi="ar-SA"/>
        </w:rPr>
        <w:t>析，本项目占用</w:t>
      </w:r>
      <w:r>
        <w:rPr>
          <w:rFonts w:hint="eastAsia" w:ascii="Arial" w:hAnsi="Arial" w:cs="Arial"/>
          <w:b w:val="0"/>
          <w:color w:val="auto"/>
          <w:spacing w:val="0"/>
          <w:kern w:val="2"/>
          <w:sz w:val="26"/>
          <w:szCs w:val="26"/>
          <w:lang w:val="en-US" w:eastAsia="zh-CN" w:bidi="ar-SA"/>
        </w:rPr>
        <w:t>基本农田面积较小，但</w:t>
      </w:r>
      <w:r>
        <w:rPr>
          <w:rFonts w:ascii="宋体" w:hAnsi="宋体" w:eastAsia="宋体" w:cs="宋体"/>
          <w:spacing w:val="0"/>
          <w:sz w:val="26"/>
          <w:szCs w:val="26"/>
        </w:rPr>
        <w:t>必须按照“占补平衡”的要求实行先补后补，补充数量相等和质量相当的基本农田。</w:t>
      </w:r>
    </w:p>
    <w:p w14:paraId="65DEF800">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1.9.13与公益林相关政策的符合性分析</w:t>
      </w:r>
    </w:p>
    <w:p w14:paraId="63CFC4DF">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highlight w:val="none"/>
          <w:lang w:val="en-US" w:eastAsia="zh-CN" w:bidi="ar-SA"/>
        </w:rPr>
      </w:pPr>
      <w:r>
        <w:rPr>
          <w:rFonts w:hint="eastAsia" w:ascii="Arial" w:hAnsi="Arial" w:eastAsia="宋体" w:cs="Arial"/>
          <w:b w:val="0"/>
          <w:color w:val="auto"/>
          <w:kern w:val="2"/>
          <w:sz w:val="26"/>
          <w:szCs w:val="26"/>
          <w:highlight w:val="none"/>
          <w:lang w:val="en-US" w:eastAsia="zh-CN" w:bidi="ar-SA"/>
        </w:rPr>
        <w:t>根据叠图分析，拟建项目占用三级地方公益林</w:t>
      </w:r>
      <w:r>
        <w:rPr>
          <w:rFonts w:hint="eastAsia" w:ascii="Arial" w:hAnsi="Arial" w:cs="Arial"/>
          <w:color w:val="auto"/>
          <w:kern w:val="0"/>
          <w:sz w:val="26"/>
          <w:szCs w:val="26"/>
          <w:highlight w:val="none"/>
          <w:vertAlign w:val="baseline"/>
          <w:lang w:val="en-US" w:eastAsia="zh-CN"/>
        </w:rPr>
        <w:t>，</w:t>
      </w:r>
      <w:r>
        <w:rPr>
          <w:rFonts w:hint="eastAsia" w:ascii="Arial" w:hAnsi="Arial" w:eastAsia="宋体" w:cs="Arial"/>
          <w:b w:val="0"/>
          <w:color w:val="auto"/>
          <w:kern w:val="2"/>
          <w:sz w:val="26"/>
          <w:szCs w:val="26"/>
          <w:highlight w:val="none"/>
          <w:lang w:val="en-US" w:eastAsia="zh-CN" w:bidi="ar-SA"/>
        </w:rPr>
        <w:t>与公益林相关政策的符合性分析详见表1.9-10所示。</w:t>
      </w:r>
    </w:p>
    <w:p w14:paraId="117811B0">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910</w:t>
      </w:r>
      <w:r>
        <w:rPr>
          <w:rFonts w:hint="eastAsia" w:ascii="Arial" w:hAnsi="Arial" w:cs="Arial"/>
          <w:b/>
          <w:bCs w:val="0"/>
          <w:sz w:val="26"/>
          <w:szCs w:val="26"/>
          <w:highlight w:val="none"/>
          <w:lang w:eastAsia="zh-CN"/>
        </w:rPr>
        <w:t xml:space="preserve">  项目与公益林相关政策的符合性分析一览表</w:t>
      </w:r>
    </w:p>
    <w:tbl>
      <w:tblPr>
        <w:tblStyle w:val="77"/>
        <w:tblW w:w="91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8"/>
        <w:gridCol w:w="4178"/>
        <w:gridCol w:w="2930"/>
        <w:gridCol w:w="940"/>
      </w:tblGrid>
      <w:tr w14:paraId="66F6A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Align w:val="center"/>
          </w:tcPr>
          <w:p w14:paraId="7A9DF18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文件名称</w:t>
            </w:r>
          </w:p>
        </w:tc>
        <w:tc>
          <w:tcPr>
            <w:tcW w:w="4178" w:type="dxa"/>
            <w:vAlign w:val="center"/>
          </w:tcPr>
          <w:p w14:paraId="36207A1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保护要求</w:t>
            </w:r>
          </w:p>
        </w:tc>
        <w:tc>
          <w:tcPr>
            <w:tcW w:w="2930" w:type="dxa"/>
            <w:vAlign w:val="center"/>
          </w:tcPr>
          <w:p w14:paraId="0E76BB0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项目情况</w:t>
            </w:r>
          </w:p>
        </w:tc>
        <w:tc>
          <w:tcPr>
            <w:tcW w:w="940" w:type="dxa"/>
            <w:vAlign w:val="center"/>
          </w:tcPr>
          <w:p w14:paraId="1A4D144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符合性</w:t>
            </w:r>
          </w:p>
        </w:tc>
      </w:tr>
      <w:tr w14:paraId="3D321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Merge w:val="restart"/>
            <w:vAlign w:val="center"/>
          </w:tcPr>
          <w:p w14:paraId="4E009A8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《国家级公益林管理办法》</w:t>
            </w:r>
          </w:p>
        </w:tc>
        <w:tc>
          <w:tcPr>
            <w:tcW w:w="4178" w:type="dxa"/>
            <w:vAlign w:val="center"/>
          </w:tcPr>
          <w:p w14:paraId="2C8106D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禁止在国家级公益林地开垦、采石、采砂、取土，严格控制工程建设征收、征用、占用国家级公益林地。</w:t>
            </w:r>
            <w:r>
              <w:rPr>
                <w:rFonts w:hint="eastAsia" w:ascii="Arial" w:hAnsi="Arial" w:cs="Arial"/>
                <w:sz w:val="22"/>
                <w:szCs w:val="22"/>
                <w:lang w:val="en-US" w:eastAsia="zh-CN"/>
              </w:rPr>
              <w:t>确需使用的，严格按照《建设项目使用林地审核审批管理办法》有关规定办理使用林地手续。涉及林木采伐的，按相关规定依法办理林木采伐手续。</w:t>
            </w:r>
            <w:r>
              <w:rPr>
                <w:rFonts w:hint="eastAsia" w:ascii="Arial" w:hAnsi="Arial" w:cs="Arial"/>
                <w:sz w:val="22"/>
                <w:szCs w:val="22"/>
                <w:lang w:eastAsia="zh-CN"/>
              </w:rPr>
              <w:t>除国务院有关部门和省级人民政府批准的基础设施建设项目外，不得征收、征用、占用一级国家级公益林。</w:t>
            </w:r>
          </w:p>
        </w:tc>
        <w:tc>
          <w:tcPr>
            <w:tcW w:w="2930" w:type="dxa"/>
            <w:vAlign w:val="center"/>
          </w:tcPr>
          <w:p w14:paraId="2B3B2F9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color w:val="auto"/>
                <w:kern w:val="0"/>
                <w:sz w:val="22"/>
                <w:szCs w:val="22"/>
                <w:vertAlign w:val="baseline"/>
                <w:lang w:eastAsia="zh-CN"/>
              </w:rPr>
              <w:t>本项目水利基础设施建设，永久占地范围内分布有公益</w:t>
            </w:r>
            <w:r>
              <w:rPr>
                <w:rFonts w:hint="eastAsia" w:ascii="Arial" w:hAnsi="Arial" w:cs="Arial"/>
                <w:color w:val="auto"/>
                <w:kern w:val="0"/>
                <w:sz w:val="22"/>
                <w:szCs w:val="22"/>
                <w:highlight w:val="none"/>
                <w:vertAlign w:val="baseline"/>
                <w:lang w:eastAsia="zh-CN"/>
              </w:rPr>
              <w:t>林</w:t>
            </w:r>
            <w:r>
              <w:rPr>
                <w:rFonts w:hint="eastAsia" w:ascii="Arial" w:hAnsi="Arial" w:cs="Arial"/>
                <w:color w:val="auto"/>
                <w:kern w:val="0"/>
                <w:sz w:val="22"/>
                <w:szCs w:val="22"/>
                <w:highlight w:val="none"/>
                <w:vertAlign w:val="baseline"/>
                <w:lang w:val="en-US" w:eastAsia="zh-CN"/>
              </w:rPr>
              <w:t>，已于2023年12月13日取得了重庆市林业局以“渝林许可地</w:t>
            </w:r>
            <w:r>
              <w:rPr>
                <w:rFonts w:hint="default" w:ascii="Arial" w:hAnsi="Arial" w:eastAsia="宋体" w:cs="Arial"/>
                <w:color w:val="auto"/>
                <w:kern w:val="0"/>
                <w:sz w:val="22"/>
                <w:szCs w:val="22"/>
                <w:highlight w:val="none"/>
                <w:vertAlign w:val="baseline"/>
                <w:lang w:val="en-US" w:eastAsia="zh-CN"/>
              </w:rPr>
              <w:t>〔2023〕689号</w:t>
            </w:r>
            <w:r>
              <w:rPr>
                <w:rFonts w:hint="eastAsia" w:ascii="Arial" w:hAnsi="Arial" w:cs="Arial"/>
                <w:color w:val="auto"/>
                <w:kern w:val="0"/>
                <w:sz w:val="22"/>
                <w:szCs w:val="22"/>
                <w:highlight w:val="none"/>
                <w:vertAlign w:val="baseline"/>
                <w:lang w:val="en-US" w:eastAsia="zh-CN"/>
              </w:rPr>
              <w:t>”，下发的使用林地审核同意书。</w:t>
            </w:r>
          </w:p>
        </w:tc>
        <w:tc>
          <w:tcPr>
            <w:tcW w:w="940" w:type="dxa"/>
            <w:vAlign w:val="center"/>
          </w:tcPr>
          <w:p w14:paraId="33E3F10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6CC6F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Merge w:val="continue"/>
            <w:vAlign w:val="center"/>
          </w:tcPr>
          <w:p w14:paraId="640025E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p>
        </w:tc>
        <w:tc>
          <w:tcPr>
            <w:tcW w:w="4178" w:type="dxa"/>
            <w:vAlign w:val="center"/>
          </w:tcPr>
          <w:p w14:paraId="0260D7F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严禁采用炼山、全面整地等作业方式。</w:t>
            </w:r>
          </w:p>
        </w:tc>
        <w:tc>
          <w:tcPr>
            <w:tcW w:w="2930" w:type="dxa"/>
            <w:vAlign w:val="center"/>
          </w:tcPr>
          <w:p w14:paraId="51398A7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color w:val="auto"/>
                <w:sz w:val="22"/>
                <w:szCs w:val="22"/>
                <w:lang w:eastAsia="zh-CN"/>
              </w:rPr>
              <w:t>拟建项目施工前将占地范围内高大的植被进行移栽，采取分区作业，避免整体施工大开挖形成大面积裸露，造成林地破坏；</w:t>
            </w:r>
            <w:r>
              <w:rPr>
                <w:rFonts w:hint="eastAsia" w:ascii="Arial" w:hAnsi="Arial" w:cs="Arial"/>
                <w:color w:val="auto"/>
                <w:sz w:val="22"/>
                <w:szCs w:val="22"/>
                <w:highlight w:val="none"/>
                <w:lang w:eastAsia="zh-CN"/>
              </w:rPr>
              <w:t>施工结束后，将采取当地常见的植被对弃土场、施工场地、施工便道等临时占地区域进行绿化建设，减缓林地资源损失量。</w:t>
            </w:r>
          </w:p>
        </w:tc>
        <w:tc>
          <w:tcPr>
            <w:tcW w:w="940" w:type="dxa"/>
            <w:vAlign w:val="center"/>
          </w:tcPr>
          <w:p w14:paraId="04DC0E4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100C8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Align w:val="center"/>
          </w:tcPr>
          <w:p w14:paraId="54A8B84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《国家林业局关于加强临时占用林地监督管理的通知》</w:t>
            </w:r>
          </w:p>
        </w:tc>
        <w:tc>
          <w:tcPr>
            <w:tcW w:w="4178" w:type="dxa"/>
            <w:vAlign w:val="center"/>
          </w:tcPr>
          <w:p w14:paraId="0988A4C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val="en-US" w:eastAsia="zh-CN"/>
              </w:rPr>
              <w:t>临时占用林地选址应当符合林地保护利用规划，遵循生态保护优先、合理使用的原则。可恢复林业生产条件的临时施工设施，选址应优先选择宜林地、无立木林地，可利用质量差林地的不占用质量好的林地，尽量不占用天然林和乔木林地。不 可恢复林业生产条件对山体造成破坏的采石、取土场等附属工程临时占用林地，不得使用Ⅱ级以上保护等级林地中的有林地，不得使用一级国家级公益林地，不得使用重点国有林区内Ⅲ级以上保护等级林地中的有林地，不得在县级以上公路和铁路两侧视野范围内选址。禁止在自然保护区、森林公园、湿地公园、风景名胜区以及易发生崩塌、滑坡和泥石流区域临时占用林地进行采砂、挖沙、取土等。禁止在国家级公益林地采砂、挖沙、取土。”</w:t>
            </w:r>
          </w:p>
        </w:tc>
        <w:tc>
          <w:tcPr>
            <w:tcW w:w="2930" w:type="dxa"/>
            <w:vAlign w:val="center"/>
          </w:tcPr>
          <w:p w14:paraId="233B872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eastAsia" w:ascii="Arial" w:hAnsi="Arial" w:cs="Arial"/>
                <w:color w:val="auto"/>
                <w:sz w:val="22"/>
                <w:szCs w:val="22"/>
                <w:lang w:eastAsia="zh-CN"/>
              </w:rPr>
              <w:t>根据叠图分析，本项目施工临时</w:t>
            </w:r>
            <w:r>
              <w:rPr>
                <w:rFonts w:hint="eastAsia" w:ascii="Arial" w:hAnsi="Arial" w:cs="Arial"/>
                <w:color w:val="auto"/>
                <w:sz w:val="22"/>
                <w:szCs w:val="22"/>
                <w:highlight w:val="none"/>
                <w:lang w:eastAsia="zh-CN"/>
              </w:rPr>
              <w:t>占用公益林</w:t>
            </w:r>
            <w:r>
              <w:rPr>
                <w:rFonts w:hint="eastAsia" w:ascii="Arial" w:hAnsi="Arial" w:cs="Arial"/>
                <w:color w:val="auto"/>
                <w:sz w:val="22"/>
                <w:szCs w:val="22"/>
                <w:highlight w:val="none"/>
                <w:lang w:val="en-US" w:eastAsia="zh-CN"/>
              </w:rPr>
              <w:t>，</w:t>
            </w:r>
            <w:r>
              <w:rPr>
                <w:rFonts w:hint="eastAsia" w:ascii="Arial" w:hAnsi="Arial" w:cs="Arial"/>
                <w:color w:val="auto"/>
                <w:sz w:val="22"/>
                <w:szCs w:val="22"/>
                <w:lang w:val="en-US" w:eastAsia="zh-CN"/>
              </w:rPr>
              <w:t>已于2024年4月1日取得了重庆市林业局以“渝林许可</w:t>
            </w:r>
            <w:r>
              <w:rPr>
                <w:rFonts w:hint="default" w:ascii="Arial" w:hAnsi="Arial" w:cs="Arial"/>
                <w:color w:val="auto"/>
                <w:sz w:val="22"/>
                <w:szCs w:val="22"/>
                <w:lang w:val="en-US" w:eastAsia="zh-CN"/>
              </w:rPr>
              <w:t>地临</w:t>
            </w:r>
            <w:r>
              <w:rPr>
                <w:rFonts w:hint="default" w:ascii="Arial" w:hAnsi="Arial" w:eastAsia="宋体" w:cs="Arial"/>
                <w:color w:val="auto"/>
                <w:sz w:val="22"/>
                <w:szCs w:val="22"/>
                <w:lang w:val="en-US" w:eastAsia="zh-CN"/>
              </w:rPr>
              <w:t>〔2024〕036号</w:t>
            </w:r>
            <w:r>
              <w:rPr>
                <w:rFonts w:hint="eastAsia" w:ascii="宋体" w:hAnsi="宋体" w:eastAsia="宋体" w:cs="宋体"/>
                <w:color w:val="auto"/>
                <w:sz w:val="22"/>
                <w:szCs w:val="22"/>
                <w:lang w:val="en-US" w:eastAsia="zh-CN"/>
              </w:rPr>
              <w:t>”下发的使用林地审核同意书，</w:t>
            </w:r>
            <w:r>
              <w:rPr>
                <w:rFonts w:hint="default" w:ascii="Arial" w:hAnsi="Arial" w:eastAsia="宋体" w:cs="Arial"/>
                <w:color w:val="auto"/>
                <w:sz w:val="22"/>
                <w:szCs w:val="22"/>
                <w:lang w:val="en-US" w:eastAsia="zh-CN"/>
              </w:rPr>
              <w:t>并于2024年5月13日取得</w:t>
            </w:r>
            <w:r>
              <w:rPr>
                <w:rFonts w:hint="eastAsia" w:ascii="宋体" w:hAnsi="宋体" w:eastAsia="宋体" w:cs="宋体"/>
                <w:color w:val="auto"/>
                <w:sz w:val="22"/>
                <w:szCs w:val="22"/>
                <w:lang w:val="en-US" w:eastAsia="zh-CN"/>
              </w:rPr>
              <w:t>了丰都县林业局以“丰都林发</w:t>
            </w:r>
            <w:r>
              <w:rPr>
                <w:rFonts w:hint="default" w:ascii="Arial" w:hAnsi="Arial" w:eastAsia="宋体" w:cs="Arial"/>
                <w:color w:val="auto"/>
                <w:sz w:val="22"/>
                <w:szCs w:val="22"/>
                <w:lang w:val="en-US" w:eastAsia="zh-CN"/>
              </w:rPr>
              <w:t>〔2024〕</w:t>
            </w:r>
            <w:r>
              <w:rPr>
                <w:rFonts w:hint="eastAsia" w:ascii="Arial" w:hAnsi="Arial" w:cs="Arial"/>
                <w:color w:val="auto"/>
                <w:sz w:val="22"/>
                <w:szCs w:val="22"/>
                <w:lang w:val="en-US" w:eastAsia="zh-CN"/>
              </w:rPr>
              <w:t>48</w:t>
            </w:r>
            <w:r>
              <w:rPr>
                <w:rFonts w:hint="default" w:ascii="Arial" w:hAnsi="Arial" w:eastAsia="宋体" w:cs="Arial"/>
                <w:color w:val="auto"/>
                <w:sz w:val="22"/>
                <w:szCs w:val="22"/>
                <w:lang w:val="en-US" w:eastAsia="zh-CN"/>
              </w:rPr>
              <w:t>号</w:t>
            </w:r>
            <w:r>
              <w:rPr>
                <w:rFonts w:hint="eastAsia" w:ascii="宋体" w:hAnsi="宋体" w:eastAsia="宋体" w:cs="宋体"/>
                <w:color w:val="auto"/>
                <w:sz w:val="22"/>
                <w:szCs w:val="22"/>
                <w:lang w:val="en-US" w:eastAsia="zh-CN"/>
              </w:rPr>
              <w:t>”下发的</w:t>
            </w:r>
            <w:r>
              <w:rPr>
                <w:rFonts w:hint="eastAsia" w:ascii="宋体" w:hAnsi="宋体" w:cs="宋体"/>
                <w:color w:val="auto"/>
                <w:sz w:val="22"/>
                <w:szCs w:val="22"/>
                <w:lang w:val="en-US" w:eastAsia="zh-CN"/>
              </w:rPr>
              <w:t>“关于丰都县海螺沟水库辅助施工设施项目拟使用林地涉及林木采伐手续办理的批复”。</w:t>
            </w:r>
          </w:p>
        </w:tc>
        <w:tc>
          <w:tcPr>
            <w:tcW w:w="940" w:type="dxa"/>
            <w:vAlign w:val="center"/>
          </w:tcPr>
          <w:p w14:paraId="696FD67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64077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Align w:val="center"/>
          </w:tcPr>
          <w:p w14:paraId="464D904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val="en-US" w:eastAsia="zh-CN"/>
              </w:rPr>
            </w:pPr>
            <w:r>
              <w:rPr>
                <w:rFonts w:hint="eastAsia" w:ascii="Arial" w:hAnsi="Arial" w:cs="Arial"/>
                <w:sz w:val="22"/>
                <w:szCs w:val="22"/>
                <w:lang w:val="en-US" w:eastAsia="zh-CN"/>
              </w:rPr>
              <w:t>《重庆市公益林管理办法》</w:t>
            </w:r>
          </w:p>
        </w:tc>
        <w:tc>
          <w:tcPr>
            <w:tcW w:w="4178" w:type="dxa"/>
            <w:vAlign w:val="center"/>
          </w:tcPr>
          <w:p w14:paraId="1B92EEE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val="en-US" w:eastAsia="zh-CN"/>
              </w:rPr>
            </w:pPr>
            <w:r>
              <w:rPr>
                <w:rFonts w:hint="eastAsia" w:ascii="Arial" w:hAnsi="Arial" w:cs="Arial"/>
                <w:sz w:val="22"/>
                <w:szCs w:val="22"/>
                <w:lang w:val="en-US" w:eastAsia="zh-CN"/>
              </w:rPr>
              <w:t>建设工程应当不占或者少占公益林林地。确需占用、征收公益林林地的，应当依法办理用地审核、林木采伐审批手续。</w:t>
            </w:r>
          </w:p>
        </w:tc>
        <w:tc>
          <w:tcPr>
            <w:tcW w:w="2930" w:type="dxa"/>
            <w:vAlign w:val="center"/>
          </w:tcPr>
          <w:p w14:paraId="109FD1B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color w:val="auto"/>
                <w:kern w:val="0"/>
                <w:sz w:val="22"/>
                <w:szCs w:val="22"/>
                <w:vertAlign w:val="baseline"/>
                <w:lang w:eastAsia="zh-CN"/>
              </w:rPr>
              <w:t>本项目水利基础设施建设，在设计阶段已经多部门商议，对坝址选址进行了优化调整，尽量避免少占用公益林地。同时，建设单位已办理永久、临时占用公益林地的</w:t>
            </w:r>
            <w:r>
              <w:rPr>
                <w:rFonts w:hint="eastAsia" w:ascii="Arial" w:hAnsi="Arial" w:cs="Arial"/>
                <w:sz w:val="22"/>
                <w:szCs w:val="22"/>
                <w:lang w:val="en-US" w:eastAsia="zh-CN"/>
              </w:rPr>
              <w:t>用地审核、林木采伐审批手续</w:t>
            </w:r>
            <w:r>
              <w:rPr>
                <w:rFonts w:hint="eastAsia" w:ascii="Arial" w:hAnsi="Arial" w:cs="Arial"/>
                <w:color w:val="auto"/>
                <w:kern w:val="0"/>
                <w:sz w:val="22"/>
                <w:szCs w:val="22"/>
                <w:vertAlign w:val="baseline"/>
                <w:lang w:eastAsia="zh-CN"/>
              </w:rPr>
              <w:t>。且项目</w:t>
            </w:r>
            <w:r>
              <w:rPr>
                <w:rFonts w:hint="eastAsia" w:ascii="Arial" w:hAnsi="Arial" w:cs="Arial"/>
                <w:color w:val="auto"/>
                <w:sz w:val="22"/>
                <w:szCs w:val="22"/>
                <w:highlight w:val="none"/>
                <w:lang w:eastAsia="zh-CN"/>
              </w:rPr>
              <w:t>施工结束后，将采取当地常见的植被对弃土场、施工场地、施工便道等临时占地区域进行绿化建设，减缓林地资源损失量。</w:t>
            </w:r>
          </w:p>
        </w:tc>
        <w:tc>
          <w:tcPr>
            <w:tcW w:w="940" w:type="dxa"/>
            <w:vAlign w:val="center"/>
          </w:tcPr>
          <w:p w14:paraId="0ED633B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eastAsia="zh-CN"/>
              </w:rPr>
              <w:t>符合</w:t>
            </w:r>
          </w:p>
        </w:tc>
      </w:tr>
    </w:tbl>
    <w:p w14:paraId="399A717C">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60"/>
        <w:textAlignment w:val="auto"/>
        <w:rPr>
          <w:rFonts w:hint="eastAsia" w:ascii="Arial" w:hAnsi="Arial" w:eastAsia="宋体" w:cs="Arial"/>
          <w:b w:val="0"/>
          <w:color w:val="auto"/>
          <w:kern w:val="2"/>
          <w:sz w:val="26"/>
          <w:szCs w:val="26"/>
          <w:lang w:val="en-US" w:eastAsia="zh-CN" w:bidi="ar-SA"/>
        </w:rPr>
      </w:pPr>
    </w:p>
    <w:p w14:paraId="516C0AE5">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由表1.9-10可知，</w:t>
      </w:r>
      <w:r>
        <w:rPr>
          <w:rFonts w:hint="eastAsia" w:ascii="Arial" w:hAnsi="Arial" w:cs="Arial"/>
          <w:color w:val="auto"/>
          <w:kern w:val="0"/>
          <w:sz w:val="26"/>
          <w:szCs w:val="26"/>
          <w:vertAlign w:val="baseline"/>
          <w:lang w:eastAsia="zh-CN"/>
        </w:rPr>
        <w:t>建设单位已办理永久、临时占用公益林地的</w:t>
      </w:r>
      <w:r>
        <w:rPr>
          <w:rFonts w:hint="eastAsia" w:ascii="Arial" w:hAnsi="Arial" w:cs="Arial"/>
          <w:sz w:val="26"/>
          <w:szCs w:val="26"/>
          <w:lang w:val="en-US" w:eastAsia="zh-CN"/>
        </w:rPr>
        <w:t>用地审核、林木采伐审批手续</w:t>
      </w:r>
      <w:r>
        <w:rPr>
          <w:rFonts w:hint="eastAsia" w:ascii="Arial" w:hAnsi="Arial" w:eastAsia="宋体" w:cs="Arial"/>
          <w:b w:val="0"/>
          <w:color w:val="auto"/>
          <w:kern w:val="2"/>
          <w:sz w:val="26"/>
          <w:szCs w:val="26"/>
          <w:lang w:val="en-US" w:eastAsia="zh-CN" w:bidi="ar-SA"/>
        </w:rPr>
        <w:t>，与《国家级公益林管理办法》（林资发</w:t>
      </w:r>
      <w:r>
        <w:rPr>
          <w:rFonts w:hint="eastAsia" w:ascii="宋体" w:hAnsi="宋体" w:eastAsia="宋体" w:cs="宋体"/>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2013</w:t>
      </w:r>
      <w:r>
        <w:rPr>
          <w:rFonts w:hint="eastAsia" w:ascii="宋体" w:hAnsi="宋体" w:eastAsia="宋体" w:cs="宋体"/>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71号）、《国家林业局关于加强临时占用林地监督管理的通知》（林资发</w:t>
      </w:r>
      <w:r>
        <w:rPr>
          <w:rFonts w:hint="eastAsia" w:ascii="宋体" w:hAnsi="宋体" w:eastAsia="宋体" w:cs="宋体"/>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2015</w:t>
      </w:r>
      <w:r>
        <w:rPr>
          <w:rFonts w:hint="eastAsia" w:ascii="宋体" w:hAnsi="宋体" w:eastAsia="宋体" w:cs="宋体"/>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121号）、《重庆市公益林管理办法》（重庆市人民政府令第312号）等文件不相冲突。</w:t>
      </w:r>
    </w:p>
    <w:p w14:paraId="653C1521">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w:t>
      </w:r>
      <w:r>
        <w:rPr>
          <w:rFonts w:hint="eastAsia" w:ascii="Arial" w:hAnsi="Arial" w:cs="Arial"/>
          <w:b/>
          <w:color w:val="auto"/>
          <w:kern w:val="0"/>
          <w:sz w:val="26"/>
          <w:szCs w:val="20"/>
          <w:highlight w:val="none"/>
          <w:lang w:val="en-US" w:eastAsia="zh-CN"/>
        </w:rPr>
        <w:t>14</w:t>
      </w:r>
      <w:r>
        <w:rPr>
          <w:rFonts w:hint="eastAsia" w:ascii="Arial" w:hAnsi="Arial" w:eastAsia="宋体" w:cs="Arial"/>
          <w:b/>
          <w:color w:val="auto"/>
          <w:kern w:val="0"/>
          <w:sz w:val="26"/>
          <w:szCs w:val="20"/>
          <w:highlight w:val="none"/>
          <w:lang w:val="en-US" w:eastAsia="zh-CN"/>
        </w:rPr>
        <w:t>与</w:t>
      </w:r>
      <w:r>
        <w:rPr>
          <w:rFonts w:hint="eastAsia" w:ascii="Arial" w:hAnsi="Arial" w:cs="Arial"/>
          <w:b/>
          <w:color w:val="auto"/>
          <w:kern w:val="0"/>
          <w:sz w:val="26"/>
          <w:szCs w:val="20"/>
          <w:highlight w:val="none"/>
          <w:lang w:val="en-US" w:eastAsia="zh-CN"/>
        </w:rPr>
        <w:t>相关规划符合性分析</w:t>
      </w:r>
    </w:p>
    <w:p w14:paraId="33B37436">
      <w:pPr>
        <w:pStyle w:val="19"/>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eastAsia"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（1）与《重庆市渠溪河流域综合规划》的符合性分析</w:t>
      </w:r>
    </w:p>
    <w:p w14:paraId="25DF868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重庆市渠溪河流域综合规划》主要内容包括水资源评价与配置规划、防洪规划、灌溉规划、供水规划、节约用水规划、水资源保护规划、水生态保护与修复规划、水土保持规划、其他规划、重大水利工程、流域综合管理等专业规划。其中规划有重点水源工程13个，其中小型水库10个，包括龙井水库、狮子岩水库、沟耳山水库、</w:t>
      </w:r>
      <w:r>
        <w:rPr>
          <w:rFonts w:hint="eastAsia" w:ascii="Arial" w:hAnsi="Arial" w:eastAsia="宋体" w:cs="Arial"/>
          <w:b/>
          <w:bCs/>
          <w:color w:val="auto"/>
          <w:kern w:val="2"/>
          <w:sz w:val="26"/>
          <w:szCs w:val="26"/>
          <w:lang w:val="en-US" w:eastAsia="zh-CN" w:bidi="ar-SA"/>
        </w:rPr>
        <w:t>海螺沟水库</w:t>
      </w:r>
      <w:r>
        <w:rPr>
          <w:rFonts w:hint="eastAsia" w:ascii="Arial" w:hAnsi="Arial" w:eastAsia="宋体" w:cs="Arial"/>
          <w:b w:val="0"/>
          <w:color w:val="auto"/>
          <w:kern w:val="2"/>
          <w:sz w:val="26"/>
          <w:szCs w:val="26"/>
          <w:lang w:val="en-US" w:eastAsia="zh-CN" w:bidi="ar-SA"/>
        </w:rPr>
        <w:t>、灯塔水库、双河口水库、青田水库、张家坝水库、杨眉水库、双星水库，海螺沟水库主要开发功能为</w:t>
      </w:r>
      <w:r>
        <w:rPr>
          <w:rFonts w:hint="default" w:ascii="Arial" w:hAnsi="Arial" w:eastAsia="宋体" w:cs="Arial"/>
          <w:b w:val="0"/>
          <w:color w:val="auto"/>
          <w:kern w:val="2"/>
          <w:sz w:val="26"/>
          <w:szCs w:val="26"/>
          <w:lang w:val="en-US" w:eastAsia="zh-CN" w:bidi="ar-SA"/>
        </w:rPr>
        <w:t>农村人畜饮水、农业灌溉等</w:t>
      </w:r>
      <w:r>
        <w:rPr>
          <w:rFonts w:hint="eastAsia" w:ascii="Arial" w:hAnsi="Arial" w:eastAsia="宋体" w:cs="Arial"/>
          <w:b w:val="0"/>
          <w:color w:val="auto"/>
          <w:kern w:val="2"/>
          <w:sz w:val="26"/>
          <w:szCs w:val="26"/>
          <w:lang w:val="en-US" w:eastAsia="zh-CN" w:bidi="ar-SA"/>
        </w:rPr>
        <w:t>，为总库容为80.51万m</w:t>
      </w:r>
      <w:r>
        <w:rPr>
          <w:rFonts w:hint="eastAsia" w:ascii="Arial" w:hAnsi="Arial" w:eastAsia="宋体" w:cs="Arial"/>
          <w:b w:val="0"/>
          <w:color w:val="auto"/>
          <w:kern w:val="2"/>
          <w:sz w:val="26"/>
          <w:szCs w:val="26"/>
          <w:vertAlign w:val="superscript"/>
          <w:lang w:val="en-US" w:eastAsia="zh-CN" w:bidi="ar-SA"/>
        </w:rPr>
        <w:t>3</w:t>
      </w:r>
      <w:r>
        <w:rPr>
          <w:rFonts w:hint="eastAsia" w:ascii="Arial" w:hAnsi="Arial" w:eastAsia="宋体" w:cs="Arial"/>
          <w:b w:val="0"/>
          <w:color w:val="auto"/>
          <w:kern w:val="2"/>
          <w:sz w:val="26"/>
          <w:szCs w:val="26"/>
          <w:lang w:val="en-US" w:eastAsia="zh-CN" w:bidi="ar-SA"/>
        </w:rPr>
        <w:t>，设计总供水量67.84万m</w:t>
      </w:r>
      <w:r>
        <w:rPr>
          <w:rFonts w:hint="eastAsia" w:ascii="Arial" w:hAnsi="Arial" w:eastAsia="宋体" w:cs="Arial"/>
          <w:b w:val="0"/>
          <w:color w:val="auto"/>
          <w:kern w:val="2"/>
          <w:sz w:val="26"/>
          <w:szCs w:val="26"/>
          <w:vertAlign w:val="superscript"/>
          <w:lang w:val="en-US" w:eastAsia="zh-CN" w:bidi="ar-SA"/>
        </w:rPr>
        <w:t>3</w:t>
      </w:r>
      <w:r>
        <w:rPr>
          <w:rFonts w:hint="eastAsia" w:ascii="Arial" w:hAnsi="Arial" w:eastAsia="宋体" w:cs="Arial"/>
          <w:b w:val="0"/>
          <w:color w:val="auto"/>
          <w:kern w:val="2"/>
          <w:sz w:val="26"/>
          <w:szCs w:val="26"/>
          <w:lang w:val="en-US" w:eastAsia="zh-CN" w:bidi="ar-SA"/>
        </w:rPr>
        <w:t>。</w:t>
      </w:r>
    </w:p>
    <w:p w14:paraId="0F4171FD">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本次评价对象—海螺沟水库工程属于“重庆市渠溪河流域综合规划”中规划建设项目，且现该项目建设内容、工程任务内容与流域规划方案中基本一致，与《重庆市渠溪河流域综合规划》内容相符。</w:t>
      </w:r>
    </w:p>
    <w:p w14:paraId="7F6F6568">
      <w:pPr>
        <w:pStyle w:val="19"/>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eastAsia"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（2）与《重庆市渠溪河流域综合规划环境影响报告书》的符合性分析</w:t>
      </w:r>
    </w:p>
    <w:p w14:paraId="3111CD93">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val="0"/>
          <w:color w:val="auto"/>
          <w:kern w:val="2"/>
          <w:sz w:val="26"/>
          <w:szCs w:val="26"/>
          <w:lang w:val="en-US" w:eastAsia="zh-CN" w:bidi="ar-SA"/>
        </w:rPr>
        <w:t>丰都县水利工程服务中心委托重庆重大建设工程质量检测有限公司编制完成了《重庆市渠溪河流域综</w:t>
      </w:r>
      <w:r>
        <w:rPr>
          <w:rFonts w:hint="eastAsia" w:ascii="Arial" w:hAnsi="Arial" w:eastAsia="宋体" w:cs="Arial"/>
          <w:b w:val="0"/>
          <w:color w:val="auto"/>
          <w:kern w:val="2"/>
          <w:sz w:val="26"/>
          <w:szCs w:val="26"/>
          <w:highlight w:val="none"/>
          <w:lang w:val="en-US" w:eastAsia="zh-CN" w:bidi="ar-SA"/>
        </w:rPr>
        <w:t>合规划环境影响报告书》，并于202</w:t>
      </w:r>
      <w:r>
        <w:rPr>
          <w:rFonts w:hint="eastAsia" w:ascii="Arial" w:hAnsi="Arial" w:cs="Arial"/>
          <w:b w:val="0"/>
          <w:color w:val="auto"/>
          <w:kern w:val="2"/>
          <w:sz w:val="26"/>
          <w:szCs w:val="26"/>
          <w:highlight w:val="none"/>
          <w:lang w:val="en-US" w:eastAsia="zh-CN" w:bidi="ar-SA"/>
        </w:rPr>
        <w:t>5</w:t>
      </w:r>
      <w:r>
        <w:rPr>
          <w:rFonts w:hint="eastAsia" w:ascii="Arial" w:hAnsi="Arial" w:eastAsia="宋体" w:cs="Arial"/>
          <w:b w:val="0"/>
          <w:color w:val="auto"/>
          <w:kern w:val="2"/>
          <w:sz w:val="26"/>
          <w:szCs w:val="26"/>
          <w:highlight w:val="none"/>
          <w:lang w:val="en-US" w:eastAsia="zh-CN" w:bidi="ar-SA"/>
        </w:rPr>
        <w:t>年</w:t>
      </w:r>
      <w:r>
        <w:rPr>
          <w:rFonts w:hint="eastAsia" w:ascii="Arial" w:hAnsi="Arial" w:cs="Arial"/>
          <w:b w:val="0"/>
          <w:color w:val="auto"/>
          <w:kern w:val="2"/>
          <w:sz w:val="26"/>
          <w:szCs w:val="26"/>
          <w:highlight w:val="none"/>
          <w:lang w:val="en-US" w:eastAsia="zh-CN" w:bidi="ar-SA"/>
        </w:rPr>
        <w:t>1</w:t>
      </w:r>
      <w:r>
        <w:rPr>
          <w:rFonts w:hint="eastAsia" w:ascii="Arial" w:hAnsi="Arial" w:eastAsia="宋体" w:cs="Arial"/>
          <w:b w:val="0"/>
          <w:color w:val="auto"/>
          <w:kern w:val="2"/>
          <w:sz w:val="26"/>
          <w:szCs w:val="26"/>
          <w:highlight w:val="none"/>
          <w:lang w:val="en-US" w:eastAsia="zh-CN" w:bidi="ar-SA"/>
        </w:rPr>
        <w:t>月</w:t>
      </w:r>
      <w:r>
        <w:rPr>
          <w:rFonts w:hint="eastAsia" w:ascii="Arial" w:hAnsi="Arial" w:cs="Arial"/>
          <w:b w:val="0"/>
          <w:color w:val="auto"/>
          <w:kern w:val="2"/>
          <w:sz w:val="26"/>
          <w:szCs w:val="26"/>
          <w:highlight w:val="none"/>
          <w:lang w:val="en-US" w:eastAsia="zh-CN" w:bidi="ar-SA"/>
        </w:rPr>
        <w:t>13日</w:t>
      </w:r>
      <w:r>
        <w:rPr>
          <w:rFonts w:hint="eastAsia" w:ascii="Arial" w:hAnsi="Arial" w:eastAsia="宋体" w:cs="Arial"/>
          <w:b w:val="0"/>
          <w:color w:val="auto"/>
          <w:kern w:val="2"/>
          <w:sz w:val="26"/>
          <w:szCs w:val="26"/>
          <w:highlight w:val="none"/>
          <w:lang w:val="en-US" w:eastAsia="zh-CN" w:bidi="ar-SA"/>
        </w:rPr>
        <w:t>取得了重庆市</w:t>
      </w:r>
      <w:r>
        <w:rPr>
          <w:rFonts w:hint="eastAsia" w:ascii="Arial" w:hAnsi="Arial" w:cs="Arial"/>
          <w:b w:val="0"/>
          <w:color w:val="auto"/>
          <w:kern w:val="2"/>
          <w:sz w:val="26"/>
          <w:szCs w:val="26"/>
          <w:highlight w:val="none"/>
          <w:lang w:val="en-US" w:eastAsia="zh-CN" w:bidi="ar-SA"/>
        </w:rPr>
        <w:t>丰都县、涪陵区、忠县</w:t>
      </w:r>
      <w:r>
        <w:rPr>
          <w:rFonts w:hint="eastAsia" w:ascii="Arial" w:hAnsi="Arial" w:eastAsia="宋体" w:cs="Arial"/>
          <w:b w:val="0"/>
          <w:color w:val="auto"/>
          <w:kern w:val="2"/>
          <w:sz w:val="26"/>
          <w:szCs w:val="26"/>
          <w:highlight w:val="none"/>
          <w:lang w:val="en-US" w:eastAsia="zh-CN" w:bidi="ar-SA"/>
        </w:rPr>
        <w:t>生态环境局</w:t>
      </w:r>
      <w:r>
        <w:rPr>
          <w:rFonts w:hint="eastAsia" w:ascii="Arial" w:hAnsi="Arial" w:cs="Arial"/>
          <w:b w:val="0"/>
          <w:color w:val="auto"/>
          <w:kern w:val="2"/>
          <w:sz w:val="26"/>
          <w:szCs w:val="26"/>
          <w:highlight w:val="none"/>
          <w:lang w:val="en-US" w:eastAsia="zh-CN" w:bidi="ar-SA"/>
        </w:rPr>
        <w:t>联合</w:t>
      </w:r>
      <w:r>
        <w:rPr>
          <w:rFonts w:hint="eastAsia" w:ascii="Arial" w:hAnsi="Arial" w:eastAsia="宋体" w:cs="Arial"/>
          <w:b w:val="0"/>
          <w:color w:val="auto"/>
          <w:kern w:val="2"/>
          <w:sz w:val="26"/>
          <w:szCs w:val="26"/>
          <w:highlight w:val="none"/>
          <w:lang w:val="en-US" w:eastAsia="zh-CN" w:bidi="ar-SA"/>
        </w:rPr>
        <w:t>出具的审查意见“</w:t>
      </w:r>
      <w:r>
        <w:rPr>
          <w:rFonts w:hint="eastAsia" w:ascii="Arial" w:hAnsi="Arial" w:cs="Arial"/>
          <w:b w:val="0"/>
          <w:color w:val="auto"/>
          <w:kern w:val="2"/>
          <w:sz w:val="26"/>
          <w:szCs w:val="26"/>
          <w:highlight w:val="none"/>
          <w:lang w:val="en-US" w:eastAsia="zh-CN" w:bidi="ar-SA"/>
        </w:rPr>
        <w:t>丰环函</w:t>
      </w:r>
      <w:r>
        <w:rPr>
          <w:rFonts w:hint="default" w:ascii="Arial" w:hAnsi="Arial" w:eastAsia="宋体" w:cs="Arial"/>
          <w:b w:val="0"/>
          <w:color w:val="auto"/>
          <w:kern w:val="2"/>
          <w:sz w:val="26"/>
          <w:szCs w:val="26"/>
          <w:highlight w:val="none"/>
          <w:lang w:val="en-US" w:eastAsia="zh-CN" w:bidi="ar-SA"/>
        </w:rPr>
        <w:t>〔2025〕2号</w:t>
      </w:r>
      <w:r>
        <w:rPr>
          <w:rFonts w:hint="eastAsia" w:ascii="Arial" w:hAnsi="Arial" w:eastAsia="宋体" w:cs="Arial"/>
          <w:b w:val="0"/>
          <w:color w:val="auto"/>
          <w:kern w:val="2"/>
          <w:sz w:val="26"/>
          <w:szCs w:val="26"/>
          <w:highlight w:val="none"/>
          <w:lang w:val="en-US" w:eastAsia="zh-CN" w:bidi="ar-SA"/>
        </w:rPr>
        <w:t>”</w:t>
      </w:r>
      <w:r>
        <w:rPr>
          <w:rFonts w:hint="eastAsia" w:ascii="Arial" w:hAnsi="Arial" w:eastAsia="宋体"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br w:type="textWrapping"/>
      </w:r>
      <w:r>
        <w:rPr>
          <w:rFonts w:hint="eastAsia" w:ascii="Arial" w:hAnsi="Arial" w:cs="Arial"/>
          <w:b w:val="0"/>
          <w:color w:val="auto"/>
          <w:kern w:val="2"/>
          <w:sz w:val="26"/>
          <w:szCs w:val="26"/>
          <w:lang w:val="en-US" w:eastAsia="zh-CN" w:bidi="ar-SA"/>
        </w:rPr>
        <w:t xml:space="preserve">    </w:t>
      </w:r>
      <w:r>
        <w:rPr>
          <w:rFonts w:hint="default" w:ascii="Arial" w:hAnsi="Arial" w:eastAsia="宋体" w:cs="Arial"/>
          <w:b/>
          <w:color w:val="auto"/>
          <w:kern w:val="0"/>
          <w:sz w:val="26"/>
          <w:szCs w:val="20"/>
          <w:highlight w:val="none"/>
          <w:lang w:val="en-US" w:eastAsia="zh-CN"/>
        </w:rPr>
        <w:t>①</w:t>
      </w:r>
      <w:r>
        <w:rPr>
          <w:rFonts w:hint="eastAsia" w:ascii="Arial" w:hAnsi="Arial" w:eastAsia="宋体" w:cs="Arial"/>
          <w:b/>
          <w:color w:val="auto"/>
          <w:kern w:val="0"/>
          <w:sz w:val="26"/>
          <w:szCs w:val="20"/>
          <w:highlight w:val="none"/>
          <w:lang w:val="en-US" w:eastAsia="zh-CN"/>
        </w:rPr>
        <w:t xml:space="preserve"> 与规划环评的符合性分析</w:t>
      </w:r>
    </w:p>
    <w:p w14:paraId="2A013B46">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规划环评针对水利工程提出了相关要求，相关符合性分析详见表1.9-11所示。</w:t>
      </w:r>
    </w:p>
    <w:p w14:paraId="3CDE75E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表1.9-11 项目与</w:t>
      </w:r>
      <w:r>
        <w:rPr>
          <w:rFonts w:hint="eastAsia" w:ascii="Arial" w:hAnsi="Arial" w:cs="Arial"/>
          <w:b/>
          <w:bCs/>
          <w:color w:val="auto"/>
          <w:kern w:val="0"/>
          <w:sz w:val="26"/>
          <w:szCs w:val="20"/>
          <w:highlight w:val="none"/>
          <w:lang w:val="en-US" w:eastAsia="zh-CN"/>
        </w:rPr>
        <w:t>渠溪河流域综合规划环境影响报告书的符合性分析表</w:t>
      </w:r>
    </w:p>
    <w:tbl>
      <w:tblPr>
        <w:tblStyle w:val="77"/>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425"/>
        <w:gridCol w:w="3050"/>
        <w:gridCol w:w="876"/>
      </w:tblGrid>
      <w:tr w14:paraId="230C3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4665B21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序号</w:t>
            </w:r>
          </w:p>
        </w:tc>
        <w:tc>
          <w:tcPr>
            <w:tcW w:w="4425" w:type="dxa"/>
            <w:tcBorders>
              <w:tl2br w:val="nil"/>
              <w:tr2bl w:val="nil"/>
            </w:tcBorders>
            <w:vAlign w:val="center"/>
          </w:tcPr>
          <w:p w14:paraId="00894A7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eastAsia="zh-CN"/>
              </w:rPr>
            </w:pPr>
            <w:r>
              <w:rPr>
                <w:rFonts w:hint="default" w:ascii="Arial" w:hAnsi="Arial" w:cs="Arial"/>
                <w:sz w:val="22"/>
                <w:szCs w:val="22"/>
                <w:lang w:eastAsia="zh-CN"/>
              </w:rPr>
              <w:t>规划环评要求</w:t>
            </w:r>
          </w:p>
        </w:tc>
        <w:tc>
          <w:tcPr>
            <w:tcW w:w="3050" w:type="dxa"/>
            <w:tcBorders>
              <w:tl2br w:val="nil"/>
              <w:tr2bl w:val="nil"/>
            </w:tcBorders>
            <w:vAlign w:val="center"/>
          </w:tcPr>
          <w:p w14:paraId="4C1C75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本项目情况</w:t>
            </w:r>
          </w:p>
        </w:tc>
        <w:tc>
          <w:tcPr>
            <w:tcW w:w="876" w:type="dxa"/>
            <w:tcBorders>
              <w:tl2br w:val="nil"/>
              <w:tr2bl w:val="nil"/>
            </w:tcBorders>
            <w:vAlign w:val="center"/>
          </w:tcPr>
          <w:p w14:paraId="5B9CE1B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符合性</w:t>
            </w:r>
          </w:p>
        </w:tc>
      </w:tr>
      <w:tr w14:paraId="23871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056A7D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1</w:t>
            </w:r>
          </w:p>
        </w:tc>
        <w:tc>
          <w:tcPr>
            <w:tcW w:w="4425" w:type="dxa"/>
            <w:tcBorders>
              <w:tl2br w:val="nil"/>
              <w:tr2bl w:val="nil"/>
            </w:tcBorders>
            <w:vAlign w:val="center"/>
          </w:tcPr>
          <w:p w14:paraId="2028D286">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cs="Arial"/>
                <w:sz w:val="22"/>
                <w:szCs w:val="22"/>
                <w:lang w:eastAsia="zh-CN"/>
              </w:rPr>
            </w:pPr>
            <w:r>
              <w:rPr>
                <w:rFonts w:hint="eastAsia" w:ascii="Arial" w:hAnsi="Arial" w:cs="Arial"/>
                <w:sz w:val="22"/>
                <w:szCs w:val="22"/>
                <w:lang w:val="en-US" w:eastAsia="zh-CN"/>
              </w:rPr>
              <w:t>结合渠溪河流域农业、灌溉发展现状以及现存问题，从渠溪河流域忠县、丰都县、涪陵区可操作性出发，</w:t>
            </w:r>
            <w:r>
              <w:rPr>
                <w:rFonts w:hint="default" w:ascii="Arial" w:hAnsi="Arial" w:cs="Arial"/>
                <w:sz w:val="22"/>
                <w:szCs w:val="22"/>
              </w:rPr>
              <w:t>本次评价建议</w:t>
            </w:r>
            <w:r>
              <w:rPr>
                <w:rFonts w:hint="eastAsia" w:ascii="Arial" w:hAnsi="Arial" w:cs="Arial"/>
                <w:sz w:val="22"/>
                <w:szCs w:val="22"/>
                <w:lang w:val="en-US" w:eastAsia="zh-CN"/>
              </w:rPr>
              <w:t>规划区</w:t>
            </w:r>
            <w:r>
              <w:rPr>
                <w:rFonts w:hint="default" w:ascii="Arial" w:hAnsi="Arial" w:cs="Arial"/>
                <w:sz w:val="22"/>
                <w:szCs w:val="22"/>
              </w:rPr>
              <w:t>加强农田水利建设</w:t>
            </w:r>
            <w:r>
              <w:rPr>
                <w:rFonts w:hint="eastAsia" w:ascii="Arial" w:hAnsi="Arial" w:cs="Arial"/>
                <w:sz w:val="22"/>
                <w:szCs w:val="22"/>
                <w:lang w:eastAsia="zh-CN"/>
              </w:rPr>
              <w:t>，加强设施维护与管理，提高灌溉保证率，加强渠系节水改造，</w:t>
            </w:r>
            <w:r>
              <w:rPr>
                <w:rFonts w:hint="eastAsia" w:ascii="Arial" w:hAnsi="Arial" w:cs="Arial"/>
                <w:sz w:val="22"/>
                <w:szCs w:val="22"/>
                <w:lang w:val="en-US" w:eastAsia="zh-CN"/>
              </w:rPr>
              <w:t>进一步优化总体目标，渠溪河流域丰都县、忠县农田灌溉水利用系数调整为0.515。</w:t>
            </w:r>
          </w:p>
        </w:tc>
        <w:tc>
          <w:tcPr>
            <w:tcW w:w="3050" w:type="dxa"/>
            <w:tcBorders>
              <w:tl2br w:val="nil"/>
              <w:tr2bl w:val="nil"/>
            </w:tcBorders>
            <w:vAlign w:val="center"/>
          </w:tcPr>
          <w:p w14:paraId="1900F26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本项目设计灌溉面积</w:t>
            </w:r>
            <w:r>
              <w:rPr>
                <w:rFonts w:hint="eastAsia" w:ascii="Arial" w:hAnsi="Arial" w:cs="Arial"/>
                <w:sz w:val="22"/>
                <w:szCs w:val="22"/>
                <w:lang w:val="en-US" w:eastAsia="zh-CN"/>
              </w:rPr>
              <w:t>2000亩，可提高区域农灌用水保证率，推进节水改造，提高灌溉用水利用率。</w:t>
            </w:r>
          </w:p>
        </w:tc>
        <w:tc>
          <w:tcPr>
            <w:tcW w:w="876" w:type="dxa"/>
            <w:tcBorders>
              <w:tl2br w:val="nil"/>
              <w:tr2bl w:val="nil"/>
            </w:tcBorders>
            <w:vAlign w:val="center"/>
          </w:tcPr>
          <w:p w14:paraId="5ADE839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34363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2FBA6DF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2</w:t>
            </w:r>
          </w:p>
        </w:tc>
        <w:tc>
          <w:tcPr>
            <w:tcW w:w="4425" w:type="dxa"/>
            <w:tcBorders>
              <w:tl2br w:val="nil"/>
              <w:tr2bl w:val="nil"/>
            </w:tcBorders>
            <w:vAlign w:val="center"/>
          </w:tcPr>
          <w:p w14:paraId="2176F544">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val="en-US" w:eastAsia="zh-CN"/>
              </w:rPr>
            </w:pPr>
            <w:r>
              <w:rPr>
                <w:rFonts w:hint="default" w:ascii="Arial" w:hAnsi="Arial" w:cs="Arial"/>
                <w:sz w:val="22"/>
                <w:szCs w:val="22"/>
                <w:lang w:val="en-US" w:eastAsia="zh-CN"/>
              </w:rPr>
              <w:t>规划项目应优化工程布局，尽量避让永久基本农田集中分布区，减少永久基本农田的占用。确实无法避让的重大建设项目，建设单位应严格按照《自然资源部 农业农村部 国家林业和草原局关于严格耕地用途管制有关问题的通知》（自然资发〔2021〕166号）《基本农田保护条例》《重庆市规划和自然资源局关于进一步加强占用永久基本农田管理的通知》（渝规资规范〔2020〕9号）等法律法规要求办理永久基本农田占用的批准手续，协助当地土地管理部门做好土地占用的补偿工作和永久基本农田保护工作，并应做好施工结束后临时用地的复垦工作。</w:t>
            </w:r>
          </w:p>
        </w:tc>
        <w:tc>
          <w:tcPr>
            <w:tcW w:w="3050" w:type="dxa"/>
            <w:tcBorders>
              <w:tl2br w:val="nil"/>
              <w:tr2bl w:val="nil"/>
            </w:tcBorders>
            <w:vAlign w:val="center"/>
          </w:tcPr>
          <w:p w14:paraId="092A64B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本项目永久占地范围内涉及基本农田，建设单位已取得用地预审与选址意见书，和临时用地批复。施工结束后，将做好临时用地的复垦工作。</w:t>
            </w:r>
          </w:p>
        </w:tc>
        <w:tc>
          <w:tcPr>
            <w:tcW w:w="876" w:type="dxa"/>
            <w:tcBorders>
              <w:tl2br w:val="nil"/>
              <w:tr2bl w:val="nil"/>
            </w:tcBorders>
            <w:vAlign w:val="center"/>
          </w:tcPr>
          <w:p w14:paraId="3307665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703FA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56E65A3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3</w:t>
            </w:r>
          </w:p>
        </w:tc>
        <w:tc>
          <w:tcPr>
            <w:tcW w:w="4425" w:type="dxa"/>
            <w:tcBorders>
              <w:tl2br w:val="nil"/>
              <w:tr2bl w:val="nil"/>
            </w:tcBorders>
            <w:vAlign w:val="center"/>
          </w:tcPr>
          <w:p w14:paraId="5D279E9A">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val="en-US" w:eastAsia="zh-CN"/>
              </w:rPr>
            </w:pPr>
            <w:r>
              <w:rPr>
                <w:rFonts w:hint="default" w:ascii="Arial" w:hAnsi="Arial" w:cs="Arial"/>
                <w:sz w:val="22"/>
                <w:szCs w:val="22"/>
                <w:lang w:val="en-US" w:eastAsia="zh-CN"/>
              </w:rPr>
              <w:t>规划工程实施应当按照《重庆市公益林管理办法》的要求执行，不占或者少占公益林林地。确需占用、征收公益林林地的，应当依法办理用地审核、林木采伐审批手续。</w:t>
            </w:r>
          </w:p>
        </w:tc>
        <w:tc>
          <w:tcPr>
            <w:tcW w:w="3050" w:type="dxa"/>
            <w:tcBorders>
              <w:tl2br w:val="nil"/>
              <w:tr2bl w:val="nil"/>
            </w:tcBorders>
            <w:vAlign w:val="center"/>
          </w:tcPr>
          <w:p w14:paraId="25B854B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color w:val="auto"/>
                <w:sz w:val="22"/>
                <w:szCs w:val="22"/>
                <w:lang w:eastAsia="zh-CN"/>
              </w:rPr>
              <w:t>本项目施工临时</w:t>
            </w:r>
            <w:r>
              <w:rPr>
                <w:rFonts w:hint="eastAsia" w:ascii="Arial" w:hAnsi="Arial" w:cs="Arial"/>
                <w:color w:val="auto"/>
                <w:sz w:val="22"/>
                <w:szCs w:val="22"/>
                <w:highlight w:val="none"/>
                <w:lang w:eastAsia="zh-CN"/>
              </w:rPr>
              <w:t>占用公益林</w:t>
            </w:r>
            <w:r>
              <w:rPr>
                <w:rFonts w:hint="eastAsia" w:ascii="Arial" w:hAnsi="Arial" w:cs="Arial"/>
                <w:color w:val="auto"/>
                <w:sz w:val="22"/>
                <w:szCs w:val="22"/>
                <w:highlight w:val="none"/>
                <w:lang w:val="en-US" w:eastAsia="zh-CN"/>
              </w:rPr>
              <w:t>，</w:t>
            </w:r>
            <w:r>
              <w:rPr>
                <w:rFonts w:hint="eastAsia" w:ascii="Arial" w:hAnsi="Arial" w:cs="Arial"/>
                <w:color w:val="auto"/>
                <w:sz w:val="22"/>
                <w:szCs w:val="22"/>
                <w:lang w:val="en-US" w:eastAsia="zh-CN"/>
              </w:rPr>
              <w:t>已于2024年4月1日取得了重庆市林业局以“渝林许可</w:t>
            </w:r>
            <w:r>
              <w:rPr>
                <w:rFonts w:hint="default" w:ascii="Arial" w:hAnsi="Arial" w:cs="Arial"/>
                <w:color w:val="auto"/>
                <w:sz w:val="22"/>
                <w:szCs w:val="22"/>
                <w:lang w:val="en-US" w:eastAsia="zh-CN"/>
              </w:rPr>
              <w:t>地临</w:t>
            </w:r>
            <w:r>
              <w:rPr>
                <w:rFonts w:hint="default" w:ascii="Arial" w:hAnsi="Arial" w:eastAsia="宋体" w:cs="Arial"/>
                <w:color w:val="auto"/>
                <w:sz w:val="22"/>
                <w:szCs w:val="22"/>
                <w:lang w:val="en-US" w:eastAsia="zh-CN"/>
              </w:rPr>
              <w:t>〔2024〕036号</w:t>
            </w:r>
            <w:r>
              <w:rPr>
                <w:rFonts w:hint="eastAsia" w:ascii="宋体" w:hAnsi="宋体" w:eastAsia="宋体" w:cs="宋体"/>
                <w:color w:val="auto"/>
                <w:sz w:val="22"/>
                <w:szCs w:val="22"/>
                <w:lang w:val="en-US" w:eastAsia="zh-CN"/>
              </w:rPr>
              <w:t>”下发的使用林地审核同意书，</w:t>
            </w:r>
            <w:r>
              <w:rPr>
                <w:rFonts w:hint="default" w:ascii="Arial" w:hAnsi="Arial" w:eastAsia="宋体" w:cs="Arial"/>
                <w:color w:val="auto"/>
                <w:sz w:val="22"/>
                <w:szCs w:val="22"/>
                <w:lang w:val="en-US" w:eastAsia="zh-CN"/>
              </w:rPr>
              <w:t>并于2024年5月13日取得</w:t>
            </w:r>
            <w:r>
              <w:rPr>
                <w:rFonts w:hint="eastAsia" w:ascii="宋体" w:hAnsi="宋体" w:eastAsia="宋体" w:cs="宋体"/>
                <w:color w:val="auto"/>
                <w:sz w:val="22"/>
                <w:szCs w:val="22"/>
                <w:lang w:val="en-US" w:eastAsia="zh-CN"/>
              </w:rPr>
              <w:t>了丰都县林业局以“丰都林发</w:t>
            </w:r>
            <w:r>
              <w:rPr>
                <w:rFonts w:hint="default" w:ascii="Arial" w:hAnsi="Arial" w:eastAsia="宋体" w:cs="Arial"/>
                <w:color w:val="auto"/>
                <w:sz w:val="22"/>
                <w:szCs w:val="22"/>
                <w:lang w:val="en-US" w:eastAsia="zh-CN"/>
              </w:rPr>
              <w:t>〔2024〕</w:t>
            </w:r>
            <w:r>
              <w:rPr>
                <w:rFonts w:hint="eastAsia" w:ascii="Arial" w:hAnsi="Arial" w:cs="Arial"/>
                <w:color w:val="auto"/>
                <w:sz w:val="22"/>
                <w:szCs w:val="22"/>
                <w:lang w:val="en-US" w:eastAsia="zh-CN"/>
              </w:rPr>
              <w:t>48</w:t>
            </w:r>
            <w:r>
              <w:rPr>
                <w:rFonts w:hint="default" w:ascii="Arial" w:hAnsi="Arial" w:eastAsia="宋体" w:cs="Arial"/>
                <w:color w:val="auto"/>
                <w:sz w:val="22"/>
                <w:szCs w:val="22"/>
                <w:lang w:val="en-US" w:eastAsia="zh-CN"/>
              </w:rPr>
              <w:t>号</w:t>
            </w:r>
            <w:r>
              <w:rPr>
                <w:rFonts w:hint="eastAsia" w:ascii="宋体" w:hAnsi="宋体" w:eastAsia="宋体" w:cs="宋体"/>
                <w:color w:val="auto"/>
                <w:sz w:val="22"/>
                <w:szCs w:val="22"/>
                <w:lang w:val="en-US" w:eastAsia="zh-CN"/>
              </w:rPr>
              <w:t>”下发的</w:t>
            </w:r>
            <w:r>
              <w:rPr>
                <w:rFonts w:hint="eastAsia" w:ascii="宋体" w:hAnsi="宋体" w:cs="宋体"/>
                <w:color w:val="auto"/>
                <w:sz w:val="22"/>
                <w:szCs w:val="22"/>
                <w:lang w:val="en-US" w:eastAsia="zh-CN"/>
              </w:rPr>
              <w:t>“关于丰都县海螺沟水库辅助施工设施项目拟使用林地涉及林木采伐手续办理的批复”。</w:t>
            </w:r>
            <w:r>
              <w:rPr>
                <w:rFonts w:hint="eastAsia" w:ascii="Arial" w:hAnsi="Arial" w:cs="Arial"/>
                <w:color w:val="auto"/>
                <w:kern w:val="0"/>
                <w:sz w:val="22"/>
                <w:szCs w:val="22"/>
                <w:vertAlign w:val="baseline"/>
                <w:lang w:eastAsia="zh-CN"/>
              </w:rPr>
              <w:t>本项目永久占地范围内分布有公益</w:t>
            </w:r>
            <w:r>
              <w:rPr>
                <w:rFonts w:hint="eastAsia" w:ascii="Arial" w:hAnsi="Arial" w:cs="Arial"/>
                <w:color w:val="auto"/>
                <w:kern w:val="0"/>
                <w:sz w:val="22"/>
                <w:szCs w:val="22"/>
                <w:highlight w:val="none"/>
                <w:vertAlign w:val="baseline"/>
                <w:lang w:eastAsia="zh-CN"/>
              </w:rPr>
              <w:t>林</w:t>
            </w:r>
            <w:r>
              <w:rPr>
                <w:rFonts w:hint="eastAsia" w:ascii="Arial" w:hAnsi="Arial" w:cs="Arial"/>
                <w:color w:val="auto"/>
                <w:kern w:val="0"/>
                <w:sz w:val="22"/>
                <w:szCs w:val="22"/>
                <w:highlight w:val="none"/>
                <w:vertAlign w:val="baseline"/>
                <w:lang w:val="en-US" w:eastAsia="zh-CN"/>
              </w:rPr>
              <w:t>，已于2023年12月13日取得了重庆市林业局以“渝林许可地</w:t>
            </w:r>
            <w:r>
              <w:rPr>
                <w:rFonts w:hint="default" w:ascii="Arial" w:hAnsi="Arial" w:eastAsia="宋体" w:cs="Arial"/>
                <w:color w:val="auto"/>
                <w:kern w:val="0"/>
                <w:sz w:val="22"/>
                <w:szCs w:val="22"/>
                <w:highlight w:val="none"/>
                <w:vertAlign w:val="baseline"/>
                <w:lang w:val="en-US" w:eastAsia="zh-CN"/>
              </w:rPr>
              <w:t>〔2023〕689号</w:t>
            </w:r>
            <w:r>
              <w:rPr>
                <w:rFonts w:hint="eastAsia" w:ascii="Arial" w:hAnsi="Arial" w:cs="Arial"/>
                <w:color w:val="auto"/>
                <w:kern w:val="0"/>
                <w:sz w:val="22"/>
                <w:szCs w:val="22"/>
                <w:highlight w:val="none"/>
                <w:vertAlign w:val="baseline"/>
                <w:lang w:val="en-US" w:eastAsia="zh-CN"/>
              </w:rPr>
              <w:t>”，下发的使用林地审核同意书。</w:t>
            </w:r>
          </w:p>
        </w:tc>
        <w:tc>
          <w:tcPr>
            <w:tcW w:w="876" w:type="dxa"/>
            <w:tcBorders>
              <w:tl2br w:val="nil"/>
              <w:tr2bl w:val="nil"/>
            </w:tcBorders>
            <w:vAlign w:val="center"/>
          </w:tcPr>
          <w:p w14:paraId="63FDA30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25F96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3DDEBDA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4</w:t>
            </w:r>
          </w:p>
        </w:tc>
        <w:tc>
          <w:tcPr>
            <w:tcW w:w="4425" w:type="dxa"/>
            <w:tcBorders>
              <w:tl2br w:val="nil"/>
              <w:tr2bl w:val="nil"/>
            </w:tcBorders>
            <w:vAlign w:val="center"/>
          </w:tcPr>
          <w:p w14:paraId="3BFB5008">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cs="Times New Roman"/>
                <w:color w:val="FF0000"/>
                <w:szCs w:val="24"/>
                <w:highlight w:val="none"/>
              </w:rPr>
            </w:pPr>
            <w:r>
              <w:rPr>
                <w:rFonts w:hint="default" w:ascii="Arial" w:hAnsi="Arial" w:cs="Arial"/>
                <w:sz w:val="22"/>
                <w:szCs w:val="22"/>
                <w:lang w:val="en-US" w:eastAsia="zh-CN"/>
              </w:rPr>
              <w:t>建议灌溉、供水、节约用水、水资源保护、水生态保护与修复、水土保持工程布局应严格按照《关于在国土空间规划中统筹划定落实三条控制线的指导意见》《自然资源部 生态环境部 国家林业和草原局关于加强生态保护红线管理的通知（试行）》《中华人民共和国土地管理法》《基本农田保护条例》《国家级公益林管理办法》《建设项目使用林地审核审批管理办法》《中华人民共和国水污染防治法》和《饮用水水源保护区污染防治管理规定》《重庆市规划和自然资源局 重庆市生态环境局 重庆市林业局 关于加强生态保护红线实施管理的通知》（渝规资〔2023〕323号）等相关法律法规要求执行，避让珍稀濒危与重点保护的野生植物、野生动物重要生境、鱼类产卵场、索饵场、越冬场等生态敏感区域，工程设计应尽可能顺应自然河势变化，保护湿地、河滩植被等陆生生态系统。</w:t>
            </w:r>
          </w:p>
        </w:tc>
        <w:tc>
          <w:tcPr>
            <w:tcW w:w="3050" w:type="dxa"/>
            <w:tcBorders>
              <w:tl2br w:val="nil"/>
              <w:tr2bl w:val="nil"/>
            </w:tcBorders>
            <w:vAlign w:val="center"/>
          </w:tcPr>
          <w:p w14:paraId="4D145A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本项目占地及影响范围内不涉及</w:t>
            </w:r>
            <w:r>
              <w:rPr>
                <w:rFonts w:hint="default" w:ascii="Arial" w:hAnsi="Arial" w:cs="Arial"/>
                <w:sz w:val="22"/>
                <w:szCs w:val="22"/>
                <w:lang w:val="en-US" w:eastAsia="zh-CN"/>
              </w:rPr>
              <w:t>珍稀濒危与重点保护的野生植物、野生动物重要生境、鱼类产卵场、索饵场、越冬场等生态敏感区域，</w:t>
            </w:r>
            <w:r>
              <w:rPr>
                <w:rFonts w:hint="eastAsia" w:ascii="Arial" w:hAnsi="Arial" w:cs="Arial"/>
                <w:sz w:val="22"/>
                <w:szCs w:val="22"/>
                <w:lang w:val="en-US" w:eastAsia="zh-CN"/>
              </w:rPr>
              <w:t>建设过程中将做好各类污废水的收集处理工作，建设导流围堰，最大可能避免水质污染；运行后建设生态流量下泄装置，确保下游河道用水，保护</w:t>
            </w:r>
            <w:r>
              <w:rPr>
                <w:rFonts w:hint="default" w:ascii="Arial" w:hAnsi="Arial" w:cs="Arial"/>
                <w:sz w:val="22"/>
                <w:szCs w:val="22"/>
                <w:lang w:val="en-US" w:eastAsia="zh-CN"/>
              </w:rPr>
              <w:t>湿地、河滩植被等陆生生态系统。</w:t>
            </w:r>
          </w:p>
        </w:tc>
        <w:tc>
          <w:tcPr>
            <w:tcW w:w="876" w:type="dxa"/>
            <w:tcBorders>
              <w:tl2br w:val="nil"/>
              <w:tr2bl w:val="nil"/>
            </w:tcBorders>
            <w:vAlign w:val="center"/>
          </w:tcPr>
          <w:p w14:paraId="2132FB9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bl>
    <w:p w14:paraId="617AEB5F">
      <w:pPr>
        <w:pStyle w:val="19"/>
        <w:keepNext w:val="0"/>
        <w:keepLines w:val="0"/>
        <w:pageBreakBefore w:val="0"/>
        <w:widowControl w:val="0"/>
        <w:kinsoku/>
        <w:wordWrap/>
        <w:overflowPunct/>
        <w:topLinePunct w:val="0"/>
        <w:autoSpaceDE/>
        <w:autoSpaceDN/>
        <w:bidi w:val="0"/>
        <w:adjustRightInd w:val="0"/>
        <w:snapToGrid w:val="0"/>
        <w:spacing w:line="240" w:lineRule="exact"/>
        <w:ind w:firstLine="522"/>
        <w:textAlignment w:val="auto"/>
        <w:outlineLvl w:val="2"/>
        <w:rPr>
          <w:rFonts w:hint="default" w:ascii="Arial" w:hAnsi="Arial" w:eastAsia="宋体" w:cs="Arial"/>
          <w:b/>
          <w:color w:val="auto"/>
          <w:kern w:val="0"/>
          <w:sz w:val="26"/>
          <w:szCs w:val="20"/>
          <w:highlight w:val="none"/>
          <w:lang w:val="en-US" w:eastAsia="zh-CN"/>
        </w:rPr>
      </w:pPr>
    </w:p>
    <w:p w14:paraId="60953C76">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default" w:ascii="Arial" w:hAnsi="Arial" w:eastAsia="宋体" w:cs="Arial"/>
          <w:b/>
          <w:color w:val="auto"/>
          <w:kern w:val="0"/>
          <w:sz w:val="26"/>
          <w:szCs w:val="20"/>
          <w:highlight w:val="none"/>
          <w:lang w:val="en-US" w:eastAsia="zh-CN"/>
        </w:rPr>
        <w:t>②</w:t>
      </w:r>
      <w:r>
        <w:rPr>
          <w:rFonts w:hint="eastAsia" w:ascii="Arial" w:hAnsi="Arial" w:eastAsia="宋体" w:cs="Arial"/>
          <w:b/>
          <w:color w:val="auto"/>
          <w:kern w:val="0"/>
          <w:sz w:val="26"/>
          <w:szCs w:val="20"/>
          <w:highlight w:val="none"/>
          <w:lang w:val="en-US" w:eastAsia="zh-CN"/>
        </w:rPr>
        <w:t xml:space="preserve"> 与规划环评审查意见的符合性分析</w:t>
      </w:r>
    </w:p>
    <w:p w14:paraId="0A10252D">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本项目与《重庆市渠溪河流域综合规划环境影响报告书》审查意见的符合性分析详见表1.9-12所示。</w:t>
      </w:r>
    </w:p>
    <w:p w14:paraId="6FC70F1C">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eastAsia="宋体" w:cs="Arial"/>
          <w:b/>
          <w:bCs/>
          <w:color w:val="auto"/>
          <w:kern w:val="2"/>
          <w:sz w:val="26"/>
          <w:szCs w:val="26"/>
          <w:highlight w:val="none"/>
          <w:lang w:val="en-US" w:eastAsia="zh-CN" w:bidi="ar-SA"/>
        </w:rPr>
      </w:pPr>
      <w:r>
        <w:rPr>
          <w:rFonts w:hint="eastAsia" w:ascii="Arial" w:hAnsi="Arial" w:eastAsia="宋体" w:cs="Arial"/>
          <w:b/>
          <w:bCs/>
          <w:color w:val="auto"/>
          <w:kern w:val="2"/>
          <w:sz w:val="26"/>
          <w:szCs w:val="26"/>
          <w:highlight w:val="none"/>
          <w:lang w:val="en-US" w:eastAsia="zh-CN" w:bidi="ar-SA"/>
        </w:rPr>
        <w:t>表1.9-12 项目与</w:t>
      </w:r>
      <w:r>
        <w:rPr>
          <w:rFonts w:hint="eastAsia" w:ascii="宋体" w:hAnsi="宋体" w:eastAsia="宋体" w:cs="宋体"/>
          <w:b/>
          <w:bCs/>
          <w:color w:val="auto"/>
          <w:kern w:val="0"/>
          <w:sz w:val="26"/>
          <w:szCs w:val="20"/>
          <w:highlight w:val="none"/>
          <w:lang w:val="en-US" w:eastAsia="zh-CN"/>
        </w:rPr>
        <w:t>“</w:t>
      </w:r>
      <w:r>
        <w:rPr>
          <w:rFonts w:hint="default" w:ascii="Arial" w:hAnsi="Arial" w:eastAsia="宋体" w:cs="Arial"/>
          <w:b/>
          <w:bCs/>
          <w:color w:val="auto"/>
          <w:kern w:val="0"/>
          <w:sz w:val="26"/>
          <w:szCs w:val="20"/>
          <w:highlight w:val="none"/>
          <w:lang w:val="en-US" w:eastAsia="zh-CN"/>
        </w:rPr>
        <w:t>丰环函〔2025〕2号</w:t>
      </w:r>
      <w:r>
        <w:rPr>
          <w:rFonts w:hint="eastAsia" w:ascii="宋体" w:hAnsi="宋体" w:eastAsia="宋体" w:cs="宋体"/>
          <w:b/>
          <w:bCs/>
          <w:color w:val="auto"/>
          <w:kern w:val="0"/>
          <w:sz w:val="26"/>
          <w:szCs w:val="20"/>
          <w:highlight w:val="none"/>
          <w:lang w:val="en-US" w:eastAsia="zh-CN"/>
        </w:rPr>
        <w:t>”</w:t>
      </w:r>
      <w:r>
        <w:rPr>
          <w:rFonts w:hint="eastAsia" w:ascii="Arial" w:hAnsi="Arial" w:cs="Arial"/>
          <w:b/>
          <w:bCs/>
          <w:color w:val="auto"/>
          <w:kern w:val="0"/>
          <w:sz w:val="26"/>
          <w:szCs w:val="20"/>
          <w:highlight w:val="none"/>
          <w:lang w:val="en-US" w:eastAsia="zh-CN"/>
        </w:rPr>
        <w:t>的符合性分析</w:t>
      </w:r>
    </w:p>
    <w:tbl>
      <w:tblPr>
        <w:tblStyle w:val="77"/>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425"/>
        <w:gridCol w:w="2925"/>
        <w:gridCol w:w="1001"/>
      </w:tblGrid>
      <w:tr w14:paraId="453A7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0B7B734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序号</w:t>
            </w:r>
          </w:p>
        </w:tc>
        <w:tc>
          <w:tcPr>
            <w:tcW w:w="4425" w:type="dxa"/>
            <w:tcBorders>
              <w:tl2br w:val="nil"/>
              <w:tr2bl w:val="nil"/>
            </w:tcBorders>
            <w:vAlign w:val="center"/>
          </w:tcPr>
          <w:p w14:paraId="61367AA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eastAsia="zh-CN"/>
              </w:rPr>
            </w:pPr>
            <w:r>
              <w:rPr>
                <w:rFonts w:hint="default" w:ascii="Arial" w:hAnsi="Arial" w:cs="Arial"/>
                <w:sz w:val="22"/>
                <w:szCs w:val="22"/>
                <w:lang w:eastAsia="zh-CN"/>
              </w:rPr>
              <w:t>规划环评要求</w:t>
            </w:r>
          </w:p>
        </w:tc>
        <w:tc>
          <w:tcPr>
            <w:tcW w:w="2925" w:type="dxa"/>
            <w:tcBorders>
              <w:tl2br w:val="nil"/>
              <w:tr2bl w:val="nil"/>
            </w:tcBorders>
            <w:vAlign w:val="center"/>
          </w:tcPr>
          <w:p w14:paraId="2BF25A4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本项目情况</w:t>
            </w:r>
          </w:p>
        </w:tc>
        <w:tc>
          <w:tcPr>
            <w:tcW w:w="1001" w:type="dxa"/>
            <w:tcBorders>
              <w:tl2br w:val="nil"/>
              <w:tr2bl w:val="nil"/>
            </w:tcBorders>
            <w:vAlign w:val="center"/>
          </w:tcPr>
          <w:p w14:paraId="03E7793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符合性</w:t>
            </w:r>
          </w:p>
        </w:tc>
      </w:tr>
      <w:tr w14:paraId="77D1E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092F616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1</w:t>
            </w:r>
          </w:p>
        </w:tc>
        <w:tc>
          <w:tcPr>
            <w:tcW w:w="4425" w:type="dxa"/>
            <w:tcBorders>
              <w:tl2br w:val="nil"/>
              <w:tr2bl w:val="nil"/>
            </w:tcBorders>
            <w:vAlign w:val="center"/>
          </w:tcPr>
          <w:p w14:paraId="7F0DEB73">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cs="Arial"/>
                <w:sz w:val="22"/>
                <w:szCs w:val="22"/>
                <w:lang w:eastAsia="zh-CN"/>
              </w:rPr>
            </w:pPr>
            <w:r>
              <w:rPr>
                <w:rFonts w:hint="eastAsia" w:ascii="Arial" w:hAnsi="Arial" w:cs="Arial"/>
                <w:sz w:val="22"/>
                <w:szCs w:val="22"/>
                <w:lang w:eastAsia="zh-CN"/>
              </w:rPr>
              <w:t>（一）</w:t>
            </w:r>
            <w:r>
              <w:rPr>
                <w:rFonts w:hint="default" w:ascii="Arial" w:hAnsi="Arial" w:cs="Arial"/>
                <w:sz w:val="22"/>
                <w:szCs w:val="22"/>
                <w:lang w:eastAsia="zh-CN"/>
              </w:rPr>
              <w:t>坚持生态优先，绿色发展的理念。规划应充分与忠县、丰都县、涪陵区生态环境分区管控成果相衔接，严禁不符合管控要求的各类开发建设活动。根据流域功能定位和环境目标，将流域生态保护和环境治理作为规划优先任务。规划具体建设工程实施涉及生态保护红线，在确定规划工程空间布局时，应重点关注规划工程与所涉生态环境敏感区、生态保护红线的位置关系，其开发建设活动应符合相应管理要求。流域范围内水库应按规定实施生态流量管控，并落实生态基流泄放和监控设施。加强规划工程建设期和运营期环境管理，严格生态环境保护和修复措施，改善流域生态环境质量，切实维护流域生物多样性、水源水质保护、水土保持等功能，确保实现生态优先、绿色发展。</w:t>
            </w:r>
          </w:p>
        </w:tc>
        <w:tc>
          <w:tcPr>
            <w:tcW w:w="2925" w:type="dxa"/>
            <w:tcBorders>
              <w:tl2br w:val="nil"/>
              <w:tr2bl w:val="nil"/>
            </w:tcBorders>
            <w:vAlign w:val="center"/>
          </w:tcPr>
          <w:p w14:paraId="5379774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本项目与丰都县生态环境分区管控成果相符，不涉及生态保护红线，建设、运行过程中高度重视海螺沟流域</w:t>
            </w:r>
            <w:r>
              <w:rPr>
                <w:rFonts w:hint="default" w:ascii="Arial" w:hAnsi="Arial" w:cs="Arial"/>
                <w:sz w:val="22"/>
                <w:szCs w:val="22"/>
                <w:lang w:eastAsia="zh-CN"/>
              </w:rPr>
              <w:t>生态保护和环境治理</w:t>
            </w:r>
            <w:r>
              <w:rPr>
                <w:rFonts w:hint="eastAsia" w:ascii="Arial" w:hAnsi="Arial" w:cs="Arial"/>
                <w:sz w:val="22"/>
                <w:szCs w:val="22"/>
                <w:lang w:eastAsia="zh-CN"/>
              </w:rPr>
              <w:t>，设置生态流量下泄装置，下泄流量为坝址处多年平均流量的</w:t>
            </w:r>
            <w:r>
              <w:rPr>
                <w:rFonts w:hint="eastAsia" w:ascii="Arial" w:hAnsi="Arial" w:cs="Arial"/>
                <w:sz w:val="22"/>
                <w:szCs w:val="22"/>
                <w:lang w:val="en-US" w:eastAsia="zh-CN"/>
              </w:rPr>
              <w:t>15%，加强库区及坝后减水河段环境保护，确保供水水质。</w:t>
            </w:r>
          </w:p>
        </w:tc>
        <w:tc>
          <w:tcPr>
            <w:tcW w:w="1001" w:type="dxa"/>
            <w:tcBorders>
              <w:tl2br w:val="nil"/>
              <w:tr2bl w:val="nil"/>
            </w:tcBorders>
            <w:vAlign w:val="center"/>
          </w:tcPr>
          <w:p w14:paraId="02368B6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5B08C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4B1E06D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2</w:t>
            </w:r>
          </w:p>
        </w:tc>
        <w:tc>
          <w:tcPr>
            <w:tcW w:w="4425" w:type="dxa"/>
            <w:tcBorders>
              <w:tl2br w:val="nil"/>
              <w:tr2bl w:val="nil"/>
            </w:tcBorders>
            <w:vAlign w:val="center"/>
          </w:tcPr>
          <w:p w14:paraId="0E099B26">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eastAsia="zh-CN"/>
              </w:rPr>
            </w:pPr>
            <w:r>
              <w:rPr>
                <w:rFonts w:hint="eastAsia" w:ascii="Arial" w:hAnsi="Arial" w:cs="Arial"/>
                <w:sz w:val="22"/>
                <w:szCs w:val="22"/>
                <w:lang w:eastAsia="zh-CN"/>
              </w:rPr>
              <w:t>（二）严格控制流域开发强度，加强流域水环境质量保护。结合规划所在区域实际需求，优先满足流域生态环境用水，避免对流域生态环境产生不良影响。严格控制流域污染物排放量，强化规划工程施工期间及运行期间水环境污染防治措施。规划飞龙水库、永丰水库、青天水库、海螺沟水库等水源工程建成后应加强库区水质管理，防范库区出现富营养化情况。深化周边农村生活污水管控，促使流域内水环境呈良性发展。强化水环境风险防范，提高水环境突发事件应急处置能力，健全水环境风险管控机制，确保流域水环境质量达标和水环境安全。在规划实施过程中若木瓜洞断面、渠溪河水华监测断面水质出现异常，应暂缓实施规划的水源工程、提水工程或进行流域跟踪评价后方可继续实施。</w:t>
            </w:r>
          </w:p>
        </w:tc>
        <w:tc>
          <w:tcPr>
            <w:tcW w:w="2925" w:type="dxa"/>
            <w:tcBorders>
              <w:tl2br w:val="nil"/>
              <w:tr2bl w:val="nil"/>
            </w:tcBorders>
            <w:vAlign w:val="center"/>
          </w:tcPr>
          <w:p w14:paraId="67CF977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本项目属于流域规划中拟建的海螺沟水库，建成后将加强库区水质管理，避免出现富营养化情况，协同当地相关职能部门做好库周农村生活面源的治理工作。设置生态流量下泄装置，下泄流量为坝址处多年平均流量的</w:t>
            </w:r>
            <w:r>
              <w:rPr>
                <w:rFonts w:hint="eastAsia" w:ascii="Arial" w:hAnsi="Arial" w:cs="Arial"/>
                <w:sz w:val="22"/>
                <w:szCs w:val="22"/>
                <w:lang w:val="en-US" w:eastAsia="zh-CN"/>
              </w:rPr>
              <w:t>15%，确保下游河道水环境呈良性发展。</w:t>
            </w:r>
          </w:p>
        </w:tc>
        <w:tc>
          <w:tcPr>
            <w:tcW w:w="1001" w:type="dxa"/>
            <w:tcBorders>
              <w:tl2br w:val="nil"/>
              <w:tr2bl w:val="nil"/>
            </w:tcBorders>
            <w:vAlign w:val="center"/>
          </w:tcPr>
          <w:p w14:paraId="0CAAA45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0478A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4280AE7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3</w:t>
            </w:r>
          </w:p>
        </w:tc>
        <w:tc>
          <w:tcPr>
            <w:tcW w:w="4425" w:type="dxa"/>
            <w:tcBorders>
              <w:tl2br w:val="nil"/>
              <w:tr2bl w:val="nil"/>
            </w:tcBorders>
            <w:vAlign w:val="center"/>
          </w:tcPr>
          <w:p w14:paraId="596E55CF">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eastAsia="zh-CN"/>
              </w:rPr>
            </w:pPr>
            <w:r>
              <w:rPr>
                <w:rFonts w:hint="eastAsia" w:ascii="Arial" w:hAnsi="Arial" w:cs="Arial"/>
                <w:sz w:val="22"/>
                <w:szCs w:val="22"/>
                <w:lang w:eastAsia="zh-CN"/>
              </w:rPr>
              <w:t>（三）严格落实生态环境保护措施。强化生态环境保护，减缓对野生动物、自然植被和景观的影响。规划实施过程中应注重对地表植被的保护，施工结束后对施工现场进行清理恢复，尽可能恢复到原有景观面貌，对造成的生态损失进行修复或补偿。严格按照《外来入侵物种管理办法》《重点管理外来入侵物种名录》等文件相关要求，防范外来物种入侵，植被恢复应优先推荐当地的物种。</w:t>
            </w:r>
          </w:p>
        </w:tc>
        <w:tc>
          <w:tcPr>
            <w:tcW w:w="2925" w:type="dxa"/>
            <w:tcBorders>
              <w:tl2br w:val="nil"/>
              <w:tr2bl w:val="nil"/>
            </w:tcBorders>
            <w:vAlign w:val="center"/>
          </w:tcPr>
          <w:p w14:paraId="3BC6611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本项目严格控制占地红线，尽量减少植被剥离造成的生物量损失，集中收集、暂存剥离表土，后期用于生态覆土；加强对施工人员的宣传教育，不得捕杀野生动物、水生生物；施工结束后，及时清理场地，采取当地常见植被进行生态覆土，避免外来物种入侵，不得遗留裸露地表。</w:t>
            </w:r>
          </w:p>
        </w:tc>
        <w:tc>
          <w:tcPr>
            <w:tcW w:w="1001" w:type="dxa"/>
            <w:tcBorders>
              <w:tl2br w:val="nil"/>
              <w:tr2bl w:val="nil"/>
            </w:tcBorders>
            <w:vAlign w:val="center"/>
          </w:tcPr>
          <w:p w14:paraId="64E094F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14E3B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65AF0FF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4</w:t>
            </w:r>
          </w:p>
        </w:tc>
        <w:tc>
          <w:tcPr>
            <w:tcW w:w="4425" w:type="dxa"/>
            <w:tcBorders>
              <w:tl2br w:val="nil"/>
              <w:tr2bl w:val="nil"/>
            </w:tcBorders>
            <w:vAlign w:val="center"/>
          </w:tcPr>
          <w:p w14:paraId="3E9F58BB">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eastAsia="zh-CN"/>
              </w:rPr>
            </w:pPr>
            <w:r>
              <w:rPr>
                <w:rFonts w:hint="eastAsia" w:ascii="Arial" w:hAnsi="Arial" w:cs="Arial"/>
                <w:sz w:val="22"/>
                <w:szCs w:val="22"/>
                <w:lang w:eastAsia="zh-CN"/>
              </w:rPr>
              <w:t>（四）规范环境管理，积极推进环境影响跟踪监测。加强日常环境监管，执行建设项目环境影响评价和固定污染源排污许可制度。适时开展地表水、生态环境跟踪监测，落实环境影响跟踪监测计划。规划的实施范围、适用期限、规模、结构和布局等方面发生重大调整或修订的，应重新或者补充进行环境影响评价。</w:t>
            </w:r>
          </w:p>
        </w:tc>
        <w:tc>
          <w:tcPr>
            <w:tcW w:w="2925" w:type="dxa"/>
            <w:tcBorders>
              <w:tl2br w:val="nil"/>
              <w:tr2bl w:val="nil"/>
            </w:tcBorders>
            <w:vAlign w:val="center"/>
          </w:tcPr>
          <w:p w14:paraId="61F6E78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本次正在针对海螺沟水库进行环境影响评价，将针对项目建设和运行制定监测计划，由建设单位实施，并加强环境监管。</w:t>
            </w:r>
          </w:p>
        </w:tc>
        <w:tc>
          <w:tcPr>
            <w:tcW w:w="1001" w:type="dxa"/>
            <w:tcBorders>
              <w:tl2br w:val="nil"/>
              <w:tr2bl w:val="nil"/>
            </w:tcBorders>
            <w:vAlign w:val="center"/>
          </w:tcPr>
          <w:p w14:paraId="279789C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43588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01A46C8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5</w:t>
            </w:r>
          </w:p>
        </w:tc>
        <w:tc>
          <w:tcPr>
            <w:tcW w:w="4425" w:type="dxa"/>
            <w:tcBorders>
              <w:tl2br w:val="nil"/>
              <w:tr2bl w:val="nil"/>
            </w:tcBorders>
            <w:vAlign w:val="center"/>
          </w:tcPr>
          <w:p w14:paraId="0FA9C55D">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eastAsia="zh-CN"/>
              </w:rPr>
            </w:pPr>
            <w:r>
              <w:rPr>
                <w:rFonts w:hint="eastAsia" w:ascii="Arial" w:hAnsi="Arial" w:cs="Arial"/>
                <w:sz w:val="22"/>
                <w:szCs w:val="22"/>
                <w:lang w:eastAsia="zh-CN"/>
              </w:rPr>
              <w:t>（五）推进规划环评与建设项目环评的联动。规划所包含的建设项目，应结合规划环评提出的指导意见做好环境影响评价工作，加强与规划环评的联动。项目环评在落实规划优化调整建议的基础上，应深入论证项目建设可能产生的水环境、水生生态及陆生生态的影响，严格环境准入要求，制定切实可行的水污染防治措施和生态修复或补偿方案，预防或者减轻项目实施可能产生的不良环境影响。政策规划符合性分析、选址的环境合理性和可行性论证等内容可简化。</w:t>
            </w:r>
          </w:p>
        </w:tc>
        <w:tc>
          <w:tcPr>
            <w:tcW w:w="2925" w:type="dxa"/>
            <w:tcBorders>
              <w:tl2br w:val="nil"/>
              <w:tr2bl w:val="nil"/>
            </w:tcBorders>
            <w:vAlign w:val="center"/>
          </w:tcPr>
          <w:p w14:paraId="417CF46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本项目为渠溪河流域规划建设的水库，根据流域规划环评做好环境影响评价工作，深入论证项目建设可能产生的水环境、水生生态及陆生生态的影响，并制定切实可行的水污染防治措施和生态修复或补偿方案，预防或者减轻项目实施可能产生的不良环境影响。</w:t>
            </w:r>
          </w:p>
        </w:tc>
        <w:tc>
          <w:tcPr>
            <w:tcW w:w="1001" w:type="dxa"/>
            <w:tcBorders>
              <w:tl2br w:val="nil"/>
              <w:tr2bl w:val="nil"/>
            </w:tcBorders>
            <w:vAlign w:val="center"/>
          </w:tcPr>
          <w:p w14:paraId="515865F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bl>
    <w:p w14:paraId="705B4DA1">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60"/>
        <w:textAlignment w:val="auto"/>
        <w:rPr>
          <w:rFonts w:hint="eastAsia" w:ascii="Arial" w:hAnsi="Arial" w:eastAsia="宋体" w:cs="Arial"/>
          <w:b w:val="0"/>
          <w:color w:val="auto"/>
          <w:kern w:val="2"/>
          <w:sz w:val="26"/>
          <w:szCs w:val="26"/>
          <w:lang w:val="en-US" w:eastAsia="zh-CN" w:bidi="ar-SA"/>
        </w:rPr>
      </w:pPr>
    </w:p>
    <w:p w14:paraId="36979086">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w:t>
      </w:r>
      <w:r>
        <w:rPr>
          <w:rFonts w:hint="eastAsia" w:ascii="Arial" w:hAnsi="Arial" w:cs="Arial"/>
          <w:b/>
          <w:color w:val="auto"/>
          <w:kern w:val="0"/>
          <w:sz w:val="26"/>
          <w:szCs w:val="20"/>
          <w:highlight w:val="none"/>
          <w:lang w:val="en-US" w:eastAsia="zh-CN"/>
        </w:rPr>
        <w:t>15</w:t>
      </w:r>
      <w:r>
        <w:rPr>
          <w:rFonts w:hint="eastAsia" w:ascii="Arial" w:hAnsi="Arial" w:eastAsia="宋体" w:cs="Arial"/>
          <w:b/>
          <w:color w:val="auto"/>
          <w:kern w:val="0"/>
          <w:sz w:val="26"/>
          <w:szCs w:val="20"/>
          <w:highlight w:val="none"/>
          <w:lang w:val="en-US" w:eastAsia="zh-CN"/>
        </w:rPr>
        <w:t>与</w:t>
      </w:r>
      <w:r>
        <w:rPr>
          <w:rFonts w:hint="eastAsia" w:ascii="Arial" w:hAnsi="Arial" w:cs="Arial"/>
          <w:b/>
          <w:color w:val="auto"/>
          <w:kern w:val="0"/>
          <w:sz w:val="26"/>
          <w:szCs w:val="20"/>
          <w:highlight w:val="none"/>
          <w:lang w:val="en-US" w:eastAsia="zh-CN"/>
        </w:rPr>
        <w:t>“三线一单”的符合性分析</w:t>
      </w:r>
    </w:p>
    <w:p w14:paraId="04224070">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重庆市“三线一单”生态环境分区管控调整方案（2023年）》（渝环规〔2024〕2号），全市国土空间按优先保护、重点管控、一般管控三大类划分为818个环境管控单元。其中，优先保护单元392个，面积占比37.4%；重点管控单元305个，面积占比17.3%；一般管控单元121个，面积占比45.3%。</w:t>
      </w:r>
    </w:p>
    <w:p w14:paraId="6DC7D59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丰都县“三线一单”生态环境分区管控调整方案（2023年）》（丰都府办〔2024〕77号），丰都县国土空间按优先保护、重点管控、一般管控三大类划分为26个环境管控单元。其中，优先保护单元14个，面积占比35.7%；重点管控单元9个，面积占比18.3%；一般管控单元3个，面积占比46.0%。</w:t>
      </w:r>
    </w:p>
    <w:p w14:paraId="665002B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sectPr>
          <w:head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Arial" w:hAnsi="Arial" w:eastAsia="宋体" w:cs="Arial"/>
          <w:b w:val="0"/>
          <w:color w:val="auto"/>
          <w:kern w:val="2"/>
          <w:sz w:val="26"/>
          <w:szCs w:val="26"/>
          <w:lang w:val="en-US" w:eastAsia="zh-CN" w:bidi="ar-SA"/>
        </w:rPr>
        <w:t>根据查询重庆市“三线一单”智检服务平台，本项目选址选线涉及丰都县</w:t>
      </w:r>
      <w:r>
        <w:rPr>
          <w:rFonts w:hint="default" w:ascii="Arial" w:hAnsi="Arial" w:eastAsia="宋体" w:cs="Arial"/>
          <w:b w:val="0"/>
          <w:color w:val="auto"/>
          <w:kern w:val="2"/>
          <w:sz w:val="26"/>
          <w:szCs w:val="26"/>
          <w:lang w:val="en-US" w:eastAsia="zh-CN" w:bidi="ar-SA"/>
        </w:rPr>
        <w:t>一般管控单元</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渠溪河木瓜洞</w:t>
      </w:r>
      <w:r>
        <w:rPr>
          <w:rFonts w:hint="eastAsia" w:ascii="Arial" w:hAnsi="Arial" w:eastAsia="宋体" w:cs="Arial"/>
          <w:b w:val="0"/>
          <w:color w:val="auto"/>
          <w:kern w:val="2"/>
          <w:sz w:val="26"/>
          <w:szCs w:val="26"/>
          <w:lang w:val="en-US" w:eastAsia="zh-CN" w:bidi="ar-SA"/>
        </w:rPr>
        <w:t>，编号为ZH50023030003。相关符合性分析详见表1.9-13所示。</w:t>
      </w:r>
    </w:p>
    <w:p w14:paraId="301CC3C2">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表1.9-13  拟建项目与“三线一单”符合性分析一览表</w:t>
      </w:r>
    </w:p>
    <w:tbl>
      <w:tblPr>
        <w:tblStyle w:val="77"/>
        <w:tblW w:w="13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847"/>
        <w:gridCol w:w="6478"/>
        <w:gridCol w:w="2990"/>
        <w:gridCol w:w="970"/>
      </w:tblGrid>
      <w:tr w14:paraId="3DB3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1" w:type="dxa"/>
            <w:gridSpan w:val="2"/>
            <w:tcBorders>
              <w:top w:val="single" w:color="auto" w:sz="12" w:space="0"/>
              <w:left w:val="single" w:color="auto" w:sz="12" w:space="0"/>
            </w:tcBorders>
            <w:noWrap w:val="0"/>
            <w:vAlign w:val="center"/>
          </w:tcPr>
          <w:p w14:paraId="35C3140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环境管控单元编码</w:t>
            </w:r>
          </w:p>
        </w:tc>
        <w:tc>
          <w:tcPr>
            <w:tcW w:w="6478" w:type="dxa"/>
            <w:tcBorders>
              <w:top w:val="single" w:color="auto" w:sz="12" w:space="0"/>
            </w:tcBorders>
            <w:noWrap w:val="0"/>
            <w:vAlign w:val="center"/>
          </w:tcPr>
          <w:p w14:paraId="2AA8E63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环境管控单元名称</w:t>
            </w:r>
          </w:p>
        </w:tc>
        <w:tc>
          <w:tcPr>
            <w:tcW w:w="3960" w:type="dxa"/>
            <w:gridSpan w:val="2"/>
            <w:tcBorders>
              <w:top w:val="single" w:color="auto" w:sz="12" w:space="0"/>
              <w:right w:val="single" w:color="auto" w:sz="12" w:space="0"/>
            </w:tcBorders>
            <w:noWrap w:val="0"/>
            <w:vAlign w:val="center"/>
          </w:tcPr>
          <w:p w14:paraId="0D9A028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环境管控单元类型</w:t>
            </w:r>
          </w:p>
        </w:tc>
      </w:tr>
      <w:tr w14:paraId="325C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1" w:type="dxa"/>
            <w:gridSpan w:val="2"/>
            <w:tcBorders>
              <w:left w:val="single" w:color="auto" w:sz="12" w:space="0"/>
            </w:tcBorders>
            <w:noWrap w:val="0"/>
            <w:vAlign w:val="center"/>
          </w:tcPr>
          <w:p w14:paraId="1BCC74B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r>
              <w:rPr>
                <w:rFonts w:hint="eastAsia" w:ascii="Arial" w:hAnsi="Arial" w:eastAsia="宋体" w:cs="Arial"/>
                <w:b w:val="0"/>
                <w:color w:val="auto"/>
                <w:kern w:val="2"/>
                <w:sz w:val="22"/>
                <w:szCs w:val="22"/>
                <w:lang w:val="en-US" w:eastAsia="zh-CN" w:bidi="ar-SA"/>
              </w:rPr>
              <w:t>ZH50023030003</w:t>
            </w:r>
          </w:p>
        </w:tc>
        <w:tc>
          <w:tcPr>
            <w:tcW w:w="6478" w:type="dxa"/>
            <w:noWrap w:val="0"/>
            <w:vAlign w:val="center"/>
          </w:tcPr>
          <w:p w14:paraId="61D4CC6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r>
              <w:rPr>
                <w:rFonts w:hint="default" w:ascii="Arial" w:hAnsi="Arial" w:eastAsia="宋体" w:cs="Arial"/>
                <w:b w:val="0"/>
                <w:color w:val="auto"/>
                <w:kern w:val="2"/>
                <w:sz w:val="22"/>
                <w:szCs w:val="22"/>
                <w:lang w:val="en-US" w:eastAsia="zh-CN" w:bidi="ar-SA"/>
              </w:rPr>
              <w:t>渠溪河木瓜洞</w:t>
            </w:r>
          </w:p>
        </w:tc>
        <w:tc>
          <w:tcPr>
            <w:tcW w:w="3960" w:type="dxa"/>
            <w:gridSpan w:val="2"/>
            <w:tcBorders>
              <w:right w:val="single" w:color="auto" w:sz="12" w:space="0"/>
            </w:tcBorders>
            <w:noWrap w:val="0"/>
            <w:vAlign w:val="center"/>
          </w:tcPr>
          <w:p w14:paraId="0DDA4A0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r>
              <w:rPr>
                <w:rFonts w:hint="default" w:ascii="Arial" w:hAnsi="Arial" w:eastAsia="宋体" w:cs="Arial"/>
                <w:b w:val="0"/>
                <w:color w:val="auto"/>
                <w:kern w:val="2"/>
                <w:sz w:val="22"/>
                <w:szCs w:val="22"/>
                <w:lang w:val="en-US" w:eastAsia="zh-CN" w:bidi="ar-SA"/>
              </w:rPr>
              <w:t>一般管控单元</w:t>
            </w:r>
          </w:p>
        </w:tc>
      </w:tr>
      <w:tr w14:paraId="3D7A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tcBorders>
              <w:left w:val="single" w:color="auto" w:sz="12" w:space="0"/>
            </w:tcBorders>
            <w:noWrap w:val="0"/>
            <w:vAlign w:val="center"/>
          </w:tcPr>
          <w:p w14:paraId="3396BFC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管控要求层级</w:t>
            </w:r>
          </w:p>
        </w:tc>
        <w:tc>
          <w:tcPr>
            <w:tcW w:w="1847" w:type="dxa"/>
            <w:noWrap w:val="0"/>
            <w:vAlign w:val="center"/>
          </w:tcPr>
          <w:p w14:paraId="496261B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管控类型</w:t>
            </w:r>
          </w:p>
        </w:tc>
        <w:tc>
          <w:tcPr>
            <w:tcW w:w="6478" w:type="dxa"/>
            <w:noWrap w:val="0"/>
            <w:vAlign w:val="center"/>
          </w:tcPr>
          <w:p w14:paraId="4729B27E">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管控要求</w:t>
            </w:r>
          </w:p>
        </w:tc>
        <w:tc>
          <w:tcPr>
            <w:tcW w:w="2990" w:type="dxa"/>
            <w:noWrap w:val="0"/>
            <w:vAlign w:val="center"/>
          </w:tcPr>
          <w:p w14:paraId="7C923AA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建设项目相关情况</w:t>
            </w:r>
          </w:p>
        </w:tc>
        <w:tc>
          <w:tcPr>
            <w:tcW w:w="970" w:type="dxa"/>
            <w:tcBorders>
              <w:right w:val="single" w:color="auto" w:sz="12" w:space="0"/>
            </w:tcBorders>
            <w:noWrap w:val="0"/>
            <w:vAlign w:val="center"/>
          </w:tcPr>
          <w:p w14:paraId="541518F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符合性</w:t>
            </w:r>
          </w:p>
        </w:tc>
      </w:tr>
      <w:tr w14:paraId="2444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restart"/>
            <w:tcBorders>
              <w:left w:val="single" w:color="auto" w:sz="12" w:space="0"/>
            </w:tcBorders>
            <w:noWrap w:val="0"/>
            <w:vAlign w:val="center"/>
          </w:tcPr>
          <w:p w14:paraId="22BDD92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全市总体管控要求</w:t>
            </w:r>
          </w:p>
        </w:tc>
        <w:tc>
          <w:tcPr>
            <w:tcW w:w="1847" w:type="dxa"/>
            <w:noWrap w:val="0"/>
            <w:vAlign w:val="center"/>
          </w:tcPr>
          <w:p w14:paraId="4F03C2C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空间布局约束</w:t>
            </w:r>
          </w:p>
        </w:tc>
        <w:tc>
          <w:tcPr>
            <w:tcW w:w="6478" w:type="dxa"/>
            <w:noWrap w:val="0"/>
            <w:vAlign w:val="center"/>
          </w:tcPr>
          <w:p w14:paraId="735941AB">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第一条</w:t>
            </w:r>
            <w:r>
              <w:rPr>
                <w:rFonts w:hint="eastAsia" w:ascii="Arial" w:hAnsi="Arial" w:eastAsia="宋体" w:cs="Arial"/>
                <w:sz w:val="22"/>
                <w:szCs w:val="22"/>
                <w:lang w:eastAsia="zh-CN"/>
              </w:rPr>
              <w:t>：</w:t>
            </w:r>
            <w:r>
              <w:rPr>
                <w:rFonts w:hint="default" w:ascii="Arial" w:hAnsi="Arial" w:eastAsia="宋体" w:cs="Arial"/>
                <w:sz w:val="22"/>
                <w:szCs w:val="22"/>
              </w:rPr>
              <w:t>深入实施农村</w:t>
            </w:r>
            <w:r>
              <w:rPr>
                <w:rFonts w:hint="eastAsia" w:ascii="宋体" w:hAnsi="宋体" w:eastAsia="宋体" w:cs="宋体"/>
                <w:sz w:val="22"/>
                <w:szCs w:val="22"/>
              </w:rPr>
              <w:t>“厕所革命”</w:t>
            </w:r>
            <w:r>
              <w:rPr>
                <w:rFonts w:hint="default" w:ascii="Arial" w:hAnsi="Arial" w:eastAsia="宋体" w:cs="Arial"/>
                <w:sz w:val="22"/>
                <w:szCs w:val="22"/>
              </w:rPr>
              <w:t>，推进农村生活垃圾治理和农村生活污水治理，基本消除较大面积农村黑臭水体，整治提升农村人居环境。</w:t>
            </w:r>
          </w:p>
        </w:tc>
        <w:tc>
          <w:tcPr>
            <w:tcW w:w="2990" w:type="dxa"/>
            <w:noWrap w:val="0"/>
            <w:vAlign w:val="center"/>
          </w:tcPr>
          <w:p w14:paraId="3233A0C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不涉及</w:t>
            </w:r>
          </w:p>
        </w:tc>
        <w:tc>
          <w:tcPr>
            <w:tcW w:w="970" w:type="dxa"/>
            <w:tcBorders>
              <w:right w:val="single" w:color="auto" w:sz="12" w:space="0"/>
            </w:tcBorders>
            <w:noWrap w:val="0"/>
            <w:vAlign w:val="center"/>
          </w:tcPr>
          <w:p w14:paraId="51FBD4B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w:t>
            </w:r>
          </w:p>
        </w:tc>
      </w:tr>
      <w:tr w14:paraId="2CCE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31EF0ED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noWrap w:val="0"/>
            <w:vAlign w:val="center"/>
          </w:tcPr>
          <w:p w14:paraId="7D00924F">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eastAsia="宋体" w:cs="Arial"/>
                <w:sz w:val="22"/>
                <w:szCs w:val="22"/>
                <w:lang w:eastAsia="zh-CN"/>
              </w:rPr>
              <w:t>污染物排放管控</w:t>
            </w:r>
          </w:p>
        </w:tc>
        <w:tc>
          <w:tcPr>
            <w:tcW w:w="6478" w:type="dxa"/>
            <w:noWrap w:val="0"/>
            <w:vAlign w:val="center"/>
          </w:tcPr>
          <w:p w14:paraId="221BD92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eastAsia="宋体" w:cs="Arial"/>
                <w:sz w:val="22"/>
                <w:szCs w:val="22"/>
                <w:lang w:eastAsia="zh-CN"/>
              </w:rPr>
              <w:t>第二条：加强畜禽粪污资源化利用，加快推动长江沿线畜禽规模化养殖场粪污处理配套设施装备提档升级，推进畜禽养殖户粪污处理设施装备配套，推行畜禽粪肥低成本、机械化、就地就近还田，推进水产养殖尾水治理，强化水产养殖投入品使用管理。</w:t>
            </w:r>
          </w:p>
        </w:tc>
        <w:tc>
          <w:tcPr>
            <w:tcW w:w="2990" w:type="dxa"/>
            <w:noWrap w:val="0"/>
            <w:vAlign w:val="center"/>
          </w:tcPr>
          <w:p w14:paraId="5767A94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不涉及</w:t>
            </w:r>
          </w:p>
        </w:tc>
        <w:tc>
          <w:tcPr>
            <w:tcW w:w="970" w:type="dxa"/>
            <w:tcBorders>
              <w:right w:val="single" w:color="auto" w:sz="12" w:space="0"/>
            </w:tcBorders>
            <w:noWrap w:val="0"/>
            <w:vAlign w:val="center"/>
          </w:tcPr>
          <w:p w14:paraId="18D7D48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w:t>
            </w:r>
          </w:p>
        </w:tc>
      </w:tr>
      <w:tr w14:paraId="3ADF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restart"/>
            <w:tcBorders>
              <w:left w:val="single" w:color="auto" w:sz="12" w:space="0"/>
            </w:tcBorders>
            <w:noWrap w:val="0"/>
            <w:vAlign w:val="center"/>
          </w:tcPr>
          <w:p w14:paraId="034756D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丰都县</w:t>
            </w:r>
            <w:r>
              <w:rPr>
                <w:rFonts w:hint="default" w:ascii="Arial" w:hAnsi="Arial" w:eastAsia="宋体" w:cs="Arial"/>
                <w:sz w:val="22"/>
                <w:szCs w:val="22"/>
              </w:rPr>
              <w:t>总体管控要求</w:t>
            </w:r>
          </w:p>
        </w:tc>
        <w:tc>
          <w:tcPr>
            <w:tcW w:w="1847" w:type="dxa"/>
            <w:vMerge w:val="restart"/>
            <w:noWrap w:val="0"/>
            <w:vAlign w:val="center"/>
          </w:tcPr>
          <w:p w14:paraId="217690E8">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空间布局约束</w:t>
            </w:r>
          </w:p>
        </w:tc>
        <w:tc>
          <w:tcPr>
            <w:tcW w:w="6478" w:type="dxa"/>
            <w:noWrap w:val="0"/>
            <w:vAlign w:val="top"/>
          </w:tcPr>
          <w:p w14:paraId="39AB4C50">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第一条</w:t>
            </w:r>
            <w:r>
              <w:rPr>
                <w:rFonts w:hint="eastAsia" w:ascii="Arial" w:hAnsi="Arial" w:eastAsia="宋体" w:cs="Arial"/>
                <w:kern w:val="0"/>
                <w:sz w:val="22"/>
                <w:szCs w:val="22"/>
                <w:lang w:eastAsia="zh-CN"/>
              </w:rPr>
              <w:t>：</w:t>
            </w:r>
            <w:r>
              <w:rPr>
                <w:rFonts w:hint="default" w:ascii="Arial" w:hAnsi="Arial" w:eastAsia="宋体" w:cs="Arial"/>
                <w:kern w:val="0"/>
                <w:sz w:val="22"/>
                <w:szCs w:val="22"/>
              </w:rPr>
              <w:t>执行重点管控单元市级总体要求第一条、第二条、第三条、第五条和第七条。</w:t>
            </w:r>
          </w:p>
        </w:tc>
        <w:tc>
          <w:tcPr>
            <w:tcW w:w="2990" w:type="dxa"/>
            <w:noWrap w:val="0"/>
            <w:vAlign w:val="center"/>
          </w:tcPr>
          <w:p w14:paraId="3934B29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本项目所在地为一般管控单元。</w:t>
            </w:r>
          </w:p>
        </w:tc>
        <w:tc>
          <w:tcPr>
            <w:tcW w:w="970" w:type="dxa"/>
            <w:tcBorders>
              <w:right w:val="single" w:color="auto" w:sz="12" w:space="0"/>
            </w:tcBorders>
            <w:noWrap w:val="0"/>
            <w:vAlign w:val="center"/>
          </w:tcPr>
          <w:p w14:paraId="45ACFDA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val="en-US" w:eastAsia="zh-CN"/>
              </w:rPr>
            </w:pPr>
            <w:r>
              <w:rPr>
                <w:rFonts w:hint="eastAsia" w:ascii="Arial" w:hAnsi="Arial" w:cs="Arial"/>
                <w:sz w:val="22"/>
                <w:szCs w:val="22"/>
                <w:lang w:val="en-US" w:eastAsia="zh-CN"/>
              </w:rPr>
              <w:t>/</w:t>
            </w:r>
          </w:p>
        </w:tc>
      </w:tr>
      <w:tr w14:paraId="12F3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2BDDCD0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1421B82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3E05DA6E">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第二条</w:t>
            </w:r>
            <w:r>
              <w:rPr>
                <w:rFonts w:hint="eastAsia" w:ascii="Arial" w:hAnsi="Arial" w:eastAsia="宋体" w:cs="Arial"/>
                <w:kern w:val="0"/>
                <w:sz w:val="22"/>
                <w:szCs w:val="22"/>
                <w:lang w:eastAsia="zh-CN"/>
              </w:rPr>
              <w:t>：</w:t>
            </w:r>
            <w:r>
              <w:rPr>
                <w:rFonts w:hint="default" w:ascii="Arial" w:hAnsi="Arial" w:eastAsia="宋体" w:cs="Arial"/>
                <w:kern w:val="0"/>
                <w:sz w:val="22"/>
                <w:szCs w:val="22"/>
              </w:rPr>
              <w:t>严把项目准入关口，对不符合要求的高耗能、高排放、低水平项目坚决不予准入。除在安全或者产业布局等方面有特殊要求的项目外，新建有污染物排放的工业项目应当进入工业集聚区，不得在工业园</w:t>
            </w:r>
            <w:r>
              <w:rPr>
                <w:rFonts w:hint="eastAsia" w:ascii="宋体" w:hAnsi="宋体" w:eastAsia="宋体" w:cs="宋体"/>
                <w:kern w:val="0"/>
                <w:sz w:val="22"/>
                <w:szCs w:val="22"/>
              </w:rPr>
              <w:t>区(工业集聚区)以外区域</w:t>
            </w:r>
            <w:r>
              <w:rPr>
                <w:rFonts w:hint="default" w:ascii="Arial" w:hAnsi="Arial" w:eastAsia="宋体" w:cs="Arial"/>
                <w:kern w:val="0"/>
                <w:sz w:val="22"/>
                <w:szCs w:val="22"/>
              </w:rPr>
              <w:t>实施单纯增加产能的技改</w:t>
            </w:r>
            <w:r>
              <w:rPr>
                <w:rFonts w:hint="eastAsia" w:ascii="宋体" w:hAnsi="宋体" w:eastAsia="宋体" w:cs="宋体"/>
                <w:kern w:val="0"/>
                <w:sz w:val="22"/>
                <w:szCs w:val="22"/>
              </w:rPr>
              <w:t>(扩建)</w:t>
            </w:r>
            <w:r>
              <w:rPr>
                <w:rFonts w:hint="default" w:ascii="Arial" w:hAnsi="Arial" w:eastAsia="宋体" w:cs="Arial"/>
                <w:kern w:val="0"/>
                <w:sz w:val="22"/>
                <w:szCs w:val="22"/>
              </w:rPr>
              <w:t>工业项目</w:t>
            </w:r>
            <w:r>
              <w:rPr>
                <w:rFonts w:hint="eastAsia" w:ascii="Arial" w:hAnsi="Arial" w:eastAsia="宋体" w:cs="Arial"/>
                <w:kern w:val="0"/>
                <w:sz w:val="22"/>
                <w:szCs w:val="22"/>
                <w:lang w:eastAsia="zh-CN"/>
              </w:rPr>
              <w:t>；</w:t>
            </w:r>
            <w:r>
              <w:rPr>
                <w:rFonts w:hint="default" w:ascii="Arial" w:hAnsi="Arial" w:eastAsia="宋体" w:cs="Arial"/>
                <w:kern w:val="0"/>
                <w:sz w:val="22"/>
                <w:szCs w:val="22"/>
              </w:rPr>
              <w:t>新建化工项目应当进入全市统一布局的化工产业集聚区</w:t>
            </w:r>
            <w:r>
              <w:rPr>
                <w:rFonts w:hint="eastAsia" w:ascii="Arial" w:hAnsi="Arial" w:eastAsia="宋体" w:cs="Arial"/>
                <w:kern w:val="0"/>
                <w:sz w:val="22"/>
                <w:szCs w:val="22"/>
                <w:lang w:eastAsia="zh-CN"/>
              </w:rPr>
              <w:t>；</w:t>
            </w:r>
            <w:r>
              <w:rPr>
                <w:rFonts w:hint="default" w:ascii="Arial" w:hAnsi="Arial" w:eastAsia="宋体" w:cs="Arial"/>
                <w:kern w:val="0"/>
                <w:sz w:val="22"/>
                <w:szCs w:val="22"/>
              </w:rPr>
              <w:t>鼓励现有工业项目、化工项目分别搬入工业集聚区、化工产业集聚区。</w:t>
            </w:r>
          </w:p>
        </w:tc>
        <w:tc>
          <w:tcPr>
            <w:tcW w:w="2990" w:type="dxa"/>
            <w:noWrap w:val="0"/>
            <w:vAlign w:val="center"/>
          </w:tcPr>
          <w:p w14:paraId="3C77E7B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本项目为水库建设，不属于工业项目。</w:t>
            </w:r>
          </w:p>
        </w:tc>
        <w:tc>
          <w:tcPr>
            <w:tcW w:w="970" w:type="dxa"/>
            <w:tcBorders>
              <w:right w:val="single" w:color="auto" w:sz="12" w:space="0"/>
            </w:tcBorders>
            <w:noWrap w:val="0"/>
            <w:vAlign w:val="center"/>
          </w:tcPr>
          <w:p w14:paraId="43A5ADFE">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569C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6F45F4A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26F73B7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36589590">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第三条</w:t>
            </w:r>
            <w:r>
              <w:rPr>
                <w:rFonts w:hint="eastAsia" w:ascii="Arial" w:hAnsi="Arial" w:eastAsia="宋体" w:cs="Arial"/>
                <w:kern w:val="0"/>
                <w:sz w:val="22"/>
                <w:szCs w:val="22"/>
                <w:lang w:eastAsia="zh-CN"/>
              </w:rPr>
              <w:t>：</w:t>
            </w:r>
            <w:r>
              <w:rPr>
                <w:rFonts w:hint="default" w:ascii="Arial" w:hAnsi="Arial" w:eastAsia="宋体" w:cs="Arial"/>
                <w:kern w:val="0"/>
                <w:sz w:val="22"/>
                <w:szCs w:val="22"/>
              </w:rPr>
              <w:t>与敏感用地</w:t>
            </w:r>
            <w:r>
              <w:rPr>
                <w:rFonts w:hint="eastAsia" w:ascii="宋体" w:hAnsi="宋体" w:eastAsia="宋体" w:cs="宋体"/>
                <w:kern w:val="0"/>
                <w:sz w:val="22"/>
                <w:szCs w:val="22"/>
              </w:rPr>
              <w:t>(居住、教育、医疗)相邻的</w:t>
            </w:r>
            <w:r>
              <w:rPr>
                <w:rFonts w:hint="default" w:ascii="Arial" w:hAnsi="Arial" w:eastAsia="宋体" w:cs="Arial"/>
                <w:kern w:val="0"/>
                <w:sz w:val="22"/>
                <w:szCs w:val="22"/>
              </w:rPr>
              <w:t>工业地块严格控制排放《有毒有害大气污染物名录》所列大气环境污染物以及《危险化学品目录》所列剧毒物质的项目建设，建设涉及恶臭异味物质等易扰民污染物排放的项目应进行严格论证。涉及环境防护距离的工业企业或项目应通过选址或调整布局原则上将环境防护距离控制在园区边界或用地红线内，提前合理规划项目地块布置、预防环境风</w:t>
            </w:r>
            <w:r>
              <w:rPr>
                <w:rFonts w:hint="eastAsia" w:ascii="Arial" w:hAnsi="Arial" w:eastAsia="宋体" w:cs="Arial"/>
                <w:kern w:val="0"/>
                <w:sz w:val="22"/>
                <w:szCs w:val="22"/>
                <w:lang w:eastAsia="zh-CN"/>
              </w:rPr>
              <w:t>险。</w:t>
            </w:r>
          </w:p>
        </w:tc>
        <w:tc>
          <w:tcPr>
            <w:tcW w:w="2990" w:type="dxa"/>
            <w:noWrap w:val="0"/>
            <w:vAlign w:val="center"/>
          </w:tcPr>
          <w:p w14:paraId="2CCD178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本项目为水库建设，运营期无废气产生。</w:t>
            </w:r>
          </w:p>
        </w:tc>
        <w:tc>
          <w:tcPr>
            <w:tcW w:w="970" w:type="dxa"/>
            <w:tcBorders>
              <w:right w:val="single" w:color="auto" w:sz="12" w:space="0"/>
            </w:tcBorders>
            <w:noWrap w:val="0"/>
            <w:vAlign w:val="center"/>
          </w:tcPr>
          <w:p w14:paraId="2CE04CD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7331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141E574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4BCB29F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2ADE5A15">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第四条</w:t>
            </w:r>
            <w:r>
              <w:rPr>
                <w:rFonts w:hint="eastAsia" w:ascii="Arial" w:hAnsi="Arial" w:eastAsia="宋体" w:cs="Arial"/>
                <w:kern w:val="0"/>
                <w:sz w:val="22"/>
                <w:szCs w:val="22"/>
                <w:lang w:eastAsia="zh-CN"/>
              </w:rPr>
              <w:t>：</w:t>
            </w:r>
            <w:r>
              <w:rPr>
                <w:rFonts w:hint="default" w:ascii="Arial" w:hAnsi="Arial" w:eastAsia="宋体" w:cs="Arial"/>
                <w:kern w:val="0"/>
                <w:sz w:val="22"/>
                <w:szCs w:val="22"/>
              </w:rPr>
              <w:t>禁止在长江岸线一公里范围内布局新建重化工、纸浆制造、印染等存在环境风险的项目。</w:t>
            </w:r>
          </w:p>
        </w:tc>
        <w:tc>
          <w:tcPr>
            <w:tcW w:w="2990" w:type="dxa"/>
            <w:noWrap w:val="0"/>
            <w:vAlign w:val="center"/>
          </w:tcPr>
          <w:p w14:paraId="17DED58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本项目为水库建设，不属于工业项目。</w:t>
            </w:r>
          </w:p>
        </w:tc>
        <w:tc>
          <w:tcPr>
            <w:tcW w:w="970" w:type="dxa"/>
            <w:tcBorders>
              <w:right w:val="single" w:color="auto" w:sz="12" w:space="0"/>
            </w:tcBorders>
            <w:noWrap w:val="0"/>
            <w:vAlign w:val="center"/>
          </w:tcPr>
          <w:p w14:paraId="36193C8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373A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7CCD880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4127E74F">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15E5ABE6">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第五条</w:t>
            </w:r>
            <w:r>
              <w:rPr>
                <w:rFonts w:hint="eastAsia" w:ascii="Arial" w:hAnsi="Arial" w:eastAsia="宋体" w:cs="Arial"/>
                <w:kern w:val="0"/>
                <w:sz w:val="22"/>
                <w:szCs w:val="22"/>
                <w:lang w:eastAsia="zh-CN"/>
              </w:rPr>
              <w:t>：</w:t>
            </w:r>
            <w:r>
              <w:rPr>
                <w:rFonts w:hint="default" w:ascii="Arial" w:hAnsi="Arial" w:eastAsia="宋体" w:cs="Arial"/>
                <w:kern w:val="0"/>
                <w:sz w:val="22"/>
                <w:szCs w:val="22"/>
              </w:rPr>
              <w:t>推进三峡库区消落带湿地保护与恢复，按照保留保护区、生态修复区和工程治理区，对三峡库区消落区实行分区保护和多级治理。</w:t>
            </w:r>
          </w:p>
        </w:tc>
        <w:tc>
          <w:tcPr>
            <w:tcW w:w="2990" w:type="dxa"/>
            <w:noWrap w:val="0"/>
            <w:vAlign w:val="center"/>
          </w:tcPr>
          <w:p w14:paraId="7404A75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本项目位于海螺沟流域，未在三峡水库消落带内。</w:t>
            </w:r>
          </w:p>
        </w:tc>
        <w:tc>
          <w:tcPr>
            <w:tcW w:w="970" w:type="dxa"/>
            <w:tcBorders>
              <w:right w:val="single" w:color="auto" w:sz="12" w:space="0"/>
            </w:tcBorders>
            <w:noWrap w:val="0"/>
            <w:vAlign w:val="center"/>
          </w:tcPr>
          <w:p w14:paraId="4608D30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5689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0BD4C68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319226A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49360805">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第六条</w:t>
            </w:r>
            <w:r>
              <w:rPr>
                <w:rFonts w:hint="eastAsia" w:ascii="Arial" w:hAnsi="Arial" w:eastAsia="宋体" w:cs="Arial"/>
                <w:kern w:val="0"/>
                <w:sz w:val="22"/>
                <w:szCs w:val="22"/>
                <w:lang w:eastAsia="zh-CN"/>
              </w:rPr>
              <w:t>：</w:t>
            </w:r>
            <w:r>
              <w:rPr>
                <w:rFonts w:hint="default" w:ascii="Arial" w:hAnsi="Arial" w:eastAsia="宋体" w:cs="Arial"/>
                <w:kern w:val="0"/>
                <w:sz w:val="22"/>
                <w:szCs w:val="22"/>
              </w:rPr>
              <w:t>长江防洪标准水位或者防洪护岸工程划定的河道管理范围外侧，城镇规划建设用地内尚未建设的区域应当控制不少于五十米的绿化缓冲带，非城镇建设用地区域应当控制不少于一百米的绿化缓冲带。长江一级支流河道管理范围外侧，城镇规划建设用地内尚未建设的区域应当控制不少于三十米的绿化缓冲带，非城镇建设用地区域应当控制不少于一百米的绿化缓冲带。长江的二级、三级支流河道管理范围外侧，城镇规划建设用地内尚未建设的区域应当控制不少于十米的绿化缓冲带。绿化缓冲带内应当保持原有的状况和自然形态，原则上应当为绿地，除护岸工程、市政设施等必要的建设外，禁止修建任何建筑物和构筑物。禁止破坏生态环境的行为，对已有人为破坏的应当进行生态修复。</w:t>
            </w:r>
          </w:p>
        </w:tc>
        <w:tc>
          <w:tcPr>
            <w:tcW w:w="2990" w:type="dxa"/>
            <w:noWrap w:val="0"/>
            <w:vAlign w:val="center"/>
          </w:tcPr>
          <w:p w14:paraId="594967E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本项目为水库建设，位于海螺沟流域，为长江三级支流，不属于</w:t>
            </w:r>
            <w:r>
              <w:rPr>
                <w:rFonts w:hint="default" w:ascii="Arial" w:hAnsi="Arial" w:eastAsia="宋体" w:cs="Arial"/>
                <w:kern w:val="0"/>
                <w:sz w:val="22"/>
                <w:szCs w:val="22"/>
              </w:rPr>
              <w:t>城镇规划建设用地</w:t>
            </w:r>
            <w:r>
              <w:rPr>
                <w:rFonts w:hint="eastAsia" w:ascii="Arial" w:hAnsi="Arial" w:eastAsia="宋体" w:cs="Arial"/>
                <w:kern w:val="0"/>
                <w:sz w:val="22"/>
                <w:szCs w:val="22"/>
                <w:lang w:eastAsia="zh-CN"/>
              </w:rPr>
              <w:t>。</w:t>
            </w:r>
          </w:p>
        </w:tc>
        <w:tc>
          <w:tcPr>
            <w:tcW w:w="970" w:type="dxa"/>
            <w:tcBorders>
              <w:right w:val="single" w:color="auto" w:sz="12" w:space="0"/>
            </w:tcBorders>
            <w:noWrap w:val="0"/>
            <w:vAlign w:val="center"/>
          </w:tcPr>
          <w:p w14:paraId="2B5A507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316B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6FB7877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4E881D2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0205BE41">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第七条</w:t>
            </w:r>
            <w:r>
              <w:rPr>
                <w:rFonts w:hint="eastAsia" w:ascii="Arial" w:hAnsi="Arial" w:eastAsia="宋体" w:cs="Arial"/>
                <w:kern w:val="0"/>
                <w:sz w:val="22"/>
                <w:szCs w:val="22"/>
                <w:lang w:eastAsia="zh-CN"/>
              </w:rPr>
              <w:t>：</w:t>
            </w:r>
            <w:r>
              <w:rPr>
                <w:rFonts w:hint="default" w:ascii="Arial" w:hAnsi="Arial" w:eastAsia="宋体" w:cs="Arial"/>
                <w:kern w:val="0"/>
                <w:sz w:val="22"/>
                <w:szCs w:val="22"/>
              </w:rPr>
              <w:t>旅游开发建设规模和旅游活动规模不得超过旅游区的生态环境承载力，旅游区内人工景点与服务设施的性质、布局、规模、体量、高度、造型、用材、质感及色彩等应与自然景观和当地的历史文化相协调，不得建设降低景观相容性或破坏景观的项目。</w:t>
            </w:r>
          </w:p>
        </w:tc>
        <w:tc>
          <w:tcPr>
            <w:tcW w:w="2990" w:type="dxa"/>
            <w:noWrap w:val="0"/>
            <w:vAlign w:val="center"/>
          </w:tcPr>
          <w:p w14:paraId="79810CA0">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本项目为水库建设，不属于旅游开发。</w:t>
            </w:r>
          </w:p>
        </w:tc>
        <w:tc>
          <w:tcPr>
            <w:tcW w:w="970" w:type="dxa"/>
            <w:tcBorders>
              <w:right w:val="single" w:color="auto" w:sz="12" w:space="0"/>
            </w:tcBorders>
            <w:noWrap w:val="0"/>
            <w:vAlign w:val="center"/>
          </w:tcPr>
          <w:p w14:paraId="3980050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7734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51C4679B">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restart"/>
            <w:noWrap w:val="0"/>
            <w:vAlign w:val="center"/>
          </w:tcPr>
          <w:p w14:paraId="34AD30C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eastAsia="宋体" w:cs="Arial"/>
                <w:sz w:val="22"/>
                <w:szCs w:val="22"/>
                <w:lang w:eastAsia="zh-CN"/>
              </w:rPr>
              <w:t>污染物排放管控</w:t>
            </w:r>
          </w:p>
        </w:tc>
        <w:tc>
          <w:tcPr>
            <w:tcW w:w="6478" w:type="dxa"/>
            <w:noWrap w:val="0"/>
            <w:vAlign w:val="top"/>
          </w:tcPr>
          <w:p w14:paraId="3BC9A13D">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第八条</w:t>
            </w:r>
            <w:r>
              <w:rPr>
                <w:rFonts w:hint="eastAsia" w:ascii="Arial" w:hAnsi="Arial" w:eastAsia="宋体" w:cs="Arial"/>
                <w:kern w:val="0"/>
                <w:sz w:val="22"/>
                <w:szCs w:val="22"/>
                <w:lang w:eastAsia="zh-CN"/>
              </w:rPr>
              <w:t>：</w:t>
            </w:r>
            <w:r>
              <w:rPr>
                <w:rFonts w:hint="default" w:ascii="Arial" w:hAnsi="Arial" w:eastAsia="宋体" w:cs="Arial"/>
                <w:kern w:val="0"/>
                <w:sz w:val="22"/>
                <w:szCs w:val="22"/>
              </w:rPr>
              <w:t>执行重点管控单元市级总体要求第八条、第九条、第十条、第十一条、第十三条、第十四条和第十五条。</w:t>
            </w:r>
          </w:p>
        </w:tc>
        <w:tc>
          <w:tcPr>
            <w:tcW w:w="2990" w:type="dxa"/>
            <w:shd w:val="clear" w:color="auto" w:fill="auto"/>
            <w:noWrap w:val="0"/>
            <w:vAlign w:val="center"/>
          </w:tcPr>
          <w:p w14:paraId="521A997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eastAsia="zh-CN"/>
              </w:rPr>
              <w:t>本项目所在地为一般管控单元。</w:t>
            </w:r>
          </w:p>
        </w:tc>
        <w:tc>
          <w:tcPr>
            <w:tcW w:w="970" w:type="dxa"/>
            <w:tcBorders>
              <w:right w:val="single" w:color="auto" w:sz="12" w:space="0"/>
            </w:tcBorders>
            <w:shd w:val="clear" w:color="auto" w:fill="auto"/>
            <w:noWrap w:val="0"/>
            <w:vAlign w:val="center"/>
          </w:tcPr>
          <w:p w14:paraId="3D12ACF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0F19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1A3CB65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699A9BAF">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799E61D6">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第九条</w:t>
            </w:r>
            <w:r>
              <w:rPr>
                <w:rFonts w:hint="eastAsia" w:ascii="Arial" w:hAnsi="Arial" w:eastAsia="宋体" w:cs="Arial"/>
                <w:kern w:val="0"/>
                <w:sz w:val="22"/>
                <w:szCs w:val="22"/>
                <w:lang w:eastAsia="zh-CN"/>
              </w:rPr>
              <w:t>：</w:t>
            </w:r>
            <w:r>
              <w:rPr>
                <w:rFonts w:hint="default" w:ascii="Arial" w:hAnsi="Arial" w:eastAsia="宋体" w:cs="Arial"/>
                <w:kern w:val="0"/>
                <w:sz w:val="22"/>
                <w:szCs w:val="22"/>
              </w:rPr>
              <w:t>推进城镇生活污水处理设施升级改造。到2025年，全县城市污水处理厂出水水质均不低于《城镇污水处理厂污染物排放标准》（GB18918）一级A标排放标准，乡镇生活污水处理设施及日处理规模100吨以上的农村集中式生活污水处理站出水水质不得低于《城镇污水处理厂污染物排放标准》（GB18918）一级B标排放标准。加快实施雨污分流改造及城镇污水管网建设，完善城镇污水收集体系，提高污水收集率。对现有截留制排水管网实施雨污分流改造，针对无法彻底雨污分流的老城区，尊重现实合理保留截留制区域，提高截留倍数；对新建的排水管网，全部按照雨污分流模式实施建设。</w:t>
            </w:r>
          </w:p>
        </w:tc>
        <w:tc>
          <w:tcPr>
            <w:tcW w:w="2990" w:type="dxa"/>
            <w:shd w:val="clear" w:color="auto" w:fill="auto"/>
            <w:noWrap w:val="0"/>
            <w:vAlign w:val="center"/>
          </w:tcPr>
          <w:p w14:paraId="412D6A0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eastAsia="zh-CN"/>
              </w:rPr>
              <w:t>不涉及</w:t>
            </w:r>
          </w:p>
        </w:tc>
        <w:tc>
          <w:tcPr>
            <w:tcW w:w="970" w:type="dxa"/>
            <w:tcBorders>
              <w:right w:val="single" w:color="auto" w:sz="12" w:space="0"/>
            </w:tcBorders>
            <w:shd w:val="clear" w:color="auto" w:fill="auto"/>
            <w:noWrap w:val="0"/>
            <w:vAlign w:val="center"/>
          </w:tcPr>
          <w:p w14:paraId="552FEE4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6700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2F82151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79F43A6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28C5FB4C">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第十条</w:t>
            </w:r>
            <w:r>
              <w:rPr>
                <w:rFonts w:hint="eastAsia" w:ascii="Arial" w:hAnsi="Arial" w:eastAsia="宋体" w:cs="Arial"/>
                <w:kern w:val="0"/>
                <w:sz w:val="22"/>
                <w:szCs w:val="22"/>
                <w:lang w:eastAsia="zh-CN"/>
              </w:rPr>
              <w:t>：</w:t>
            </w:r>
            <w:r>
              <w:rPr>
                <w:rFonts w:hint="default" w:ascii="Arial" w:hAnsi="Arial" w:eastAsia="宋体" w:cs="Arial"/>
                <w:kern w:val="0"/>
                <w:sz w:val="22"/>
                <w:szCs w:val="22"/>
              </w:rPr>
              <w:t>以碧溪河流域（丰都段）城镇生活源、榨菜废水、养殖污染防治为重点，全面推进碧溪河流域达标整治。加快沿线场镇、撤并场镇农村生活污水管网建设，推进乡镇污水处理厂升级改造确保达标排放，加强污水治理设施运营维护；加强榨菜初加工废水“水随菜走”规范处置监管，推进榨菜废水配套处理设施技术改造或建设；推广畜禽养殖清洁生产工艺，加强水产养殖尾水治理；实施碧溪河流域水环境生态修复工程。</w:t>
            </w:r>
          </w:p>
        </w:tc>
        <w:tc>
          <w:tcPr>
            <w:tcW w:w="2990" w:type="dxa"/>
            <w:noWrap w:val="0"/>
            <w:vAlign w:val="center"/>
          </w:tcPr>
          <w:p w14:paraId="6860BA9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本项目位于海螺沟流域，不涉及碧溪河流域。</w:t>
            </w:r>
          </w:p>
        </w:tc>
        <w:tc>
          <w:tcPr>
            <w:tcW w:w="970" w:type="dxa"/>
            <w:tcBorders>
              <w:right w:val="single" w:color="auto" w:sz="12" w:space="0"/>
            </w:tcBorders>
            <w:noWrap w:val="0"/>
            <w:vAlign w:val="center"/>
          </w:tcPr>
          <w:p w14:paraId="22E497D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6DF5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1F505930">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16BC12F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22599078">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第十一条</w:t>
            </w:r>
            <w:r>
              <w:rPr>
                <w:rFonts w:hint="eastAsia" w:ascii="Arial" w:hAnsi="Arial" w:eastAsia="宋体" w:cs="Arial"/>
                <w:kern w:val="0"/>
                <w:sz w:val="22"/>
                <w:szCs w:val="22"/>
                <w:lang w:eastAsia="zh-CN"/>
              </w:rPr>
              <w:t>：</w:t>
            </w:r>
            <w:r>
              <w:rPr>
                <w:rFonts w:hint="default" w:ascii="Arial" w:hAnsi="Arial" w:eastAsia="宋体" w:cs="Arial"/>
                <w:kern w:val="0"/>
                <w:sz w:val="22"/>
                <w:szCs w:val="22"/>
              </w:rPr>
              <w:t>强化以南天湖度假区为主的旅游水污染防治，结合开发时序推进与规划城市及康养避暑服务人口规模相匹配的污水收集、处理系统建设，积极推广中水回用。</w:t>
            </w:r>
          </w:p>
        </w:tc>
        <w:tc>
          <w:tcPr>
            <w:tcW w:w="2990" w:type="dxa"/>
            <w:noWrap w:val="0"/>
            <w:vAlign w:val="center"/>
          </w:tcPr>
          <w:p w14:paraId="4FF5450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本项目选址位于双龙镇田家山村，不涉及南天湖度假区。</w:t>
            </w:r>
          </w:p>
        </w:tc>
        <w:tc>
          <w:tcPr>
            <w:tcW w:w="970" w:type="dxa"/>
            <w:tcBorders>
              <w:right w:val="single" w:color="auto" w:sz="12" w:space="0"/>
            </w:tcBorders>
            <w:noWrap w:val="0"/>
            <w:vAlign w:val="center"/>
          </w:tcPr>
          <w:p w14:paraId="5CDF5FF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188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6E51D1D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restart"/>
            <w:noWrap w:val="0"/>
            <w:vAlign w:val="center"/>
          </w:tcPr>
          <w:p w14:paraId="03D7D7C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环境风险防控</w:t>
            </w:r>
          </w:p>
        </w:tc>
        <w:tc>
          <w:tcPr>
            <w:tcW w:w="6478" w:type="dxa"/>
            <w:noWrap w:val="0"/>
            <w:vAlign w:val="center"/>
          </w:tcPr>
          <w:p w14:paraId="5C587C3A">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第十二条</w:t>
            </w:r>
            <w:r>
              <w:rPr>
                <w:rFonts w:hint="eastAsia" w:ascii="Arial" w:hAnsi="Arial" w:eastAsia="宋体" w:cs="Arial"/>
                <w:kern w:val="0"/>
                <w:sz w:val="22"/>
                <w:szCs w:val="22"/>
                <w:lang w:eastAsia="zh-CN"/>
              </w:rPr>
              <w:t>：</w:t>
            </w:r>
            <w:r>
              <w:rPr>
                <w:rFonts w:hint="default" w:ascii="Arial" w:hAnsi="Arial" w:eastAsia="宋体" w:cs="Arial"/>
                <w:kern w:val="0"/>
                <w:sz w:val="22"/>
                <w:szCs w:val="22"/>
              </w:rPr>
              <w:t>执行重点管控单元市级总体要求第十六条、第十七条。</w:t>
            </w:r>
          </w:p>
        </w:tc>
        <w:tc>
          <w:tcPr>
            <w:tcW w:w="2990" w:type="dxa"/>
            <w:shd w:val="clear" w:color="auto" w:fill="auto"/>
            <w:noWrap w:val="0"/>
            <w:vAlign w:val="center"/>
          </w:tcPr>
          <w:p w14:paraId="17DE5C7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eastAsia="zh-CN"/>
              </w:rPr>
              <w:t>本项目所在地为一般管控单元。</w:t>
            </w:r>
          </w:p>
        </w:tc>
        <w:tc>
          <w:tcPr>
            <w:tcW w:w="970" w:type="dxa"/>
            <w:tcBorders>
              <w:right w:val="single" w:color="auto" w:sz="12" w:space="0"/>
            </w:tcBorders>
            <w:shd w:val="clear" w:color="auto" w:fill="auto"/>
            <w:noWrap w:val="0"/>
            <w:vAlign w:val="center"/>
          </w:tcPr>
          <w:p w14:paraId="70A0CE4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3635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7380D93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continue"/>
            <w:noWrap w:val="0"/>
            <w:vAlign w:val="center"/>
          </w:tcPr>
          <w:p w14:paraId="6676397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center"/>
          </w:tcPr>
          <w:p w14:paraId="5B4F6BA3">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第十三条</w:t>
            </w:r>
            <w:r>
              <w:rPr>
                <w:rFonts w:hint="eastAsia" w:ascii="Arial" w:hAnsi="Arial" w:eastAsia="宋体" w:cs="Arial"/>
                <w:kern w:val="0"/>
                <w:sz w:val="22"/>
                <w:szCs w:val="22"/>
                <w:lang w:eastAsia="zh-CN"/>
              </w:rPr>
              <w:t>：</w:t>
            </w:r>
            <w:r>
              <w:rPr>
                <w:rFonts w:hint="default" w:ascii="Arial" w:hAnsi="Arial" w:eastAsia="宋体" w:cs="Arial"/>
                <w:kern w:val="0"/>
                <w:sz w:val="22"/>
                <w:szCs w:val="22"/>
              </w:rPr>
              <w:t>丰都工业园区各组团加快设置危险化学品运输路线并严格执行，加快玉溪组团、镇江组团集中应急事故池、临江拦截设施建设，进一步优化完善风险防范措施和应急预案体系，及时更新、修订园区环境风险评估、应急预案报告并完成备案；工业组团内的项目对水环境存在安全隐患的，应当建立车间、工厂和集聚区三级环境风险防范体系；严控环境风险事故发生，严防事故废水进入长江。</w:t>
            </w:r>
          </w:p>
        </w:tc>
        <w:tc>
          <w:tcPr>
            <w:tcW w:w="2990" w:type="dxa"/>
            <w:noWrap w:val="0"/>
            <w:vAlign w:val="center"/>
          </w:tcPr>
          <w:p w14:paraId="357BAEA8">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本项目为水库建设，不属于工业园区。</w:t>
            </w:r>
          </w:p>
        </w:tc>
        <w:tc>
          <w:tcPr>
            <w:tcW w:w="970" w:type="dxa"/>
            <w:tcBorders>
              <w:right w:val="single" w:color="auto" w:sz="12" w:space="0"/>
            </w:tcBorders>
            <w:noWrap w:val="0"/>
            <w:vAlign w:val="center"/>
          </w:tcPr>
          <w:p w14:paraId="710AF3E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3B6E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5E11C04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restart"/>
            <w:noWrap w:val="0"/>
            <w:vAlign w:val="center"/>
          </w:tcPr>
          <w:p w14:paraId="03067EEB">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资源开发利用效率</w:t>
            </w:r>
          </w:p>
        </w:tc>
        <w:tc>
          <w:tcPr>
            <w:tcW w:w="6478" w:type="dxa"/>
            <w:noWrap w:val="0"/>
            <w:vAlign w:val="center"/>
          </w:tcPr>
          <w:p w14:paraId="1C4FD7C1">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第十四条</w:t>
            </w:r>
            <w:r>
              <w:rPr>
                <w:rFonts w:hint="eastAsia" w:ascii="Arial" w:hAnsi="Arial" w:eastAsia="宋体" w:cs="Arial"/>
                <w:kern w:val="0"/>
                <w:sz w:val="22"/>
                <w:szCs w:val="22"/>
                <w:lang w:eastAsia="zh-CN"/>
              </w:rPr>
              <w:t>：</w:t>
            </w:r>
            <w:r>
              <w:rPr>
                <w:rFonts w:hint="default" w:ascii="Arial" w:hAnsi="Arial" w:eastAsia="宋体" w:cs="Arial"/>
                <w:kern w:val="0"/>
                <w:sz w:val="22"/>
                <w:szCs w:val="22"/>
              </w:rPr>
              <w:t>执行重点管控单元市级总体要求第十八条、第十九条、第二十条、第二十一条、第二十二条。</w:t>
            </w:r>
          </w:p>
        </w:tc>
        <w:tc>
          <w:tcPr>
            <w:tcW w:w="2990" w:type="dxa"/>
            <w:shd w:val="clear" w:color="auto" w:fill="auto"/>
            <w:noWrap w:val="0"/>
            <w:vAlign w:val="center"/>
          </w:tcPr>
          <w:p w14:paraId="2D3E64C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eastAsia="zh-CN"/>
              </w:rPr>
              <w:t>本项目所在地为一般管控单元。</w:t>
            </w:r>
          </w:p>
        </w:tc>
        <w:tc>
          <w:tcPr>
            <w:tcW w:w="970" w:type="dxa"/>
            <w:tcBorders>
              <w:right w:val="single" w:color="auto" w:sz="12" w:space="0"/>
            </w:tcBorders>
            <w:shd w:val="clear" w:color="auto" w:fill="auto"/>
            <w:noWrap w:val="0"/>
            <w:vAlign w:val="center"/>
          </w:tcPr>
          <w:p w14:paraId="50C8102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50DB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0C97041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continue"/>
            <w:noWrap w:val="0"/>
            <w:vAlign w:val="center"/>
          </w:tcPr>
          <w:p w14:paraId="522FC1C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center"/>
          </w:tcPr>
          <w:p w14:paraId="5AB93937">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第十五条</w:t>
            </w:r>
            <w:r>
              <w:rPr>
                <w:rFonts w:hint="eastAsia" w:ascii="Arial" w:hAnsi="Arial" w:eastAsia="宋体" w:cs="Arial"/>
                <w:kern w:val="0"/>
                <w:sz w:val="22"/>
                <w:szCs w:val="22"/>
                <w:lang w:eastAsia="zh-CN"/>
              </w:rPr>
              <w:t>：</w:t>
            </w:r>
            <w:r>
              <w:rPr>
                <w:rFonts w:hint="default" w:ascii="Arial" w:hAnsi="Arial" w:eastAsia="宋体" w:cs="Arial"/>
                <w:kern w:val="0"/>
                <w:sz w:val="22"/>
                <w:szCs w:val="22"/>
              </w:rPr>
              <w:t>规范岸线利用，加强岸线生态保护修复。禁止建设不符合全国和省级港口布局规划以及港口总体规划的码头项目；按照《重庆港总体规划修编》，对现有散小码头进行整合提升，强化布局要求，落实污染防控措施；推进长江滨江地带岸线综合治理、生态缓冲带建设，恢复岸线生态服务功能。</w:t>
            </w:r>
          </w:p>
        </w:tc>
        <w:tc>
          <w:tcPr>
            <w:tcW w:w="2990" w:type="dxa"/>
            <w:noWrap w:val="0"/>
            <w:vAlign w:val="center"/>
          </w:tcPr>
          <w:p w14:paraId="6D8446B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本项目为水库建设，不属于码头。</w:t>
            </w:r>
          </w:p>
        </w:tc>
        <w:tc>
          <w:tcPr>
            <w:tcW w:w="970" w:type="dxa"/>
            <w:tcBorders>
              <w:right w:val="single" w:color="auto" w:sz="12" w:space="0"/>
            </w:tcBorders>
            <w:noWrap w:val="0"/>
            <w:vAlign w:val="center"/>
          </w:tcPr>
          <w:p w14:paraId="6D2B186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2F3C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5F7FD9D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continue"/>
            <w:noWrap w:val="0"/>
            <w:vAlign w:val="center"/>
          </w:tcPr>
          <w:p w14:paraId="07B8E60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center"/>
          </w:tcPr>
          <w:p w14:paraId="35B7465E">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第十六条</w:t>
            </w:r>
            <w:r>
              <w:rPr>
                <w:rFonts w:hint="eastAsia" w:ascii="Arial" w:hAnsi="Arial" w:eastAsia="宋体" w:cs="Arial"/>
                <w:kern w:val="0"/>
                <w:sz w:val="22"/>
                <w:szCs w:val="22"/>
                <w:lang w:eastAsia="zh-CN"/>
              </w:rPr>
              <w:t>：</w:t>
            </w:r>
            <w:r>
              <w:rPr>
                <w:rFonts w:hint="default" w:ascii="Arial" w:hAnsi="Arial" w:eastAsia="宋体" w:cs="Arial"/>
                <w:kern w:val="0"/>
                <w:sz w:val="22"/>
                <w:szCs w:val="22"/>
              </w:rPr>
              <w:t>强化农业节水增效。推进高标准农田建设，提档升级农田水利设施，完善农田灌排工程体系，大中型灌区续建配套与节水改造推广渠道防渗、管道输水、喷灌、微灌等节水灌溉技术，发展区域规模化高效节水灌溉。</w:t>
            </w:r>
          </w:p>
        </w:tc>
        <w:tc>
          <w:tcPr>
            <w:tcW w:w="2990" w:type="dxa"/>
            <w:noWrap w:val="0"/>
            <w:vAlign w:val="center"/>
          </w:tcPr>
          <w:p w14:paraId="6E8EB61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color w:val="auto"/>
                <w:sz w:val="22"/>
                <w:szCs w:val="22"/>
                <w:highlight w:val="none"/>
                <w:lang w:eastAsia="zh-CN"/>
              </w:rPr>
              <w:t>本项目建成后可解决</w:t>
            </w:r>
            <w:r>
              <w:rPr>
                <w:rFonts w:hint="eastAsia" w:ascii="Arial" w:hAnsi="Arial" w:cs="Arial"/>
                <w:color w:val="auto"/>
                <w:sz w:val="22"/>
                <w:szCs w:val="22"/>
                <w:highlight w:val="none"/>
                <w:lang w:val="en-US" w:eastAsia="zh-CN"/>
              </w:rPr>
              <w:t>2000亩耕地的灌溉用水需求，同时本评价提出采取</w:t>
            </w:r>
            <w:r>
              <w:rPr>
                <w:spacing w:val="-1"/>
                <w:sz w:val="22"/>
                <w:szCs w:val="22"/>
              </w:rPr>
              <w:t>滴灌、喷灌等方式，以提高</w:t>
            </w:r>
            <w:r>
              <w:rPr>
                <w:sz w:val="22"/>
                <w:szCs w:val="22"/>
              </w:rPr>
              <w:t>水资源利用效率</w:t>
            </w:r>
            <w:r>
              <w:rPr>
                <w:rFonts w:hint="eastAsia"/>
                <w:sz w:val="22"/>
                <w:szCs w:val="22"/>
                <w:lang w:eastAsia="zh-CN"/>
              </w:rPr>
              <w:t>，强化农业节水。</w:t>
            </w:r>
          </w:p>
        </w:tc>
        <w:tc>
          <w:tcPr>
            <w:tcW w:w="970" w:type="dxa"/>
            <w:tcBorders>
              <w:right w:val="single" w:color="auto" w:sz="12" w:space="0"/>
            </w:tcBorders>
            <w:noWrap w:val="0"/>
            <w:vAlign w:val="center"/>
          </w:tcPr>
          <w:p w14:paraId="0F2ED0B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1EDC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restart"/>
            <w:tcBorders>
              <w:left w:val="single" w:color="auto" w:sz="12" w:space="0"/>
            </w:tcBorders>
            <w:noWrap w:val="0"/>
            <w:vAlign w:val="center"/>
          </w:tcPr>
          <w:p w14:paraId="5038A8F8">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eastAsia="宋体" w:cs="Arial"/>
                <w:b w:val="0"/>
                <w:color w:val="auto"/>
                <w:kern w:val="2"/>
                <w:sz w:val="22"/>
                <w:szCs w:val="22"/>
                <w:lang w:val="en-US" w:eastAsia="zh-CN" w:bidi="ar-SA"/>
              </w:rPr>
              <w:t>ZH50023030003</w:t>
            </w:r>
            <w:r>
              <w:rPr>
                <w:rFonts w:hint="default" w:ascii="Arial" w:hAnsi="Arial" w:eastAsia="宋体" w:cs="Arial"/>
                <w:sz w:val="22"/>
                <w:szCs w:val="22"/>
              </w:rPr>
              <w:t>单元管控要求</w:t>
            </w:r>
          </w:p>
        </w:tc>
        <w:tc>
          <w:tcPr>
            <w:tcW w:w="1847" w:type="dxa"/>
            <w:noWrap w:val="0"/>
            <w:vAlign w:val="center"/>
          </w:tcPr>
          <w:p w14:paraId="0AACEFCF">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空间布局约束</w:t>
            </w:r>
          </w:p>
        </w:tc>
        <w:tc>
          <w:tcPr>
            <w:tcW w:w="6478" w:type="dxa"/>
            <w:noWrap w:val="0"/>
            <w:vAlign w:val="center"/>
          </w:tcPr>
          <w:p w14:paraId="4B102A4C">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eastAsia" w:ascii="Times New Roman" w:hAnsi="Times New Roman" w:eastAsia="宋体" w:cs="Times New Roman"/>
                <w:b/>
                <w:kern w:val="0"/>
                <w:sz w:val="22"/>
                <w:szCs w:val="22"/>
                <w:lang w:val="en-US" w:eastAsia="zh-CN" w:bidi="ar-SA"/>
              </w:rPr>
            </w:pPr>
            <w:r>
              <w:rPr>
                <w:rFonts w:hint="default" w:ascii="Arial" w:hAnsi="Arial" w:eastAsia="宋体" w:cs="Arial"/>
                <w:b w:val="0"/>
                <w:bCs/>
                <w:kern w:val="0"/>
                <w:sz w:val="22"/>
                <w:szCs w:val="22"/>
                <w:lang w:val="en-US" w:eastAsia="zh-CN" w:bidi="ar-SA"/>
              </w:rPr>
              <w:t>1.强化畜禽和水产养殖产业布局，按照</w:t>
            </w:r>
            <w:r>
              <w:rPr>
                <w:rFonts w:hint="eastAsia" w:ascii="宋体" w:hAnsi="宋体" w:eastAsia="宋体" w:cs="宋体"/>
                <w:b w:val="0"/>
                <w:bCs/>
                <w:kern w:val="0"/>
                <w:sz w:val="22"/>
                <w:szCs w:val="22"/>
                <w:lang w:val="en-US" w:eastAsia="zh-CN" w:bidi="ar-SA"/>
              </w:rPr>
              <w:t>“</w:t>
            </w:r>
            <w:r>
              <w:rPr>
                <w:rFonts w:hint="default" w:ascii="Arial" w:hAnsi="Arial" w:eastAsia="宋体" w:cs="Arial"/>
                <w:b w:val="0"/>
                <w:bCs/>
                <w:kern w:val="0"/>
                <w:sz w:val="22"/>
                <w:szCs w:val="22"/>
                <w:lang w:val="en-US" w:eastAsia="zh-CN" w:bidi="ar-SA"/>
              </w:rPr>
              <w:t>以地定畜、种养结合</w:t>
            </w:r>
            <w:r>
              <w:rPr>
                <w:rFonts w:hint="eastAsia" w:ascii="宋体" w:hAnsi="宋体" w:eastAsia="宋体" w:cs="宋体"/>
                <w:b w:val="0"/>
                <w:bCs/>
                <w:kern w:val="0"/>
                <w:sz w:val="22"/>
                <w:szCs w:val="22"/>
                <w:lang w:val="en-US" w:eastAsia="zh-CN" w:bidi="ar-SA"/>
              </w:rPr>
              <w:t>”</w:t>
            </w:r>
            <w:r>
              <w:rPr>
                <w:rFonts w:hint="default" w:ascii="Arial" w:hAnsi="Arial" w:eastAsia="宋体" w:cs="Arial"/>
                <w:b w:val="0"/>
                <w:bCs/>
                <w:kern w:val="0"/>
                <w:sz w:val="22"/>
                <w:szCs w:val="22"/>
                <w:lang w:val="en-US" w:eastAsia="zh-CN" w:bidi="ar-SA"/>
              </w:rPr>
              <w:t>的要求，依托种植业布局合理规划新增养殖场。</w:t>
            </w:r>
          </w:p>
        </w:tc>
        <w:tc>
          <w:tcPr>
            <w:tcW w:w="2990" w:type="dxa"/>
            <w:noWrap w:val="0"/>
            <w:vAlign w:val="center"/>
          </w:tcPr>
          <w:p w14:paraId="2E2EC71E">
            <w:pPr>
              <w:keepNext w:val="0"/>
              <w:keepLines w:val="0"/>
              <w:pageBreakBefore w:val="0"/>
              <w:widowControl w:val="0"/>
              <w:kinsoku/>
              <w:wordWrap/>
              <w:overflowPunct/>
              <w:topLinePunct w:val="0"/>
              <w:autoSpaceDE/>
              <w:autoSpaceDN/>
              <w:bidi w:val="0"/>
              <w:adjustRightInd/>
              <w:spacing w:line="290" w:lineRule="exact"/>
              <w:ind w:firstLine="0" w:firstLineChars="0"/>
              <w:jc w:val="center"/>
              <w:textAlignment w:val="auto"/>
              <w:rPr>
                <w:rFonts w:hint="eastAsia" w:ascii="Times New Roman" w:hAnsi="Times New Roman" w:eastAsia="宋体" w:cs="Times New Roman"/>
                <w:kern w:val="0"/>
                <w:sz w:val="22"/>
                <w:szCs w:val="22"/>
                <w:lang w:val="en-US" w:eastAsia="zh-CN" w:bidi="ar-SA"/>
              </w:rPr>
            </w:pPr>
            <w:r>
              <w:rPr>
                <w:rFonts w:hint="eastAsia" w:ascii="Arial" w:hAnsi="Arial" w:cs="Arial"/>
                <w:sz w:val="22"/>
                <w:szCs w:val="22"/>
                <w:lang w:eastAsia="zh-CN"/>
              </w:rPr>
              <w:t>本项目为水库建设，不属于畜禽和水产养殖。</w:t>
            </w:r>
          </w:p>
        </w:tc>
        <w:tc>
          <w:tcPr>
            <w:tcW w:w="970" w:type="dxa"/>
            <w:tcBorders>
              <w:right w:val="single" w:color="auto" w:sz="12" w:space="0"/>
            </w:tcBorders>
            <w:noWrap w:val="0"/>
            <w:vAlign w:val="center"/>
          </w:tcPr>
          <w:p w14:paraId="0392772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val="en-US" w:eastAsia="zh-CN"/>
              </w:rPr>
            </w:pPr>
            <w:r>
              <w:rPr>
                <w:rFonts w:hint="eastAsia" w:ascii="Arial" w:hAnsi="Arial" w:cs="Arial"/>
                <w:sz w:val="22"/>
                <w:szCs w:val="22"/>
                <w:lang w:val="en-US" w:eastAsia="zh-CN"/>
              </w:rPr>
              <w:t>符合</w:t>
            </w:r>
          </w:p>
        </w:tc>
      </w:tr>
      <w:tr w14:paraId="651B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6FDA838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p>
        </w:tc>
        <w:tc>
          <w:tcPr>
            <w:tcW w:w="1847" w:type="dxa"/>
            <w:noWrap w:val="0"/>
            <w:vAlign w:val="center"/>
          </w:tcPr>
          <w:p w14:paraId="2893478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污染物排放管控</w:t>
            </w:r>
          </w:p>
        </w:tc>
        <w:tc>
          <w:tcPr>
            <w:tcW w:w="6478" w:type="dxa"/>
            <w:noWrap w:val="0"/>
            <w:vAlign w:val="center"/>
          </w:tcPr>
          <w:p w14:paraId="2C019182">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b w:val="0"/>
                <w:bCs/>
                <w:kern w:val="0"/>
                <w:sz w:val="22"/>
                <w:szCs w:val="22"/>
                <w:lang w:val="en-US" w:eastAsia="zh-CN" w:bidi="ar-SA"/>
              </w:rPr>
            </w:pPr>
            <w:r>
              <w:rPr>
                <w:rFonts w:hint="default" w:ascii="Arial" w:hAnsi="Arial" w:eastAsia="宋体" w:cs="Arial"/>
                <w:b w:val="0"/>
                <w:bCs/>
                <w:kern w:val="0"/>
                <w:sz w:val="22"/>
                <w:szCs w:val="22"/>
                <w:lang w:val="en-US" w:eastAsia="zh-CN" w:bidi="ar-SA"/>
              </w:rPr>
              <w:t>1.加快推进农村生活污水管网建设，提高污水收集率；推进农村污水处理站升级改造。持续推动化肥农药减量、畜禽养殖粪污处理、水产养殖污染防治。2.强化沟耳山水库、沈家沟水库等饮用水源保护地规范化建设及周边农业污染面源防治，逐步改善饮用水源水质。</w:t>
            </w:r>
          </w:p>
        </w:tc>
        <w:tc>
          <w:tcPr>
            <w:tcW w:w="2990" w:type="dxa"/>
            <w:noWrap w:val="0"/>
            <w:vAlign w:val="center"/>
          </w:tcPr>
          <w:p w14:paraId="29B4FCF2">
            <w:pPr>
              <w:keepNext w:val="0"/>
              <w:keepLines w:val="0"/>
              <w:pageBreakBefore w:val="0"/>
              <w:widowControl w:val="0"/>
              <w:kinsoku/>
              <w:wordWrap/>
              <w:overflowPunct/>
              <w:topLinePunct w:val="0"/>
              <w:autoSpaceDE/>
              <w:autoSpaceDN/>
              <w:bidi w:val="0"/>
              <w:adjustRightInd/>
              <w:spacing w:line="290" w:lineRule="exact"/>
              <w:ind w:firstLine="0" w:firstLineChars="0"/>
              <w:jc w:val="center"/>
              <w:textAlignment w:val="auto"/>
              <w:rPr>
                <w:rFonts w:hint="eastAsia" w:ascii="Times New Roman" w:hAnsi="Times New Roman" w:eastAsia="宋体" w:cs="Times New Roman"/>
                <w:kern w:val="0"/>
                <w:sz w:val="22"/>
                <w:szCs w:val="22"/>
                <w:lang w:val="en-US" w:eastAsia="zh-CN" w:bidi="ar-SA"/>
              </w:rPr>
            </w:pPr>
            <w:r>
              <w:rPr>
                <w:rFonts w:hint="eastAsia" w:ascii="Arial" w:hAnsi="Arial" w:cs="Arial"/>
                <w:color w:val="auto"/>
                <w:sz w:val="22"/>
                <w:szCs w:val="22"/>
                <w:highlight w:val="none"/>
                <w:lang w:eastAsia="zh-CN"/>
              </w:rPr>
              <w:t>本项目建成后可解决</w:t>
            </w:r>
            <w:r>
              <w:rPr>
                <w:rFonts w:hint="eastAsia" w:ascii="Arial" w:hAnsi="Arial" w:cs="Arial"/>
                <w:color w:val="auto"/>
                <w:sz w:val="22"/>
                <w:szCs w:val="22"/>
                <w:highlight w:val="none"/>
                <w:lang w:val="en-US" w:eastAsia="zh-CN"/>
              </w:rPr>
              <w:t>2000亩耕地的灌溉用水需求，同时本评价提出采取</w:t>
            </w:r>
            <w:r>
              <w:rPr>
                <w:spacing w:val="-1"/>
                <w:sz w:val="22"/>
                <w:szCs w:val="22"/>
              </w:rPr>
              <w:t>滴灌、喷灌等方式，</w:t>
            </w:r>
            <w:r>
              <w:rPr>
                <w:rFonts w:hint="eastAsia"/>
                <w:spacing w:val="-1"/>
                <w:sz w:val="22"/>
                <w:szCs w:val="22"/>
                <w:lang w:eastAsia="zh-CN"/>
              </w:rPr>
              <w:t>以减少农业面源退水量，减轻对流域水质的影响。提出水源保护区划定建议，将对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rFonts w:hint="eastAsia"/>
                <w:spacing w:val="2"/>
                <w:sz w:val="22"/>
                <w:szCs w:val="22"/>
                <w:lang w:eastAsia="zh-CN"/>
              </w:rPr>
              <w:t>。</w:t>
            </w:r>
          </w:p>
        </w:tc>
        <w:tc>
          <w:tcPr>
            <w:tcW w:w="970" w:type="dxa"/>
            <w:tcBorders>
              <w:right w:val="single" w:color="auto" w:sz="12" w:space="0"/>
            </w:tcBorders>
            <w:noWrap w:val="0"/>
            <w:vAlign w:val="center"/>
          </w:tcPr>
          <w:p w14:paraId="457857D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val="en-US" w:eastAsia="zh-CN"/>
              </w:rPr>
            </w:pPr>
            <w:r>
              <w:rPr>
                <w:rFonts w:hint="eastAsia" w:ascii="Arial" w:hAnsi="Arial" w:cs="Arial"/>
                <w:sz w:val="22"/>
                <w:szCs w:val="22"/>
                <w:lang w:val="en-US" w:eastAsia="zh-CN"/>
              </w:rPr>
              <w:t>符合</w:t>
            </w:r>
          </w:p>
        </w:tc>
      </w:tr>
      <w:tr w14:paraId="0B8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00DEE4C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p>
        </w:tc>
        <w:tc>
          <w:tcPr>
            <w:tcW w:w="1847" w:type="dxa"/>
            <w:noWrap w:val="0"/>
            <w:vAlign w:val="center"/>
          </w:tcPr>
          <w:p w14:paraId="13B903D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环境风险防控</w:t>
            </w:r>
          </w:p>
        </w:tc>
        <w:tc>
          <w:tcPr>
            <w:tcW w:w="6478" w:type="dxa"/>
            <w:noWrap w:val="0"/>
            <w:vAlign w:val="center"/>
          </w:tcPr>
          <w:p w14:paraId="63D814BA">
            <w:pPr>
              <w:keepNext w:val="0"/>
              <w:keepLines w:val="0"/>
              <w:pageBreakBefore w:val="0"/>
              <w:widowControl w:val="0"/>
              <w:kinsoku/>
              <w:wordWrap/>
              <w:overflowPunct/>
              <w:topLinePunct w:val="0"/>
              <w:autoSpaceDE/>
              <w:autoSpaceDN/>
              <w:bidi w:val="0"/>
              <w:adjustRightInd/>
              <w:snapToGrid/>
              <w:spacing w:line="290" w:lineRule="exact"/>
              <w:ind w:firstLine="0" w:firstLineChars="0"/>
              <w:jc w:val="center"/>
              <w:textAlignment w:val="auto"/>
              <w:rPr>
                <w:rFonts w:hint="default" w:ascii="Arial" w:hAnsi="Arial" w:eastAsia="宋体" w:cs="Arial"/>
                <w:b w:val="0"/>
                <w:bCs/>
                <w:kern w:val="0"/>
                <w:sz w:val="22"/>
                <w:szCs w:val="22"/>
                <w:lang w:val="en-US" w:eastAsia="zh-CN" w:bidi="ar-SA"/>
              </w:rPr>
            </w:pPr>
            <w:r>
              <w:rPr>
                <w:rFonts w:hint="eastAsia" w:ascii="Arial" w:hAnsi="Arial" w:cs="Arial"/>
                <w:b w:val="0"/>
                <w:bCs/>
                <w:kern w:val="0"/>
                <w:sz w:val="22"/>
                <w:szCs w:val="22"/>
                <w:lang w:val="en-US" w:eastAsia="zh-CN" w:bidi="ar-SA"/>
              </w:rPr>
              <w:t>/</w:t>
            </w:r>
          </w:p>
        </w:tc>
        <w:tc>
          <w:tcPr>
            <w:tcW w:w="2990" w:type="dxa"/>
            <w:noWrap w:val="0"/>
            <w:vAlign w:val="center"/>
          </w:tcPr>
          <w:p w14:paraId="61ADC45E">
            <w:pPr>
              <w:keepNext w:val="0"/>
              <w:keepLines w:val="0"/>
              <w:pageBreakBefore w:val="0"/>
              <w:widowControl w:val="0"/>
              <w:kinsoku/>
              <w:wordWrap/>
              <w:overflowPunct/>
              <w:topLinePunct w:val="0"/>
              <w:autoSpaceDE/>
              <w:autoSpaceDN/>
              <w:bidi w:val="0"/>
              <w:adjustRightInd/>
              <w:spacing w:line="290" w:lineRule="exact"/>
              <w:ind w:firstLine="0" w:firstLineChars="0"/>
              <w:jc w:val="center"/>
              <w:textAlignment w:val="auto"/>
              <w:rPr>
                <w:rFonts w:hint="default" w:ascii="Times New Roman" w:hAnsi="Times New Roman" w:eastAsia="宋体" w:cs="Times New Roman"/>
                <w:kern w:val="0"/>
                <w:sz w:val="22"/>
                <w:szCs w:val="22"/>
                <w:lang w:val="en-US" w:eastAsia="zh-CN" w:bidi="ar-SA"/>
              </w:rPr>
            </w:pPr>
            <w:r>
              <w:rPr>
                <w:rFonts w:hint="eastAsia" w:cs="Times New Roman"/>
                <w:kern w:val="0"/>
                <w:sz w:val="22"/>
                <w:szCs w:val="22"/>
                <w:lang w:val="en-US" w:eastAsia="zh-CN" w:bidi="ar-SA"/>
              </w:rPr>
              <w:t>/</w:t>
            </w:r>
          </w:p>
        </w:tc>
        <w:tc>
          <w:tcPr>
            <w:tcW w:w="970" w:type="dxa"/>
            <w:tcBorders>
              <w:right w:val="single" w:color="auto" w:sz="12" w:space="0"/>
            </w:tcBorders>
            <w:noWrap w:val="0"/>
            <w:vAlign w:val="center"/>
          </w:tcPr>
          <w:p w14:paraId="12801BE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w:t>
            </w:r>
          </w:p>
        </w:tc>
      </w:tr>
      <w:tr w14:paraId="228B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5DA5863E">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p>
        </w:tc>
        <w:tc>
          <w:tcPr>
            <w:tcW w:w="1847" w:type="dxa"/>
            <w:noWrap w:val="0"/>
            <w:vAlign w:val="center"/>
          </w:tcPr>
          <w:p w14:paraId="66D8F18B">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资源开发效率利用</w:t>
            </w:r>
          </w:p>
        </w:tc>
        <w:tc>
          <w:tcPr>
            <w:tcW w:w="6478" w:type="dxa"/>
            <w:noWrap w:val="0"/>
            <w:vAlign w:val="center"/>
          </w:tcPr>
          <w:p w14:paraId="05B408BC">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b w:val="0"/>
                <w:bCs/>
                <w:kern w:val="0"/>
                <w:sz w:val="22"/>
                <w:szCs w:val="22"/>
                <w:lang w:val="en-US" w:eastAsia="zh-CN" w:bidi="ar-SA"/>
              </w:rPr>
            </w:pPr>
            <w:r>
              <w:rPr>
                <w:rFonts w:hint="default" w:ascii="Arial" w:hAnsi="Arial" w:eastAsia="宋体" w:cs="Arial"/>
                <w:b w:val="0"/>
                <w:bCs/>
                <w:kern w:val="0"/>
                <w:sz w:val="22"/>
                <w:szCs w:val="22"/>
                <w:lang w:val="en-US" w:eastAsia="zh-CN" w:bidi="ar-SA"/>
              </w:rPr>
              <w:t>1.新建水利水电工程需保障河湖生态基流。2.因地制宜发展节水灌溉工程，推广田间节水灌溉技术，提高田间用水效率。</w:t>
            </w:r>
          </w:p>
        </w:tc>
        <w:tc>
          <w:tcPr>
            <w:tcW w:w="2990" w:type="dxa"/>
            <w:noWrap w:val="0"/>
            <w:vAlign w:val="center"/>
          </w:tcPr>
          <w:p w14:paraId="37086474">
            <w:pPr>
              <w:keepNext w:val="0"/>
              <w:keepLines w:val="0"/>
              <w:pageBreakBefore w:val="0"/>
              <w:widowControl w:val="0"/>
              <w:kinsoku/>
              <w:wordWrap/>
              <w:overflowPunct/>
              <w:topLinePunct w:val="0"/>
              <w:autoSpaceDE/>
              <w:autoSpaceDN/>
              <w:bidi w:val="0"/>
              <w:adjustRightInd/>
              <w:spacing w:line="290" w:lineRule="exact"/>
              <w:ind w:firstLine="0" w:firstLineChars="0"/>
              <w:jc w:val="center"/>
              <w:textAlignment w:val="auto"/>
              <w:rPr>
                <w:rFonts w:hint="eastAsia" w:ascii="Times New Roman" w:hAnsi="Times New Roman" w:eastAsia="宋体" w:cs="Times New Roman"/>
                <w:kern w:val="0"/>
                <w:sz w:val="22"/>
                <w:szCs w:val="22"/>
                <w:lang w:val="en-US" w:eastAsia="zh-CN" w:bidi="ar-SA"/>
              </w:rPr>
            </w:pPr>
            <w:r>
              <w:rPr>
                <w:rFonts w:hint="eastAsia" w:cs="Times New Roman"/>
                <w:kern w:val="0"/>
                <w:sz w:val="22"/>
                <w:szCs w:val="22"/>
                <w:lang w:val="en-US" w:eastAsia="zh-CN" w:bidi="ar-SA"/>
              </w:rPr>
              <w:t>本项目运营期将设置生态流量下泄装置，并联网运行，确保下游减水河段需水。</w:t>
            </w:r>
            <w:r>
              <w:rPr>
                <w:rFonts w:hint="eastAsia" w:ascii="Arial" w:hAnsi="Arial" w:cs="Arial"/>
                <w:color w:val="auto"/>
                <w:sz w:val="22"/>
                <w:szCs w:val="22"/>
                <w:highlight w:val="none"/>
                <w:lang w:val="en-US" w:eastAsia="zh-CN"/>
              </w:rPr>
              <w:t>同时本评价提出采取</w:t>
            </w:r>
            <w:r>
              <w:rPr>
                <w:spacing w:val="-1"/>
                <w:sz w:val="22"/>
                <w:szCs w:val="22"/>
              </w:rPr>
              <w:t>滴灌、喷灌等方式，</w:t>
            </w:r>
            <w:r>
              <w:rPr>
                <w:rFonts w:hint="eastAsia"/>
                <w:spacing w:val="-1"/>
                <w:sz w:val="22"/>
                <w:szCs w:val="22"/>
                <w:lang w:eastAsia="zh-CN"/>
              </w:rPr>
              <w:t>提高田间用水效率。</w:t>
            </w:r>
          </w:p>
        </w:tc>
        <w:tc>
          <w:tcPr>
            <w:tcW w:w="970" w:type="dxa"/>
            <w:tcBorders>
              <w:right w:val="single" w:color="auto" w:sz="12" w:space="0"/>
            </w:tcBorders>
            <w:noWrap w:val="0"/>
            <w:vAlign w:val="center"/>
          </w:tcPr>
          <w:p w14:paraId="631884D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val="en-US" w:eastAsia="zh-CN"/>
              </w:rPr>
            </w:pPr>
            <w:r>
              <w:rPr>
                <w:rFonts w:hint="eastAsia" w:ascii="Arial" w:hAnsi="Arial" w:cs="Arial"/>
                <w:sz w:val="22"/>
                <w:szCs w:val="22"/>
                <w:lang w:val="en-US" w:eastAsia="zh-CN"/>
              </w:rPr>
              <w:t>符合</w:t>
            </w:r>
          </w:p>
        </w:tc>
      </w:tr>
    </w:tbl>
    <w:p w14:paraId="55D1E26C">
      <w:pPr>
        <w:rPr>
          <w:rFonts w:hint="default"/>
          <w:lang w:val="en-US" w:eastAsia="zh-CN"/>
        </w:rPr>
        <w:sectPr>
          <w:pgSz w:w="16838" w:h="11906" w:orient="landscape"/>
          <w:pgMar w:top="1800" w:right="1440" w:bottom="1800" w:left="1440" w:header="1134" w:footer="992" w:gutter="0"/>
          <w:pgBorders>
            <w:top w:val="none" w:sz="0" w:space="0"/>
            <w:left w:val="none" w:sz="0" w:space="0"/>
            <w:bottom w:val="none" w:sz="0" w:space="0"/>
            <w:right w:val="none" w:sz="0" w:space="0"/>
          </w:pgBorders>
          <w:pgNumType w:fmt="decimal"/>
          <w:cols w:space="425" w:num="1"/>
          <w:docGrid w:type="lines" w:linePitch="312" w:charSpace="0"/>
        </w:sectPr>
      </w:pPr>
    </w:p>
    <w:p w14:paraId="3AA752EB">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由表1.9-13可知，拟建项目与丰都县“三线一单”的管控要求相符。</w:t>
      </w:r>
    </w:p>
    <w:p w14:paraId="6DE2D58E">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eastAsia="zh-CN"/>
        </w:rPr>
      </w:pPr>
      <w:bookmarkStart w:id="77" w:name="_Toc1348"/>
      <w:r>
        <w:rPr>
          <w:rFonts w:hint="eastAsia" w:ascii="Arial" w:hAnsi="Arial" w:cs="Arial"/>
          <w:sz w:val="26"/>
          <w:szCs w:val="26"/>
          <w:lang w:val="en-US" w:eastAsia="zh-CN"/>
        </w:rPr>
        <w:t>1.10</w:t>
      </w:r>
      <w:r>
        <w:rPr>
          <w:rFonts w:hint="eastAsia" w:ascii="Arial" w:hAnsi="Arial" w:cs="Arial"/>
          <w:sz w:val="26"/>
          <w:szCs w:val="26"/>
          <w:lang w:eastAsia="zh-CN"/>
        </w:rPr>
        <w:t>选址选线合理性分析</w:t>
      </w:r>
      <w:bookmarkEnd w:id="77"/>
    </w:p>
    <w:p w14:paraId="0DCECF88">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w:t>
      </w:r>
      <w:r>
        <w:rPr>
          <w:rFonts w:hint="eastAsia" w:ascii="Arial" w:hAnsi="Arial" w:cs="Arial"/>
          <w:b/>
          <w:color w:val="auto"/>
          <w:kern w:val="0"/>
          <w:sz w:val="26"/>
          <w:szCs w:val="20"/>
          <w:highlight w:val="none"/>
          <w:lang w:val="en-US" w:eastAsia="zh-CN"/>
        </w:rPr>
        <w:t>0</w:t>
      </w: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水源地选址</w:t>
      </w:r>
      <w:r>
        <w:rPr>
          <w:rFonts w:hint="eastAsia" w:ascii="Arial" w:hAnsi="Arial" w:eastAsia="宋体" w:cs="Arial"/>
          <w:b/>
          <w:color w:val="auto"/>
          <w:kern w:val="0"/>
          <w:sz w:val="26"/>
          <w:szCs w:val="20"/>
          <w:highlight w:val="none"/>
          <w:lang w:val="en-US" w:eastAsia="zh-CN"/>
        </w:rPr>
        <w:t>合理性分析</w:t>
      </w:r>
    </w:p>
    <w:p w14:paraId="1D3D8EF8">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default" w:ascii="Arial" w:hAnsi="Arial" w:eastAsia="宋体" w:cs="Arial"/>
          <w:bCs/>
          <w:color w:val="auto"/>
          <w:sz w:val="26"/>
          <w:szCs w:val="26"/>
          <w:lang w:val="en-US" w:eastAsia="zh-CN"/>
        </w:rPr>
        <w:t>海螺沟水库水源地位于海螺沟中游，水源充足，</w:t>
      </w:r>
      <w:r>
        <w:rPr>
          <w:rFonts w:hint="default" w:ascii="Arial" w:hAnsi="Arial" w:eastAsia="宋体" w:cs="Arial"/>
          <w:bCs/>
          <w:color w:val="auto"/>
          <w:sz w:val="26"/>
          <w:szCs w:val="26"/>
        </w:rPr>
        <w:t>且</w:t>
      </w:r>
      <w:r>
        <w:rPr>
          <w:rFonts w:hint="eastAsia" w:ascii="Arial" w:hAnsi="Arial" w:eastAsia="宋体" w:cs="Arial"/>
          <w:bCs/>
          <w:color w:val="auto"/>
          <w:sz w:val="26"/>
          <w:szCs w:val="26"/>
          <w:lang w:eastAsia="zh-CN"/>
        </w:rPr>
        <w:t>根据</w:t>
      </w:r>
      <w:r>
        <w:rPr>
          <w:rFonts w:hint="default" w:ascii="Arial" w:hAnsi="Arial" w:eastAsia="宋体" w:cs="Arial"/>
          <w:bCs/>
          <w:color w:val="auto"/>
          <w:sz w:val="26"/>
          <w:szCs w:val="26"/>
          <w:lang w:val="en-US" w:eastAsia="zh-CN"/>
        </w:rPr>
        <w:t>2023年4月13日</w:t>
      </w:r>
      <w:r>
        <w:rPr>
          <w:rFonts w:hint="eastAsia" w:ascii="Arial" w:hAnsi="Arial" w:eastAsia="宋体" w:cs="Arial"/>
          <w:bCs/>
          <w:color w:val="auto"/>
          <w:sz w:val="26"/>
          <w:szCs w:val="26"/>
          <w:lang w:val="en-US" w:eastAsia="zh-CN"/>
        </w:rPr>
        <w:t>丰都县水质监测中心对海螺沟水库进行取样监测的结果可知，其</w:t>
      </w:r>
      <w:r>
        <w:rPr>
          <w:rFonts w:hint="eastAsia" w:ascii="宋体" w:hAnsi="宋体" w:eastAsia="宋体" w:cs="Arial"/>
          <w:bCs/>
          <w:color w:val="auto"/>
          <w:sz w:val="26"/>
          <w:szCs w:val="26"/>
        </w:rPr>
        <w:t>地表水基本项目现状监测值</w:t>
      </w:r>
      <w:r>
        <w:rPr>
          <w:rFonts w:hint="eastAsia" w:ascii="宋体" w:hAnsi="宋体" w:eastAsia="宋体" w:cs="Arial"/>
          <w:bCs/>
          <w:color w:val="auto"/>
          <w:sz w:val="26"/>
          <w:szCs w:val="26"/>
          <w:lang w:eastAsia="zh-CN"/>
        </w:rPr>
        <w:t>均</w:t>
      </w:r>
      <w:r>
        <w:rPr>
          <w:rFonts w:hint="eastAsia" w:ascii="宋体" w:hAnsi="宋体" w:eastAsia="宋体" w:cs="Arial"/>
          <w:bCs/>
          <w:color w:val="auto"/>
          <w:sz w:val="26"/>
          <w:szCs w:val="26"/>
        </w:rPr>
        <w:t>基本满足《地表水环境质量标准》</w:t>
      </w:r>
      <w:r>
        <w:rPr>
          <w:rFonts w:ascii="Arial" w:hAnsi="宋体" w:eastAsia="宋体" w:cs="Arial"/>
          <w:bCs/>
          <w:color w:val="auto"/>
          <w:sz w:val="26"/>
          <w:szCs w:val="26"/>
        </w:rPr>
        <w:t>（</w:t>
      </w:r>
      <w:r>
        <w:rPr>
          <w:rFonts w:ascii="Arial" w:hAnsi="Arial" w:eastAsia="宋体" w:cs="Arial"/>
          <w:bCs/>
          <w:color w:val="auto"/>
          <w:sz w:val="26"/>
          <w:szCs w:val="26"/>
        </w:rPr>
        <w:t>GB3838-2002</w:t>
      </w:r>
      <w:r>
        <w:rPr>
          <w:rFonts w:ascii="Arial" w:hAnsi="宋体" w:eastAsia="宋体" w:cs="Arial"/>
          <w:bCs/>
          <w:color w:val="auto"/>
          <w:sz w:val="26"/>
          <w:szCs w:val="26"/>
        </w:rPr>
        <w:t>）</w:t>
      </w:r>
      <w:r>
        <w:rPr>
          <w:rFonts w:hint="eastAsia" w:ascii="宋体" w:hAnsi="宋体" w:eastAsia="宋体" w:cs="宋体"/>
          <w:bCs/>
          <w:color w:val="auto"/>
          <w:sz w:val="26"/>
          <w:szCs w:val="26"/>
        </w:rPr>
        <w:t>Ⅲ</w:t>
      </w:r>
      <w:r>
        <w:rPr>
          <w:rFonts w:hint="eastAsia" w:ascii="宋体" w:hAnsi="宋体" w:eastAsia="宋体" w:cs="Arial"/>
          <w:bCs/>
          <w:color w:val="auto"/>
          <w:sz w:val="26"/>
          <w:szCs w:val="26"/>
        </w:rPr>
        <w:t>类水域水质标准，水质较好。</w:t>
      </w:r>
    </w:p>
    <w:p w14:paraId="5A78AAFE">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r>
        <w:rPr>
          <w:rFonts w:hint="eastAsia" w:ascii="Arial" w:hAnsi="Arial" w:eastAsia="宋体" w:cs="Arial"/>
          <w:bCs/>
          <w:color w:val="auto"/>
          <w:sz w:val="26"/>
          <w:szCs w:val="26"/>
          <w:lang w:val="en-US" w:eastAsia="zh-CN"/>
        </w:rPr>
        <w:t>根据现场调查，规划水源地范围为河谷地貌，除少量乡村道路外，均为林地、耕地，无工业企业、集中养殖场等，对水库水质影响轻微。库区集雨范围内现状居民点分布少，且大多外出务工，农业耕作面积小；另分布有一处家庭肉牛圈养点，养殖肉牛约30头，养殖废水设置有收集池，且与本项目间有山体阻隔，养殖废水经收集处理后，全部用作农肥，未排入海螺沟；由此可见，项目库区集雨范围内所形成的农村面源污染对库区水质影响小。根据查阅区域土地利用规划图，本项目所在区域未规划居住、工业等用地，后续仍然以发展农业产业为主，对海螺沟水库水源地影响小。</w:t>
      </w:r>
    </w:p>
    <w:p w14:paraId="254AA0DF">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r>
        <w:rPr>
          <w:rFonts w:hint="eastAsia" w:ascii="Arial" w:hAnsi="Arial" w:eastAsia="宋体" w:cs="Arial"/>
          <w:bCs/>
          <w:color w:val="auto"/>
          <w:sz w:val="26"/>
          <w:szCs w:val="26"/>
          <w:lang w:val="en-US" w:eastAsia="zh-CN"/>
        </w:rPr>
        <w:t>由此可见，海螺沟水库成库后，受集雨范围内农耕作业影响小，水源地选址合理。</w:t>
      </w:r>
    </w:p>
    <w:p w14:paraId="5ED1495C">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1.10.2枢纽工程坝址选址合理性分析</w:t>
      </w:r>
    </w:p>
    <w:p w14:paraId="630A7FF0">
      <w:pPr>
        <w:pStyle w:val="19"/>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（1）坝址比选</w:t>
      </w:r>
    </w:p>
    <w:p w14:paraId="3AF163E9">
      <w:pPr>
        <w:pStyle w:val="101"/>
        <w:spacing w:line="440" w:lineRule="exact"/>
        <w:ind w:firstLine="520" w:firstLineChars="200"/>
        <w:jc w:val="both"/>
        <w:rPr>
          <w:rFonts w:hint="eastAsia" w:ascii="Arial" w:hAnsi="宋体" w:eastAsia="宋体" w:cs="Arial"/>
          <w:bCs/>
          <w:color w:val="auto"/>
          <w:kern w:val="2"/>
          <w:sz w:val="26"/>
          <w:szCs w:val="26"/>
        </w:rPr>
      </w:pPr>
      <w:r>
        <w:rPr>
          <w:rFonts w:hint="eastAsia" w:ascii="Arial" w:hAnsi="Arial" w:eastAsia="宋体" w:cs="Arial"/>
          <w:bCs/>
          <w:color w:val="auto"/>
          <w:sz w:val="26"/>
          <w:szCs w:val="26"/>
          <w:lang w:val="en-US" w:eastAsia="zh-CN"/>
        </w:rPr>
        <w:t>项目初设报告</w:t>
      </w:r>
      <w:r>
        <w:rPr>
          <w:rFonts w:hint="eastAsia" w:ascii="Arial" w:hAnsi="宋体" w:eastAsia="宋体" w:cs="Arial"/>
          <w:bCs/>
          <w:color w:val="auto"/>
          <w:kern w:val="2"/>
          <w:sz w:val="26"/>
          <w:szCs w:val="26"/>
        </w:rPr>
        <w:t>根据</w:t>
      </w:r>
      <w:r>
        <w:rPr>
          <w:rFonts w:hint="eastAsia" w:ascii="Arial" w:hAnsi="宋体" w:eastAsia="宋体" w:cs="Arial"/>
          <w:bCs/>
          <w:color w:val="auto"/>
          <w:kern w:val="2"/>
          <w:sz w:val="26"/>
          <w:szCs w:val="26"/>
          <w:lang w:eastAsia="zh-CN"/>
        </w:rPr>
        <w:t>项目所在</w:t>
      </w:r>
      <w:r>
        <w:rPr>
          <w:rFonts w:hint="eastAsia" w:ascii="Arial" w:hAnsi="宋体" w:eastAsia="宋体" w:cs="Arial"/>
          <w:bCs/>
          <w:color w:val="auto"/>
          <w:kern w:val="2"/>
          <w:sz w:val="26"/>
          <w:szCs w:val="26"/>
        </w:rPr>
        <w:t>建坝河段的水文条件、地形地质条件、枢纽布置、库区淹没损失及工程投资等方面综合考虑，拟定了</w:t>
      </w:r>
      <w:r>
        <w:rPr>
          <w:rFonts w:hint="eastAsia" w:ascii="Arial" w:hAnsi="Arial" w:eastAsia="宋体" w:cs="Arial"/>
          <w:bCs/>
          <w:color w:val="auto"/>
          <w:sz w:val="26"/>
          <w:szCs w:val="26"/>
          <w:lang w:val="en-US" w:eastAsia="zh-CN"/>
        </w:rPr>
        <w:t>上、下两个坝址</w:t>
      </w:r>
      <w:r>
        <w:rPr>
          <w:rFonts w:hint="eastAsia" w:ascii="Arial" w:hAnsi="宋体" w:eastAsia="宋体" w:cs="Arial"/>
          <w:bCs/>
          <w:color w:val="auto"/>
          <w:kern w:val="2"/>
          <w:sz w:val="26"/>
          <w:szCs w:val="26"/>
        </w:rPr>
        <w:t>进行比选。</w:t>
      </w:r>
      <w:r>
        <w:rPr>
          <w:rFonts w:hint="eastAsia" w:ascii="Arial" w:hAnsi="Arial" w:eastAsia="宋体" w:cs="Arial"/>
          <w:bCs/>
          <w:color w:val="auto"/>
          <w:sz w:val="26"/>
          <w:szCs w:val="26"/>
          <w:lang w:val="en-US" w:eastAsia="zh-CN"/>
        </w:rPr>
        <w:t>上、下两个坝址距220m</w:t>
      </w:r>
      <w:r>
        <w:rPr>
          <w:rFonts w:hint="eastAsia" w:ascii="Arial" w:hAnsi="宋体" w:eastAsia="宋体" w:cs="Arial"/>
          <w:bCs/>
          <w:color w:val="auto"/>
          <w:kern w:val="2"/>
          <w:sz w:val="26"/>
          <w:szCs w:val="26"/>
          <w:lang w:eastAsia="zh-CN"/>
        </w:rPr>
        <w:t>，坝址</w:t>
      </w:r>
      <w:r>
        <w:rPr>
          <w:rFonts w:hint="eastAsia" w:ascii="Arial" w:hAnsi="宋体" w:eastAsia="宋体" w:cs="Arial"/>
          <w:bCs/>
          <w:color w:val="auto"/>
          <w:kern w:val="2"/>
          <w:sz w:val="26"/>
          <w:szCs w:val="26"/>
        </w:rPr>
        <w:t>以上集雨面积及来水量均能满足水库水量需求；</w:t>
      </w:r>
      <w:r>
        <w:rPr>
          <w:rFonts w:hint="eastAsia" w:ascii="Arial" w:hAnsi="宋体" w:eastAsia="宋体" w:cs="Arial"/>
          <w:bCs/>
          <w:color w:val="auto"/>
          <w:kern w:val="2"/>
          <w:sz w:val="26"/>
          <w:szCs w:val="26"/>
          <w:lang w:eastAsia="zh-CN"/>
        </w:rPr>
        <w:t>从</w:t>
      </w:r>
      <w:r>
        <w:rPr>
          <w:rFonts w:hint="eastAsia" w:ascii="Arial" w:hAnsi="宋体" w:eastAsia="宋体" w:cs="Arial"/>
          <w:bCs/>
          <w:color w:val="auto"/>
          <w:kern w:val="2"/>
          <w:sz w:val="26"/>
          <w:szCs w:val="26"/>
        </w:rPr>
        <w:t>地形地质条件</w:t>
      </w:r>
      <w:r>
        <w:rPr>
          <w:rFonts w:hint="eastAsia" w:ascii="Arial" w:hAnsi="宋体" w:eastAsia="宋体" w:cs="Arial"/>
          <w:bCs/>
          <w:color w:val="auto"/>
          <w:kern w:val="2"/>
          <w:sz w:val="26"/>
          <w:szCs w:val="26"/>
          <w:lang w:eastAsia="zh-CN"/>
        </w:rPr>
        <w:t>来说</w:t>
      </w:r>
      <w:r>
        <w:rPr>
          <w:rFonts w:hint="eastAsia" w:ascii="Arial" w:hAnsi="Arial" w:eastAsia="宋体" w:cs="Arial"/>
          <w:bCs/>
          <w:color w:val="auto"/>
          <w:sz w:val="26"/>
          <w:szCs w:val="26"/>
          <w:lang w:val="en-US" w:eastAsia="zh-CN"/>
        </w:rPr>
        <w:t>，上坝址左岸存在单薄山脊，而下坝址两岸地形平顺、山体雄厚，所以从地形、地质条件来说，下坝址要略优于上坝址；库区淹没方面来</w:t>
      </w:r>
      <w:r>
        <w:rPr>
          <w:rFonts w:hint="eastAsia" w:ascii="Arial" w:hAnsi="宋体" w:eastAsia="宋体" w:cs="Arial"/>
          <w:bCs/>
          <w:color w:val="auto"/>
          <w:kern w:val="2"/>
          <w:sz w:val="26"/>
          <w:szCs w:val="26"/>
          <w:lang w:val="en-US" w:eastAsia="zh-CN" w:bidi="ar-SA"/>
        </w:rPr>
        <w:t>说，下坝址将淹没下游支沟较多的基本农田，上坝址则不存在淹没基本农田的问题。</w:t>
      </w:r>
      <w:r>
        <w:rPr>
          <w:rFonts w:hint="eastAsia" w:ascii="Arial" w:hAnsi="宋体" w:eastAsia="宋体" w:cs="Arial"/>
          <w:bCs/>
          <w:color w:val="auto"/>
          <w:kern w:val="2"/>
          <w:sz w:val="26"/>
          <w:szCs w:val="26"/>
        </w:rPr>
        <w:t>因此推荐</w:t>
      </w:r>
      <w:r>
        <w:rPr>
          <w:rFonts w:hint="eastAsia" w:ascii="Arial" w:hAnsi="宋体" w:eastAsia="宋体" w:cs="Arial"/>
          <w:bCs/>
          <w:color w:val="auto"/>
          <w:kern w:val="2"/>
          <w:sz w:val="26"/>
          <w:szCs w:val="26"/>
          <w:lang w:eastAsia="zh-CN"/>
        </w:rPr>
        <w:t>上</w:t>
      </w:r>
      <w:r>
        <w:rPr>
          <w:rFonts w:hint="eastAsia" w:ascii="Arial" w:hAnsi="宋体" w:eastAsia="宋体" w:cs="Arial"/>
          <w:bCs/>
          <w:color w:val="auto"/>
          <w:kern w:val="2"/>
          <w:sz w:val="26"/>
          <w:szCs w:val="26"/>
        </w:rPr>
        <w:t>坝址为</w:t>
      </w:r>
      <w:r>
        <w:rPr>
          <w:rFonts w:hint="eastAsia" w:ascii="Arial" w:hAnsi="宋体" w:eastAsia="宋体" w:cs="Arial"/>
          <w:bCs/>
          <w:color w:val="auto"/>
          <w:kern w:val="2"/>
          <w:sz w:val="26"/>
          <w:szCs w:val="26"/>
          <w:lang w:eastAsia="zh-CN"/>
        </w:rPr>
        <w:t>为本项目唯一</w:t>
      </w:r>
      <w:r>
        <w:rPr>
          <w:rFonts w:hint="eastAsia" w:ascii="Arial" w:hAnsi="宋体" w:eastAsia="宋体" w:cs="Arial"/>
          <w:bCs/>
          <w:color w:val="auto"/>
          <w:kern w:val="2"/>
          <w:sz w:val="26"/>
          <w:szCs w:val="26"/>
        </w:rPr>
        <w:t>坝址。</w:t>
      </w:r>
    </w:p>
    <w:p w14:paraId="3EF0A144">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11FEF5D8">
      <w:pPr>
        <w:rPr>
          <w:rFonts w:hint="eastAsia" w:ascii="Arial" w:hAnsi="Arial" w:eastAsia="宋体" w:cs="Arial"/>
          <w:bCs/>
          <w:color w:val="auto"/>
          <w:sz w:val="26"/>
          <w:szCs w:val="26"/>
          <w:lang w:val="en-US" w:eastAsia="zh-CN"/>
        </w:rPr>
      </w:pPr>
    </w:p>
    <w:p w14:paraId="073D9812">
      <w:pPr>
        <w:rPr>
          <w:rFonts w:hint="eastAsia" w:ascii="Arial" w:hAnsi="Arial" w:eastAsia="宋体" w:cs="Arial"/>
          <w:bCs/>
          <w:color w:val="auto"/>
          <w:sz w:val="26"/>
          <w:szCs w:val="26"/>
          <w:lang w:val="en-US" w:eastAsia="zh-CN"/>
        </w:rPr>
      </w:pPr>
    </w:p>
    <w:p w14:paraId="60C550BF">
      <w:pPr>
        <w:rPr>
          <w:rFonts w:hint="eastAsia" w:ascii="Arial" w:hAnsi="Arial" w:eastAsia="宋体" w:cs="Arial"/>
          <w:bCs/>
          <w:color w:val="auto"/>
          <w:sz w:val="26"/>
          <w:szCs w:val="26"/>
          <w:lang w:val="en-US" w:eastAsia="zh-CN"/>
        </w:rPr>
      </w:pPr>
    </w:p>
    <w:p w14:paraId="294A4B08">
      <w:pPr>
        <w:jc w:val="center"/>
        <w:rPr>
          <w:rFonts w:hint="eastAsia" w:ascii="Arial" w:hAnsi="Arial" w:eastAsia="宋体" w:cs="Arial"/>
          <w:bCs/>
          <w:color w:val="auto"/>
          <w:sz w:val="26"/>
          <w:szCs w:val="26"/>
          <w:lang w:val="en-US" w:eastAsia="zh-CN"/>
        </w:rPr>
      </w:pPr>
      <w:r>
        <w:drawing>
          <wp:inline distT="0" distB="0" distL="114300" distR="114300">
            <wp:extent cx="4646295" cy="3164205"/>
            <wp:effectExtent l="0" t="0" r="1905" b="17145"/>
            <wp:docPr id="1" name="图片 25" descr="16836187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1683618746464"/>
                    <pic:cNvPicPr>
                      <a:picLocks noChangeAspect="1"/>
                    </pic:cNvPicPr>
                  </pic:nvPicPr>
                  <pic:blipFill>
                    <a:blip r:embed="rId23"/>
                    <a:stretch>
                      <a:fillRect/>
                    </a:stretch>
                  </pic:blipFill>
                  <pic:spPr>
                    <a:xfrm>
                      <a:off x="0" y="0"/>
                      <a:ext cx="4646295" cy="3164205"/>
                    </a:xfrm>
                    <a:prstGeom prst="rect">
                      <a:avLst/>
                    </a:prstGeom>
                    <a:noFill/>
                    <a:ln>
                      <a:noFill/>
                    </a:ln>
                  </pic:spPr>
                </pic:pic>
              </a:graphicData>
            </a:graphic>
          </wp:inline>
        </w:drawing>
      </w:r>
    </w:p>
    <w:p w14:paraId="55032492">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eastAsia="宋体" w:cs="Arial"/>
          <w:b/>
          <w:bCs w:val="0"/>
          <w:color w:val="auto"/>
          <w:sz w:val="26"/>
          <w:szCs w:val="26"/>
          <w:lang w:val="en-US" w:eastAsia="zh-CN"/>
        </w:rPr>
      </w:pPr>
      <w:r>
        <w:rPr>
          <w:rFonts w:hint="eastAsia" w:ascii="Arial" w:hAnsi="Arial" w:eastAsia="宋体" w:cs="Arial"/>
          <w:b/>
          <w:bCs w:val="0"/>
          <w:color w:val="auto"/>
          <w:sz w:val="26"/>
          <w:szCs w:val="26"/>
          <w:lang w:val="en-US" w:eastAsia="zh-CN"/>
        </w:rPr>
        <w:t>图10.1-1 上、下坝址位置示意图</w:t>
      </w:r>
    </w:p>
    <w:p w14:paraId="24F6B540">
      <w:pPr>
        <w:pStyle w:val="19"/>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2</w:t>
      </w: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坝线</w:t>
      </w:r>
      <w:r>
        <w:rPr>
          <w:rFonts w:hint="eastAsia" w:ascii="Arial" w:hAnsi="Arial" w:eastAsia="宋体" w:cs="Arial"/>
          <w:b/>
          <w:color w:val="auto"/>
          <w:kern w:val="0"/>
          <w:sz w:val="26"/>
          <w:szCs w:val="20"/>
          <w:highlight w:val="none"/>
          <w:lang w:val="en-US" w:eastAsia="zh-CN"/>
        </w:rPr>
        <w:t>比选</w:t>
      </w:r>
    </w:p>
    <w:p w14:paraId="409F0166">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Cs/>
          <w:color w:val="auto"/>
          <w:sz w:val="26"/>
          <w:szCs w:val="26"/>
          <w:lang w:val="en-US" w:eastAsia="zh-CN"/>
        </w:rPr>
      </w:pPr>
      <w:r>
        <w:drawing>
          <wp:anchor distT="0" distB="0" distL="114300" distR="114300" simplePos="0" relativeHeight="251664384" behindDoc="0" locked="0" layoutInCell="1" allowOverlap="1">
            <wp:simplePos x="0" y="0"/>
            <wp:positionH relativeFrom="column">
              <wp:posOffset>384175</wp:posOffset>
            </wp:positionH>
            <wp:positionV relativeFrom="paragraph">
              <wp:posOffset>1154430</wp:posOffset>
            </wp:positionV>
            <wp:extent cx="4631055" cy="3324225"/>
            <wp:effectExtent l="0" t="0" r="17145" b="9525"/>
            <wp:wrapNone/>
            <wp:docPr id="5" name="图片 26" descr="168369790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1683697909666"/>
                    <pic:cNvPicPr>
                      <a:picLocks noChangeAspect="1"/>
                    </pic:cNvPicPr>
                  </pic:nvPicPr>
                  <pic:blipFill>
                    <a:blip r:embed="rId24"/>
                    <a:stretch>
                      <a:fillRect/>
                    </a:stretch>
                  </pic:blipFill>
                  <pic:spPr>
                    <a:xfrm>
                      <a:off x="0" y="0"/>
                      <a:ext cx="4631055" cy="3324225"/>
                    </a:xfrm>
                    <a:prstGeom prst="rect">
                      <a:avLst/>
                    </a:prstGeom>
                    <a:noFill/>
                    <a:ln>
                      <a:noFill/>
                    </a:ln>
                  </pic:spPr>
                </pic:pic>
              </a:graphicData>
            </a:graphic>
          </wp:anchor>
        </w:drawing>
      </w:r>
      <w:r>
        <w:rPr>
          <w:rFonts w:hint="eastAsia" w:ascii="Arial" w:hAnsi="宋体" w:eastAsia="宋体" w:cs="Arial"/>
          <w:bCs/>
          <w:color w:val="auto"/>
          <w:kern w:val="2"/>
          <w:sz w:val="26"/>
          <w:szCs w:val="26"/>
        </w:rPr>
        <w:t>项目初设报告推荐</w:t>
      </w:r>
      <w:r>
        <w:rPr>
          <w:rFonts w:hint="eastAsia" w:ascii="Arial" w:hAnsi="宋体" w:eastAsia="宋体" w:cs="Arial"/>
          <w:bCs/>
          <w:color w:val="auto"/>
          <w:kern w:val="2"/>
          <w:sz w:val="26"/>
          <w:szCs w:val="26"/>
          <w:lang w:eastAsia="zh-CN"/>
        </w:rPr>
        <w:t>上</w:t>
      </w:r>
      <w:r>
        <w:rPr>
          <w:rFonts w:hint="eastAsia" w:ascii="Arial" w:hAnsi="宋体" w:eastAsia="宋体" w:cs="Arial"/>
          <w:bCs/>
          <w:color w:val="auto"/>
          <w:kern w:val="2"/>
          <w:sz w:val="26"/>
          <w:szCs w:val="26"/>
        </w:rPr>
        <w:t>坝址</w:t>
      </w:r>
      <w:r>
        <w:rPr>
          <w:rFonts w:hint="eastAsia" w:ascii="Arial" w:hAnsi="宋体" w:eastAsia="宋体" w:cs="Arial"/>
          <w:bCs/>
          <w:color w:val="auto"/>
          <w:kern w:val="2"/>
          <w:sz w:val="26"/>
          <w:szCs w:val="26"/>
          <w:lang w:eastAsia="zh-CN"/>
        </w:rPr>
        <w:t>拟定了</w:t>
      </w:r>
      <w:r>
        <w:rPr>
          <w:rFonts w:hint="eastAsia" w:ascii="Arial" w:hAnsi="宋体" w:eastAsia="宋体" w:cs="Arial"/>
          <w:bCs/>
          <w:color w:val="auto"/>
          <w:kern w:val="2"/>
          <w:sz w:val="26"/>
          <w:szCs w:val="26"/>
        </w:rPr>
        <w:t>上、下两条坝线进行比选，</w:t>
      </w:r>
      <w:r>
        <w:rPr>
          <w:rFonts w:hint="eastAsia" w:ascii="Arial" w:hAnsi="宋体" w:eastAsia="宋体" w:cs="Arial"/>
          <w:bCs/>
          <w:color w:val="auto"/>
          <w:kern w:val="2"/>
          <w:sz w:val="26"/>
          <w:szCs w:val="26"/>
          <w:lang w:eastAsia="zh-CN"/>
        </w:rPr>
        <w:t>上坝址位于海螺沟河口上游约</w:t>
      </w:r>
      <w:r>
        <w:rPr>
          <w:rFonts w:hint="eastAsia" w:ascii="Arial" w:hAnsi="宋体" w:eastAsia="宋体" w:cs="Arial"/>
          <w:bCs/>
          <w:color w:val="auto"/>
          <w:kern w:val="2"/>
          <w:sz w:val="26"/>
          <w:szCs w:val="26"/>
          <w:lang w:val="en-US" w:eastAsia="zh-CN"/>
        </w:rPr>
        <w:t>1.66km处，</w:t>
      </w:r>
      <w:r>
        <w:rPr>
          <w:rFonts w:hint="eastAsia" w:ascii="Arial" w:hAnsi="宋体" w:eastAsia="宋体" w:cs="Arial"/>
          <w:bCs/>
          <w:color w:val="auto"/>
          <w:kern w:val="2"/>
          <w:sz w:val="26"/>
          <w:szCs w:val="26"/>
        </w:rPr>
        <w:t>两岸山脊凸出处，坝线与河道基本正交，</w:t>
      </w:r>
      <w:r>
        <w:rPr>
          <w:rFonts w:hint="eastAsia" w:ascii="Arial" w:hAnsi="宋体" w:eastAsia="宋体" w:cs="Arial"/>
          <w:bCs/>
          <w:color w:val="auto"/>
          <w:kern w:val="2"/>
          <w:sz w:val="26"/>
          <w:szCs w:val="26"/>
          <w:lang w:eastAsia="zh-CN"/>
        </w:rPr>
        <w:t>坝轴线长</w:t>
      </w:r>
      <w:r>
        <w:rPr>
          <w:rFonts w:hint="eastAsia" w:ascii="Arial" w:hAnsi="宋体" w:eastAsia="宋体" w:cs="Arial"/>
          <w:bCs/>
          <w:color w:val="auto"/>
          <w:kern w:val="2"/>
          <w:sz w:val="26"/>
          <w:szCs w:val="26"/>
          <w:lang w:val="en-US" w:eastAsia="zh-CN"/>
        </w:rPr>
        <w:t>112m；下坝线位于</w:t>
      </w:r>
      <w:r>
        <w:rPr>
          <w:rFonts w:hint="eastAsia" w:ascii="Arial" w:hAnsi="宋体" w:eastAsia="宋体" w:cs="Arial"/>
          <w:bCs/>
          <w:color w:val="auto"/>
          <w:kern w:val="2"/>
          <w:sz w:val="26"/>
          <w:szCs w:val="26"/>
          <w:lang w:eastAsia="zh-CN"/>
        </w:rPr>
        <w:t>海螺沟河口上游约</w:t>
      </w:r>
      <w:r>
        <w:rPr>
          <w:rFonts w:hint="eastAsia" w:ascii="Arial" w:hAnsi="宋体" w:eastAsia="宋体" w:cs="Arial"/>
          <w:bCs/>
          <w:color w:val="auto"/>
          <w:kern w:val="2"/>
          <w:sz w:val="26"/>
          <w:szCs w:val="26"/>
          <w:lang w:val="en-US" w:eastAsia="zh-CN"/>
        </w:rPr>
        <w:t>1.71km处，</w:t>
      </w:r>
      <w:r>
        <w:rPr>
          <w:rFonts w:hint="eastAsia" w:ascii="Arial" w:hAnsi="宋体" w:eastAsia="宋体" w:cs="Arial"/>
          <w:bCs/>
          <w:color w:val="auto"/>
          <w:kern w:val="2"/>
          <w:sz w:val="26"/>
          <w:szCs w:val="26"/>
          <w:lang w:eastAsia="zh-CN"/>
        </w:rPr>
        <w:t>坝轴线长</w:t>
      </w:r>
      <w:r>
        <w:rPr>
          <w:rFonts w:hint="eastAsia" w:ascii="Arial" w:hAnsi="宋体" w:eastAsia="宋体" w:cs="Arial"/>
          <w:bCs/>
          <w:color w:val="auto"/>
          <w:kern w:val="2"/>
          <w:sz w:val="26"/>
          <w:szCs w:val="26"/>
          <w:lang w:val="en-US" w:eastAsia="zh-CN"/>
        </w:rPr>
        <w:t>131m；两坝线相距约45m。</w:t>
      </w:r>
    </w:p>
    <w:p w14:paraId="1130B62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110E6509">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007089F8">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4FDEDBE5">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7AD9119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66C5641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35872FE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1CDFB1E1">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0A9113C4">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1815B8DB">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46C3CDF0">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67694872">
      <w:pPr>
        <w:rPr>
          <w:rFonts w:hint="eastAsia" w:ascii="Arial" w:hAnsi="Arial" w:eastAsia="宋体" w:cs="Arial"/>
          <w:bCs/>
          <w:color w:val="auto"/>
          <w:sz w:val="26"/>
          <w:szCs w:val="26"/>
          <w:lang w:val="en-US" w:eastAsia="zh-CN"/>
        </w:rPr>
      </w:pPr>
    </w:p>
    <w:p w14:paraId="23A42B3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eastAsia="宋体" w:cs="Arial"/>
          <w:b/>
          <w:bCs w:val="0"/>
          <w:color w:val="auto"/>
          <w:sz w:val="26"/>
          <w:szCs w:val="26"/>
          <w:lang w:val="en-US" w:eastAsia="zh-CN"/>
        </w:rPr>
      </w:pPr>
      <w:r>
        <w:rPr>
          <w:rFonts w:hint="eastAsia" w:ascii="Arial" w:hAnsi="Arial" w:eastAsia="宋体" w:cs="Arial"/>
          <w:b/>
          <w:bCs w:val="0"/>
          <w:color w:val="auto"/>
          <w:sz w:val="26"/>
          <w:szCs w:val="26"/>
          <w:lang w:val="en-US" w:eastAsia="zh-CN"/>
        </w:rPr>
        <w:t>图10.1-2 上、下坝线位置示意图</w:t>
      </w:r>
    </w:p>
    <w:p w14:paraId="1F2B96FD">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r>
        <w:rPr>
          <w:rFonts w:hint="eastAsia" w:ascii="Arial" w:hAnsi="Arial" w:eastAsia="宋体" w:cs="Arial"/>
          <w:bCs/>
          <w:color w:val="auto"/>
          <w:sz w:val="26"/>
          <w:szCs w:val="26"/>
          <w:lang w:val="en-US" w:eastAsia="zh-CN"/>
        </w:rPr>
        <w:t>从环境保护角度，上、下两个坝线比选结果详见表10.1-1所示。</w:t>
      </w:r>
    </w:p>
    <w:p w14:paraId="51408F7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eastAsia="宋体" w:cs="Arial"/>
          <w:b/>
          <w:bCs w:val="0"/>
          <w:color w:val="auto"/>
          <w:sz w:val="26"/>
          <w:szCs w:val="26"/>
          <w:lang w:val="en-US" w:eastAsia="zh-CN"/>
        </w:rPr>
      </w:pPr>
      <w:r>
        <w:rPr>
          <w:rFonts w:hint="eastAsia" w:ascii="Arial" w:hAnsi="Arial" w:eastAsia="宋体" w:cs="Arial"/>
          <w:b/>
          <w:bCs w:val="0"/>
          <w:color w:val="auto"/>
          <w:sz w:val="26"/>
          <w:szCs w:val="26"/>
          <w:lang w:val="en-US" w:eastAsia="zh-CN"/>
        </w:rPr>
        <w:t>表10.1-1 坝线比选结果一览表</w:t>
      </w:r>
    </w:p>
    <w:tbl>
      <w:tblPr>
        <w:tblStyle w:val="77"/>
        <w:tblW w:w="87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46"/>
        <w:gridCol w:w="3177"/>
        <w:gridCol w:w="2861"/>
        <w:gridCol w:w="1280"/>
      </w:tblGrid>
      <w:tr w14:paraId="77988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6B9A1771">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环境要素</w:t>
            </w:r>
          </w:p>
        </w:tc>
        <w:tc>
          <w:tcPr>
            <w:tcW w:w="3177" w:type="dxa"/>
            <w:noWrap w:val="0"/>
            <w:vAlign w:val="center"/>
          </w:tcPr>
          <w:p w14:paraId="6A11F9F9">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上坝线方案</w:t>
            </w:r>
          </w:p>
        </w:tc>
        <w:tc>
          <w:tcPr>
            <w:tcW w:w="2861" w:type="dxa"/>
            <w:noWrap w:val="0"/>
            <w:vAlign w:val="center"/>
          </w:tcPr>
          <w:p w14:paraId="0F612801">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下坝线方案</w:t>
            </w:r>
          </w:p>
        </w:tc>
        <w:tc>
          <w:tcPr>
            <w:tcW w:w="1280" w:type="dxa"/>
            <w:noWrap w:val="0"/>
            <w:vAlign w:val="center"/>
          </w:tcPr>
          <w:p w14:paraId="1F322B20">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比选结果</w:t>
            </w:r>
          </w:p>
        </w:tc>
      </w:tr>
      <w:tr w14:paraId="23474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6B4AD4C3">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地质条件</w:t>
            </w:r>
          </w:p>
        </w:tc>
        <w:tc>
          <w:tcPr>
            <w:tcW w:w="3177" w:type="dxa"/>
            <w:noWrap w:val="0"/>
            <w:vAlign w:val="center"/>
          </w:tcPr>
          <w:p w14:paraId="0FA5A53F">
            <w:pPr>
              <w:pStyle w:val="101"/>
              <w:spacing w:line="300" w:lineRule="exact"/>
              <w:jc w:val="center"/>
              <w:rPr>
                <w:rFonts w:ascii="Arial" w:hAnsi="Arial" w:eastAsia="宋体" w:cs="Arial"/>
                <w:bCs/>
                <w:color w:val="auto"/>
                <w:kern w:val="2"/>
                <w:sz w:val="22"/>
                <w:szCs w:val="22"/>
              </w:rPr>
            </w:pPr>
            <w:r>
              <w:rPr>
                <w:rFonts w:ascii="Arial" w:hAnsi="Arial" w:eastAsia="宋体" w:cs="Arial"/>
                <w:bCs/>
                <w:color w:val="auto"/>
                <w:kern w:val="2"/>
                <w:sz w:val="22"/>
                <w:szCs w:val="22"/>
              </w:rPr>
              <w:t>坝基抗滑稳定性问题，基坑边坡的稳定问题；坝基、坝肩渗漏问题；地基不均匀沉陷问题；泥质类岩体快速风化问题。</w:t>
            </w:r>
          </w:p>
        </w:tc>
        <w:tc>
          <w:tcPr>
            <w:tcW w:w="2861" w:type="dxa"/>
            <w:noWrap w:val="0"/>
            <w:vAlign w:val="center"/>
          </w:tcPr>
          <w:p w14:paraId="045B15C1">
            <w:pPr>
              <w:pStyle w:val="101"/>
              <w:spacing w:line="300" w:lineRule="exact"/>
              <w:jc w:val="center"/>
              <w:rPr>
                <w:rFonts w:ascii="Arial" w:hAnsi="Arial" w:eastAsia="宋体" w:cs="Arial"/>
                <w:bCs/>
                <w:color w:val="auto"/>
                <w:kern w:val="2"/>
                <w:sz w:val="22"/>
                <w:szCs w:val="22"/>
              </w:rPr>
            </w:pPr>
            <w:r>
              <w:rPr>
                <w:rFonts w:ascii="Arial" w:hAnsi="Arial" w:eastAsia="宋体" w:cs="Arial"/>
                <w:bCs/>
                <w:color w:val="auto"/>
                <w:kern w:val="2"/>
                <w:sz w:val="22"/>
                <w:szCs w:val="22"/>
              </w:rPr>
              <w:t>砂岩埋深浅，坝基抗滑稳定性</w:t>
            </w:r>
            <w:r>
              <w:rPr>
                <w:rFonts w:hint="eastAsia" w:ascii="Arial" w:hAnsi="Arial" w:eastAsia="宋体" w:cs="Arial"/>
                <w:bCs/>
                <w:color w:val="auto"/>
                <w:kern w:val="2"/>
                <w:sz w:val="22"/>
                <w:szCs w:val="22"/>
                <w:lang w:eastAsia="zh-CN"/>
              </w:rPr>
              <w:t>好；风化厚度小，有利于基坑边坡稳定。</w:t>
            </w:r>
          </w:p>
        </w:tc>
        <w:tc>
          <w:tcPr>
            <w:tcW w:w="1280" w:type="dxa"/>
            <w:noWrap w:val="0"/>
            <w:vAlign w:val="center"/>
          </w:tcPr>
          <w:p w14:paraId="4BAECD07">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下坝线</w:t>
            </w:r>
          </w:p>
        </w:tc>
      </w:tr>
      <w:tr w14:paraId="174CF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vMerge w:val="restart"/>
            <w:noWrap w:val="0"/>
            <w:vAlign w:val="center"/>
          </w:tcPr>
          <w:p w14:paraId="35FFE858">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生态环境</w:t>
            </w:r>
          </w:p>
        </w:tc>
        <w:tc>
          <w:tcPr>
            <w:tcW w:w="3177" w:type="dxa"/>
            <w:noWrap w:val="0"/>
            <w:vAlign w:val="center"/>
          </w:tcPr>
          <w:p w14:paraId="4ACD5D07">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需改建上坝公路约</w:t>
            </w:r>
            <w:r>
              <w:rPr>
                <w:rFonts w:hint="eastAsia" w:ascii="Arial" w:hAnsi="宋体" w:eastAsia="宋体" w:cs="Arial"/>
                <w:bCs/>
                <w:color w:val="auto"/>
                <w:kern w:val="2"/>
                <w:sz w:val="22"/>
                <w:szCs w:val="22"/>
                <w:lang w:val="en-US" w:eastAsia="zh-CN"/>
              </w:rPr>
              <w:t>1.46k</w:t>
            </w:r>
            <w:r>
              <w:rPr>
                <w:rFonts w:hint="eastAsia" w:ascii="Arial" w:hAnsi="宋体" w:eastAsia="宋体" w:cs="Arial"/>
                <w:bCs/>
                <w:color w:val="auto"/>
                <w:kern w:val="2"/>
                <w:sz w:val="22"/>
                <w:szCs w:val="22"/>
              </w:rPr>
              <w:t>m</w:t>
            </w:r>
          </w:p>
        </w:tc>
        <w:tc>
          <w:tcPr>
            <w:tcW w:w="2861" w:type="dxa"/>
            <w:noWrap w:val="0"/>
            <w:vAlign w:val="center"/>
          </w:tcPr>
          <w:p w14:paraId="2BEBCD7A">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需改建上坝公路</w:t>
            </w:r>
            <w:r>
              <w:rPr>
                <w:rFonts w:hint="eastAsia" w:ascii="Arial" w:hAnsi="宋体" w:eastAsia="宋体" w:cs="Arial"/>
                <w:bCs/>
                <w:color w:val="auto"/>
                <w:kern w:val="2"/>
                <w:sz w:val="22"/>
                <w:szCs w:val="22"/>
                <w:lang w:val="en-US" w:eastAsia="zh-CN"/>
              </w:rPr>
              <w:t>1.76k</w:t>
            </w:r>
            <w:r>
              <w:rPr>
                <w:rFonts w:hint="eastAsia" w:ascii="Arial" w:hAnsi="宋体" w:eastAsia="宋体" w:cs="Arial"/>
                <w:bCs/>
                <w:color w:val="auto"/>
                <w:kern w:val="2"/>
                <w:sz w:val="22"/>
                <w:szCs w:val="22"/>
              </w:rPr>
              <w:t>m</w:t>
            </w:r>
          </w:p>
        </w:tc>
        <w:tc>
          <w:tcPr>
            <w:tcW w:w="1280" w:type="dxa"/>
            <w:noWrap w:val="0"/>
            <w:vAlign w:val="center"/>
          </w:tcPr>
          <w:p w14:paraId="07D53BD2">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lang w:eastAsia="zh-CN"/>
              </w:rPr>
              <w:t>上</w:t>
            </w:r>
            <w:r>
              <w:rPr>
                <w:rFonts w:hint="eastAsia" w:ascii="Arial" w:hAnsi="宋体" w:eastAsia="宋体" w:cs="Arial"/>
                <w:bCs/>
                <w:color w:val="auto"/>
                <w:kern w:val="2"/>
                <w:sz w:val="22"/>
                <w:szCs w:val="22"/>
              </w:rPr>
              <w:t>坝线</w:t>
            </w:r>
          </w:p>
        </w:tc>
      </w:tr>
      <w:tr w14:paraId="72216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vMerge w:val="continue"/>
            <w:noWrap w:val="0"/>
            <w:vAlign w:val="center"/>
          </w:tcPr>
          <w:p w14:paraId="3FEF8119">
            <w:pPr>
              <w:pStyle w:val="101"/>
              <w:spacing w:line="300" w:lineRule="exact"/>
              <w:jc w:val="center"/>
              <w:rPr>
                <w:rFonts w:hint="eastAsia" w:ascii="Arial" w:hAnsi="宋体" w:eastAsia="宋体" w:cs="Arial"/>
                <w:bCs/>
                <w:color w:val="auto"/>
                <w:kern w:val="2"/>
                <w:sz w:val="22"/>
                <w:szCs w:val="22"/>
              </w:rPr>
            </w:pPr>
          </w:p>
        </w:tc>
        <w:tc>
          <w:tcPr>
            <w:tcW w:w="3177" w:type="dxa"/>
            <w:noWrap w:val="0"/>
            <w:vAlign w:val="center"/>
          </w:tcPr>
          <w:p w14:paraId="5ECC3370">
            <w:pPr>
              <w:pStyle w:val="101"/>
              <w:spacing w:line="300" w:lineRule="exact"/>
              <w:jc w:val="center"/>
              <w:rPr>
                <w:rFonts w:hint="eastAsia" w:ascii="Arial" w:hAnsi="宋体" w:eastAsia="宋体" w:cs="Arial"/>
                <w:bCs/>
                <w:color w:val="auto"/>
                <w:kern w:val="2"/>
                <w:sz w:val="22"/>
                <w:szCs w:val="22"/>
                <w:highlight w:val="yellow"/>
              </w:rPr>
            </w:pPr>
            <w:r>
              <w:rPr>
                <w:rFonts w:hint="eastAsia" w:ascii="Arial" w:hAnsi="宋体" w:eastAsia="宋体" w:cs="Arial"/>
                <w:bCs/>
                <w:color w:val="auto"/>
                <w:kern w:val="2"/>
                <w:sz w:val="22"/>
                <w:szCs w:val="22"/>
                <w:highlight w:val="none"/>
              </w:rPr>
              <w:t>挖方总量</w:t>
            </w:r>
            <w:r>
              <w:rPr>
                <w:rFonts w:hint="eastAsia" w:ascii="Arial" w:hAnsi="宋体" w:cs="Arial"/>
                <w:bCs/>
                <w:color w:val="auto"/>
                <w:kern w:val="2"/>
                <w:sz w:val="22"/>
                <w:szCs w:val="22"/>
                <w:highlight w:val="none"/>
                <w:lang w:val="en-US" w:eastAsia="zh-CN"/>
              </w:rPr>
              <w:t>11.84</w:t>
            </w:r>
            <w:r>
              <w:rPr>
                <w:rFonts w:hint="eastAsia" w:ascii="Arial" w:hAnsi="宋体" w:eastAsia="宋体" w:cs="Arial"/>
                <w:bCs/>
                <w:color w:val="auto"/>
                <w:kern w:val="2"/>
                <w:sz w:val="22"/>
                <w:szCs w:val="22"/>
                <w:highlight w:val="none"/>
              </w:rPr>
              <w:t>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，回填量为</w:t>
            </w:r>
            <w:r>
              <w:rPr>
                <w:rFonts w:hint="eastAsia" w:ascii="Arial" w:hAnsi="宋体" w:cs="Arial"/>
                <w:bCs/>
                <w:color w:val="auto"/>
                <w:kern w:val="2"/>
                <w:sz w:val="22"/>
                <w:szCs w:val="22"/>
                <w:highlight w:val="none"/>
                <w:lang w:val="en-US" w:eastAsia="zh-CN"/>
              </w:rPr>
              <w:t>5.02</w:t>
            </w:r>
            <w:r>
              <w:rPr>
                <w:rFonts w:hint="eastAsia" w:ascii="Arial" w:hAnsi="宋体" w:eastAsia="宋体" w:cs="Arial"/>
                <w:bCs/>
                <w:color w:val="auto"/>
                <w:kern w:val="2"/>
                <w:sz w:val="22"/>
                <w:szCs w:val="22"/>
                <w:highlight w:val="none"/>
              </w:rPr>
              <w:t>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，弃渣量为</w:t>
            </w:r>
            <w:r>
              <w:rPr>
                <w:rFonts w:hint="eastAsia" w:ascii="Arial" w:hAnsi="宋体" w:cs="Arial"/>
                <w:bCs/>
                <w:color w:val="auto"/>
                <w:kern w:val="2"/>
                <w:sz w:val="22"/>
                <w:szCs w:val="22"/>
                <w:highlight w:val="none"/>
                <w:lang w:val="en-US" w:eastAsia="zh-CN"/>
              </w:rPr>
              <w:t>6.82</w:t>
            </w:r>
            <w:r>
              <w:rPr>
                <w:rFonts w:hint="eastAsia" w:ascii="Arial" w:hAnsi="宋体" w:eastAsia="宋体" w:cs="Arial"/>
                <w:bCs/>
                <w:color w:val="auto"/>
                <w:kern w:val="2"/>
                <w:sz w:val="22"/>
                <w:szCs w:val="22"/>
                <w:highlight w:val="none"/>
              </w:rPr>
              <w:t>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w:t>
            </w:r>
          </w:p>
        </w:tc>
        <w:tc>
          <w:tcPr>
            <w:tcW w:w="2861" w:type="dxa"/>
            <w:noWrap w:val="0"/>
            <w:vAlign w:val="center"/>
          </w:tcPr>
          <w:p w14:paraId="753A93A3">
            <w:pPr>
              <w:pStyle w:val="101"/>
              <w:spacing w:line="300" w:lineRule="exact"/>
              <w:jc w:val="center"/>
              <w:rPr>
                <w:rFonts w:hint="eastAsia" w:ascii="Arial" w:hAnsi="宋体" w:eastAsia="宋体" w:cs="Arial"/>
                <w:bCs/>
                <w:color w:val="auto"/>
                <w:kern w:val="2"/>
                <w:sz w:val="22"/>
                <w:szCs w:val="22"/>
                <w:highlight w:val="yellow"/>
              </w:rPr>
            </w:pPr>
            <w:r>
              <w:rPr>
                <w:rFonts w:hint="eastAsia" w:ascii="Arial" w:hAnsi="宋体" w:eastAsia="宋体" w:cs="Arial"/>
                <w:bCs/>
                <w:color w:val="auto"/>
                <w:kern w:val="2"/>
                <w:sz w:val="22"/>
                <w:szCs w:val="22"/>
                <w:highlight w:val="none"/>
              </w:rPr>
              <w:t>挖方总量</w:t>
            </w:r>
            <w:r>
              <w:rPr>
                <w:rFonts w:hint="eastAsia" w:ascii="Arial" w:hAnsi="宋体" w:cs="Arial"/>
                <w:bCs/>
                <w:color w:val="auto"/>
                <w:kern w:val="2"/>
                <w:sz w:val="22"/>
                <w:szCs w:val="22"/>
                <w:highlight w:val="none"/>
                <w:lang w:val="en-US" w:eastAsia="zh-CN"/>
              </w:rPr>
              <w:t>1</w:t>
            </w:r>
            <w:r>
              <w:rPr>
                <w:rFonts w:hint="eastAsia" w:ascii="Arial" w:hAnsi="宋体" w:eastAsia="宋体" w:cs="Arial"/>
                <w:bCs/>
                <w:color w:val="auto"/>
                <w:kern w:val="2"/>
                <w:sz w:val="22"/>
                <w:szCs w:val="22"/>
                <w:highlight w:val="none"/>
              </w:rPr>
              <w:t>3.</w:t>
            </w:r>
            <w:r>
              <w:rPr>
                <w:rFonts w:hint="eastAsia" w:ascii="Arial" w:hAnsi="宋体" w:cs="Arial"/>
                <w:bCs/>
                <w:color w:val="auto"/>
                <w:kern w:val="2"/>
                <w:sz w:val="22"/>
                <w:szCs w:val="22"/>
                <w:highlight w:val="none"/>
                <w:lang w:val="en-US" w:eastAsia="zh-CN"/>
              </w:rPr>
              <w:t>2</w:t>
            </w:r>
            <w:r>
              <w:rPr>
                <w:rFonts w:hint="eastAsia" w:ascii="Arial" w:hAnsi="宋体" w:eastAsia="宋体" w:cs="Arial"/>
                <w:bCs/>
                <w:color w:val="auto"/>
                <w:kern w:val="2"/>
                <w:sz w:val="22"/>
                <w:szCs w:val="22"/>
                <w:highlight w:val="none"/>
              </w:rPr>
              <w:t>6万m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，回填量为</w:t>
            </w:r>
            <w:r>
              <w:rPr>
                <w:rFonts w:hint="eastAsia" w:ascii="Arial" w:hAnsi="宋体" w:cs="Arial"/>
                <w:bCs/>
                <w:color w:val="auto"/>
                <w:kern w:val="2"/>
                <w:sz w:val="22"/>
                <w:szCs w:val="22"/>
                <w:highlight w:val="none"/>
                <w:lang w:val="en-US" w:eastAsia="zh-CN"/>
              </w:rPr>
              <w:t>6</w:t>
            </w:r>
            <w:r>
              <w:rPr>
                <w:rFonts w:hint="eastAsia" w:ascii="Arial" w:hAnsi="宋体" w:eastAsia="宋体" w:cs="Arial"/>
                <w:bCs/>
                <w:color w:val="auto"/>
                <w:kern w:val="2"/>
                <w:sz w:val="22"/>
                <w:szCs w:val="22"/>
                <w:highlight w:val="none"/>
              </w:rPr>
              <w:t>.31万m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，弃渣量为</w:t>
            </w:r>
            <w:r>
              <w:rPr>
                <w:rFonts w:hint="eastAsia" w:ascii="Arial" w:hAnsi="宋体" w:cs="Arial"/>
                <w:bCs/>
                <w:color w:val="auto"/>
                <w:kern w:val="2"/>
                <w:sz w:val="22"/>
                <w:szCs w:val="22"/>
                <w:highlight w:val="none"/>
                <w:lang w:val="en-US" w:eastAsia="zh-CN"/>
              </w:rPr>
              <w:t>6.95</w:t>
            </w:r>
            <w:r>
              <w:rPr>
                <w:rFonts w:hint="eastAsia" w:ascii="Arial" w:hAnsi="宋体" w:eastAsia="宋体" w:cs="Arial"/>
                <w:bCs/>
                <w:color w:val="auto"/>
                <w:kern w:val="2"/>
                <w:sz w:val="22"/>
                <w:szCs w:val="22"/>
                <w:highlight w:val="none"/>
              </w:rPr>
              <w:t>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w:t>
            </w:r>
          </w:p>
        </w:tc>
        <w:tc>
          <w:tcPr>
            <w:tcW w:w="1280" w:type="dxa"/>
            <w:noWrap w:val="0"/>
            <w:vAlign w:val="center"/>
          </w:tcPr>
          <w:p w14:paraId="17D20441">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上坝线</w:t>
            </w:r>
          </w:p>
        </w:tc>
      </w:tr>
      <w:tr w14:paraId="0C93A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vMerge w:val="continue"/>
            <w:noWrap w:val="0"/>
            <w:vAlign w:val="center"/>
          </w:tcPr>
          <w:p w14:paraId="249FE515">
            <w:pPr>
              <w:pStyle w:val="101"/>
              <w:spacing w:line="300" w:lineRule="exact"/>
              <w:jc w:val="center"/>
              <w:rPr>
                <w:rFonts w:hint="eastAsia" w:ascii="Arial" w:hAnsi="宋体" w:eastAsia="宋体" w:cs="Arial"/>
                <w:bCs/>
                <w:color w:val="auto"/>
                <w:kern w:val="2"/>
                <w:sz w:val="22"/>
                <w:szCs w:val="22"/>
              </w:rPr>
            </w:pPr>
          </w:p>
        </w:tc>
        <w:tc>
          <w:tcPr>
            <w:tcW w:w="3177" w:type="dxa"/>
            <w:noWrap w:val="0"/>
            <w:vAlign w:val="center"/>
          </w:tcPr>
          <w:p w14:paraId="4AC97B41">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施工影响及占地范围内均无地方、国家级珍稀濒危野生动植物分布</w:t>
            </w:r>
          </w:p>
        </w:tc>
        <w:tc>
          <w:tcPr>
            <w:tcW w:w="2861" w:type="dxa"/>
            <w:noWrap w:val="0"/>
            <w:vAlign w:val="center"/>
          </w:tcPr>
          <w:p w14:paraId="64156296">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施工影响及占地范围内均无地方、国家级珍稀濒危野生动植物分布</w:t>
            </w:r>
          </w:p>
        </w:tc>
        <w:tc>
          <w:tcPr>
            <w:tcW w:w="1280" w:type="dxa"/>
            <w:noWrap w:val="0"/>
            <w:vAlign w:val="center"/>
          </w:tcPr>
          <w:p w14:paraId="4E7C8455">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一致</w:t>
            </w:r>
          </w:p>
        </w:tc>
      </w:tr>
      <w:tr w14:paraId="0FFF1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vMerge w:val="continue"/>
            <w:noWrap w:val="0"/>
            <w:vAlign w:val="center"/>
          </w:tcPr>
          <w:p w14:paraId="43BD9988">
            <w:pPr>
              <w:pStyle w:val="101"/>
              <w:spacing w:line="300" w:lineRule="exact"/>
              <w:jc w:val="center"/>
              <w:rPr>
                <w:rFonts w:hint="eastAsia" w:ascii="Arial" w:hAnsi="宋体" w:eastAsia="宋体" w:cs="Arial"/>
                <w:bCs/>
                <w:color w:val="auto"/>
                <w:kern w:val="2"/>
                <w:sz w:val="22"/>
                <w:szCs w:val="22"/>
              </w:rPr>
            </w:pPr>
          </w:p>
        </w:tc>
        <w:tc>
          <w:tcPr>
            <w:tcW w:w="3177" w:type="dxa"/>
            <w:noWrap w:val="0"/>
            <w:vAlign w:val="center"/>
          </w:tcPr>
          <w:p w14:paraId="4EDCCDBC">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枢纽工程及库区淹没需永久</w:t>
            </w:r>
            <w:r>
              <w:rPr>
                <w:rFonts w:hint="eastAsia" w:ascii="Arial" w:hAnsi="宋体" w:eastAsia="宋体" w:cs="Arial"/>
                <w:bCs/>
                <w:color w:val="auto"/>
                <w:kern w:val="2"/>
                <w:sz w:val="22"/>
                <w:szCs w:val="22"/>
                <w:lang w:eastAsia="zh-CN"/>
              </w:rPr>
              <w:t>占地</w:t>
            </w:r>
            <w:r>
              <w:rPr>
                <w:rFonts w:hint="eastAsia" w:ascii="Arial" w:hAnsi="宋体" w:cs="Arial"/>
                <w:bCs/>
                <w:color w:val="auto"/>
                <w:kern w:val="2"/>
                <w:sz w:val="22"/>
                <w:szCs w:val="22"/>
                <w:lang w:val="en-US" w:eastAsia="zh-CN"/>
              </w:rPr>
              <w:t>8.3026hm</w:t>
            </w:r>
            <w:r>
              <w:rPr>
                <w:rFonts w:hint="eastAsia" w:ascii="Arial" w:hAnsi="宋体" w:cs="Arial"/>
                <w:bCs/>
                <w:color w:val="auto"/>
                <w:kern w:val="2"/>
                <w:sz w:val="22"/>
                <w:szCs w:val="22"/>
                <w:vertAlign w:val="superscript"/>
                <w:lang w:val="en-US" w:eastAsia="zh-CN"/>
              </w:rPr>
              <w:t>2</w:t>
            </w:r>
            <w:r>
              <w:rPr>
                <w:rFonts w:hint="eastAsia" w:ascii="Arial" w:hAnsi="宋体" w:eastAsia="宋体" w:cs="Arial"/>
                <w:bCs/>
                <w:color w:val="auto"/>
                <w:kern w:val="2"/>
                <w:sz w:val="22"/>
                <w:szCs w:val="22"/>
                <w:highlight w:val="none"/>
                <w:lang w:eastAsia="zh-CN"/>
              </w:rPr>
              <w:t>，</w:t>
            </w:r>
            <w:r>
              <w:rPr>
                <w:rFonts w:hint="eastAsia" w:ascii="Arial" w:hAnsi="宋体" w:cs="Arial"/>
                <w:bCs/>
                <w:color w:val="auto"/>
                <w:kern w:val="2"/>
                <w:sz w:val="22"/>
                <w:szCs w:val="22"/>
                <w:highlight w:val="none"/>
                <w:lang w:eastAsia="zh-CN"/>
              </w:rPr>
              <w:t>无基本农田</w:t>
            </w:r>
            <w:r>
              <w:rPr>
                <w:rFonts w:hint="eastAsia" w:ascii="Arial" w:hAnsi="宋体" w:eastAsia="宋体" w:cs="Arial"/>
                <w:bCs/>
                <w:color w:val="auto"/>
                <w:kern w:val="2"/>
                <w:sz w:val="22"/>
                <w:szCs w:val="22"/>
                <w:highlight w:val="none"/>
              </w:rPr>
              <w:t>。</w:t>
            </w:r>
          </w:p>
        </w:tc>
        <w:tc>
          <w:tcPr>
            <w:tcW w:w="2861" w:type="dxa"/>
            <w:noWrap w:val="0"/>
            <w:vAlign w:val="center"/>
          </w:tcPr>
          <w:p w14:paraId="578A1E5D">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枢纽工程及库区淹没需永久</w:t>
            </w:r>
            <w:r>
              <w:rPr>
                <w:rFonts w:hint="eastAsia" w:ascii="Arial" w:hAnsi="宋体" w:eastAsia="宋体" w:cs="Arial"/>
                <w:bCs/>
                <w:color w:val="auto"/>
                <w:kern w:val="2"/>
                <w:sz w:val="22"/>
                <w:szCs w:val="22"/>
                <w:lang w:eastAsia="zh-CN"/>
              </w:rPr>
              <w:t>占地</w:t>
            </w:r>
            <w:r>
              <w:rPr>
                <w:rFonts w:hint="eastAsia" w:ascii="Arial" w:hAnsi="宋体" w:cs="Arial"/>
                <w:bCs/>
                <w:color w:val="auto"/>
                <w:kern w:val="2"/>
                <w:sz w:val="22"/>
                <w:szCs w:val="22"/>
                <w:lang w:val="en-US" w:eastAsia="zh-CN"/>
              </w:rPr>
              <w:t>13.7591</w:t>
            </w:r>
            <w:r>
              <w:rPr>
                <w:rFonts w:hint="eastAsia" w:ascii="Arial" w:hAnsi="宋体" w:cs="Arial"/>
                <w:bCs/>
                <w:color w:val="auto"/>
                <w:kern w:val="2"/>
                <w:sz w:val="22"/>
                <w:szCs w:val="22"/>
                <w:highlight w:val="none"/>
                <w:lang w:val="en-US" w:eastAsia="zh-CN"/>
              </w:rPr>
              <w:t>hm</w:t>
            </w:r>
            <w:r>
              <w:rPr>
                <w:rFonts w:hint="eastAsia" w:ascii="Arial" w:hAnsi="宋体" w:cs="Arial"/>
                <w:bCs/>
                <w:color w:val="auto"/>
                <w:kern w:val="2"/>
                <w:sz w:val="22"/>
                <w:szCs w:val="22"/>
                <w:highlight w:val="none"/>
                <w:vertAlign w:val="superscript"/>
                <w:lang w:val="en-US" w:eastAsia="zh-CN"/>
              </w:rPr>
              <w:t>2</w:t>
            </w:r>
            <w:r>
              <w:rPr>
                <w:rFonts w:hint="eastAsia" w:ascii="Arial" w:hAnsi="宋体" w:eastAsia="宋体" w:cs="Arial"/>
                <w:bCs/>
                <w:color w:val="auto"/>
                <w:kern w:val="2"/>
                <w:sz w:val="22"/>
                <w:szCs w:val="22"/>
                <w:highlight w:val="none"/>
                <w:lang w:eastAsia="zh-CN"/>
              </w:rPr>
              <w:t>，其中基本农田占用面积为</w:t>
            </w:r>
            <w:r>
              <w:rPr>
                <w:rFonts w:hint="eastAsia" w:ascii="Arial" w:hAnsi="宋体" w:cs="Arial"/>
                <w:bCs/>
                <w:color w:val="auto"/>
                <w:kern w:val="2"/>
                <w:sz w:val="22"/>
                <w:szCs w:val="22"/>
                <w:highlight w:val="none"/>
                <w:lang w:val="en-US" w:eastAsia="zh-CN"/>
              </w:rPr>
              <w:t>3.1227hm</w:t>
            </w:r>
            <w:r>
              <w:rPr>
                <w:rFonts w:hint="eastAsia" w:ascii="Arial" w:hAnsi="宋体" w:cs="Arial"/>
                <w:bCs/>
                <w:color w:val="auto"/>
                <w:kern w:val="2"/>
                <w:sz w:val="22"/>
                <w:szCs w:val="22"/>
                <w:highlight w:val="none"/>
                <w:vertAlign w:val="superscript"/>
                <w:lang w:val="en-US" w:eastAsia="zh-CN"/>
              </w:rPr>
              <w:t>2</w:t>
            </w:r>
            <w:r>
              <w:rPr>
                <w:rFonts w:hint="eastAsia" w:ascii="Arial" w:hAnsi="宋体" w:eastAsia="宋体" w:cs="Arial"/>
                <w:bCs/>
                <w:color w:val="auto"/>
                <w:kern w:val="2"/>
                <w:sz w:val="22"/>
                <w:szCs w:val="22"/>
                <w:highlight w:val="none"/>
              </w:rPr>
              <w:t>。</w:t>
            </w:r>
          </w:p>
        </w:tc>
        <w:tc>
          <w:tcPr>
            <w:tcW w:w="1280" w:type="dxa"/>
            <w:noWrap w:val="0"/>
            <w:vAlign w:val="center"/>
          </w:tcPr>
          <w:p w14:paraId="76E47B9B">
            <w:pPr>
              <w:pStyle w:val="101"/>
              <w:spacing w:line="300" w:lineRule="exact"/>
              <w:jc w:val="center"/>
              <w:rPr>
                <w:rFonts w:hint="eastAsia" w:ascii="Arial" w:hAnsi="宋体" w:eastAsia="宋体" w:cs="Arial"/>
                <w:bCs/>
                <w:color w:val="auto"/>
                <w:kern w:val="2"/>
                <w:sz w:val="22"/>
                <w:szCs w:val="22"/>
              </w:rPr>
            </w:pPr>
            <w:r>
              <w:rPr>
                <w:rFonts w:hint="eastAsia" w:ascii="Arial" w:hAnsi="宋体" w:cs="Arial"/>
                <w:bCs/>
                <w:color w:val="auto"/>
                <w:kern w:val="2"/>
                <w:sz w:val="22"/>
                <w:szCs w:val="22"/>
                <w:lang w:eastAsia="zh-CN"/>
              </w:rPr>
              <w:t>上</w:t>
            </w:r>
            <w:r>
              <w:rPr>
                <w:rFonts w:hint="eastAsia" w:ascii="Arial" w:hAnsi="宋体" w:eastAsia="宋体" w:cs="Arial"/>
                <w:bCs/>
                <w:color w:val="auto"/>
                <w:kern w:val="2"/>
                <w:sz w:val="22"/>
                <w:szCs w:val="22"/>
              </w:rPr>
              <w:t>坝线</w:t>
            </w:r>
          </w:p>
        </w:tc>
      </w:tr>
      <w:tr w14:paraId="3E30C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6008510A">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地下水环境</w:t>
            </w:r>
          </w:p>
        </w:tc>
        <w:tc>
          <w:tcPr>
            <w:tcW w:w="3177" w:type="dxa"/>
            <w:noWrap w:val="0"/>
            <w:vAlign w:val="center"/>
          </w:tcPr>
          <w:p w14:paraId="21498578">
            <w:pPr>
              <w:pStyle w:val="101"/>
              <w:spacing w:line="300" w:lineRule="exact"/>
              <w:jc w:val="center"/>
              <w:rPr>
                <w:rFonts w:hint="eastAsia" w:ascii="Arial" w:hAnsi="宋体" w:eastAsia="宋体" w:cs="Arial"/>
                <w:bCs/>
                <w:color w:val="auto"/>
                <w:kern w:val="2"/>
                <w:sz w:val="22"/>
                <w:szCs w:val="22"/>
              </w:rPr>
            </w:pPr>
            <w:r>
              <w:rPr>
                <w:rFonts w:ascii="Times New Roman" w:hAnsi="Times New Roman" w:cs="Times New Roman"/>
                <w:color w:val="auto"/>
                <w:sz w:val="22"/>
                <w:szCs w:val="22"/>
              </w:rPr>
              <w:t>要地下水形式为基岩裂隙水，地表水、地下水对砼无腐蚀性，地表水、地下水对钢结构具弱腐蚀性。</w:t>
            </w:r>
          </w:p>
        </w:tc>
        <w:tc>
          <w:tcPr>
            <w:tcW w:w="2861" w:type="dxa"/>
            <w:noWrap w:val="0"/>
            <w:vAlign w:val="center"/>
          </w:tcPr>
          <w:p w14:paraId="3A261149">
            <w:pPr>
              <w:pStyle w:val="101"/>
              <w:spacing w:line="300" w:lineRule="exact"/>
              <w:jc w:val="center"/>
              <w:rPr>
                <w:rFonts w:hint="eastAsia" w:ascii="Arial" w:hAnsi="宋体" w:eastAsia="宋体" w:cs="Arial"/>
                <w:bCs/>
                <w:color w:val="auto"/>
                <w:kern w:val="2"/>
                <w:sz w:val="22"/>
                <w:szCs w:val="22"/>
              </w:rPr>
            </w:pPr>
            <w:r>
              <w:rPr>
                <w:rFonts w:ascii="Times New Roman" w:hAnsi="Times New Roman" w:cs="Times New Roman"/>
                <w:color w:val="auto"/>
                <w:sz w:val="22"/>
                <w:szCs w:val="22"/>
              </w:rPr>
              <w:t>要地下水形式为基岩裂隙水，地表水、地下水对砼无腐蚀性，地表水、地下水对钢结构具弱腐蚀性。</w:t>
            </w:r>
          </w:p>
        </w:tc>
        <w:tc>
          <w:tcPr>
            <w:tcW w:w="1280" w:type="dxa"/>
            <w:noWrap w:val="0"/>
            <w:vAlign w:val="center"/>
          </w:tcPr>
          <w:p w14:paraId="4642559A">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相当</w:t>
            </w:r>
          </w:p>
        </w:tc>
      </w:tr>
      <w:tr w14:paraId="1E5AA9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785D7884">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环境敏感点</w:t>
            </w:r>
          </w:p>
          <w:p w14:paraId="7F9C07C9">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分布</w:t>
            </w:r>
          </w:p>
        </w:tc>
        <w:tc>
          <w:tcPr>
            <w:tcW w:w="3177" w:type="dxa"/>
            <w:noWrap w:val="0"/>
            <w:vAlign w:val="center"/>
          </w:tcPr>
          <w:p w14:paraId="3F50595F">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周边200m范围内分布为少量散居居民，坝线上游无取水口、鱼类资源分布，未发现</w:t>
            </w:r>
            <w:r>
              <w:rPr>
                <w:rFonts w:hint="eastAsia" w:ascii="Arial" w:hAnsi="宋体" w:cs="Arial"/>
                <w:bCs/>
                <w:color w:val="auto"/>
                <w:kern w:val="2"/>
                <w:sz w:val="22"/>
                <w:szCs w:val="22"/>
                <w:lang w:eastAsia="zh-CN"/>
              </w:rPr>
              <w:t>珍稀野生</w:t>
            </w:r>
            <w:r>
              <w:rPr>
                <w:rFonts w:hint="eastAsia" w:ascii="Arial" w:hAnsi="宋体" w:eastAsia="宋体" w:cs="Arial"/>
                <w:bCs/>
                <w:color w:val="auto"/>
                <w:kern w:val="2"/>
                <w:sz w:val="22"/>
                <w:szCs w:val="22"/>
              </w:rPr>
              <w:t>动物栖息地，淹没区范围内无珍惜植物分布。</w:t>
            </w:r>
          </w:p>
        </w:tc>
        <w:tc>
          <w:tcPr>
            <w:tcW w:w="2861" w:type="dxa"/>
            <w:noWrap w:val="0"/>
            <w:vAlign w:val="center"/>
          </w:tcPr>
          <w:p w14:paraId="1F5336E5">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周边200m范围内分布为少量散居居民，坝线上游无取水口、鱼类资源分布，未发现</w:t>
            </w:r>
            <w:r>
              <w:rPr>
                <w:rFonts w:hint="eastAsia" w:ascii="Arial" w:hAnsi="宋体" w:cs="Arial"/>
                <w:bCs/>
                <w:color w:val="auto"/>
                <w:kern w:val="2"/>
                <w:sz w:val="22"/>
                <w:szCs w:val="22"/>
                <w:lang w:eastAsia="zh-CN"/>
              </w:rPr>
              <w:t>珍稀野生</w:t>
            </w:r>
            <w:r>
              <w:rPr>
                <w:rFonts w:hint="eastAsia" w:ascii="Arial" w:hAnsi="宋体" w:eastAsia="宋体" w:cs="Arial"/>
                <w:bCs/>
                <w:color w:val="auto"/>
                <w:kern w:val="2"/>
                <w:sz w:val="22"/>
                <w:szCs w:val="22"/>
              </w:rPr>
              <w:t>动物栖息地，淹没区范围内无珍惜植物分布。</w:t>
            </w:r>
          </w:p>
        </w:tc>
        <w:tc>
          <w:tcPr>
            <w:tcW w:w="1280" w:type="dxa"/>
            <w:noWrap w:val="0"/>
            <w:vAlign w:val="center"/>
          </w:tcPr>
          <w:p w14:paraId="7C375007">
            <w:pPr>
              <w:pStyle w:val="101"/>
              <w:spacing w:line="300" w:lineRule="exact"/>
              <w:jc w:val="center"/>
              <w:rPr>
                <w:rFonts w:hint="eastAsia" w:ascii="Arial" w:hAnsi="宋体" w:eastAsia="宋体" w:cs="Arial"/>
                <w:bCs/>
                <w:color w:val="auto"/>
                <w:kern w:val="2"/>
                <w:sz w:val="22"/>
                <w:szCs w:val="22"/>
                <w:lang w:eastAsia="zh-CN"/>
              </w:rPr>
            </w:pPr>
            <w:r>
              <w:rPr>
                <w:rFonts w:hint="eastAsia" w:ascii="Arial" w:hAnsi="宋体" w:eastAsia="宋体" w:cs="Arial"/>
                <w:bCs/>
                <w:color w:val="auto"/>
                <w:kern w:val="2"/>
                <w:sz w:val="22"/>
                <w:szCs w:val="22"/>
                <w:lang w:eastAsia="zh-CN"/>
              </w:rPr>
              <w:t>相当</w:t>
            </w:r>
          </w:p>
        </w:tc>
      </w:tr>
      <w:tr w14:paraId="1CE66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6034ED90">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移民安置</w:t>
            </w:r>
          </w:p>
        </w:tc>
        <w:tc>
          <w:tcPr>
            <w:tcW w:w="3177" w:type="dxa"/>
            <w:noWrap w:val="0"/>
            <w:vAlign w:val="center"/>
          </w:tcPr>
          <w:p w14:paraId="23731924">
            <w:pPr>
              <w:pStyle w:val="101"/>
              <w:spacing w:line="300" w:lineRule="exact"/>
              <w:jc w:val="center"/>
              <w:rPr>
                <w:rFonts w:hint="eastAsia" w:ascii="Arial" w:hAnsi="宋体" w:eastAsia="宋体" w:cs="Arial"/>
                <w:bCs/>
                <w:color w:val="auto"/>
                <w:kern w:val="2"/>
                <w:sz w:val="22"/>
                <w:szCs w:val="22"/>
                <w:lang w:eastAsia="zh-CN"/>
              </w:rPr>
            </w:pPr>
            <w:r>
              <w:rPr>
                <w:rFonts w:hint="eastAsia" w:ascii="Arial" w:hAnsi="宋体" w:eastAsia="宋体" w:cs="Arial"/>
                <w:bCs/>
                <w:color w:val="auto"/>
                <w:kern w:val="2"/>
                <w:sz w:val="22"/>
                <w:szCs w:val="22"/>
                <w:lang w:eastAsia="zh-CN"/>
              </w:rPr>
              <w:t>无</w:t>
            </w:r>
          </w:p>
        </w:tc>
        <w:tc>
          <w:tcPr>
            <w:tcW w:w="2861" w:type="dxa"/>
            <w:noWrap w:val="0"/>
            <w:vAlign w:val="center"/>
          </w:tcPr>
          <w:p w14:paraId="5D10EB8E">
            <w:pPr>
              <w:pStyle w:val="101"/>
              <w:spacing w:line="300" w:lineRule="exact"/>
              <w:jc w:val="center"/>
              <w:rPr>
                <w:rFonts w:hint="eastAsia" w:ascii="Arial" w:hAnsi="宋体" w:eastAsia="宋体" w:cs="Arial"/>
                <w:bCs/>
                <w:color w:val="auto"/>
                <w:kern w:val="2"/>
                <w:sz w:val="22"/>
                <w:szCs w:val="22"/>
                <w:lang w:eastAsia="zh-CN"/>
              </w:rPr>
            </w:pPr>
            <w:r>
              <w:rPr>
                <w:rFonts w:hint="eastAsia" w:ascii="Arial" w:hAnsi="宋体" w:eastAsia="宋体" w:cs="Arial"/>
                <w:bCs/>
                <w:color w:val="auto"/>
                <w:kern w:val="2"/>
                <w:sz w:val="22"/>
                <w:szCs w:val="22"/>
                <w:lang w:eastAsia="zh-CN"/>
              </w:rPr>
              <w:t>无</w:t>
            </w:r>
          </w:p>
        </w:tc>
        <w:tc>
          <w:tcPr>
            <w:tcW w:w="1280" w:type="dxa"/>
            <w:noWrap w:val="0"/>
            <w:vAlign w:val="center"/>
          </w:tcPr>
          <w:p w14:paraId="74C1EEA3">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lang w:eastAsia="zh-CN"/>
              </w:rPr>
              <w:t>相当</w:t>
            </w:r>
          </w:p>
        </w:tc>
      </w:tr>
      <w:tr w14:paraId="639B9E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596BAF2D">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施工工期</w:t>
            </w:r>
          </w:p>
        </w:tc>
        <w:tc>
          <w:tcPr>
            <w:tcW w:w="3177" w:type="dxa"/>
            <w:noWrap w:val="0"/>
            <w:vAlign w:val="center"/>
          </w:tcPr>
          <w:p w14:paraId="4D6E3BCC">
            <w:pPr>
              <w:pStyle w:val="101"/>
              <w:spacing w:line="300" w:lineRule="exact"/>
              <w:jc w:val="center"/>
              <w:rPr>
                <w:rFonts w:hint="eastAsia" w:ascii="Arial" w:hAnsi="宋体" w:eastAsia="宋体" w:cs="Arial"/>
                <w:bCs/>
                <w:color w:val="auto"/>
                <w:kern w:val="2"/>
                <w:sz w:val="22"/>
                <w:szCs w:val="22"/>
                <w:lang w:val="en-US" w:eastAsia="zh-CN"/>
              </w:rPr>
            </w:pPr>
            <w:r>
              <w:rPr>
                <w:rFonts w:hint="eastAsia" w:ascii="Arial" w:hAnsi="宋体" w:eastAsia="宋体" w:cs="Arial"/>
                <w:bCs/>
                <w:color w:val="auto"/>
                <w:kern w:val="2"/>
                <w:sz w:val="22"/>
                <w:szCs w:val="22"/>
              </w:rPr>
              <w:t>2</w:t>
            </w:r>
            <w:r>
              <w:rPr>
                <w:rFonts w:hint="eastAsia" w:ascii="Arial" w:hAnsi="宋体" w:eastAsia="宋体" w:cs="Arial"/>
                <w:bCs/>
                <w:color w:val="auto"/>
                <w:kern w:val="2"/>
                <w:sz w:val="22"/>
                <w:szCs w:val="22"/>
                <w:lang w:val="en-US" w:eastAsia="zh-CN"/>
              </w:rPr>
              <w:t>8个月</w:t>
            </w:r>
          </w:p>
        </w:tc>
        <w:tc>
          <w:tcPr>
            <w:tcW w:w="2861" w:type="dxa"/>
            <w:noWrap w:val="0"/>
            <w:vAlign w:val="center"/>
          </w:tcPr>
          <w:p w14:paraId="76F85B31">
            <w:pPr>
              <w:pStyle w:val="101"/>
              <w:spacing w:line="300" w:lineRule="exact"/>
              <w:jc w:val="center"/>
              <w:rPr>
                <w:rFonts w:hint="default" w:ascii="Arial" w:hAnsi="宋体" w:eastAsia="宋体" w:cs="Arial"/>
                <w:bCs/>
                <w:color w:val="auto"/>
                <w:kern w:val="2"/>
                <w:sz w:val="22"/>
                <w:szCs w:val="22"/>
                <w:lang w:val="en-US" w:eastAsia="zh-CN"/>
              </w:rPr>
            </w:pPr>
            <w:r>
              <w:rPr>
                <w:rFonts w:hint="eastAsia" w:ascii="Arial" w:hAnsi="宋体" w:eastAsia="宋体" w:cs="Arial"/>
                <w:bCs/>
                <w:color w:val="auto"/>
                <w:kern w:val="2"/>
                <w:sz w:val="22"/>
                <w:szCs w:val="22"/>
                <w:lang w:val="en-US" w:eastAsia="zh-CN"/>
              </w:rPr>
              <w:t>24个月</w:t>
            </w:r>
          </w:p>
        </w:tc>
        <w:tc>
          <w:tcPr>
            <w:tcW w:w="1280" w:type="dxa"/>
            <w:noWrap w:val="0"/>
            <w:vAlign w:val="center"/>
          </w:tcPr>
          <w:p w14:paraId="5571095E">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下坝线</w:t>
            </w:r>
          </w:p>
        </w:tc>
      </w:tr>
      <w:tr w14:paraId="3E286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57CC39AF">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天然建筑</w:t>
            </w:r>
          </w:p>
          <w:p w14:paraId="60E5072C">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材料</w:t>
            </w:r>
          </w:p>
        </w:tc>
        <w:tc>
          <w:tcPr>
            <w:tcW w:w="3177" w:type="dxa"/>
            <w:noWrap w:val="0"/>
            <w:vAlign w:val="center"/>
          </w:tcPr>
          <w:p w14:paraId="1AD5DD23">
            <w:pPr>
              <w:pStyle w:val="101"/>
              <w:spacing w:line="300" w:lineRule="exact"/>
              <w:jc w:val="center"/>
              <w:rPr>
                <w:rFonts w:hint="eastAsia" w:ascii="Arial" w:hAnsi="宋体" w:eastAsia="宋体" w:cs="Arial"/>
                <w:bCs/>
                <w:color w:val="auto"/>
                <w:kern w:val="2"/>
                <w:sz w:val="22"/>
                <w:szCs w:val="22"/>
                <w:lang w:eastAsia="zh-CN"/>
              </w:rPr>
            </w:pPr>
            <w:r>
              <w:rPr>
                <w:rFonts w:hint="eastAsia" w:ascii="Arial" w:hAnsi="宋体" w:eastAsia="宋体" w:cs="Arial"/>
                <w:bCs/>
                <w:color w:val="auto"/>
                <w:kern w:val="2"/>
                <w:sz w:val="22"/>
                <w:szCs w:val="22"/>
                <w:lang w:eastAsia="zh-CN"/>
              </w:rPr>
              <w:t>可在丰都县境内合规采石场、混凝土搅拌站等购买。</w:t>
            </w:r>
          </w:p>
        </w:tc>
        <w:tc>
          <w:tcPr>
            <w:tcW w:w="2861" w:type="dxa"/>
            <w:noWrap w:val="0"/>
            <w:vAlign w:val="center"/>
          </w:tcPr>
          <w:p w14:paraId="08C0C35E">
            <w:pPr>
              <w:pStyle w:val="101"/>
              <w:spacing w:line="300" w:lineRule="exact"/>
              <w:jc w:val="center"/>
              <w:rPr>
                <w:rFonts w:ascii="Arial" w:hAnsi="宋体" w:eastAsia="宋体" w:cs="Arial"/>
                <w:bCs/>
                <w:color w:val="auto"/>
                <w:kern w:val="2"/>
                <w:sz w:val="22"/>
                <w:szCs w:val="22"/>
              </w:rPr>
            </w:pPr>
            <w:r>
              <w:rPr>
                <w:rFonts w:hint="eastAsia" w:ascii="Arial" w:hAnsi="宋体" w:eastAsia="宋体" w:cs="Arial"/>
                <w:bCs/>
                <w:color w:val="auto"/>
                <w:kern w:val="2"/>
                <w:sz w:val="22"/>
                <w:szCs w:val="22"/>
                <w:lang w:eastAsia="zh-CN"/>
              </w:rPr>
              <w:t>在丰都县境内合规采石场、混凝土搅拌站等购买。</w:t>
            </w:r>
          </w:p>
        </w:tc>
        <w:tc>
          <w:tcPr>
            <w:tcW w:w="1280" w:type="dxa"/>
            <w:noWrap w:val="0"/>
            <w:vAlign w:val="center"/>
          </w:tcPr>
          <w:p w14:paraId="0D25E35E">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lang w:eastAsia="zh-CN"/>
              </w:rPr>
              <w:t>相当</w:t>
            </w:r>
          </w:p>
        </w:tc>
      </w:tr>
      <w:tr w14:paraId="60EE9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48FCF01D">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工程投资</w:t>
            </w:r>
          </w:p>
        </w:tc>
        <w:tc>
          <w:tcPr>
            <w:tcW w:w="3177" w:type="dxa"/>
            <w:noWrap w:val="0"/>
            <w:vAlign w:val="center"/>
          </w:tcPr>
          <w:p w14:paraId="44757C49">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lang w:val="en-US" w:eastAsia="zh-CN"/>
              </w:rPr>
              <w:t>14499.6</w:t>
            </w:r>
            <w:r>
              <w:rPr>
                <w:rFonts w:hint="eastAsia" w:ascii="Arial" w:hAnsi="宋体" w:eastAsia="宋体" w:cs="Arial"/>
                <w:bCs/>
                <w:color w:val="auto"/>
                <w:kern w:val="2"/>
                <w:sz w:val="22"/>
                <w:szCs w:val="22"/>
              </w:rPr>
              <w:t>万元</w:t>
            </w:r>
          </w:p>
        </w:tc>
        <w:tc>
          <w:tcPr>
            <w:tcW w:w="2861" w:type="dxa"/>
            <w:noWrap w:val="0"/>
            <w:vAlign w:val="center"/>
          </w:tcPr>
          <w:p w14:paraId="7AD5EBE6">
            <w:pPr>
              <w:pStyle w:val="101"/>
              <w:spacing w:line="300" w:lineRule="exact"/>
              <w:jc w:val="center"/>
              <w:rPr>
                <w:rFonts w:hint="eastAsia" w:ascii="Arial" w:hAnsi="宋体" w:eastAsia="宋体" w:cs="Arial"/>
                <w:bCs/>
                <w:color w:val="auto"/>
                <w:kern w:val="2"/>
                <w:sz w:val="22"/>
                <w:szCs w:val="22"/>
              </w:rPr>
            </w:pPr>
            <w:r>
              <w:rPr>
                <w:rFonts w:hint="eastAsia" w:ascii="Arial" w:hAnsi="宋体" w:cs="Arial"/>
                <w:bCs/>
                <w:color w:val="auto"/>
                <w:kern w:val="2"/>
                <w:sz w:val="22"/>
                <w:szCs w:val="22"/>
                <w:highlight w:val="none"/>
                <w:lang w:val="en-US" w:eastAsia="zh-CN"/>
              </w:rPr>
              <w:t>15964.37</w:t>
            </w:r>
            <w:r>
              <w:rPr>
                <w:rFonts w:hint="eastAsia" w:ascii="Arial" w:hAnsi="宋体" w:eastAsia="宋体" w:cs="Arial"/>
                <w:bCs/>
                <w:color w:val="auto"/>
                <w:kern w:val="2"/>
                <w:sz w:val="22"/>
                <w:szCs w:val="22"/>
                <w:highlight w:val="none"/>
              </w:rPr>
              <w:t>万元</w:t>
            </w:r>
          </w:p>
        </w:tc>
        <w:tc>
          <w:tcPr>
            <w:tcW w:w="1280" w:type="dxa"/>
            <w:noWrap w:val="0"/>
            <w:vAlign w:val="center"/>
          </w:tcPr>
          <w:p w14:paraId="467C3163">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上坝线</w:t>
            </w:r>
          </w:p>
        </w:tc>
      </w:tr>
    </w:tbl>
    <w:p w14:paraId="293237D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p>
    <w:p w14:paraId="2358277E">
      <w:pPr>
        <w:pStyle w:val="101"/>
        <w:spacing w:line="440" w:lineRule="exact"/>
        <w:ind w:firstLine="520" w:firstLineChars="200"/>
        <w:jc w:val="both"/>
        <w:rPr>
          <w:rFonts w:hint="eastAsia" w:ascii="Arial" w:hAnsi="宋体" w:eastAsia="宋体" w:cs="Arial"/>
          <w:bCs/>
          <w:color w:val="auto"/>
          <w:kern w:val="2"/>
          <w:sz w:val="26"/>
          <w:szCs w:val="26"/>
        </w:rPr>
      </w:pPr>
      <w:r>
        <w:rPr>
          <w:rFonts w:hint="eastAsia" w:ascii="Arial" w:hAnsi="宋体" w:eastAsia="宋体" w:cs="Arial"/>
          <w:color w:val="auto"/>
          <w:sz w:val="26"/>
          <w:szCs w:val="26"/>
        </w:rPr>
        <w:t>由于上、下坝线距离较近，周边环境相似，</w:t>
      </w:r>
      <w:r>
        <w:rPr>
          <w:rFonts w:hint="eastAsia" w:ascii="Arial" w:hAnsi="宋体" w:eastAsia="宋体" w:cs="Arial"/>
          <w:bCs/>
          <w:color w:val="auto"/>
          <w:sz w:val="26"/>
          <w:szCs w:val="26"/>
        </w:rPr>
        <w:t>均</w:t>
      </w:r>
      <w:r>
        <w:rPr>
          <w:rFonts w:hint="eastAsia" w:ascii="Arial" w:hAnsi="宋体" w:eastAsia="宋体" w:cs="Arial"/>
          <w:bCs/>
          <w:color w:val="auto"/>
          <w:sz w:val="26"/>
          <w:szCs w:val="26"/>
          <w:lang w:eastAsia="zh-CN"/>
        </w:rPr>
        <w:t>不</w:t>
      </w:r>
      <w:r>
        <w:rPr>
          <w:rFonts w:hint="eastAsia" w:ascii="Arial" w:hAnsi="宋体" w:eastAsia="宋体" w:cs="Arial"/>
          <w:bCs/>
          <w:color w:val="auto"/>
          <w:sz w:val="26"/>
          <w:szCs w:val="26"/>
        </w:rPr>
        <w:t>涉及</w:t>
      </w:r>
      <w:r>
        <w:rPr>
          <w:rFonts w:hint="eastAsia" w:ascii="Arial" w:hAnsi="宋体" w:eastAsia="宋体" w:cs="Arial"/>
          <w:bCs/>
          <w:color w:val="auto"/>
          <w:sz w:val="26"/>
          <w:szCs w:val="26"/>
          <w:lang w:eastAsia="zh-CN"/>
        </w:rPr>
        <w:t>生态环保红线、</w:t>
      </w:r>
      <w:r>
        <w:rPr>
          <w:rFonts w:hint="eastAsia" w:ascii="Arial" w:hAnsi="宋体" w:cs="Arial"/>
          <w:bCs/>
          <w:color w:val="auto"/>
          <w:sz w:val="26"/>
          <w:szCs w:val="26"/>
          <w:lang w:eastAsia="zh-CN"/>
        </w:rPr>
        <w:t>自然保护区、森林公园、风景名胜区、饮用水水源保护区等特殊生态敏感区，占地及影响范围内无</w:t>
      </w:r>
      <w:r>
        <w:rPr>
          <w:rFonts w:hint="eastAsia" w:ascii="Arial" w:hAnsi="宋体" w:eastAsia="宋体" w:cs="Arial"/>
          <w:bCs/>
          <w:color w:val="auto"/>
          <w:sz w:val="26"/>
          <w:szCs w:val="26"/>
          <w:lang w:eastAsia="zh-CN"/>
        </w:rPr>
        <w:t>珍稀濒危保护型野生动植物</w:t>
      </w:r>
      <w:r>
        <w:rPr>
          <w:rFonts w:hint="eastAsia" w:ascii="Arial" w:hAnsi="宋体" w:cs="Arial"/>
          <w:bCs/>
          <w:color w:val="auto"/>
          <w:sz w:val="26"/>
          <w:szCs w:val="26"/>
          <w:lang w:eastAsia="zh-CN"/>
        </w:rPr>
        <w:t>分布</w:t>
      </w:r>
      <w:r>
        <w:rPr>
          <w:rFonts w:hint="eastAsia" w:ascii="Arial" w:hAnsi="宋体" w:eastAsia="宋体" w:cs="Arial"/>
          <w:bCs/>
          <w:color w:val="auto"/>
          <w:sz w:val="26"/>
          <w:szCs w:val="26"/>
        </w:rPr>
        <w:t>。</w:t>
      </w:r>
      <w:r>
        <w:rPr>
          <w:rFonts w:hint="eastAsia" w:ascii="Arial" w:hAnsi="宋体" w:eastAsia="宋体" w:cs="Arial"/>
          <w:color w:val="auto"/>
          <w:sz w:val="26"/>
          <w:szCs w:val="26"/>
        </w:rPr>
        <w:t>根据表</w:t>
      </w:r>
      <w:r>
        <w:rPr>
          <w:rFonts w:hint="eastAsia" w:ascii="Arial" w:hAnsi="宋体" w:eastAsia="宋体" w:cs="Arial"/>
          <w:color w:val="auto"/>
          <w:sz w:val="26"/>
          <w:szCs w:val="26"/>
          <w:lang w:val="en-US" w:eastAsia="zh-CN"/>
        </w:rPr>
        <w:t>10.1</w:t>
      </w:r>
      <w:r>
        <w:rPr>
          <w:rFonts w:hint="eastAsia" w:ascii="Arial" w:hAnsi="宋体" w:eastAsia="宋体" w:cs="Arial"/>
          <w:color w:val="auto"/>
          <w:sz w:val="26"/>
          <w:szCs w:val="26"/>
        </w:rPr>
        <w:t>-1对比内容可以看出，</w:t>
      </w:r>
      <w:r>
        <w:rPr>
          <w:rFonts w:hint="eastAsia" w:ascii="Arial" w:hAnsi="宋体" w:cs="Arial"/>
          <w:bCs/>
          <w:color w:val="auto"/>
          <w:kern w:val="2"/>
          <w:sz w:val="26"/>
          <w:szCs w:val="26"/>
          <w:lang w:eastAsia="zh-CN"/>
        </w:rPr>
        <w:t>虽然上</w:t>
      </w:r>
      <w:r>
        <w:rPr>
          <w:rFonts w:hint="eastAsia" w:ascii="Arial" w:hAnsi="宋体" w:eastAsia="宋体" w:cs="Arial"/>
          <w:bCs/>
          <w:color w:val="auto"/>
          <w:kern w:val="2"/>
          <w:sz w:val="26"/>
          <w:szCs w:val="26"/>
        </w:rPr>
        <w:t>坝线施工周期</w:t>
      </w:r>
      <w:r>
        <w:rPr>
          <w:rFonts w:hint="eastAsia" w:ascii="Arial" w:hAnsi="宋体" w:cs="Arial"/>
          <w:bCs/>
          <w:color w:val="auto"/>
          <w:kern w:val="2"/>
          <w:sz w:val="26"/>
          <w:szCs w:val="26"/>
          <w:lang w:eastAsia="zh-CN"/>
        </w:rPr>
        <w:t>略长</w:t>
      </w:r>
      <w:r>
        <w:rPr>
          <w:rFonts w:hint="eastAsia" w:ascii="Arial" w:hAnsi="宋体" w:eastAsia="宋体" w:cs="Arial"/>
          <w:bCs/>
          <w:color w:val="auto"/>
          <w:kern w:val="2"/>
          <w:sz w:val="26"/>
          <w:szCs w:val="26"/>
        </w:rPr>
        <w:t>，</w:t>
      </w:r>
      <w:r>
        <w:rPr>
          <w:rFonts w:hint="eastAsia" w:ascii="Arial" w:hAnsi="宋体" w:cs="Arial"/>
          <w:color w:val="auto"/>
          <w:sz w:val="26"/>
          <w:szCs w:val="26"/>
          <w:lang w:eastAsia="zh-CN"/>
        </w:rPr>
        <w:t>但</w:t>
      </w:r>
      <w:r>
        <w:rPr>
          <w:rFonts w:hint="eastAsia" w:ascii="Arial" w:hAnsi="宋体" w:eastAsia="宋体" w:cs="Arial"/>
          <w:color w:val="auto"/>
          <w:sz w:val="26"/>
          <w:szCs w:val="26"/>
        </w:rPr>
        <w:t>工程量较小，占地面积</w:t>
      </w:r>
      <w:bookmarkStart w:id="223" w:name="_GoBack"/>
      <w:bookmarkEnd w:id="223"/>
      <w:r>
        <w:rPr>
          <w:rFonts w:hint="eastAsia" w:ascii="Arial" w:hAnsi="宋体" w:cs="Arial"/>
          <w:color w:val="auto"/>
          <w:sz w:val="26"/>
          <w:szCs w:val="26"/>
          <w:lang w:eastAsia="zh-CN"/>
        </w:rPr>
        <w:t>较</w:t>
      </w:r>
      <w:r>
        <w:rPr>
          <w:rFonts w:hint="eastAsia" w:ascii="Arial" w:hAnsi="宋体" w:eastAsia="宋体" w:cs="Arial"/>
          <w:color w:val="auto"/>
          <w:sz w:val="26"/>
          <w:szCs w:val="26"/>
        </w:rPr>
        <w:t>小，</w:t>
      </w:r>
      <w:r>
        <w:rPr>
          <w:rFonts w:hint="eastAsia" w:ascii="Arial" w:hAnsi="宋体" w:cs="Arial"/>
          <w:color w:val="auto"/>
          <w:sz w:val="26"/>
          <w:szCs w:val="26"/>
          <w:lang w:eastAsia="zh-CN"/>
        </w:rPr>
        <w:t>且淹没区不涉及基本农田，</w:t>
      </w:r>
      <w:r>
        <w:rPr>
          <w:rFonts w:hint="eastAsia" w:ascii="Arial" w:hAnsi="宋体" w:eastAsia="宋体" w:cs="Arial"/>
          <w:color w:val="auto"/>
          <w:sz w:val="26"/>
          <w:szCs w:val="26"/>
        </w:rPr>
        <w:t>对</w:t>
      </w:r>
      <w:r>
        <w:rPr>
          <w:rFonts w:hint="eastAsia" w:ascii="Arial" w:hAnsi="宋体" w:eastAsia="宋体" w:cs="Arial"/>
          <w:bCs/>
          <w:color w:val="auto"/>
          <w:kern w:val="2"/>
          <w:sz w:val="26"/>
          <w:szCs w:val="26"/>
          <w:lang w:eastAsia="zh-CN"/>
        </w:rPr>
        <w:t>区域生态环境的影响</w:t>
      </w:r>
      <w:r>
        <w:rPr>
          <w:rFonts w:hint="eastAsia" w:ascii="Arial" w:hAnsi="宋体" w:cs="Arial"/>
          <w:bCs/>
          <w:color w:val="auto"/>
          <w:kern w:val="2"/>
          <w:sz w:val="26"/>
          <w:szCs w:val="26"/>
          <w:lang w:eastAsia="zh-CN"/>
        </w:rPr>
        <w:t>更</w:t>
      </w:r>
      <w:r>
        <w:rPr>
          <w:rFonts w:hint="eastAsia" w:ascii="Arial" w:hAnsi="宋体" w:eastAsia="宋体" w:cs="Arial"/>
          <w:bCs/>
          <w:color w:val="auto"/>
          <w:kern w:val="2"/>
          <w:sz w:val="26"/>
          <w:szCs w:val="26"/>
        </w:rPr>
        <w:t>小。因此，本评价认为主体设计推荐下坝线方案合理可行。</w:t>
      </w:r>
    </w:p>
    <w:p w14:paraId="721E4E89">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1.10.</w:t>
      </w:r>
      <w:r>
        <w:rPr>
          <w:rFonts w:hint="eastAsia" w:ascii="Arial" w:hAnsi="Arial" w:cs="Arial"/>
          <w:b/>
          <w:color w:val="auto"/>
          <w:kern w:val="0"/>
          <w:sz w:val="26"/>
          <w:szCs w:val="20"/>
          <w:highlight w:val="none"/>
          <w:lang w:val="en-US" w:eastAsia="zh-CN"/>
        </w:rPr>
        <w:t>3输水工程选线环境合理性分析</w:t>
      </w:r>
    </w:p>
    <w:p w14:paraId="2085411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本项目建成后</w:t>
      </w:r>
      <w:r>
        <w:rPr>
          <w:rFonts w:hint="eastAsia" w:ascii="Arial" w:hAnsi="Arial" w:eastAsia="宋体" w:cs="Arial"/>
          <w:color w:val="auto"/>
          <w:kern w:val="0"/>
          <w:sz w:val="26"/>
          <w:szCs w:val="26"/>
          <w:highlight w:val="none"/>
          <w:lang w:val="en-US" w:eastAsia="zh-CN"/>
        </w:rPr>
        <w:t>可解决双龙社区、回龙场村、田家山村7000人饮和双龙社区、回龙场村2000亩耕地灌溉用水</w:t>
      </w:r>
      <w:r>
        <w:rPr>
          <w:rFonts w:hint="eastAsia" w:ascii="Arial" w:hAnsi="Arial" w:cs="Arial"/>
          <w:color w:val="auto"/>
          <w:kern w:val="0"/>
          <w:sz w:val="26"/>
          <w:szCs w:val="26"/>
          <w:highlight w:val="none"/>
          <w:lang w:val="en-US" w:eastAsia="zh-CN"/>
        </w:rPr>
        <w:t>。本项目输水管线总长8.9km，不涉及生态保护红线、自然保护区、风景名胜区等特殊生态敏感区，均为埋地敷设，且沿线无提升泵站，均为临时占地，占地及影响范围内无</w:t>
      </w:r>
      <w:r>
        <w:rPr>
          <w:rFonts w:hint="eastAsia" w:ascii="Arial" w:hAnsi="宋体" w:eastAsia="宋体" w:cs="Arial"/>
          <w:bCs/>
          <w:color w:val="auto"/>
          <w:kern w:val="2"/>
          <w:sz w:val="26"/>
          <w:szCs w:val="26"/>
        </w:rPr>
        <w:t>国家重点保护珍稀植物和古树名木，施工结束后立即回填管沟，并进行生态覆土，</w:t>
      </w:r>
      <w:r>
        <w:rPr>
          <w:rFonts w:hint="eastAsia" w:ascii="Arial" w:hAnsi="宋体" w:eastAsia="宋体" w:cs="Arial"/>
          <w:bCs/>
          <w:color w:val="auto"/>
          <w:kern w:val="2"/>
          <w:sz w:val="26"/>
          <w:szCs w:val="26"/>
          <w:lang w:eastAsia="zh-CN"/>
        </w:rPr>
        <w:t>对区域生态环境影响小。</w:t>
      </w:r>
      <w:r>
        <w:rPr>
          <w:rFonts w:hint="eastAsia" w:ascii="Arial" w:hAnsi="Arial" w:cs="Arial"/>
          <w:color w:val="auto"/>
          <w:kern w:val="0"/>
          <w:sz w:val="26"/>
          <w:szCs w:val="26"/>
          <w:highlight w:val="none"/>
          <w:lang w:val="en-US" w:eastAsia="zh-CN"/>
        </w:rPr>
        <w:t>由于项目供水范围主要位于海螺沟、高洞桥河和双龙河两岸，并为满足重力自流，故不可避免将穿越河道，据统计，项目输水管线将穿越海螺沟1次、高洞桥河3次、双龙河1次，跨域河段均不涉及饮用水水源保护区，评价建议优先选取</w:t>
      </w:r>
      <w:r>
        <w:rPr>
          <w:rFonts w:hint="eastAsia" w:ascii="Arial" w:hAnsi="宋体" w:eastAsia="宋体" w:cs="Arial"/>
          <w:color w:val="auto"/>
          <w:sz w:val="26"/>
          <w:szCs w:val="26"/>
        </w:rPr>
        <w:t>顶管、定向钻等不涉水的施工工艺</w:t>
      </w:r>
      <w:r>
        <w:rPr>
          <w:rFonts w:hint="eastAsia" w:ascii="Arial" w:hAnsi="宋体" w:eastAsia="宋体" w:cs="Arial"/>
          <w:color w:val="auto"/>
          <w:sz w:val="26"/>
          <w:szCs w:val="26"/>
          <w:lang w:eastAsia="zh-CN"/>
        </w:rPr>
        <w:t>，</w:t>
      </w:r>
      <w:r>
        <w:rPr>
          <w:rFonts w:hint="eastAsia" w:ascii="Arial" w:hAnsi="宋体" w:cs="Arial"/>
          <w:color w:val="auto"/>
          <w:sz w:val="26"/>
          <w:szCs w:val="26"/>
          <w:lang w:val="en-US" w:eastAsia="zh-CN"/>
        </w:rPr>
        <w:t>无法选用时，需做好施工导流、围堰等工作，</w:t>
      </w:r>
      <w:r>
        <w:rPr>
          <w:rFonts w:hint="eastAsia" w:ascii="Arial" w:hAnsi="宋体" w:cs="Arial"/>
          <w:color w:val="auto"/>
          <w:spacing w:val="-4"/>
          <w:sz w:val="26"/>
          <w:szCs w:val="26"/>
        </w:rPr>
        <w:t>选择枯水期分段作业，严格控制施工开挖面，并尽可能将处理后的基坑废水回用于施工抑尘洒水，</w:t>
      </w:r>
      <w:r>
        <w:rPr>
          <w:rFonts w:hint="eastAsia" w:ascii="Arial" w:hAnsi="宋体" w:cs="Arial"/>
          <w:bCs/>
          <w:color w:val="auto"/>
          <w:sz w:val="26"/>
          <w:szCs w:val="26"/>
        </w:rPr>
        <w:t>多余部分需经沉淀处理</w:t>
      </w:r>
      <w:r>
        <w:rPr>
          <w:rFonts w:hint="eastAsia" w:ascii="Arial" w:hAnsi="宋体" w:cs="Arial"/>
          <w:bCs/>
          <w:color w:val="auto"/>
          <w:sz w:val="26"/>
          <w:szCs w:val="26"/>
          <w:lang w:eastAsia="zh-CN"/>
        </w:rPr>
        <w:t>后引至下游河道排放；</w:t>
      </w:r>
      <w:r>
        <w:rPr>
          <w:rFonts w:hint="eastAsia" w:ascii="Arial" w:hAnsi="宋体" w:eastAsia="宋体" w:cs="Arial"/>
          <w:color w:val="auto"/>
          <w:sz w:val="26"/>
          <w:szCs w:val="26"/>
          <w:lang w:eastAsia="zh-CN"/>
        </w:rPr>
        <w:t>做好土石方的收集、处理工作，</w:t>
      </w:r>
      <w:r>
        <w:rPr>
          <w:rFonts w:hint="eastAsia" w:ascii="Arial" w:hAnsi="宋体" w:eastAsia="宋体" w:cs="Arial"/>
          <w:color w:val="auto"/>
          <w:sz w:val="26"/>
          <w:szCs w:val="26"/>
        </w:rPr>
        <w:t>严禁向</w:t>
      </w:r>
      <w:r>
        <w:rPr>
          <w:rFonts w:hint="eastAsia" w:ascii="Arial" w:hAnsi="宋体" w:eastAsia="宋体" w:cs="Arial"/>
          <w:color w:val="auto"/>
          <w:sz w:val="26"/>
          <w:szCs w:val="26"/>
          <w:lang w:eastAsia="zh-CN"/>
        </w:rPr>
        <w:t>河道</w:t>
      </w:r>
      <w:r>
        <w:rPr>
          <w:rFonts w:hint="eastAsia" w:ascii="Arial" w:hAnsi="宋体" w:eastAsia="宋体" w:cs="Arial"/>
          <w:color w:val="auto"/>
          <w:sz w:val="26"/>
          <w:szCs w:val="26"/>
        </w:rPr>
        <w:t>内倾倒废渣，</w:t>
      </w:r>
      <w:r>
        <w:rPr>
          <w:rFonts w:hint="eastAsia" w:ascii="Arial" w:hAnsi="宋体" w:eastAsia="宋体" w:cs="Arial"/>
          <w:color w:val="auto"/>
          <w:sz w:val="26"/>
          <w:szCs w:val="26"/>
          <w:lang w:eastAsia="zh-CN"/>
        </w:rPr>
        <w:t>对河道水质影响小；</w:t>
      </w:r>
      <w:r>
        <w:rPr>
          <w:rFonts w:hint="eastAsia" w:ascii="Arial" w:hAnsi="宋体" w:eastAsia="宋体" w:cs="Arial"/>
          <w:bCs/>
          <w:color w:val="auto"/>
          <w:kern w:val="2"/>
          <w:sz w:val="26"/>
          <w:szCs w:val="26"/>
        </w:rPr>
        <w:t>且根据水生生态调查结果，</w:t>
      </w:r>
      <w:r>
        <w:rPr>
          <w:rFonts w:hint="eastAsia" w:ascii="Arial" w:hAnsi="宋体" w:eastAsia="宋体" w:cs="Arial"/>
          <w:bCs/>
          <w:color w:val="auto"/>
          <w:kern w:val="2"/>
          <w:sz w:val="26"/>
          <w:szCs w:val="26"/>
          <w:lang w:eastAsia="zh-CN"/>
        </w:rPr>
        <w:t>海螺沟</w:t>
      </w:r>
      <w:r>
        <w:rPr>
          <w:rFonts w:hint="eastAsia" w:ascii="Arial" w:hAnsi="宋体" w:eastAsia="宋体" w:cs="Arial"/>
          <w:bCs/>
          <w:color w:val="auto"/>
          <w:kern w:val="2"/>
          <w:sz w:val="26"/>
          <w:szCs w:val="26"/>
        </w:rPr>
        <w:t>流域内无鱼类“三场”分布，水生生态环境较为简单，</w:t>
      </w:r>
      <w:r>
        <w:rPr>
          <w:rFonts w:hint="eastAsia" w:ascii="Arial" w:hAnsi="宋体" w:eastAsia="宋体" w:cs="Arial"/>
          <w:bCs/>
          <w:color w:val="auto"/>
          <w:kern w:val="2"/>
          <w:sz w:val="26"/>
          <w:szCs w:val="26"/>
          <w:lang w:eastAsia="zh-CN"/>
        </w:rPr>
        <w:t>管线跨越河道施工，几乎不会扰动河道</w:t>
      </w:r>
      <w:r>
        <w:rPr>
          <w:rFonts w:hint="eastAsia" w:ascii="Arial" w:hAnsi="宋体" w:eastAsia="宋体" w:cs="Arial"/>
          <w:color w:val="auto"/>
          <w:sz w:val="26"/>
          <w:szCs w:val="26"/>
        </w:rPr>
        <w:t>水生生态环境</w:t>
      </w:r>
      <w:r>
        <w:rPr>
          <w:rFonts w:hint="eastAsia" w:ascii="Arial" w:hAnsi="宋体" w:cs="Arial"/>
          <w:color w:val="auto"/>
          <w:sz w:val="26"/>
          <w:szCs w:val="26"/>
          <w:lang w:eastAsia="zh-CN"/>
        </w:rPr>
        <w:t>。输水管线两侧分布有少量散居居民，在采取设置施工围挡、合理安排施工作业时间、合理布局施工设备、加强施工设备维护和保养等降噪措施后，管线施工对沿线居民声环境影响小，</w:t>
      </w:r>
      <w:r>
        <w:rPr>
          <w:rFonts w:hint="eastAsia" w:ascii="Arial" w:hAnsi="宋体" w:eastAsia="宋体" w:cs="Arial"/>
          <w:color w:val="auto"/>
          <w:sz w:val="26"/>
          <w:szCs w:val="26"/>
        </w:rPr>
        <w:t>且属于短期影响，随着施工的结束而结束。</w:t>
      </w:r>
    </w:p>
    <w:p w14:paraId="108CD6FB">
      <w:pPr>
        <w:pStyle w:val="101"/>
        <w:keepNext w:val="0"/>
        <w:keepLines w:val="0"/>
        <w:pageBreakBefore w:val="0"/>
        <w:widowControl w:val="0"/>
        <w:kinsoku/>
        <w:wordWrap/>
        <w:overflowPunct/>
        <w:topLinePunct w:val="0"/>
        <w:bidi w:val="0"/>
        <w:spacing w:line="460" w:lineRule="exact"/>
        <w:ind w:firstLine="520" w:firstLineChars="200"/>
        <w:jc w:val="both"/>
        <w:textAlignment w:val="auto"/>
        <w:rPr>
          <w:rFonts w:hint="eastAsia" w:ascii="Arial" w:hAnsi="Arial" w:eastAsia="宋体" w:cs="Arial"/>
          <w:color w:val="auto"/>
          <w:kern w:val="0"/>
          <w:sz w:val="26"/>
          <w:szCs w:val="26"/>
          <w:highlight w:val="none"/>
          <w:lang w:val="en-US" w:eastAsia="zh-CN" w:bidi="ar-SA"/>
        </w:rPr>
      </w:pPr>
      <w:r>
        <w:rPr>
          <w:rFonts w:hint="eastAsia" w:ascii="Arial" w:hAnsi="Arial" w:eastAsia="宋体" w:cs="Arial"/>
          <w:color w:val="auto"/>
          <w:kern w:val="0"/>
          <w:sz w:val="26"/>
          <w:szCs w:val="26"/>
          <w:highlight w:val="none"/>
          <w:lang w:val="en-US" w:eastAsia="zh-CN" w:bidi="ar-SA"/>
        </w:rPr>
        <w:t>因此，从对环境的影响角度分析，评价认为</w:t>
      </w:r>
      <w:r>
        <w:rPr>
          <w:rFonts w:hint="eastAsia" w:ascii="Arial" w:hAnsi="Arial" w:cs="Arial"/>
          <w:color w:val="auto"/>
          <w:kern w:val="0"/>
          <w:sz w:val="26"/>
          <w:szCs w:val="26"/>
          <w:highlight w:val="none"/>
          <w:lang w:val="en-US" w:eastAsia="zh-CN" w:bidi="ar-SA"/>
        </w:rPr>
        <w:t>输水</w:t>
      </w:r>
      <w:r>
        <w:rPr>
          <w:rFonts w:hint="eastAsia" w:ascii="Arial" w:hAnsi="Arial" w:eastAsia="宋体" w:cs="Arial"/>
          <w:color w:val="auto"/>
          <w:kern w:val="0"/>
          <w:sz w:val="26"/>
          <w:szCs w:val="26"/>
          <w:highlight w:val="none"/>
          <w:lang w:val="en-US" w:eastAsia="zh-CN" w:bidi="ar-SA"/>
        </w:rPr>
        <w:t>管线选线方案是合理的。</w:t>
      </w:r>
    </w:p>
    <w:p w14:paraId="290EEF72">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1.10.</w:t>
      </w:r>
      <w:r>
        <w:rPr>
          <w:rFonts w:hint="eastAsia" w:ascii="Arial" w:hAnsi="Arial" w:cs="Arial"/>
          <w:b/>
          <w:color w:val="auto"/>
          <w:kern w:val="0"/>
          <w:sz w:val="26"/>
          <w:szCs w:val="20"/>
          <w:highlight w:val="none"/>
          <w:lang w:val="en-US" w:eastAsia="zh-CN"/>
        </w:rPr>
        <w:t>4上坝公路选线环境合理性分析</w:t>
      </w:r>
    </w:p>
    <w:p w14:paraId="4432FBA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bCs/>
          <w:color w:val="auto"/>
          <w:kern w:val="2"/>
          <w:sz w:val="26"/>
          <w:szCs w:val="26"/>
        </w:rPr>
      </w:pPr>
      <w:r>
        <w:rPr>
          <w:rFonts w:hint="eastAsia" w:ascii="Arial" w:hAnsi="宋体" w:eastAsia="宋体" w:cs="Arial"/>
          <w:bCs/>
          <w:color w:val="auto"/>
          <w:kern w:val="2"/>
          <w:sz w:val="26"/>
          <w:szCs w:val="26"/>
          <w:lang w:eastAsia="zh-CN"/>
        </w:rPr>
        <w:t>根据现场勘查，因本项目选址较为偏远，基础设施建设较为落后，现场无道路与项目坝址区相连，故建设单位在施工期时需设置便道与坝址施工区相连，后续作为上坝公路继续使用；</w:t>
      </w:r>
      <w:r>
        <w:rPr>
          <w:rFonts w:hint="eastAsia" w:ascii="Arial" w:hAnsi="宋体" w:eastAsia="宋体" w:cs="Arial"/>
          <w:bCs/>
          <w:color w:val="auto"/>
          <w:kern w:val="2"/>
          <w:sz w:val="26"/>
          <w:szCs w:val="26"/>
          <w:lang w:val="en-US" w:eastAsia="zh-CN"/>
        </w:rPr>
        <w:t>同时</w:t>
      </w:r>
      <w:r>
        <w:rPr>
          <w:rFonts w:hint="eastAsia" w:ascii="Arial" w:hAnsi="宋体" w:eastAsia="宋体" w:cs="Arial"/>
          <w:bCs/>
          <w:color w:val="auto"/>
          <w:kern w:val="2"/>
          <w:sz w:val="26"/>
          <w:szCs w:val="26"/>
        </w:rPr>
        <w:t>考虑到</w:t>
      </w:r>
      <w:r>
        <w:rPr>
          <w:rFonts w:hint="eastAsia" w:ascii="Arial" w:hAnsi="宋体" w:eastAsia="宋体" w:cs="Arial"/>
          <w:bCs/>
          <w:color w:val="auto"/>
          <w:kern w:val="2"/>
          <w:sz w:val="26"/>
          <w:szCs w:val="26"/>
          <w:lang w:eastAsia="zh-CN"/>
        </w:rPr>
        <w:t>海螺沟</w:t>
      </w:r>
      <w:r>
        <w:rPr>
          <w:rFonts w:hint="eastAsia" w:ascii="Arial" w:hAnsi="宋体" w:eastAsia="宋体" w:cs="Arial"/>
          <w:bCs/>
          <w:color w:val="auto"/>
          <w:kern w:val="2"/>
          <w:sz w:val="26"/>
          <w:szCs w:val="26"/>
        </w:rPr>
        <w:t>水库成库后将划定饮用水源保护区，必须建设巡查公路以满足水源水质保护的需求。</w:t>
      </w:r>
      <w:r>
        <w:rPr>
          <w:rFonts w:hint="eastAsia" w:ascii="Arial" w:hAnsi="宋体" w:eastAsia="宋体" w:cs="Arial"/>
          <w:bCs/>
          <w:color w:val="auto"/>
          <w:kern w:val="2"/>
          <w:sz w:val="26"/>
          <w:szCs w:val="26"/>
          <w:lang w:eastAsia="zh-CN"/>
        </w:rPr>
        <w:t>根据项目初设报告，上坝公路</w:t>
      </w:r>
      <w:r>
        <w:rPr>
          <w:rFonts w:hint="eastAsia" w:ascii="Arial" w:hAnsi="宋体" w:eastAsia="宋体" w:cs="Arial"/>
          <w:bCs/>
          <w:color w:val="auto"/>
          <w:kern w:val="2"/>
          <w:sz w:val="26"/>
          <w:szCs w:val="26"/>
        </w:rPr>
        <w:t>沿库区右岸修建，并与现状道路相连，</w:t>
      </w:r>
      <w:r>
        <w:rPr>
          <w:rFonts w:hint="eastAsia" w:ascii="Arial" w:hAnsi="宋体" w:eastAsia="宋体" w:cs="Arial"/>
          <w:bCs/>
          <w:color w:val="auto"/>
          <w:kern w:val="2"/>
          <w:sz w:val="26"/>
          <w:szCs w:val="26"/>
          <w:lang w:eastAsia="zh-CN"/>
        </w:rPr>
        <w:t>不涉及</w:t>
      </w:r>
      <w:r>
        <w:rPr>
          <w:rFonts w:hint="eastAsia" w:ascii="Arial" w:hAnsi="宋体" w:eastAsia="宋体" w:cs="Arial"/>
          <w:bCs/>
          <w:color w:val="auto"/>
          <w:kern w:val="2"/>
          <w:sz w:val="26"/>
          <w:szCs w:val="26"/>
          <w:lang w:val="en-US" w:eastAsia="zh-CN"/>
        </w:rPr>
        <w:t>生态保护红线、自然保护区、风景名胜区等特殊生态敏感区，不占用基本农田、公益林地等，</w:t>
      </w:r>
      <w:r>
        <w:rPr>
          <w:rFonts w:hint="eastAsia" w:ascii="Arial" w:hAnsi="宋体" w:eastAsia="宋体" w:cs="Arial"/>
          <w:bCs/>
          <w:color w:val="auto"/>
          <w:kern w:val="2"/>
          <w:sz w:val="26"/>
          <w:szCs w:val="26"/>
        </w:rPr>
        <w:t>其占地类型主要为荒草地、林地，</w:t>
      </w:r>
      <w:r>
        <w:rPr>
          <w:rFonts w:hint="eastAsia" w:ascii="Arial" w:hAnsi="宋体" w:cs="Arial"/>
          <w:bCs/>
          <w:color w:val="auto"/>
          <w:kern w:val="2"/>
          <w:sz w:val="26"/>
          <w:szCs w:val="26"/>
          <w:lang w:eastAsia="zh-CN"/>
        </w:rPr>
        <w:t>植被</w:t>
      </w:r>
      <w:r>
        <w:rPr>
          <w:rFonts w:hint="eastAsia" w:ascii="Arial" w:hAnsi="宋体" w:eastAsia="宋体" w:cs="Arial"/>
          <w:bCs/>
          <w:color w:val="auto"/>
          <w:kern w:val="2"/>
          <w:sz w:val="26"/>
          <w:szCs w:val="26"/>
        </w:rPr>
        <w:t>主要为常见的</w:t>
      </w:r>
      <w:r>
        <w:rPr>
          <w:rFonts w:hint="eastAsia" w:ascii="Arial" w:hAnsi="宋体" w:eastAsia="宋体" w:cs="Arial"/>
          <w:bCs/>
          <w:color w:val="auto"/>
          <w:kern w:val="2"/>
          <w:sz w:val="26"/>
          <w:szCs w:val="26"/>
          <w:lang w:eastAsia="zh-CN"/>
        </w:rPr>
        <w:t>马尾松、桉树、枫杨、柏木、水竹、麻栎、化香、构树</w:t>
      </w:r>
      <w:r>
        <w:rPr>
          <w:rFonts w:hint="eastAsia" w:ascii="Arial" w:hAnsi="宋体" w:eastAsia="宋体" w:cs="Arial"/>
          <w:bCs/>
          <w:color w:val="auto"/>
          <w:kern w:val="2"/>
          <w:sz w:val="26"/>
          <w:szCs w:val="26"/>
        </w:rPr>
        <w:t>，未发现珍稀保护</w:t>
      </w:r>
      <w:r>
        <w:rPr>
          <w:rFonts w:hint="eastAsia" w:ascii="Arial" w:hAnsi="宋体" w:eastAsia="宋体" w:cs="Arial"/>
          <w:bCs/>
          <w:color w:val="auto"/>
          <w:kern w:val="2"/>
          <w:sz w:val="26"/>
          <w:szCs w:val="26"/>
          <w:lang w:eastAsia="zh-CN"/>
        </w:rPr>
        <w:t>型</w:t>
      </w:r>
      <w:r>
        <w:rPr>
          <w:rFonts w:hint="eastAsia" w:ascii="Arial" w:hAnsi="宋体" w:eastAsia="宋体" w:cs="Arial"/>
          <w:bCs/>
          <w:color w:val="auto"/>
          <w:kern w:val="2"/>
          <w:sz w:val="26"/>
          <w:szCs w:val="26"/>
        </w:rPr>
        <w:t>野生植物，</w:t>
      </w:r>
      <w:r>
        <w:rPr>
          <w:rFonts w:hint="eastAsia" w:ascii="Arial" w:hAnsi="宋体" w:eastAsia="宋体" w:cs="Arial"/>
          <w:bCs/>
          <w:color w:val="auto"/>
          <w:kern w:val="2"/>
          <w:sz w:val="26"/>
          <w:szCs w:val="26"/>
          <w:lang w:eastAsia="zh-CN"/>
        </w:rPr>
        <w:t>未发现</w:t>
      </w:r>
      <w:r>
        <w:rPr>
          <w:rFonts w:hint="eastAsia" w:ascii="Arial" w:hAnsi="宋体" w:eastAsia="宋体" w:cs="Arial"/>
          <w:bCs/>
          <w:color w:val="auto"/>
          <w:kern w:val="2"/>
          <w:sz w:val="26"/>
          <w:szCs w:val="26"/>
        </w:rPr>
        <w:t>名木古树和其他保护物种分布</w:t>
      </w:r>
      <w:r>
        <w:rPr>
          <w:rFonts w:hint="eastAsia" w:ascii="Arial" w:hAnsi="宋体" w:cs="Arial"/>
          <w:bCs/>
          <w:color w:val="auto"/>
          <w:kern w:val="2"/>
          <w:sz w:val="26"/>
          <w:szCs w:val="26"/>
          <w:lang w:eastAsia="zh-CN"/>
        </w:rPr>
        <w:t>；</w:t>
      </w:r>
      <w:r>
        <w:rPr>
          <w:rFonts w:hint="eastAsia" w:ascii="Arial" w:hAnsi="宋体" w:eastAsia="宋体" w:cs="Arial"/>
          <w:bCs/>
          <w:color w:val="auto"/>
          <w:kern w:val="2"/>
          <w:sz w:val="26"/>
          <w:szCs w:val="26"/>
        </w:rPr>
        <w:t>动物为常见的农田动物，如麻雀、山斑鸠、松鼠、蝙蝠、蜥蜴，家禽猪、牛、羊、鸡、鸭等</w:t>
      </w:r>
      <w:r>
        <w:rPr>
          <w:rFonts w:hint="eastAsia" w:ascii="Arial" w:hAnsi="宋体" w:cs="Arial"/>
          <w:bCs/>
          <w:color w:val="auto"/>
          <w:kern w:val="2"/>
          <w:sz w:val="26"/>
          <w:szCs w:val="26"/>
          <w:lang w:eastAsia="zh-CN"/>
        </w:rPr>
        <w:t>，</w:t>
      </w:r>
      <w:r>
        <w:rPr>
          <w:rFonts w:hint="eastAsia" w:ascii="Arial" w:hAnsi="宋体" w:eastAsia="宋体" w:cs="Arial"/>
          <w:bCs/>
          <w:color w:val="auto"/>
          <w:kern w:val="2"/>
          <w:sz w:val="26"/>
          <w:szCs w:val="26"/>
        </w:rPr>
        <w:t>无野生珍稀濒危动植物分布，生态结构较为简单，对区域生态环境影响小。</w:t>
      </w:r>
    </w:p>
    <w:p w14:paraId="2DAEC03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bCs/>
          <w:color w:val="auto"/>
          <w:kern w:val="2"/>
          <w:sz w:val="26"/>
          <w:szCs w:val="26"/>
        </w:rPr>
      </w:pPr>
      <w:r>
        <w:rPr>
          <w:rFonts w:hint="eastAsia" w:ascii="Arial" w:hAnsi="宋体" w:eastAsia="宋体" w:cs="Arial"/>
          <w:bCs/>
          <w:color w:val="auto"/>
          <w:kern w:val="2"/>
          <w:sz w:val="26"/>
          <w:szCs w:val="26"/>
        </w:rPr>
        <w:t>由此可见，本项目</w:t>
      </w:r>
      <w:r>
        <w:rPr>
          <w:rFonts w:hint="eastAsia" w:ascii="Arial" w:hAnsi="宋体" w:cs="Arial"/>
          <w:bCs/>
          <w:color w:val="auto"/>
          <w:kern w:val="2"/>
          <w:sz w:val="26"/>
          <w:szCs w:val="26"/>
          <w:lang w:eastAsia="zh-CN"/>
        </w:rPr>
        <w:t>上坝</w:t>
      </w:r>
      <w:r>
        <w:rPr>
          <w:rFonts w:hint="eastAsia" w:ascii="Arial" w:hAnsi="宋体" w:eastAsia="宋体" w:cs="Arial"/>
          <w:bCs/>
          <w:color w:val="auto"/>
          <w:kern w:val="2"/>
          <w:sz w:val="26"/>
          <w:szCs w:val="26"/>
        </w:rPr>
        <w:t>公路选线合理。</w:t>
      </w:r>
    </w:p>
    <w:p w14:paraId="5CE9A7CC">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1.10.</w:t>
      </w:r>
      <w:r>
        <w:rPr>
          <w:rFonts w:hint="eastAsia" w:ascii="Arial" w:hAnsi="Arial" w:cs="Arial"/>
          <w:b/>
          <w:color w:val="auto"/>
          <w:kern w:val="0"/>
          <w:sz w:val="26"/>
          <w:szCs w:val="20"/>
          <w:highlight w:val="none"/>
          <w:lang w:val="en-US" w:eastAsia="zh-CN"/>
        </w:rPr>
        <w:t>5弃渣场布局的环境合理性分析</w:t>
      </w:r>
    </w:p>
    <w:p w14:paraId="4D53A8A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根据项目初设报告，本项目施工期设置有一处弃渣场，位于库外田家山村委会附近，为一处天然斜坡洼地，距离大坝枢纽运距约6km，占地面积49.47亩，弃渣容量约12万m</w:t>
      </w:r>
      <w:r>
        <w:rPr>
          <w:rFonts w:hint="eastAsia" w:ascii="Arial" w:hAnsi="Arial" w:eastAsia="宋体" w:cs="Arial"/>
          <w:b w:val="0"/>
          <w:color w:val="auto"/>
          <w:kern w:val="2"/>
          <w:sz w:val="26"/>
          <w:szCs w:val="26"/>
          <w:vertAlign w:val="superscript"/>
          <w:lang w:val="en-US" w:eastAsia="zh-CN" w:bidi="ar-SA"/>
        </w:rPr>
        <w:t>3</w:t>
      </w:r>
      <w:r>
        <w:rPr>
          <w:rFonts w:hint="eastAsia" w:ascii="Arial" w:hAnsi="Arial" w:eastAsia="宋体" w:cs="Arial"/>
          <w:b w:val="0"/>
          <w:color w:val="auto"/>
          <w:kern w:val="2"/>
          <w:sz w:val="26"/>
          <w:szCs w:val="26"/>
          <w:lang w:val="en-US" w:eastAsia="zh-CN" w:bidi="ar-SA"/>
        </w:rPr>
        <w:t>，用于堆存处置枢纽工程、输水工程施工产生的废弃土石方。根据现场勘查，弃渣场占地类型主要为旱地、灌木林地、荒地等，不占用基本农田，</w:t>
      </w:r>
      <w:r>
        <w:rPr>
          <w:rFonts w:hint="eastAsia" w:ascii="Arial" w:hAnsi="Arial" w:eastAsia="宋体" w:cs="Arial"/>
          <w:b w:val="0"/>
          <w:color w:val="auto"/>
          <w:kern w:val="2"/>
          <w:sz w:val="26"/>
          <w:szCs w:val="26"/>
          <w:highlight w:val="none"/>
          <w:lang w:val="en-US" w:eastAsia="zh-CN" w:bidi="ar-SA"/>
        </w:rPr>
        <w:t>不涉及生态保护红线、风景名胜区</w:t>
      </w:r>
      <w:r>
        <w:rPr>
          <w:rFonts w:hint="eastAsia" w:ascii="Arial" w:hAnsi="Arial" w:cs="Arial"/>
          <w:b w:val="0"/>
          <w:color w:val="auto"/>
          <w:kern w:val="2"/>
          <w:sz w:val="26"/>
          <w:szCs w:val="26"/>
          <w:lang w:val="en-US" w:eastAsia="zh-CN" w:bidi="ar-SA"/>
        </w:rPr>
        <w:t>、森林公园、饮用水水源保护区</w:t>
      </w:r>
      <w:r>
        <w:rPr>
          <w:rFonts w:hint="eastAsia" w:ascii="Arial" w:hAnsi="Arial" w:cs="Arial"/>
          <w:b w:val="0"/>
          <w:color w:val="auto"/>
          <w:kern w:val="2"/>
          <w:sz w:val="26"/>
          <w:szCs w:val="26"/>
          <w:highlight w:val="none"/>
          <w:lang w:val="en-US" w:eastAsia="zh-CN" w:bidi="ar-SA"/>
        </w:rPr>
        <w:t>等生态敏感区，</w:t>
      </w:r>
      <w:r>
        <w:rPr>
          <w:rFonts w:hint="eastAsia" w:ascii="Arial" w:hAnsi="Arial" w:eastAsia="宋体" w:cs="Arial"/>
          <w:b w:val="0"/>
          <w:color w:val="auto"/>
          <w:kern w:val="2"/>
          <w:sz w:val="26"/>
          <w:szCs w:val="26"/>
          <w:highlight w:val="none"/>
          <w:lang w:val="en-US" w:eastAsia="zh-CN" w:bidi="ar-SA"/>
        </w:rPr>
        <w:t>堆体</w:t>
      </w:r>
      <w:r>
        <w:rPr>
          <w:rFonts w:hint="eastAsia" w:ascii="Arial" w:hAnsi="Arial" w:eastAsia="宋体" w:cs="Arial"/>
          <w:b w:val="0"/>
          <w:color w:val="auto"/>
          <w:kern w:val="2"/>
          <w:sz w:val="26"/>
          <w:szCs w:val="26"/>
          <w:lang w:val="en-US" w:eastAsia="zh-CN" w:bidi="ar-SA"/>
        </w:rPr>
        <w:t>下游200m范围内无重要设施、集中式居民点分布。</w:t>
      </w:r>
    </w:p>
    <w:p w14:paraId="382002B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建设单位已于2024年5月8日取得了丰都县规划和自然资源局下发的《关于丰都县海螺沟水库工程项目临时用地的批复》（丰规资临</w:t>
      </w:r>
      <w:r>
        <w:rPr>
          <w:rFonts w:hint="default" w:ascii="Arial" w:hAnsi="Arial" w:eastAsia="宋体" w:cs="Arial"/>
          <w:b w:val="0"/>
          <w:color w:val="auto"/>
          <w:kern w:val="2"/>
          <w:sz w:val="26"/>
          <w:szCs w:val="26"/>
          <w:lang w:val="en-US" w:eastAsia="zh-CN" w:bidi="ar-SA"/>
        </w:rPr>
        <w:t>〔2024〕字第7号）</w:t>
      </w:r>
      <w:r>
        <w:rPr>
          <w:rFonts w:hint="eastAsia" w:ascii="宋体" w:hAnsi="宋体" w:eastAsia="宋体" w:cs="宋体"/>
          <w:b w:val="0"/>
          <w:color w:val="auto"/>
          <w:kern w:val="2"/>
          <w:sz w:val="26"/>
          <w:szCs w:val="26"/>
          <w:lang w:val="en-US" w:eastAsia="zh-CN" w:bidi="ar-SA"/>
        </w:rPr>
        <w:t>，同时建设单位</w:t>
      </w:r>
      <w:r>
        <w:rPr>
          <w:rFonts w:hint="eastAsia" w:ascii="Arial" w:hAnsi="Arial" w:cs="Arial"/>
          <w:b w:val="0"/>
          <w:color w:val="auto"/>
          <w:kern w:val="2"/>
          <w:sz w:val="26"/>
          <w:szCs w:val="26"/>
          <w:lang w:val="en-US" w:eastAsia="zh-CN" w:bidi="ar-SA"/>
        </w:rPr>
        <w:t>在</w:t>
      </w:r>
      <w:r>
        <w:rPr>
          <w:rFonts w:hint="eastAsia" w:ascii="Arial" w:hAnsi="Arial" w:eastAsia="宋体" w:cs="Arial"/>
          <w:b w:val="0"/>
          <w:color w:val="auto"/>
          <w:kern w:val="2"/>
          <w:sz w:val="26"/>
          <w:szCs w:val="26"/>
          <w:lang w:val="en-US" w:eastAsia="zh-CN" w:bidi="ar-SA"/>
        </w:rPr>
        <w:t>弃土前将按规定修建挡土墙、截排水沟、沉淀池等环保措施，</w:t>
      </w:r>
      <w:r>
        <w:rPr>
          <w:rFonts w:hint="eastAsia" w:ascii="Arial" w:hAnsi="Arial" w:cs="Arial"/>
          <w:b w:val="0"/>
          <w:color w:val="auto"/>
          <w:kern w:val="2"/>
          <w:sz w:val="26"/>
          <w:szCs w:val="26"/>
          <w:lang w:val="en-US" w:eastAsia="zh-CN" w:bidi="ar-SA"/>
        </w:rPr>
        <w:t>弃渣作业将导致区域的生物量和生产力降低，故</w:t>
      </w:r>
      <w:r>
        <w:rPr>
          <w:rFonts w:hint="eastAsia" w:ascii="Arial" w:hAnsi="Arial" w:eastAsia="宋体" w:cs="Arial"/>
          <w:b w:val="0"/>
          <w:color w:val="auto"/>
          <w:kern w:val="2"/>
          <w:sz w:val="26"/>
          <w:szCs w:val="26"/>
          <w:lang w:val="en-US" w:eastAsia="zh-CN" w:bidi="ar-SA"/>
        </w:rPr>
        <w:t>堆渣过程中应分台阶夯实填埋，并洒水抑尘，每层台阶达到堆渣高度后，及时撒播草籽或植树恢复</w:t>
      </w:r>
      <w:r>
        <w:rPr>
          <w:rFonts w:hint="eastAsia" w:ascii="Arial" w:hAnsi="Arial" w:cs="Arial"/>
          <w:b w:val="0"/>
          <w:color w:val="auto"/>
          <w:kern w:val="2"/>
          <w:sz w:val="26"/>
          <w:szCs w:val="26"/>
          <w:lang w:val="en-US" w:eastAsia="zh-CN" w:bidi="ar-SA"/>
        </w:rPr>
        <w:t>，及时恢复林业生产条件</w:t>
      </w:r>
      <w:r>
        <w:rPr>
          <w:rFonts w:hint="eastAsia" w:ascii="Arial" w:hAnsi="Arial" w:eastAsia="宋体" w:cs="Arial"/>
          <w:b w:val="0"/>
          <w:color w:val="auto"/>
          <w:kern w:val="2"/>
          <w:sz w:val="26"/>
          <w:szCs w:val="26"/>
          <w:lang w:val="en-US" w:eastAsia="zh-CN" w:bidi="ar-SA"/>
        </w:rPr>
        <w:t>，对区域外环境的影响将随之消失。</w:t>
      </w:r>
    </w:p>
    <w:p w14:paraId="355827F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总体来说，项目弃渣场</w:t>
      </w:r>
      <w:r>
        <w:rPr>
          <w:rFonts w:hint="eastAsia" w:ascii="Arial" w:hAnsi="Arial" w:eastAsia="宋体" w:cs="Arial"/>
          <w:b w:val="0"/>
          <w:color w:val="auto"/>
          <w:kern w:val="2"/>
          <w:sz w:val="26"/>
          <w:szCs w:val="26"/>
          <w:lang w:val="en-US" w:eastAsia="zh-CN" w:bidi="ar-SA"/>
        </w:rPr>
        <w:t>在采取严格的污染防治和生态恢复治理措施后，对区域外环境影响小，选址合理。</w:t>
      </w:r>
    </w:p>
    <w:p w14:paraId="52C786F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pPr>
    </w:p>
    <w:p w14:paraId="18189B16">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pPr>
    </w:p>
    <w:p w14:paraId="20458359">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FA775E7">
      <w:pPr>
        <w:keepNext w:val="0"/>
        <w:keepLines w:val="0"/>
        <w:pageBreakBefore w:val="0"/>
        <w:widowControl w:val="0"/>
        <w:kinsoku/>
        <w:wordWrap/>
        <w:overflowPunct/>
        <w:topLinePunct w:val="0"/>
        <w:autoSpaceDE/>
        <w:autoSpaceDN/>
        <w:bidi w:val="0"/>
        <w:adjustRightInd/>
        <w:snapToGrid/>
        <w:spacing w:before="0" w:beforeLines="100" w:after="0" w:afterLines="100" w:line="460" w:lineRule="exact"/>
        <w:jc w:val="center"/>
        <w:textAlignment w:val="auto"/>
        <w:outlineLvl w:val="0"/>
        <w:rPr>
          <w:rFonts w:hint="default" w:ascii="Arial" w:hAnsi="Arial" w:eastAsia="宋体" w:cs="Arial"/>
          <w:b/>
          <w:sz w:val="26"/>
          <w:szCs w:val="26"/>
        </w:rPr>
      </w:pPr>
      <w:bookmarkStart w:id="78" w:name="_Toc20252"/>
      <w:r>
        <w:rPr>
          <w:rFonts w:hint="default" w:ascii="Arial" w:hAnsi="Arial" w:eastAsia="宋体" w:cs="Arial"/>
          <w:b/>
          <w:sz w:val="26"/>
          <w:szCs w:val="26"/>
        </w:rPr>
        <w:t>2 工程概况</w:t>
      </w:r>
      <w:bookmarkEnd w:id="78"/>
    </w:p>
    <w:p w14:paraId="6D55BC62">
      <w:pPr>
        <w:pStyle w:val="1291"/>
        <w:keepNext w:val="0"/>
        <w:keepLines w:val="0"/>
        <w:pageBreakBefore w:val="0"/>
        <w:widowControl/>
        <w:kinsoku/>
        <w:wordWrap/>
        <w:overflowPunct/>
        <w:topLinePunct w:val="0"/>
        <w:autoSpaceDE/>
        <w:autoSpaceDN/>
        <w:bidi w:val="0"/>
        <w:adjustRightInd w:val="0"/>
        <w:snapToGrid w:val="0"/>
        <w:spacing w:line="440" w:lineRule="exact"/>
        <w:ind w:firstLine="522" w:firstLineChars="200"/>
        <w:jc w:val="both"/>
        <w:textAlignment w:val="auto"/>
        <w:rPr>
          <w:rFonts w:hint="eastAsia" w:ascii="Arial" w:hAnsi="Arial" w:eastAsia="宋体" w:cs="Arial"/>
          <w:sz w:val="26"/>
          <w:szCs w:val="26"/>
          <w:lang w:eastAsia="zh-CN"/>
        </w:rPr>
      </w:pPr>
      <w:bookmarkStart w:id="79" w:name="_Toc6805"/>
      <w:r>
        <w:rPr>
          <w:rFonts w:hint="default" w:ascii="Arial" w:hAnsi="Arial" w:cs="Arial"/>
          <w:sz w:val="26"/>
          <w:szCs w:val="26"/>
        </w:rPr>
        <w:t>2.1</w:t>
      </w:r>
      <w:bookmarkEnd w:id="79"/>
      <w:r>
        <w:rPr>
          <w:rFonts w:hint="eastAsia" w:ascii="Arial" w:hAnsi="Arial" w:cs="Arial"/>
          <w:sz w:val="26"/>
          <w:szCs w:val="26"/>
          <w:lang w:eastAsia="zh-CN"/>
        </w:rPr>
        <w:t>流域概况</w:t>
      </w:r>
    </w:p>
    <w:p w14:paraId="100DAA6D">
      <w:pPr>
        <w:keepNext w:val="0"/>
        <w:keepLines w:val="0"/>
        <w:pageBreakBefore w:val="0"/>
        <w:widowControl/>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2.1.1流域基本情况</w:t>
      </w:r>
    </w:p>
    <w:p w14:paraId="7566F2A3">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海螺沟水库工程位于丰都县双龙镇田家山村</w:t>
      </w:r>
      <w:r>
        <w:rPr>
          <w:rFonts w:hint="eastAsia" w:ascii="Arial" w:hAnsi="Arial" w:cs="Arial"/>
          <w:color w:val="auto"/>
          <w:kern w:val="0"/>
          <w:sz w:val="26"/>
          <w:szCs w:val="26"/>
          <w:highlight w:val="none"/>
          <w:lang w:val="en-US" w:eastAsia="zh-CN"/>
        </w:rPr>
        <w:t>，高洞桥河</w:t>
      </w:r>
      <w:r>
        <w:rPr>
          <w:rFonts w:hint="default" w:ascii="Arial" w:hAnsi="Arial" w:cs="Arial"/>
          <w:b w:val="0"/>
          <w:color w:val="auto"/>
          <w:kern w:val="2"/>
          <w:sz w:val="26"/>
          <w:szCs w:val="26"/>
          <w:lang w:val="en-US" w:eastAsia="zh-CN" w:bidi="ar-SA"/>
        </w:rPr>
        <w:t>支流海螺沟上，</w:t>
      </w:r>
      <w:r>
        <w:rPr>
          <w:rFonts w:hint="eastAsia" w:ascii="Arial" w:hAnsi="Arial" w:cs="Arial"/>
          <w:b w:val="0"/>
          <w:color w:val="auto"/>
          <w:kern w:val="2"/>
          <w:sz w:val="26"/>
          <w:szCs w:val="26"/>
          <w:lang w:val="en-US" w:eastAsia="zh-CN" w:bidi="ar-SA"/>
        </w:rPr>
        <w:t>高洞桥河系双龙河右岸一级支流，</w:t>
      </w:r>
      <w:r>
        <w:rPr>
          <w:rFonts w:hint="default" w:ascii="Arial" w:hAnsi="Arial" w:cs="Arial"/>
          <w:b w:val="0"/>
          <w:color w:val="auto"/>
          <w:kern w:val="2"/>
          <w:sz w:val="26"/>
          <w:szCs w:val="26"/>
          <w:lang w:val="en-US" w:eastAsia="zh-CN" w:bidi="ar-SA"/>
        </w:rPr>
        <w:t>双龙河系渠溪河左岸一级支流，</w:t>
      </w:r>
      <w:r>
        <w:rPr>
          <w:rFonts w:hint="eastAsia" w:ascii="Arial" w:hAnsi="Arial" w:cs="Arial"/>
          <w:b w:val="0"/>
          <w:color w:val="auto"/>
          <w:kern w:val="2"/>
          <w:sz w:val="26"/>
          <w:szCs w:val="26"/>
          <w:lang w:val="en-US" w:eastAsia="zh-CN" w:bidi="ar-SA"/>
        </w:rPr>
        <w:t>渠溪河为长江左岸一级小支流，发源于忠县马灌镇果园村2组大碑垭口，流经忠县拔山镇、永丰镇、白石镇、善广乡；丰都县青龙乡、董家镇、双龙镇、三元镇、仁沙镇、兴龙镇、社坛镇后于涪陵区珍溪镇渠溪村渠溪口汇入长江。渠系河干流全长109km，总落差334.8m，平均坡降3.06</w:t>
      </w:r>
      <w:r>
        <w:rPr>
          <w:rFonts w:hint="default" w:ascii="Arial" w:hAnsi="Arial"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，流域面积913 km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w:t>
      </w:r>
    </w:p>
    <w:p w14:paraId="6868DFAA">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系渠溪河左岸一级支流，</w:t>
      </w:r>
      <w:r>
        <w:rPr>
          <w:rFonts w:hint="eastAsia" w:ascii="Arial" w:hAnsi="Arial" w:cs="Arial"/>
          <w:b w:val="0"/>
          <w:color w:val="auto"/>
          <w:kern w:val="2"/>
          <w:sz w:val="26"/>
          <w:szCs w:val="26"/>
          <w:lang w:val="en-US" w:eastAsia="zh-CN" w:bidi="ar-SA"/>
        </w:rPr>
        <w:t>双龙河</w:t>
      </w:r>
      <w:r>
        <w:rPr>
          <w:rFonts w:hint="default" w:ascii="Arial" w:hAnsi="Arial" w:cs="Arial"/>
          <w:b w:val="0"/>
          <w:color w:val="auto"/>
          <w:kern w:val="2"/>
          <w:sz w:val="26"/>
          <w:szCs w:val="26"/>
          <w:lang w:val="en-US" w:eastAsia="zh-CN" w:bidi="ar-SA"/>
        </w:rPr>
        <w:t>发源于丰都县青龙乡双河村瓜儿湾，流经山河寨、大河坝、回龙场、双龙场镇、瓦屋咀，于丰都县双龙镇关都坝村李家大湾汇入渠溪河</w:t>
      </w:r>
      <w:r>
        <w:rPr>
          <w:rFonts w:hint="eastAsia" w:ascii="Arial" w:hAnsi="Arial" w:cs="Arial"/>
          <w:b w:val="0"/>
          <w:color w:val="auto"/>
          <w:kern w:val="2"/>
          <w:sz w:val="26"/>
          <w:szCs w:val="26"/>
          <w:lang w:val="en-US" w:eastAsia="zh-CN" w:bidi="ar-SA"/>
        </w:rPr>
        <w:t>，</w:t>
      </w:r>
      <w:r>
        <w:rPr>
          <w:rFonts w:hint="default" w:ascii="Arial" w:hAnsi="Arial" w:cs="Arial"/>
          <w:b w:val="0"/>
          <w:color w:val="auto"/>
          <w:kern w:val="2"/>
          <w:sz w:val="26"/>
          <w:szCs w:val="26"/>
          <w:lang w:val="en-US" w:eastAsia="zh-CN" w:bidi="ar-SA"/>
        </w:rPr>
        <w:t>全流域集雨面积72.3km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，河道全长17km。</w:t>
      </w:r>
    </w:p>
    <w:p w14:paraId="2683AD9A">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高洞桥河系双龙河右岸一级支流，发源于青天坡一带，流经河坝、梅子溪、龙井坡、高洞桥、响水氹、雅雀湾于双龙镇双龙场处汇入双龙河。高洞桥河全流域面积26.55 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，河道全长13.46km，河道平均比降27.07‰。</w:t>
      </w:r>
    </w:p>
    <w:p w14:paraId="17C8DDF1">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海螺沟系双龙河右岸支流高洞桥河左岸一级支流，发源于双龙镇小垭口，流经庄子山、庙湾、马槽子，于龙家院子处汇入</w:t>
      </w:r>
      <w:r>
        <w:rPr>
          <w:rFonts w:hint="eastAsia" w:ascii="Arial" w:hAnsi="Arial" w:cs="Arial"/>
          <w:b w:val="0"/>
          <w:color w:val="auto"/>
          <w:kern w:val="2"/>
          <w:sz w:val="26"/>
          <w:szCs w:val="26"/>
          <w:lang w:val="en-US" w:eastAsia="zh-CN" w:bidi="ar-SA"/>
        </w:rPr>
        <w:t>双龙河</w:t>
      </w:r>
      <w:r>
        <w:rPr>
          <w:rFonts w:hint="default" w:ascii="Arial" w:hAnsi="Arial" w:cs="Arial"/>
          <w:b w:val="0"/>
          <w:color w:val="auto"/>
          <w:kern w:val="2"/>
          <w:sz w:val="26"/>
          <w:szCs w:val="26"/>
          <w:lang w:val="en-US" w:eastAsia="zh-CN" w:bidi="ar-SA"/>
        </w:rPr>
        <w:t>。海螺沟河道全长3.6km，全流域集雨面积3.48km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w:t>
      </w:r>
    </w:p>
    <w:p w14:paraId="3210E255">
      <w:pPr>
        <w:spacing w:line="440" w:lineRule="exact"/>
        <w:ind w:firstLine="520" w:firstLineChars="200"/>
        <w:rPr>
          <w:rFonts w:hint="eastAsia" w:ascii="Arial" w:cs="Arial"/>
          <w:bCs/>
          <w:color w:val="FF0000"/>
          <w:sz w:val="26"/>
        </w:rPr>
      </w:pPr>
      <w:r>
        <w:rPr>
          <w:rFonts w:hint="default" w:ascii="Arial" w:hAnsi="Arial" w:cs="Arial"/>
          <w:b w:val="0"/>
          <w:color w:val="auto"/>
          <w:kern w:val="2"/>
          <w:sz w:val="26"/>
          <w:szCs w:val="26"/>
          <w:lang w:val="en-US" w:eastAsia="zh-CN" w:bidi="ar-SA"/>
        </w:rPr>
        <w:t>海螺沟水库坝址位于海螺沟中游，下坝址</w:t>
      </w:r>
      <w:r>
        <w:rPr>
          <w:rFonts w:hint="eastAsia" w:ascii="Arial" w:hAnsi="Arial" w:cs="Arial"/>
          <w:b w:val="0"/>
          <w:color w:val="auto"/>
          <w:kern w:val="2"/>
          <w:sz w:val="26"/>
          <w:szCs w:val="26"/>
          <w:lang w:val="en-US" w:eastAsia="zh-CN" w:bidi="ar-SA"/>
        </w:rPr>
        <w:t>处</w:t>
      </w:r>
      <w:r>
        <w:rPr>
          <w:rFonts w:hint="default" w:ascii="Arial" w:hAnsi="Arial" w:cs="Arial"/>
          <w:b w:val="0"/>
          <w:color w:val="auto"/>
          <w:kern w:val="2"/>
          <w:sz w:val="26"/>
          <w:szCs w:val="26"/>
          <w:lang w:val="en-US" w:eastAsia="zh-CN" w:bidi="ar-SA"/>
        </w:rPr>
        <w:t>集雨面积2.</w:t>
      </w:r>
      <w:r>
        <w:rPr>
          <w:rFonts w:hint="eastAsia" w:ascii="Arial" w:hAnsi="Arial" w:cs="Arial"/>
          <w:b w:val="0"/>
          <w:color w:val="auto"/>
          <w:kern w:val="2"/>
          <w:sz w:val="26"/>
          <w:szCs w:val="26"/>
          <w:lang w:val="en-US" w:eastAsia="zh-CN" w:bidi="ar-SA"/>
        </w:rPr>
        <w:t>04</w:t>
      </w:r>
      <w:r>
        <w:rPr>
          <w:rFonts w:hint="default" w:ascii="Arial" w:hAnsi="Arial" w:cs="Arial"/>
          <w:b w:val="0"/>
          <w:color w:val="auto"/>
          <w:kern w:val="2"/>
          <w:sz w:val="26"/>
          <w:szCs w:val="26"/>
          <w:lang w:val="en-US" w:eastAsia="zh-CN" w:bidi="ar-SA"/>
        </w:rPr>
        <w:t>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，河道长河道长</w:t>
      </w:r>
      <w:r>
        <w:rPr>
          <w:rFonts w:hint="eastAsia" w:ascii="Arial" w:hAnsi="Arial" w:cs="Arial"/>
          <w:b w:val="0"/>
          <w:color w:val="auto"/>
          <w:kern w:val="2"/>
          <w:sz w:val="26"/>
          <w:szCs w:val="26"/>
          <w:lang w:val="en-US" w:eastAsia="zh-CN" w:bidi="ar-SA"/>
        </w:rPr>
        <w:t>2.17</w:t>
      </w:r>
      <w:r>
        <w:rPr>
          <w:rFonts w:hint="default" w:ascii="Arial" w:hAnsi="Arial" w:cs="Arial"/>
          <w:b w:val="0"/>
          <w:color w:val="auto"/>
          <w:kern w:val="2"/>
          <w:sz w:val="26"/>
          <w:szCs w:val="26"/>
          <w:lang w:val="en-US" w:eastAsia="zh-CN" w:bidi="ar-SA"/>
        </w:rPr>
        <w:t>km，河道平均比降</w:t>
      </w:r>
      <w:r>
        <w:rPr>
          <w:rFonts w:hint="eastAsia" w:ascii="Arial" w:hAnsi="Arial" w:cs="Arial"/>
          <w:b w:val="0"/>
          <w:color w:val="auto"/>
          <w:kern w:val="2"/>
          <w:sz w:val="26"/>
          <w:szCs w:val="26"/>
          <w:lang w:val="en-US" w:eastAsia="zh-CN" w:bidi="ar-SA"/>
        </w:rPr>
        <w:t>98.64</w:t>
      </w:r>
      <w:r>
        <w:rPr>
          <w:rFonts w:hint="default" w:ascii="Arial" w:hAnsi="Arial"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w:t>
      </w:r>
      <w:r>
        <w:rPr>
          <w:rFonts w:hint="eastAsia" w:ascii="Arial" w:cs="Arial"/>
          <w:bCs/>
          <w:color w:val="auto"/>
          <w:sz w:val="26"/>
        </w:rPr>
        <w:t>拟建项目坝址处集雨范围示意详见</w:t>
      </w:r>
      <w:r>
        <w:rPr>
          <w:rFonts w:hint="eastAsia" w:ascii="Arial" w:cs="Arial"/>
          <w:b/>
          <w:bCs/>
          <w:color w:val="auto"/>
          <w:sz w:val="26"/>
        </w:rPr>
        <w:t>附图6-1</w:t>
      </w:r>
      <w:r>
        <w:rPr>
          <w:rFonts w:hint="eastAsia" w:ascii="Arial" w:cs="Arial"/>
          <w:bCs/>
          <w:color w:val="auto"/>
          <w:sz w:val="26"/>
        </w:rPr>
        <w:t>所示。</w:t>
      </w:r>
    </w:p>
    <w:p w14:paraId="008A4DF7">
      <w:pPr>
        <w:keepNext w:val="0"/>
        <w:keepLines w:val="0"/>
        <w:pageBreakBefore w:val="0"/>
        <w:widowControl/>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bCs/>
          <w:color w:val="auto"/>
          <w:kern w:val="2"/>
          <w:sz w:val="26"/>
          <w:szCs w:val="26"/>
          <w:lang w:val="en-US" w:eastAsia="zh-CN" w:bidi="ar-SA"/>
        </w:rPr>
        <w:t>2.1.2流域规划及规划环评开展情况</w:t>
      </w:r>
    </w:p>
    <w:p w14:paraId="688137AF">
      <w:pPr>
        <w:keepNext w:val="0"/>
        <w:keepLines w:val="0"/>
        <w:pageBreakBefore w:val="0"/>
        <w:widowControl w:val="0"/>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本项目属于渠溪河流域，渠溪河流域已编制完成了</w:t>
      </w:r>
      <w:r>
        <w:rPr>
          <w:rFonts w:hint="eastAsia" w:ascii="Arial" w:hAnsi="Arial" w:eastAsia="宋体" w:cs="Arial"/>
          <w:b w:val="0"/>
          <w:color w:val="auto"/>
          <w:kern w:val="2"/>
          <w:sz w:val="26"/>
          <w:szCs w:val="26"/>
          <w:lang w:val="en-US" w:eastAsia="zh-CN" w:bidi="ar-SA"/>
        </w:rPr>
        <w:t>《重庆市渠溪河流域综合规划》</w:t>
      </w:r>
      <w:r>
        <w:rPr>
          <w:rFonts w:hint="eastAsia" w:ascii="Arial" w:hAnsi="Arial" w:cs="Arial"/>
          <w:b w:val="0"/>
          <w:color w:val="auto"/>
          <w:kern w:val="2"/>
          <w:sz w:val="26"/>
          <w:szCs w:val="26"/>
          <w:lang w:val="en-US" w:eastAsia="zh-CN" w:bidi="ar-SA"/>
        </w:rPr>
        <w:t>，并</w:t>
      </w:r>
      <w:r>
        <w:rPr>
          <w:rFonts w:hint="eastAsia" w:ascii="Arial" w:hAnsi="Arial" w:eastAsia="宋体" w:cs="Arial"/>
          <w:b w:val="0"/>
          <w:color w:val="auto"/>
          <w:kern w:val="2"/>
          <w:sz w:val="26"/>
          <w:szCs w:val="26"/>
          <w:lang w:val="en-US" w:eastAsia="zh-CN" w:bidi="ar-SA"/>
        </w:rPr>
        <w:t>委托重庆重大建设工程质量检测有限公司编制完成了《重庆市渠溪河流域综合规划</w:t>
      </w:r>
      <w:r>
        <w:rPr>
          <w:rFonts w:hint="eastAsia" w:ascii="Arial" w:hAnsi="Arial" w:eastAsia="宋体" w:cs="Arial"/>
          <w:b w:val="0"/>
          <w:color w:val="auto"/>
          <w:kern w:val="2"/>
          <w:sz w:val="26"/>
          <w:szCs w:val="26"/>
          <w:highlight w:val="none"/>
          <w:lang w:val="en-US" w:eastAsia="zh-CN" w:bidi="ar-SA"/>
        </w:rPr>
        <w:t>环</w:t>
      </w:r>
      <w:r>
        <w:rPr>
          <w:rFonts w:hint="default" w:ascii="Arial" w:hAnsi="Arial" w:eastAsia="宋体" w:cs="Arial"/>
          <w:b w:val="0"/>
          <w:color w:val="auto"/>
          <w:kern w:val="2"/>
          <w:sz w:val="26"/>
          <w:szCs w:val="26"/>
          <w:highlight w:val="none"/>
          <w:lang w:val="en-US" w:eastAsia="zh-CN" w:bidi="ar-SA"/>
        </w:rPr>
        <w:t>境影响报告书》，于202</w:t>
      </w:r>
      <w:r>
        <w:rPr>
          <w:rFonts w:hint="default" w:ascii="Arial" w:hAnsi="Arial" w:cs="Arial"/>
          <w:b w:val="0"/>
          <w:color w:val="auto"/>
          <w:kern w:val="2"/>
          <w:sz w:val="26"/>
          <w:szCs w:val="26"/>
          <w:highlight w:val="none"/>
          <w:lang w:val="en-US" w:eastAsia="zh-CN" w:bidi="ar-SA"/>
        </w:rPr>
        <w:t>5</w:t>
      </w:r>
      <w:r>
        <w:rPr>
          <w:rFonts w:hint="default" w:ascii="Arial" w:hAnsi="Arial" w:eastAsia="宋体" w:cs="Arial"/>
          <w:b w:val="0"/>
          <w:color w:val="auto"/>
          <w:kern w:val="2"/>
          <w:sz w:val="26"/>
          <w:szCs w:val="26"/>
          <w:highlight w:val="none"/>
          <w:lang w:val="en-US" w:eastAsia="zh-CN" w:bidi="ar-SA"/>
        </w:rPr>
        <w:t>年</w:t>
      </w:r>
      <w:r>
        <w:rPr>
          <w:rFonts w:hint="default" w:ascii="Arial" w:hAnsi="Arial" w:cs="Arial"/>
          <w:b w:val="0"/>
          <w:color w:val="auto"/>
          <w:kern w:val="2"/>
          <w:sz w:val="26"/>
          <w:szCs w:val="26"/>
          <w:highlight w:val="none"/>
          <w:lang w:val="en-US" w:eastAsia="zh-CN" w:bidi="ar-SA"/>
        </w:rPr>
        <w:t>1</w:t>
      </w:r>
      <w:r>
        <w:rPr>
          <w:rFonts w:hint="default" w:ascii="Arial" w:hAnsi="Arial" w:eastAsia="宋体" w:cs="Arial"/>
          <w:b w:val="0"/>
          <w:color w:val="auto"/>
          <w:kern w:val="2"/>
          <w:sz w:val="26"/>
          <w:szCs w:val="26"/>
          <w:highlight w:val="none"/>
          <w:lang w:val="en-US" w:eastAsia="zh-CN" w:bidi="ar-SA"/>
        </w:rPr>
        <w:t>月</w:t>
      </w:r>
      <w:r>
        <w:rPr>
          <w:rFonts w:hint="default" w:ascii="Arial" w:hAnsi="Arial" w:cs="Arial"/>
          <w:b w:val="0"/>
          <w:color w:val="auto"/>
          <w:kern w:val="2"/>
          <w:sz w:val="26"/>
          <w:szCs w:val="26"/>
          <w:highlight w:val="none"/>
          <w:lang w:val="en-US" w:eastAsia="zh-CN" w:bidi="ar-SA"/>
        </w:rPr>
        <w:t>13日</w:t>
      </w:r>
      <w:r>
        <w:rPr>
          <w:rFonts w:hint="default" w:ascii="Arial" w:hAnsi="Arial" w:eastAsia="宋体" w:cs="Arial"/>
          <w:b w:val="0"/>
          <w:color w:val="auto"/>
          <w:kern w:val="2"/>
          <w:sz w:val="26"/>
          <w:szCs w:val="26"/>
          <w:highlight w:val="none"/>
          <w:lang w:val="en-US" w:eastAsia="zh-CN" w:bidi="ar-SA"/>
        </w:rPr>
        <w:t>取得了</w:t>
      </w:r>
      <w:r>
        <w:rPr>
          <w:rFonts w:hint="default" w:ascii="Arial" w:hAnsi="Arial" w:cs="Arial"/>
          <w:b w:val="0"/>
          <w:color w:val="auto"/>
          <w:kern w:val="2"/>
          <w:sz w:val="26"/>
          <w:szCs w:val="26"/>
          <w:highlight w:val="none"/>
          <w:lang w:val="en-US" w:eastAsia="zh-CN" w:bidi="ar-SA"/>
        </w:rPr>
        <w:t>丰都县</w:t>
      </w:r>
      <w:r>
        <w:rPr>
          <w:rFonts w:hint="default" w:ascii="Arial" w:hAnsi="Arial" w:eastAsia="宋体" w:cs="Arial"/>
          <w:b w:val="0"/>
          <w:color w:val="auto"/>
          <w:kern w:val="2"/>
          <w:sz w:val="26"/>
          <w:szCs w:val="26"/>
          <w:highlight w:val="none"/>
          <w:lang w:val="en-US" w:eastAsia="zh-CN" w:bidi="ar-SA"/>
        </w:rPr>
        <w:t>生态环境局</w:t>
      </w:r>
      <w:r>
        <w:rPr>
          <w:rFonts w:hint="default" w:ascii="Arial" w:hAnsi="Arial" w:cs="Arial"/>
          <w:b w:val="0"/>
          <w:color w:val="auto"/>
          <w:kern w:val="2"/>
          <w:sz w:val="26"/>
          <w:szCs w:val="26"/>
          <w:highlight w:val="none"/>
          <w:lang w:val="en-US" w:eastAsia="zh-CN" w:bidi="ar-SA"/>
        </w:rPr>
        <w:t>、涪陵区生态环境局、忠县生态环境局联合</w:t>
      </w:r>
      <w:r>
        <w:rPr>
          <w:rFonts w:hint="default" w:ascii="Arial" w:hAnsi="Arial" w:eastAsia="宋体" w:cs="Arial"/>
          <w:b w:val="0"/>
          <w:color w:val="auto"/>
          <w:kern w:val="2"/>
          <w:sz w:val="26"/>
          <w:szCs w:val="26"/>
          <w:highlight w:val="none"/>
          <w:lang w:val="en-US" w:eastAsia="zh-CN" w:bidi="ar-SA"/>
        </w:rPr>
        <w:t>出具的审查意见</w:t>
      </w:r>
      <w:r>
        <w:rPr>
          <w:rFonts w:hint="eastAsia" w:ascii="Arial" w:hAnsi="Arial" w:cs="Arial"/>
          <w:b w:val="0"/>
          <w:color w:val="auto"/>
          <w:kern w:val="2"/>
          <w:sz w:val="26"/>
          <w:szCs w:val="26"/>
          <w:highlight w:val="none"/>
          <w:lang w:val="en-US" w:eastAsia="zh-CN" w:bidi="ar-SA"/>
        </w:rPr>
        <w:t>“</w:t>
      </w:r>
      <w:r>
        <w:rPr>
          <w:rFonts w:hint="default" w:ascii="Arial" w:hAnsi="Arial" w:cs="Arial"/>
          <w:b w:val="0"/>
          <w:color w:val="auto"/>
          <w:kern w:val="2"/>
          <w:sz w:val="26"/>
          <w:szCs w:val="26"/>
          <w:highlight w:val="none"/>
          <w:lang w:val="en-US" w:eastAsia="zh-CN" w:bidi="ar-SA"/>
        </w:rPr>
        <w:t>丰环函</w:t>
      </w:r>
      <w:r>
        <w:rPr>
          <w:rFonts w:hint="default" w:ascii="Arial" w:hAnsi="Arial" w:eastAsia="宋体" w:cs="Arial"/>
          <w:b w:val="0"/>
          <w:color w:val="auto"/>
          <w:kern w:val="2"/>
          <w:sz w:val="26"/>
          <w:szCs w:val="26"/>
          <w:highlight w:val="none"/>
          <w:lang w:val="en-US" w:eastAsia="zh-CN" w:bidi="ar-SA"/>
        </w:rPr>
        <w:t>〔2025〕2号</w:t>
      </w:r>
      <w:r>
        <w:rPr>
          <w:rFonts w:hint="eastAsia" w:ascii="Arial" w:hAnsi="Arial" w:cs="Arial"/>
          <w:b w:val="0"/>
          <w:color w:val="auto"/>
          <w:kern w:val="2"/>
          <w:sz w:val="26"/>
          <w:szCs w:val="26"/>
          <w:highlight w:val="none"/>
          <w:lang w:val="en-US" w:eastAsia="zh-CN" w:bidi="ar-SA"/>
        </w:rPr>
        <w:t>”</w:t>
      </w:r>
      <w:r>
        <w:rPr>
          <w:rFonts w:hint="default" w:ascii="Arial" w:hAnsi="Arial" w:eastAsia="宋体" w:cs="Arial"/>
          <w:b w:val="0"/>
          <w:color w:val="auto"/>
          <w:kern w:val="2"/>
          <w:sz w:val="26"/>
          <w:szCs w:val="26"/>
          <w:highlight w:val="none"/>
          <w:lang w:val="en-US" w:eastAsia="zh-CN" w:bidi="ar-SA"/>
        </w:rPr>
        <w:t>。</w:t>
      </w:r>
    </w:p>
    <w:p w14:paraId="230D01EB">
      <w:pPr>
        <w:keepNext w:val="0"/>
        <w:keepLines w:val="0"/>
        <w:pageBreakBefore w:val="0"/>
        <w:widowControl w:val="0"/>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根据对照，海螺沟水库工程属于</w:t>
      </w:r>
      <w:r>
        <w:rPr>
          <w:rFonts w:hint="eastAsia" w:ascii="Arial" w:hAnsi="Arial" w:eastAsia="宋体" w:cs="Arial"/>
          <w:b w:val="0"/>
          <w:color w:val="auto"/>
          <w:kern w:val="2"/>
          <w:sz w:val="26"/>
          <w:szCs w:val="26"/>
          <w:lang w:val="en-US" w:eastAsia="zh-CN" w:bidi="ar-SA"/>
        </w:rPr>
        <w:t>《重庆市渠溪河流域综合规划》</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《重庆市渠溪河流域综合规划环境影响报告书》</w:t>
      </w:r>
      <w:r>
        <w:rPr>
          <w:rFonts w:hint="eastAsia" w:ascii="Arial" w:hAnsi="Arial" w:cs="Arial"/>
          <w:b w:val="0"/>
          <w:color w:val="auto"/>
          <w:kern w:val="2"/>
          <w:sz w:val="26"/>
          <w:szCs w:val="26"/>
          <w:lang w:val="en-US" w:eastAsia="zh-CN" w:bidi="ar-SA"/>
        </w:rPr>
        <w:t>中规划新建的重点水源工程。</w:t>
      </w:r>
    </w:p>
    <w:p w14:paraId="3F938DA5">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2.1.3现有水利设施情况简介</w:t>
      </w:r>
    </w:p>
    <w:p w14:paraId="23804FC1">
      <w:pPr>
        <w:keepNext w:val="0"/>
        <w:keepLines w:val="0"/>
        <w:pageBreakBefore w:val="0"/>
        <w:widowControl w:val="0"/>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w:t>
      </w:r>
      <w:r>
        <w:rPr>
          <w:rFonts w:hint="eastAsia" w:ascii="Arial" w:hAnsi="Arial" w:eastAsia="宋体" w:cs="Arial"/>
          <w:b w:val="0"/>
          <w:color w:val="auto"/>
          <w:kern w:val="2"/>
          <w:sz w:val="26"/>
          <w:szCs w:val="26"/>
          <w:lang w:val="en-US" w:eastAsia="zh-CN" w:bidi="ar-SA"/>
        </w:rPr>
        <w:t>《重庆市渠溪河流域综合规划》</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《重庆市渠溪河流域综合规划环境影响报告书》</w:t>
      </w:r>
      <w:r>
        <w:rPr>
          <w:rFonts w:hint="eastAsia" w:ascii="Arial" w:hAnsi="Arial" w:cs="Arial"/>
          <w:b w:val="0"/>
          <w:color w:val="auto"/>
          <w:kern w:val="2"/>
          <w:sz w:val="26"/>
          <w:szCs w:val="26"/>
          <w:lang w:val="en-US" w:eastAsia="zh-CN" w:bidi="ar-SA"/>
        </w:rPr>
        <w:t>及</w:t>
      </w:r>
      <w:r>
        <w:rPr>
          <w:rFonts w:hint="eastAsia" w:ascii="Arial" w:hAnsi="Arial" w:cs="Arial"/>
          <w:b w:val="0"/>
          <w:color w:val="auto"/>
          <w:kern w:val="2"/>
          <w:sz w:val="26"/>
          <w:szCs w:val="26"/>
          <w:highlight w:val="none"/>
          <w:lang w:val="en-US" w:eastAsia="zh-CN" w:bidi="ar-SA"/>
        </w:rPr>
        <w:t>其批复</w:t>
      </w:r>
      <w:r>
        <w:rPr>
          <w:rFonts w:hint="eastAsia" w:ascii="Arial" w:hAnsi="Arial" w:eastAsia="宋体" w:cs="Arial"/>
          <w:b w:val="0"/>
          <w:color w:val="auto"/>
          <w:kern w:val="2"/>
          <w:sz w:val="26"/>
          <w:szCs w:val="26"/>
          <w:highlight w:val="none"/>
          <w:lang w:val="en-US" w:eastAsia="zh-CN" w:bidi="ar-SA"/>
        </w:rPr>
        <w:t>“</w:t>
      </w:r>
      <w:r>
        <w:rPr>
          <w:rFonts w:hint="default" w:ascii="Arial" w:hAnsi="Arial" w:cs="Arial"/>
          <w:b w:val="0"/>
          <w:color w:val="auto"/>
          <w:kern w:val="2"/>
          <w:sz w:val="26"/>
          <w:szCs w:val="26"/>
          <w:highlight w:val="none"/>
          <w:lang w:val="en-US" w:eastAsia="zh-CN" w:bidi="ar-SA"/>
        </w:rPr>
        <w:t>丰环函</w:t>
      </w:r>
      <w:r>
        <w:rPr>
          <w:rFonts w:hint="default" w:ascii="Arial" w:hAnsi="Arial" w:eastAsia="宋体" w:cs="Arial"/>
          <w:b w:val="0"/>
          <w:color w:val="auto"/>
          <w:kern w:val="2"/>
          <w:sz w:val="26"/>
          <w:szCs w:val="26"/>
          <w:highlight w:val="none"/>
          <w:lang w:val="en-US" w:eastAsia="zh-CN" w:bidi="ar-SA"/>
        </w:rPr>
        <w:t>〔2025〕2号</w:t>
      </w:r>
      <w:r>
        <w:rPr>
          <w:rFonts w:hint="eastAsia" w:ascii="Arial" w:hAnsi="Arial" w:eastAsia="宋体" w:cs="Arial"/>
          <w:b w:val="0"/>
          <w:color w:val="auto"/>
          <w:kern w:val="2"/>
          <w:sz w:val="26"/>
          <w:szCs w:val="26"/>
          <w:highlight w:val="none"/>
          <w:lang w:val="en-US" w:eastAsia="zh-CN" w:bidi="ar-SA"/>
        </w:rPr>
        <w:t>”</w:t>
      </w:r>
      <w:r>
        <w:rPr>
          <w:rFonts w:hint="eastAsia" w:ascii="Arial" w:hAnsi="Arial" w:cs="Arial"/>
          <w:b w:val="0"/>
          <w:color w:val="auto"/>
          <w:kern w:val="2"/>
          <w:sz w:val="26"/>
          <w:szCs w:val="26"/>
          <w:lang w:val="en-US" w:eastAsia="zh-CN" w:bidi="ar-SA"/>
        </w:rPr>
        <w:t>，本次评价主要摘录其中与双龙河、高洞桥河、海螺沟有关的内容介绍。</w:t>
      </w:r>
    </w:p>
    <w:p w14:paraId="75FBAF3D">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（1）水库工程</w:t>
      </w:r>
    </w:p>
    <w:p w14:paraId="0884366C">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根据统计，双龙河流域内现状已建成1座小（2）型水库，为乌烟冲水库，始建于1976年，总库容22.39万m</w:t>
      </w:r>
      <w:r>
        <w:rPr>
          <w:rFonts w:hint="eastAsia" w:ascii="Arial" w:hAnsi="Arial" w:cs="Arial"/>
          <w:b w:val="0"/>
          <w:color w:val="auto"/>
          <w:kern w:val="2"/>
          <w:sz w:val="26"/>
          <w:szCs w:val="26"/>
          <w:vertAlign w:val="superscript"/>
          <w:lang w:val="en-US" w:eastAsia="zh-CN" w:bidi="ar-SA"/>
        </w:rPr>
        <w:t>3</w:t>
      </w:r>
      <w:r>
        <w:rPr>
          <w:rFonts w:hint="eastAsia" w:ascii="Arial" w:hAnsi="Arial" w:cs="Arial"/>
          <w:b w:val="0"/>
          <w:color w:val="auto"/>
          <w:kern w:val="2"/>
          <w:sz w:val="26"/>
          <w:szCs w:val="26"/>
          <w:lang w:val="en-US" w:eastAsia="zh-CN" w:bidi="ar-SA"/>
        </w:rPr>
        <w:t>，具有人饮供水功能；高洞桥河流域内现状已建成1座小（2）型水库，为梅子溪水库，始建于1976年，总库容31.02万m</w:t>
      </w:r>
      <w:r>
        <w:rPr>
          <w:rFonts w:hint="eastAsia" w:ascii="Arial" w:hAnsi="Arial" w:cs="Arial"/>
          <w:b w:val="0"/>
          <w:color w:val="auto"/>
          <w:kern w:val="2"/>
          <w:sz w:val="26"/>
          <w:szCs w:val="26"/>
          <w:vertAlign w:val="superscript"/>
          <w:lang w:val="en-US" w:eastAsia="zh-CN" w:bidi="ar-SA"/>
        </w:rPr>
        <w:t>3</w:t>
      </w:r>
      <w:r>
        <w:rPr>
          <w:rFonts w:hint="eastAsia" w:ascii="Arial" w:hAnsi="Arial" w:cs="Arial"/>
          <w:b w:val="0"/>
          <w:color w:val="auto"/>
          <w:kern w:val="2"/>
          <w:sz w:val="26"/>
          <w:szCs w:val="26"/>
          <w:lang w:val="en-US" w:eastAsia="zh-CN" w:bidi="ar-SA"/>
        </w:rPr>
        <w:t>，为农灌水库，无饮水功能；海螺沟河道上无已建成的水库。详见表2.1-1所示。</w:t>
      </w:r>
    </w:p>
    <w:p w14:paraId="464C8540">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Arial" w:hAnsi="Arial" w:cs="Arial"/>
          <w:b w:val="0"/>
          <w:color w:val="auto"/>
          <w:kern w:val="2"/>
          <w:sz w:val="26"/>
          <w:szCs w:val="26"/>
          <w:lang w:val="en-US" w:eastAsia="zh-CN" w:bidi="ar-SA"/>
        </w:rPr>
      </w:pPr>
      <w:r>
        <w:rPr>
          <w:rFonts w:hint="eastAsia" w:ascii="Arial" w:hAnsi="Arial" w:cs="Arial"/>
          <w:b/>
          <w:bCs/>
          <w:color w:val="auto"/>
          <w:kern w:val="2"/>
          <w:sz w:val="26"/>
          <w:szCs w:val="26"/>
          <w:lang w:val="en-US" w:eastAsia="zh-CN" w:bidi="ar-SA"/>
        </w:rPr>
        <w:t>表2.1-1 项目所在流域内已建成水库工程统计表</w:t>
      </w:r>
    </w:p>
    <w:tbl>
      <w:tblPr>
        <w:tblStyle w:val="1893"/>
        <w:tblW w:w="87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1042"/>
        <w:gridCol w:w="1135"/>
        <w:gridCol w:w="1328"/>
        <w:gridCol w:w="1350"/>
        <w:gridCol w:w="855"/>
        <w:gridCol w:w="1410"/>
        <w:gridCol w:w="1035"/>
      </w:tblGrid>
      <w:tr w14:paraId="30F80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637" w:type="dxa"/>
            <w:vAlign w:val="center"/>
          </w:tcPr>
          <w:p w14:paraId="62DFF63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序号</w:t>
            </w:r>
          </w:p>
        </w:tc>
        <w:tc>
          <w:tcPr>
            <w:tcW w:w="1042" w:type="dxa"/>
            <w:vAlign w:val="center"/>
          </w:tcPr>
          <w:p w14:paraId="0F1B76B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pacing w:val="2"/>
                <w:sz w:val="22"/>
                <w:szCs w:val="22"/>
                <w:lang w:eastAsia="zh-CN"/>
              </w:rPr>
            </w:pPr>
            <w:r>
              <w:rPr>
                <w:rFonts w:hint="eastAsia" w:ascii="Arial" w:hAnsi="Arial" w:cs="Arial"/>
                <w:spacing w:val="2"/>
                <w:sz w:val="22"/>
                <w:szCs w:val="22"/>
                <w:lang w:eastAsia="zh-CN"/>
              </w:rPr>
              <w:t>所在流域</w:t>
            </w:r>
          </w:p>
        </w:tc>
        <w:tc>
          <w:tcPr>
            <w:tcW w:w="1135" w:type="dxa"/>
            <w:vAlign w:val="center"/>
          </w:tcPr>
          <w:p w14:paraId="411732E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cs="Arial"/>
                <w:spacing w:val="2"/>
                <w:sz w:val="22"/>
                <w:szCs w:val="22"/>
                <w:lang w:eastAsia="zh-CN"/>
              </w:rPr>
            </w:pPr>
            <w:r>
              <w:rPr>
                <w:rFonts w:hint="eastAsia" w:ascii="Arial" w:hAnsi="Arial" w:cs="Arial"/>
                <w:spacing w:val="2"/>
                <w:sz w:val="22"/>
                <w:szCs w:val="22"/>
                <w:lang w:eastAsia="zh-CN"/>
              </w:rPr>
              <w:t>所在河道</w:t>
            </w:r>
          </w:p>
        </w:tc>
        <w:tc>
          <w:tcPr>
            <w:tcW w:w="1328" w:type="dxa"/>
            <w:vAlign w:val="center"/>
          </w:tcPr>
          <w:p w14:paraId="5EBCBB9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工程名称</w:t>
            </w:r>
          </w:p>
        </w:tc>
        <w:tc>
          <w:tcPr>
            <w:tcW w:w="1350" w:type="dxa"/>
            <w:vAlign w:val="center"/>
          </w:tcPr>
          <w:p w14:paraId="4160989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工程规模</w:t>
            </w:r>
          </w:p>
        </w:tc>
        <w:tc>
          <w:tcPr>
            <w:tcW w:w="855" w:type="dxa"/>
            <w:vAlign w:val="center"/>
          </w:tcPr>
          <w:p w14:paraId="686651F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镇</w:t>
            </w:r>
          </w:p>
        </w:tc>
        <w:tc>
          <w:tcPr>
            <w:tcW w:w="1410" w:type="dxa"/>
            <w:vAlign w:val="center"/>
          </w:tcPr>
          <w:p w14:paraId="243DA20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9"/>
                <w:sz w:val="22"/>
                <w:szCs w:val="22"/>
              </w:rPr>
              <w:t>总库容</w:t>
            </w:r>
          </w:p>
        </w:tc>
        <w:tc>
          <w:tcPr>
            <w:tcW w:w="1035" w:type="dxa"/>
            <w:vAlign w:val="center"/>
          </w:tcPr>
          <w:p w14:paraId="0B498B9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eastAsia="zh-CN"/>
              </w:rPr>
            </w:pPr>
            <w:r>
              <w:rPr>
                <w:rFonts w:hint="default" w:ascii="Arial" w:hAnsi="Arial" w:cs="Arial"/>
                <w:sz w:val="22"/>
                <w:szCs w:val="22"/>
                <w:lang w:eastAsia="zh-CN"/>
              </w:rPr>
              <w:t>使用功能</w:t>
            </w:r>
          </w:p>
        </w:tc>
      </w:tr>
      <w:tr w14:paraId="3AFF0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7" w:type="dxa"/>
            <w:vAlign w:val="center"/>
          </w:tcPr>
          <w:p w14:paraId="6295203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1</w:t>
            </w:r>
          </w:p>
        </w:tc>
        <w:tc>
          <w:tcPr>
            <w:tcW w:w="1042" w:type="dxa"/>
            <w:vAlign w:val="center"/>
          </w:tcPr>
          <w:p w14:paraId="76328A7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b w:val="0"/>
                <w:color w:val="auto"/>
                <w:kern w:val="2"/>
                <w:sz w:val="22"/>
                <w:szCs w:val="22"/>
                <w:lang w:val="en-US" w:eastAsia="zh-CN" w:bidi="ar-SA"/>
              </w:rPr>
            </w:pPr>
            <w:r>
              <w:rPr>
                <w:rFonts w:hint="eastAsia" w:ascii="Arial" w:hAnsi="Arial" w:cs="Arial"/>
                <w:b w:val="0"/>
                <w:color w:val="auto"/>
                <w:kern w:val="2"/>
                <w:sz w:val="22"/>
                <w:szCs w:val="22"/>
                <w:lang w:val="en-US" w:eastAsia="zh-CN" w:bidi="ar-SA"/>
              </w:rPr>
              <w:t>双龙河</w:t>
            </w:r>
          </w:p>
        </w:tc>
        <w:tc>
          <w:tcPr>
            <w:tcW w:w="1135" w:type="dxa"/>
            <w:vAlign w:val="center"/>
          </w:tcPr>
          <w:p w14:paraId="6A7C2834">
            <w:pPr>
              <w:keepNext w:val="0"/>
              <w:keepLines w:val="0"/>
              <w:pageBreakBefore w:val="0"/>
              <w:widowControl/>
              <w:suppressLineNumbers w:val="0"/>
              <w:kinsoku/>
              <w:wordWrap/>
              <w:overflowPunct/>
              <w:topLinePunct w:val="0"/>
              <w:autoSpaceDE w:val="0"/>
              <w:autoSpaceDN w:val="0"/>
              <w:bidi w:val="0"/>
              <w:adjustRightInd w:val="0"/>
              <w:snapToGrid w:val="0"/>
              <w:spacing w:line="360" w:lineRule="exact"/>
              <w:ind w:firstLine="0" w:firstLineChars="0"/>
              <w:jc w:val="center"/>
              <w:textAlignment w:val="center"/>
              <w:rPr>
                <w:rFonts w:hint="default" w:ascii="Arial" w:hAnsi="Arial" w:cs="Arial"/>
                <w:b w:val="0"/>
                <w:color w:val="auto"/>
                <w:kern w:val="2"/>
                <w:sz w:val="22"/>
                <w:szCs w:val="22"/>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张二溪河</w:t>
            </w:r>
          </w:p>
        </w:tc>
        <w:tc>
          <w:tcPr>
            <w:tcW w:w="1328" w:type="dxa"/>
            <w:vAlign w:val="center"/>
          </w:tcPr>
          <w:p w14:paraId="4A5216F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b w:val="0"/>
                <w:color w:val="auto"/>
                <w:kern w:val="2"/>
                <w:sz w:val="22"/>
                <w:szCs w:val="22"/>
                <w:lang w:val="en-US" w:eastAsia="zh-CN" w:bidi="ar-SA"/>
              </w:rPr>
              <w:t>乌烟冲水库</w:t>
            </w:r>
          </w:p>
        </w:tc>
        <w:tc>
          <w:tcPr>
            <w:tcW w:w="1350" w:type="dxa"/>
            <w:vAlign w:val="center"/>
          </w:tcPr>
          <w:p w14:paraId="60478BF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8"/>
                <w:sz w:val="22"/>
                <w:szCs w:val="22"/>
              </w:rPr>
              <w:t>小</w:t>
            </w:r>
            <w:r>
              <w:rPr>
                <w:rFonts w:hint="eastAsia" w:ascii="Arial" w:hAnsi="Arial" w:cs="Arial"/>
                <w:spacing w:val="-18"/>
                <w:sz w:val="22"/>
                <w:szCs w:val="22"/>
                <w:lang w:eastAsia="zh-CN"/>
              </w:rPr>
              <w:t>（</w:t>
            </w:r>
            <w:r>
              <w:rPr>
                <w:rFonts w:hint="default" w:ascii="Arial" w:hAnsi="Arial" w:cs="Arial"/>
                <w:spacing w:val="-18"/>
                <w:sz w:val="22"/>
                <w:szCs w:val="22"/>
                <w:lang w:val="en-US" w:eastAsia="zh-CN"/>
              </w:rPr>
              <w:t>2</w:t>
            </w:r>
            <w:r>
              <w:rPr>
                <w:rFonts w:hint="default" w:ascii="Arial" w:hAnsi="Arial" w:cs="Arial"/>
                <w:spacing w:val="-46"/>
                <w:sz w:val="22"/>
                <w:szCs w:val="22"/>
              </w:rPr>
              <w:t xml:space="preserve"> </w:t>
            </w:r>
            <w:r>
              <w:rPr>
                <w:rFonts w:hint="eastAsia" w:ascii="Arial" w:hAnsi="Arial" w:cs="Arial"/>
                <w:spacing w:val="-18"/>
                <w:sz w:val="22"/>
                <w:szCs w:val="22"/>
                <w:lang w:eastAsia="zh-CN"/>
              </w:rPr>
              <w:t>）</w:t>
            </w:r>
            <w:r>
              <w:rPr>
                <w:rFonts w:hint="default" w:ascii="Arial" w:hAnsi="Arial" w:cs="Arial"/>
                <w:spacing w:val="-18"/>
                <w:sz w:val="22"/>
                <w:szCs w:val="22"/>
              </w:rPr>
              <w:t>型</w:t>
            </w:r>
          </w:p>
        </w:tc>
        <w:tc>
          <w:tcPr>
            <w:tcW w:w="855" w:type="dxa"/>
            <w:vAlign w:val="center"/>
          </w:tcPr>
          <w:p w14:paraId="6BA5005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eastAsia="zh-CN"/>
              </w:rPr>
            </w:pPr>
            <w:r>
              <w:rPr>
                <w:rFonts w:hint="default" w:ascii="Arial" w:hAnsi="Arial" w:cs="Arial"/>
                <w:spacing w:val="-3"/>
                <w:sz w:val="22"/>
                <w:szCs w:val="22"/>
                <w:lang w:eastAsia="zh-CN"/>
              </w:rPr>
              <w:t>青龙乡</w:t>
            </w:r>
          </w:p>
        </w:tc>
        <w:tc>
          <w:tcPr>
            <w:tcW w:w="1410" w:type="dxa"/>
            <w:vAlign w:val="center"/>
          </w:tcPr>
          <w:p w14:paraId="651ECFF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pacing w:val="-6"/>
                <w:sz w:val="22"/>
                <w:szCs w:val="22"/>
                <w:lang w:val="en-US" w:eastAsia="zh-CN"/>
              </w:rPr>
              <w:t>22.39</w:t>
            </w:r>
            <w:r>
              <w:rPr>
                <w:rFonts w:hint="eastAsia" w:ascii="Arial" w:hAnsi="Arial" w:cs="Arial"/>
                <w:spacing w:val="-6"/>
                <w:sz w:val="22"/>
                <w:szCs w:val="22"/>
                <w:lang w:val="en-US" w:eastAsia="zh-CN"/>
              </w:rPr>
              <w:t>万m</w:t>
            </w:r>
            <w:r>
              <w:rPr>
                <w:rFonts w:hint="eastAsia" w:ascii="Arial" w:hAnsi="Arial" w:cs="Arial"/>
                <w:spacing w:val="-6"/>
                <w:sz w:val="22"/>
                <w:szCs w:val="22"/>
                <w:vertAlign w:val="superscript"/>
                <w:lang w:val="en-US" w:eastAsia="zh-CN"/>
              </w:rPr>
              <w:t>3</w:t>
            </w:r>
          </w:p>
        </w:tc>
        <w:tc>
          <w:tcPr>
            <w:tcW w:w="1035" w:type="dxa"/>
            <w:vAlign w:val="center"/>
          </w:tcPr>
          <w:p w14:paraId="261779D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eastAsia="zh-CN"/>
              </w:rPr>
            </w:pPr>
            <w:r>
              <w:rPr>
                <w:rFonts w:hint="default" w:ascii="Arial" w:hAnsi="Arial" w:cs="Arial"/>
                <w:spacing w:val="-3"/>
                <w:sz w:val="22"/>
                <w:szCs w:val="22"/>
                <w:lang w:eastAsia="zh-CN"/>
              </w:rPr>
              <w:t>饮用水源</w:t>
            </w:r>
          </w:p>
        </w:tc>
      </w:tr>
      <w:tr w14:paraId="773F4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7" w:type="dxa"/>
            <w:vAlign w:val="center"/>
          </w:tcPr>
          <w:p w14:paraId="3B459A5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2</w:t>
            </w:r>
          </w:p>
        </w:tc>
        <w:tc>
          <w:tcPr>
            <w:tcW w:w="1042" w:type="dxa"/>
            <w:vAlign w:val="center"/>
          </w:tcPr>
          <w:p w14:paraId="3E71DE9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b w:val="0"/>
                <w:color w:val="auto"/>
                <w:kern w:val="2"/>
                <w:sz w:val="22"/>
                <w:szCs w:val="22"/>
                <w:lang w:val="en-US" w:eastAsia="zh-CN" w:bidi="ar-SA"/>
              </w:rPr>
            </w:pPr>
            <w:r>
              <w:rPr>
                <w:rFonts w:hint="eastAsia" w:ascii="Arial" w:hAnsi="Arial" w:cs="Arial"/>
                <w:b w:val="0"/>
                <w:color w:val="auto"/>
                <w:kern w:val="2"/>
                <w:sz w:val="22"/>
                <w:szCs w:val="22"/>
                <w:lang w:val="en-US" w:eastAsia="zh-CN" w:bidi="ar-SA"/>
              </w:rPr>
              <w:t>高洞桥河</w:t>
            </w:r>
          </w:p>
        </w:tc>
        <w:tc>
          <w:tcPr>
            <w:tcW w:w="1135" w:type="dxa"/>
            <w:vAlign w:val="center"/>
          </w:tcPr>
          <w:p w14:paraId="49C596FA">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rPr>
                <w:rFonts w:hint="default" w:ascii="Arial" w:hAnsi="Arial" w:cs="Arial"/>
                <w:b w:val="0"/>
                <w:color w:val="auto"/>
                <w:kern w:val="2"/>
                <w:sz w:val="22"/>
                <w:szCs w:val="22"/>
                <w:lang w:val="en-US" w:eastAsia="zh-CN" w:bidi="ar-SA"/>
              </w:rPr>
            </w:pPr>
            <w:r>
              <w:rPr>
                <w:rFonts w:hint="eastAsia" w:ascii="宋体" w:hAnsi="宋体" w:eastAsia="宋体" w:cs="宋体"/>
                <w:i w:val="0"/>
                <w:iCs w:val="0"/>
                <w:color w:val="auto"/>
                <w:sz w:val="21"/>
                <w:szCs w:val="21"/>
                <w:highlight w:val="none"/>
                <w:u w:val="none"/>
              </w:rPr>
              <w:t>王母林沟河</w:t>
            </w:r>
          </w:p>
        </w:tc>
        <w:tc>
          <w:tcPr>
            <w:tcW w:w="1328" w:type="dxa"/>
            <w:vAlign w:val="center"/>
          </w:tcPr>
          <w:p w14:paraId="2FEDE9D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pacing w:val="2"/>
                <w:sz w:val="22"/>
                <w:szCs w:val="22"/>
              </w:rPr>
            </w:pPr>
            <w:r>
              <w:rPr>
                <w:rFonts w:hint="default" w:ascii="Arial" w:hAnsi="Arial" w:cs="Arial"/>
                <w:b w:val="0"/>
                <w:color w:val="auto"/>
                <w:kern w:val="2"/>
                <w:sz w:val="22"/>
                <w:szCs w:val="22"/>
                <w:lang w:val="en-US" w:eastAsia="zh-CN" w:bidi="ar-SA"/>
              </w:rPr>
              <w:t>梅子溪水库</w:t>
            </w:r>
          </w:p>
        </w:tc>
        <w:tc>
          <w:tcPr>
            <w:tcW w:w="1350" w:type="dxa"/>
            <w:vAlign w:val="center"/>
          </w:tcPr>
          <w:p w14:paraId="0A9EF7A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pacing w:val="-18"/>
                <w:sz w:val="22"/>
                <w:szCs w:val="22"/>
              </w:rPr>
            </w:pPr>
            <w:r>
              <w:rPr>
                <w:rFonts w:hint="default" w:ascii="Arial" w:hAnsi="Arial" w:cs="Arial"/>
                <w:spacing w:val="-18"/>
                <w:sz w:val="22"/>
                <w:szCs w:val="22"/>
              </w:rPr>
              <w:t>小</w:t>
            </w:r>
            <w:r>
              <w:rPr>
                <w:rFonts w:hint="eastAsia" w:ascii="Arial" w:hAnsi="Arial" w:cs="Arial"/>
                <w:spacing w:val="-18"/>
                <w:sz w:val="22"/>
                <w:szCs w:val="22"/>
                <w:lang w:eastAsia="zh-CN"/>
              </w:rPr>
              <w:t>（</w:t>
            </w:r>
            <w:r>
              <w:rPr>
                <w:rFonts w:hint="default" w:ascii="Arial" w:hAnsi="Arial" w:cs="Arial"/>
                <w:spacing w:val="-18"/>
                <w:sz w:val="22"/>
                <w:szCs w:val="22"/>
                <w:lang w:val="en-US" w:eastAsia="zh-CN"/>
              </w:rPr>
              <w:t>2</w:t>
            </w:r>
            <w:r>
              <w:rPr>
                <w:rFonts w:hint="default" w:ascii="Arial" w:hAnsi="Arial" w:cs="Arial"/>
                <w:spacing w:val="-46"/>
                <w:sz w:val="22"/>
                <w:szCs w:val="22"/>
              </w:rPr>
              <w:t xml:space="preserve"> </w:t>
            </w:r>
            <w:r>
              <w:rPr>
                <w:rFonts w:hint="eastAsia" w:ascii="Arial" w:hAnsi="Arial" w:cs="Arial"/>
                <w:spacing w:val="-18"/>
                <w:sz w:val="22"/>
                <w:szCs w:val="22"/>
                <w:lang w:eastAsia="zh-CN"/>
              </w:rPr>
              <w:t>）</w:t>
            </w:r>
            <w:r>
              <w:rPr>
                <w:rFonts w:hint="default" w:ascii="Arial" w:hAnsi="Arial" w:cs="Arial"/>
                <w:spacing w:val="-18"/>
                <w:sz w:val="22"/>
                <w:szCs w:val="22"/>
              </w:rPr>
              <w:t>型</w:t>
            </w:r>
          </w:p>
        </w:tc>
        <w:tc>
          <w:tcPr>
            <w:tcW w:w="855" w:type="dxa"/>
            <w:vAlign w:val="center"/>
          </w:tcPr>
          <w:p w14:paraId="741A13A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pacing w:val="-3"/>
                <w:sz w:val="22"/>
                <w:szCs w:val="22"/>
              </w:rPr>
            </w:pPr>
            <w:r>
              <w:rPr>
                <w:rFonts w:hint="default" w:ascii="Arial" w:hAnsi="Arial" w:cs="Arial"/>
                <w:spacing w:val="-3"/>
                <w:sz w:val="22"/>
                <w:szCs w:val="22"/>
                <w:lang w:eastAsia="zh-CN"/>
              </w:rPr>
              <w:t>青龙乡</w:t>
            </w:r>
          </w:p>
        </w:tc>
        <w:tc>
          <w:tcPr>
            <w:tcW w:w="1410" w:type="dxa"/>
            <w:vAlign w:val="center"/>
          </w:tcPr>
          <w:p w14:paraId="0302111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pacing w:val="-6"/>
                <w:sz w:val="22"/>
                <w:szCs w:val="22"/>
                <w:lang w:val="en-US" w:eastAsia="zh-CN"/>
              </w:rPr>
            </w:pPr>
            <w:r>
              <w:rPr>
                <w:rFonts w:hint="default" w:ascii="Arial" w:hAnsi="Arial" w:cs="Arial"/>
                <w:spacing w:val="-6"/>
                <w:sz w:val="22"/>
                <w:szCs w:val="22"/>
                <w:lang w:val="en-US" w:eastAsia="zh-CN"/>
              </w:rPr>
              <w:t>31.02</w:t>
            </w:r>
            <w:r>
              <w:rPr>
                <w:rFonts w:hint="eastAsia" w:ascii="Arial" w:hAnsi="Arial" w:cs="Arial"/>
                <w:spacing w:val="-6"/>
                <w:sz w:val="22"/>
                <w:szCs w:val="22"/>
                <w:lang w:val="en-US" w:eastAsia="zh-CN"/>
              </w:rPr>
              <w:t>万m</w:t>
            </w:r>
            <w:r>
              <w:rPr>
                <w:rFonts w:hint="eastAsia" w:ascii="Arial" w:hAnsi="Arial" w:cs="Arial"/>
                <w:spacing w:val="-6"/>
                <w:sz w:val="22"/>
                <w:szCs w:val="22"/>
                <w:vertAlign w:val="superscript"/>
                <w:lang w:val="en-US" w:eastAsia="zh-CN"/>
              </w:rPr>
              <w:t>3</w:t>
            </w:r>
          </w:p>
        </w:tc>
        <w:tc>
          <w:tcPr>
            <w:tcW w:w="1035" w:type="dxa"/>
            <w:vAlign w:val="center"/>
          </w:tcPr>
          <w:p w14:paraId="7F64DED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pacing w:val="-3"/>
                <w:sz w:val="22"/>
                <w:szCs w:val="22"/>
                <w:lang w:eastAsia="zh-CN"/>
              </w:rPr>
            </w:pPr>
            <w:r>
              <w:rPr>
                <w:rFonts w:hint="default" w:ascii="Arial" w:hAnsi="Arial" w:cs="Arial"/>
                <w:spacing w:val="-3"/>
                <w:sz w:val="22"/>
                <w:szCs w:val="22"/>
                <w:lang w:eastAsia="zh-CN"/>
              </w:rPr>
              <w:t>农灌</w:t>
            </w:r>
          </w:p>
        </w:tc>
      </w:tr>
    </w:tbl>
    <w:p w14:paraId="712DEAA9">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420" w:firstLineChars="200"/>
        <w:jc w:val="both"/>
        <w:textAlignment w:val="auto"/>
        <w:rPr>
          <w:rFonts w:hint="eastAsia" w:ascii="Arial" w:hAnsi="Arial" w:cs="Arial"/>
          <w:b/>
          <w:bCs/>
          <w:color w:val="auto"/>
          <w:kern w:val="2"/>
          <w:sz w:val="26"/>
          <w:szCs w:val="26"/>
          <w:lang w:val="en-US" w:eastAsia="zh-CN" w:bidi="ar-SA"/>
        </w:rPr>
      </w:pPr>
      <w:r>
        <w:rPr>
          <w:color w:val="auto"/>
          <w:highlight w:val="none"/>
        </w:rPr>
        <w:drawing>
          <wp:anchor distT="0" distB="0" distL="0" distR="0" simplePos="0" relativeHeight="251679744" behindDoc="0" locked="0" layoutInCell="1" allowOverlap="1">
            <wp:simplePos x="0" y="0"/>
            <wp:positionH relativeFrom="column">
              <wp:posOffset>2838450</wp:posOffset>
            </wp:positionH>
            <wp:positionV relativeFrom="paragraph">
              <wp:posOffset>67310</wp:posOffset>
            </wp:positionV>
            <wp:extent cx="2569210" cy="1936750"/>
            <wp:effectExtent l="0" t="0" r="2540" b="6350"/>
            <wp:wrapNone/>
            <wp:docPr id="99558727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87276" name="图片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69210" cy="1936750"/>
                    </a:xfrm>
                    <a:prstGeom prst="rect">
                      <a:avLst/>
                    </a:prstGeom>
                    <a:noFill/>
                    <a:ln>
                      <a:noFill/>
                    </a:ln>
                  </pic:spPr>
                </pic:pic>
              </a:graphicData>
            </a:graphic>
          </wp:anchor>
        </w:drawing>
      </w:r>
      <w:r>
        <w:rPr>
          <w:color w:val="auto"/>
          <w:highlight w:val="none"/>
        </w:rPr>
        <w:drawing>
          <wp:anchor distT="0" distB="0" distL="0" distR="0" simplePos="0" relativeHeight="251678720" behindDoc="0" locked="0" layoutInCell="1" allowOverlap="1">
            <wp:simplePos x="0" y="0"/>
            <wp:positionH relativeFrom="column">
              <wp:posOffset>247650</wp:posOffset>
            </wp:positionH>
            <wp:positionV relativeFrom="paragraph">
              <wp:posOffset>65405</wp:posOffset>
            </wp:positionV>
            <wp:extent cx="2534920" cy="1929130"/>
            <wp:effectExtent l="0" t="0" r="17780" b="13970"/>
            <wp:wrapNone/>
            <wp:docPr id="201165138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1382" name="图片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4920" cy="1929130"/>
                    </a:xfrm>
                    <a:prstGeom prst="rect">
                      <a:avLst/>
                    </a:prstGeom>
                    <a:noFill/>
                    <a:ln>
                      <a:noFill/>
                    </a:ln>
                  </pic:spPr>
                </pic:pic>
              </a:graphicData>
            </a:graphic>
          </wp:anchor>
        </w:drawing>
      </w:r>
    </w:p>
    <w:p w14:paraId="1930BB0E">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cs="Arial"/>
          <w:b/>
          <w:bCs/>
          <w:color w:val="auto"/>
          <w:kern w:val="2"/>
          <w:sz w:val="26"/>
          <w:szCs w:val="26"/>
          <w:lang w:val="en-US" w:eastAsia="zh-CN" w:bidi="ar-SA"/>
        </w:rPr>
      </w:pPr>
    </w:p>
    <w:p w14:paraId="75895063">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15" w:firstLineChars="150"/>
        <w:jc w:val="both"/>
        <w:textAlignment w:val="auto"/>
        <w:rPr>
          <w:color w:val="auto"/>
          <w:highlight w:val="none"/>
        </w:rPr>
      </w:pPr>
    </w:p>
    <w:p w14:paraId="3C9BAA00">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15" w:firstLineChars="150"/>
        <w:jc w:val="both"/>
        <w:textAlignment w:val="auto"/>
        <w:rPr>
          <w:color w:val="auto"/>
          <w:highlight w:val="none"/>
        </w:rPr>
      </w:pPr>
    </w:p>
    <w:p w14:paraId="1D9FBF49">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15" w:firstLineChars="150"/>
        <w:jc w:val="both"/>
        <w:textAlignment w:val="auto"/>
        <w:rPr>
          <w:color w:val="auto"/>
          <w:highlight w:val="none"/>
        </w:rPr>
      </w:pPr>
    </w:p>
    <w:p w14:paraId="7DA9A689">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15" w:firstLineChars="150"/>
        <w:jc w:val="both"/>
        <w:textAlignment w:val="auto"/>
        <w:rPr>
          <w:color w:val="auto"/>
          <w:highlight w:val="none"/>
        </w:rPr>
      </w:pPr>
    </w:p>
    <w:p w14:paraId="1617C528">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cs="Arial"/>
          <w:b/>
          <w:bCs/>
          <w:color w:val="auto"/>
          <w:kern w:val="2"/>
          <w:sz w:val="26"/>
          <w:szCs w:val="26"/>
          <w:lang w:val="en-US" w:eastAsia="zh-CN" w:bidi="ar-SA"/>
        </w:rPr>
      </w:pPr>
    </w:p>
    <w:p w14:paraId="2EB70AC4">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392" w:firstLineChars="150"/>
        <w:jc w:val="both"/>
        <w:textAlignment w:val="auto"/>
        <w:rPr>
          <w:rFonts w:hint="eastAsia" w:ascii="Arial" w:hAnsi="Arial" w:cs="Arial"/>
          <w:b/>
          <w:bCs/>
          <w:color w:val="auto"/>
          <w:kern w:val="2"/>
          <w:sz w:val="26"/>
          <w:szCs w:val="26"/>
          <w:lang w:val="en-US" w:eastAsia="zh-CN" w:bidi="ar-SA"/>
        </w:rPr>
      </w:pPr>
    </w:p>
    <w:p w14:paraId="5C90DDA3">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1436" w:firstLineChars="55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乌烟冲水库                      梅子溪水库</w:t>
      </w:r>
    </w:p>
    <w:p w14:paraId="05CA0CE8">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（2）水电站工程</w:t>
      </w:r>
    </w:p>
    <w:p w14:paraId="0EBEB700">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根据统计，双龙河、高洞桥河、海螺沟河道上均无已建成运行的水电工程。</w:t>
      </w:r>
    </w:p>
    <w:p w14:paraId="68984BF1">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（3）防洪护岸工程</w:t>
      </w:r>
    </w:p>
    <w:p w14:paraId="64359CF6">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根据统计，双龙河双龙镇段已建防洪护岸工程长约2.51km，采取镇脚+斜坡护岸型式，采取10年一遇防洪标准。高洞桥河、海螺沟河道上均无已建防洪护岸工程，河道两岸维持原生状态。</w:t>
      </w:r>
    </w:p>
    <w:p w14:paraId="38AF694B">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（4）山坪塘工程</w:t>
      </w:r>
    </w:p>
    <w:p w14:paraId="3F5DDEA9">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跟据统计，流域内</w:t>
      </w:r>
      <w:r>
        <w:rPr>
          <w:rFonts w:hint="eastAsia" w:ascii="Arial" w:hAnsi="Arial" w:cs="Arial"/>
          <w:b w:val="0"/>
          <w:color w:val="auto"/>
          <w:kern w:val="2"/>
          <w:sz w:val="26"/>
          <w:szCs w:val="26"/>
          <w:lang w:val="zh-CN" w:eastAsia="zh-CN" w:bidi="ar-SA"/>
        </w:rPr>
        <w:t>现状5座山坪塘，总库容0.9万m</w:t>
      </w:r>
      <w:r>
        <w:rPr>
          <w:rFonts w:hint="eastAsia" w:ascii="Arial" w:hAnsi="Arial" w:cs="Arial"/>
          <w:b w:val="0"/>
          <w:color w:val="auto"/>
          <w:kern w:val="2"/>
          <w:sz w:val="26"/>
          <w:szCs w:val="26"/>
          <w:vertAlign w:val="superscript"/>
          <w:lang w:val="en-US" w:eastAsia="zh-CN" w:bidi="ar-SA"/>
        </w:rPr>
        <w:t>3</w:t>
      </w:r>
      <w:r>
        <w:rPr>
          <w:rFonts w:hint="eastAsia" w:ascii="Arial" w:hAnsi="Arial" w:cs="Arial"/>
          <w:b w:val="0"/>
          <w:color w:val="auto"/>
          <w:kern w:val="2"/>
          <w:sz w:val="26"/>
          <w:szCs w:val="26"/>
          <w:lang w:val="zh-CN" w:eastAsia="zh-CN" w:bidi="ar-SA"/>
        </w:rPr>
        <w:t>，多年平均可供水量0.94万m</w:t>
      </w:r>
      <w:r>
        <w:rPr>
          <w:rFonts w:hint="eastAsia" w:ascii="Arial" w:hAnsi="Arial" w:cs="Arial"/>
          <w:b w:val="0"/>
          <w:color w:val="auto"/>
          <w:kern w:val="2"/>
          <w:sz w:val="26"/>
          <w:szCs w:val="26"/>
          <w:vertAlign w:val="superscript"/>
          <w:lang w:val="en-US" w:eastAsia="zh-CN" w:bidi="ar-SA"/>
        </w:rPr>
        <w:t>3</w:t>
      </w:r>
      <w:r>
        <w:rPr>
          <w:rFonts w:hint="eastAsia" w:ascii="Arial" w:hAnsi="Arial" w:cs="Arial"/>
          <w:b w:val="0"/>
          <w:color w:val="auto"/>
          <w:kern w:val="2"/>
          <w:sz w:val="26"/>
          <w:szCs w:val="26"/>
          <w:lang w:val="zh-CN" w:eastAsia="zh-CN" w:bidi="ar-SA"/>
        </w:rPr>
        <w:t>。</w:t>
      </w:r>
    </w:p>
    <w:p w14:paraId="5077A077">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cs="Arial"/>
          <w:b w:val="0"/>
          <w:color w:val="auto"/>
          <w:kern w:val="2"/>
          <w:sz w:val="26"/>
          <w:szCs w:val="26"/>
          <w:lang w:val="en-US" w:eastAsia="zh-CN" w:bidi="ar-SA"/>
        </w:rPr>
      </w:pPr>
      <w:r>
        <w:rPr>
          <w:rFonts w:hint="eastAsia" w:ascii="Arial" w:hAnsi="Arial" w:cs="Arial"/>
          <w:b/>
          <w:bCs/>
          <w:color w:val="auto"/>
          <w:kern w:val="2"/>
          <w:sz w:val="26"/>
          <w:szCs w:val="26"/>
          <w:lang w:val="en-US" w:eastAsia="zh-CN" w:bidi="ar-SA"/>
        </w:rPr>
        <w:t>（5）跨河设施建成情况</w:t>
      </w:r>
    </w:p>
    <w:p w14:paraId="43A8AED5">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根据现场勘查，双龙河干流已建成跨河桥梁6处、拦河坝2处，高洞桥河已建成跨河桥梁1处，海螺沟河道上未建任何跨河设施。</w:t>
      </w:r>
    </w:p>
    <w:p w14:paraId="2968936E">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cs="Arial"/>
          <w:b w:val="0"/>
          <w:color w:val="auto"/>
          <w:kern w:val="2"/>
          <w:sz w:val="26"/>
          <w:szCs w:val="26"/>
          <w:lang w:val="en-US" w:eastAsia="zh-CN" w:bidi="ar-SA"/>
        </w:rPr>
      </w:pPr>
      <w:r>
        <w:rPr>
          <w:rFonts w:hint="eastAsia" w:ascii="Arial" w:hAnsi="Arial" w:cs="Arial"/>
          <w:b/>
          <w:bCs/>
          <w:color w:val="auto"/>
          <w:kern w:val="2"/>
          <w:sz w:val="26"/>
          <w:szCs w:val="26"/>
          <w:lang w:val="en-US" w:eastAsia="zh-CN" w:bidi="ar-SA"/>
        </w:rPr>
        <w:t>（6）取排水口建成情况</w:t>
      </w:r>
    </w:p>
    <w:p w14:paraId="5BDCE7D5">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根据《丰都县双龙河“一河一策”方案》及现场走访调查可知，双龙河干流上设有双</w:t>
      </w:r>
      <w:r>
        <w:rPr>
          <w:rFonts w:hint="default" w:ascii="Arial" w:hAnsi="Arial" w:cs="Arial"/>
          <w:b w:val="0"/>
          <w:color w:val="auto"/>
          <w:kern w:val="2"/>
          <w:sz w:val="26"/>
          <w:szCs w:val="26"/>
          <w:lang w:val="en-US" w:eastAsia="zh-CN" w:bidi="ar-SA"/>
        </w:rPr>
        <w:t>龙场乡污水处理厂</w:t>
      </w:r>
      <w:r>
        <w:rPr>
          <w:rFonts w:hint="eastAsia" w:ascii="Arial" w:hAnsi="Arial" w:cs="Arial"/>
          <w:b w:val="0"/>
          <w:color w:val="auto"/>
          <w:kern w:val="2"/>
          <w:sz w:val="26"/>
          <w:szCs w:val="26"/>
          <w:lang w:val="en-US" w:eastAsia="zh-CN" w:bidi="ar-SA"/>
        </w:rPr>
        <w:t>、灯塔村污水处理站</w:t>
      </w:r>
      <w:r>
        <w:rPr>
          <w:rFonts w:hint="default" w:ascii="Arial" w:hAnsi="Arial" w:cs="Arial"/>
          <w:b w:val="0"/>
          <w:color w:val="auto"/>
          <w:kern w:val="2"/>
          <w:sz w:val="26"/>
          <w:szCs w:val="26"/>
          <w:lang w:val="en-US" w:eastAsia="zh-CN" w:bidi="ar-SA"/>
        </w:rPr>
        <w:t>排污口，</w:t>
      </w:r>
      <w:r>
        <w:rPr>
          <w:rFonts w:hint="eastAsia" w:ascii="Arial" w:hAnsi="Arial" w:cs="Arial"/>
          <w:b w:val="0"/>
          <w:color w:val="auto"/>
          <w:kern w:val="2"/>
          <w:sz w:val="26"/>
          <w:szCs w:val="26"/>
          <w:lang w:val="en-US" w:eastAsia="zh-CN" w:bidi="ar-SA"/>
        </w:rPr>
        <w:t>双</w:t>
      </w:r>
      <w:r>
        <w:rPr>
          <w:rFonts w:hint="default" w:ascii="Arial" w:hAnsi="Arial" w:cs="Arial"/>
          <w:b w:val="0"/>
          <w:color w:val="auto"/>
          <w:kern w:val="2"/>
          <w:sz w:val="26"/>
          <w:szCs w:val="26"/>
          <w:lang w:val="en-US" w:eastAsia="zh-CN" w:bidi="ar-SA"/>
        </w:rPr>
        <w:t>龙场乡污水处理厂</w:t>
      </w:r>
      <w:r>
        <w:rPr>
          <w:rFonts w:hint="eastAsia" w:ascii="Arial" w:hAnsi="Arial" w:cs="Arial"/>
          <w:b w:val="0"/>
          <w:color w:val="auto"/>
          <w:kern w:val="2"/>
          <w:sz w:val="26"/>
          <w:szCs w:val="26"/>
          <w:lang w:val="en-US" w:eastAsia="zh-CN" w:bidi="ar-SA"/>
        </w:rPr>
        <w:t>排污口</w:t>
      </w:r>
      <w:r>
        <w:rPr>
          <w:rFonts w:hint="default" w:ascii="Arial" w:hAnsi="Arial" w:cs="Arial"/>
          <w:b w:val="0"/>
          <w:color w:val="auto"/>
          <w:kern w:val="2"/>
          <w:sz w:val="26"/>
          <w:szCs w:val="26"/>
          <w:lang w:val="en-US" w:eastAsia="zh-CN" w:bidi="ar-SA"/>
        </w:rPr>
        <w:t>地理坐标为107°43'05.113"、30°07'15.435"</w:t>
      </w:r>
      <w:r>
        <w:rPr>
          <w:rFonts w:hint="eastAsia" w:ascii="Arial" w:hAnsi="Arial" w:cs="Arial"/>
          <w:b w:val="0"/>
          <w:color w:val="auto"/>
          <w:kern w:val="2"/>
          <w:sz w:val="26"/>
          <w:szCs w:val="26"/>
          <w:lang w:val="en-US" w:eastAsia="zh-CN" w:bidi="ar-SA"/>
        </w:rPr>
        <w:t>，灯塔村污水处理站</w:t>
      </w:r>
      <w:r>
        <w:rPr>
          <w:rFonts w:hint="default" w:ascii="Arial" w:hAnsi="Arial" w:cs="Arial"/>
          <w:b w:val="0"/>
          <w:color w:val="auto"/>
          <w:kern w:val="2"/>
          <w:sz w:val="26"/>
          <w:szCs w:val="26"/>
          <w:lang w:val="en-US" w:eastAsia="zh-CN" w:bidi="ar-SA"/>
        </w:rPr>
        <w:t>排污口</w:t>
      </w:r>
      <w:r>
        <w:rPr>
          <w:rFonts w:hint="eastAsia" w:ascii="Arial" w:hAnsi="Arial" w:cs="Arial"/>
          <w:b w:val="0"/>
          <w:color w:val="auto"/>
          <w:kern w:val="2"/>
          <w:sz w:val="26"/>
          <w:szCs w:val="26"/>
          <w:lang w:val="en-US" w:eastAsia="zh-CN" w:bidi="ar-SA"/>
        </w:rPr>
        <w:t>地理坐标为</w:t>
      </w:r>
      <w:r>
        <w:rPr>
          <w:rFonts w:hint="default" w:ascii="Arial" w:hAnsi="Arial" w:cs="Arial"/>
          <w:b w:val="0"/>
          <w:color w:val="auto"/>
          <w:kern w:val="2"/>
          <w:sz w:val="26"/>
          <w:szCs w:val="26"/>
          <w:lang w:val="en-US" w:eastAsia="zh-CN" w:bidi="ar-SA"/>
        </w:rPr>
        <w:t>107°46'01.468"、30°06'16.126"；</w:t>
      </w:r>
      <w:r>
        <w:rPr>
          <w:rFonts w:hint="eastAsia" w:ascii="Arial" w:hAnsi="Arial" w:cs="Arial"/>
          <w:b w:val="0"/>
          <w:color w:val="auto"/>
          <w:kern w:val="2"/>
          <w:sz w:val="26"/>
          <w:szCs w:val="26"/>
          <w:lang w:val="en-US" w:eastAsia="zh-CN" w:bidi="ar-SA"/>
        </w:rPr>
        <w:t>高洞桥河上设有青龙乡污水处理厂排污口，</w:t>
      </w:r>
      <w:r>
        <w:rPr>
          <w:rFonts w:hint="default" w:ascii="Arial" w:hAnsi="Arial" w:cs="Arial"/>
          <w:b w:val="0"/>
          <w:color w:val="auto"/>
          <w:kern w:val="2"/>
          <w:sz w:val="26"/>
          <w:szCs w:val="26"/>
          <w:lang w:val="en-US" w:eastAsia="zh-CN" w:bidi="ar-SA"/>
        </w:rPr>
        <w:t>地理坐标为g107°47'10.020"</w:t>
      </w:r>
      <w:r>
        <w:rPr>
          <w:rFonts w:hint="eastAsia" w:ascii="Arial" w:hAnsi="Arial" w:cs="Arial"/>
          <w:b w:val="0"/>
          <w:color w:val="auto"/>
          <w:kern w:val="2"/>
          <w:sz w:val="26"/>
          <w:szCs w:val="26"/>
          <w:lang w:val="en-US" w:eastAsia="zh-CN" w:bidi="ar-SA"/>
        </w:rPr>
        <w:t>、</w:t>
      </w:r>
      <w:r>
        <w:rPr>
          <w:rFonts w:hint="default" w:ascii="Arial" w:hAnsi="Arial" w:cs="Arial"/>
          <w:b w:val="0"/>
          <w:color w:val="auto"/>
          <w:kern w:val="2"/>
          <w:sz w:val="26"/>
          <w:szCs w:val="26"/>
          <w:lang w:val="en-US" w:eastAsia="zh-CN" w:bidi="ar-SA"/>
        </w:rPr>
        <w:t>30°09'38.633"；</w:t>
      </w:r>
      <w:r>
        <w:rPr>
          <w:rFonts w:hint="eastAsia" w:ascii="Arial" w:hAnsi="Arial" w:cs="Arial"/>
          <w:b w:val="0"/>
          <w:color w:val="auto"/>
          <w:kern w:val="2"/>
          <w:sz w:val="26"/>
          <w:szCs w:val="26"/>
          <w:lang w:val="en-US" w:eastAsia="zh-CN" w:bidi="ar-SA"/>
        </w:rPr>
        <w:t>海螺沟上未设置污水处理设施排放口。</w:t>
      </w:r>
    </w:p>
    <w:p w14:paraId="424172D1">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2.1.4规划水利设施情况简介</w:t>
      </w:r>
    </w:p>
    <w:p w14:paraId="1085D11F">
      <w:pPr>
        <w:spacing w:line="440" w:lineRule="exact"/>
        <w:ind w:firstLine="520"/>
        <w:rPr>
          <w:rFonts w:hint="eastAsia" w:ascii="Arial" w:hAnsi="Arial" w:cs="Arial"/>
          <w:color w:val="auto"/>
          <w:sz w:val="26"/>
          <w:szCs w:val="26"/>
        </w:rPr>
      </w:pPr>
      <w:r>
        <w:rPr>
          <w:rFonts w:hint="eastAsia" w:ascii="Arial" w:cs="Arial"/>
          <w:bCs/>
          <w:color w:val="auto"/>
          <w:sz w:val="26"/>
          <w:lang w:eastAsia="zh-CN"/>
        </w:rPr>
        <w:t>双龙河</w:t>
      </w:r>
      <w:r>
        <w:rPr>
          <w:rFonts w:hint="eastAsia" w:ascii="Arial" w:cs="Arial"/>
          <w:bCs/>
          <w:color w:val="auto"/>
          <w:sz w:val="26"/>
        </w:rPr>
        <w:t>流域</w:t>
      </w:r>
      <w:r>
        <w:rPr>
          <w:rFonts w:hint="eastAsia" w:ascii="Arial" w:cs="Arial"/>
          <w:bCs/>
          <w:color w:val="auto"/>
          <w:sz w:val="26"/>
          <w:lang w:eastAsia="zh-CN"/>
        </w:rPr>
        <w:t>规划内容包括水资源评价与配置、防洪规划、灌溉规划、节约用水规划、水资源保护规划、水生态保护与修复规划、水土保持规划、流域综合管理规划等。本次评价主要介绍双龙河流域内规划实施的实体建设项目。双龙河</w:t>
      </w:r>
      <w:r>
        <w:rPr>
          <w:rFonts w:hint="eastAsia" w:ascii="Arial" w:cs="Arial"/>
          <w:bCs/>
          <w:color w:val="auto"/>
          <w:sz w:val="26"/>
        </w:rPr>
        <w:t>流域</w:t>
      </w:r>
      <w:r>
        <w:rPr>
          <w:rFonts w:hint="eastAsia" w:ascii="Arial" w:hAnsi="Arial" w:cs="Arial"/>
          <w:color w:val="auto"/>
          <w:sz w:val="26"/>
          <w:szCs w:val="26"/>
        </w:rPr>
        <w:t>具体规划方案为：</w:t>
      </w:r>
    </w:p>
    <w:p w14:paraId="4EA523D7">
      <w:pPr>
        <w:spacing w:line="440" w:lineRule="exact"/>
        <w:ind w:firstLine="520"/>
        <w:rPr>
          <w:rFonts w:hint="eastAsia" w:ascii="Arial" w:hAnsi="Arial" w:cs="Arial"/>
          <w:color w:val="auto"/>
          <w:sz w:val="26"/>
          <w:szCs w:val="26"/>
          <w:lang w:val="en-US" w:eastAsia="zh-CN"/>
        </w:rPr>
      </w:pPr>
      <w:r>
        <w:rPr>
          <w:rFonts w:hint="eastAsia" w:ascii="Arial" w:cs="Arial"/>
          <w:b/>
          <w:bCs w:val="0"/>
          <w:color w:val="auto"/>
          <w:sz w:val="26"/>
          <w:lang w:eastAsia="zh-CN"/>
        </w:rPr>
        <w:t>水资源评价与配置：</w:t>
      </w:r>
      <w:r>
        <w:rPr>
          <w:rFonts w:hint="eastAsia" w:ascii="Arial" w:hAnsi="Arial" w:cs="Arial"/>
          <w:color w:val="auto"/>
          <w:sz w:val="26"/>
          <w:szCs w:val="26"/>
        </w:rPr>
        <w:t>小（</w:t>
      </w:r>
      <w:r>
        <w:rPr>
          <w:rFonts w:hint="eastAsia" w:ascii="Arial" w:hAnsi="Arial" w:cs="Arial"/>
          <w:color w:val="auto"/>
          <w:sz w:val="26"/>
          <w:szCs w:val="26"/>
          <w:lang w:val="en-US" w:eastAsia="zh-CN"/>
        </w:rPr>
        <w:t>2</w:t>
      </w:r>
      <w:r>
        <w:rPr>
          <w:rFonts w:hint="eastAsia" w:ascii="Arial" w:hAnsi="Arial" w:cs="Arial"/>
          <w:color w:val="auto"/>
          <w:sz w:val="26"/>
          <w:szCs w:val="26"/>
        </w:rPr>
        <w:t>）型水库</w:t>
      </w:r>
      <w:r>
        <w:rPr>
          <w:rFonts w:hint="eastAsia" w:ascii="Arial" w:hAnsi="Arial" w:cs="Arial"/>
          <w:color w:val="auto"/>
          <w:sz w:val="26"/>
          <w:szCs w:val="26"/>
          <w:lang w:val="en-US" w:eastAsia="zh-CN"/>
        </w:rPr>
        <w:t>2</w:t>
      </w:r>
      <w:r>
        <w:rPr>
          <w:rFonts w:hint="eastAsia" w:ascii="Arial" w:hAnsi="Arial" w:cs="Arial"/>
          <w:color w:val="auto"/>
          <w:sz w:val="26"/>
          <w:szCs w:val="26"/>
        </w:rPr>
        <w:t>座</w:t>
      </w:r>
      <w:r>
        <w:rPr>
          <w:rFonts w:hint="eastAsia" w:ascii="Arial" w:hAnsi="Arial" w:cs="Arial"/>
          <w:color w:val="auto"/>
          <w:sz w:val="26"/>
          <w:szCs w:val="26"/>
          <w:lang w:eastAsia="zh-CN"/>
        </w:rPr>
        <w:t>，分别为海螺沟水库、灯塔水库，库容分别为</w:t>
      </w:r>
      <w:r>
        <w:rPr>
          <w:rFonts w:hint="eastAsia" w:ascii="Arial" w:hAnsi="Arial" w:cs="Arial"/>
          <w:color w:val="auto"/>
          <w:sz w:val="26"/>
          <w:szCs w:val="26"/>
          <w:lang w:val="en-US" w:eastAsia="zh-CN"/>
        </w:rPr>
        <w:t>80.51万</w:t>
      </w:r>
      <w:r>
        <w:rPr>
          <w:rFonts w:hint="eastAsia" w:ascii="Arial" w:hAnsi="Arial" w:cs="Arial"/>
          <w:color w:val="auto"/>
          <w:sz w:val="26"/>
          <w:szCs w:val="26"/>
        </w:rPr>
        <w:t>m</w:t>
      </w:r>
      <w:r>
        <w:rPr>
          <w:rFonts w:hint="eastAsia" w:ascii="Arial" w:hAnsi="Arial" w:cs="Arial"/>
          <w:color w:val="auto"/>
          <w:sz w:val="26"/>
          <w:szCs w:val="26"/>
          <w:vertAlign w:val="superscript"/>
        </w:rPr>
        <w:t>3</w:t>
      </w:r>
      <w:r>
        <w:rPr>
          <w:rFonts w:hint="eastAsia" w:ascii="Arial" w:hAnsi="Arial" w:cs="Arial"/>
          <w:color w:val="auto"/>
          <w:sz w:val="26"/>
          <w:szCs w:val="26"/>
          <w:lang w:eastAsia="zh-CN"/>
        </w:rPr>
        <w:t>、</w:t>
      </w:r>
      <w:r>
        <w:rPr>
          <w:rFonts w:hint="eastAsia" w:ascii="Arial" w:hAnsi="Arial" w:cs="Arial"/>
          <w:color w:val="auto"/>
          <w:sz w:val="26"/>
          <w:szCs w:val="26"/>
          <w:lang w:val="en-US" w:eastAsia="zh-CN"/>
        </w:rPr>
        <w:t>68.4万</w:t>
      </w:r>
      <w:r>
        <w:rPr>
          <w:rFonts w:hint="eastAsia" w:ascii="Arial" w:hAnsi="Arial" w:cs="Arial"/>
          <w:color w:val="auto"/>
          <w:sz w:val="26"/>
          <w:szCs w:val="26"/>
        </w:rPr>
        <w:t>m</w:t>
      </w:r>
      <w:r>
        <w:rPr>
          <w:rFonts w:hint="eastAsia" w:ascii="Arial" w:hAnsi="Arial" w:cs="Arial"/>
          <w:color w:val="auto"/>
          <w:sz w:val="26"/>
          <w:szCs w:val="26"/>
          <w:vertAlign w:val="superscript"/>
        </w:rPr>
        <w:t>3</w:t>
      </w:r>
      <w:r>
        <w:rPr>
          <w:rFonts w:hint="eastAsia" w:ascii="Arial" w:hAnsi="Arial" w:cs="Arial"/>
          <w:color w:val="auto"/>
          <w:sz w:val="26"/>
          <w:szCs w:val="26"/>
          <w:lang w:eastAsia="zh-CN"/>
        </w:rPr>
        <w:t>，均为新建，选址分别位于双龙镇田家山村、双龙镇灯塔村，</w:t>
      </w:r>
      <w:r>
        <w:rPr>
          <w:rFonts w:hint="eastAsia" w:ascii="Arial" w:hAnsi="Arial" w:cs="Arial"/>
          <w:color w:val="auto"/>
          <w:sz w:val="26"/>
          <w:szCs w:val="26"/>
          <w:lang w:val="en-US" w:eastAsia="zh-CN"/>
        </w:rPr>
        <w:t>均以农村人畜饮水为主，兼顾农田灌溉等综合开发功能。</w:t>
      </w:r>
    </w:p>
    <w:p w14:paraId="021FF1B1">
      <w:pPr>
        <w:spacing w:line="460" w:lineRule="exact"/>
        <w:ind w:firstLine="522"/>
        <w:rPr>
          <w:rFonts w:hint="eastAsia" w:ascii="Arial" w:hAnsi="Times New Roman" w:cs="Arial"/>
          <w:bCs/>
          <w:color w:val="auto"/>
          <w:sz w:val="26"/>
          <w:lang w:val="en-US" w:eastAsia="zh-CN"/>
        </w:rPr>
      </w:pPr>
      <w:r>
        <w:rPr>
          <w:rFonts w:hint="eastAsia" w:ascii="Arial" w:hAnsi="Times New Roman" w:cs="Arial"/>
          <w:b/>
          <w:bCs w:val="0"/>
          <w:color w:val="auto"/>
          <w:sz w:val="26"/>
          <w:lang w:eastAsia="zh-CN"/>
        </w:rPr>
        <w:t>防洪规划：</w:t>
      </w:r>
      <w:r>
        <w:rPr>
          <w:rFonts w:hint="eastAsia" w:ascii="Arial" w:hAnsi="Times New Roman" w:cs="Arial"/>
          <w:bCs/>
          <w:color w:val="auto"/>
          <w:sz w:val="26"/>
          <w:lang w:val="en-US" w:eastAsia="zh-CN"/>
        </w:rPr>
        <w:t>在青龙乡、</w:t>
      </w:r>
      <w:r>
        <w:rPr>
          <w:rFonts w:hint="eastAsia" w:ascii="Arial" w:hAnsi="Times New Roman" w:cs="Arial"/>
          <w:b/>
          <w:bCs w:val="0"/>
          <w:color w:val="auto"/>
          <w:sz w:val="26"/>
          <w:lang w:val="en-US" w:eastAsia="zh-CN"/>
        </w:rPr>
        <w:t>双龙镇、</w:t>
      </w:r>
      <w:r>
        <w:rPr>
          <w:rFonts w:hint="eastAsia" w:ascii="Arial" w:hAnsi="Times New Roman" w:cs="Arial"/>
          <w:bCs/>
          <w:color w:val="auto"/>
          <w:sz w:val="26"/>
          <w:lang w:val="en-US" w:eastAsia="zh-CN"/>
        </w:rPr>
        <w:t>三元</w:t>
      </w:r>
      <w:r>
        <w:rPr>
          <w:rFonts w:hint="eastAsia" w:ascii="Arial" w:hAnsi="Arial" w:cs="Arial"/>
          <w:color w:val="auto"/>
          <w:sz w:val="26"/>
          <w:szCs w:val="26"/>
          <w:lang w:val="en-US" w:eastAsia="zh-CN"/>
        </w:rPr>
        <w:t>镇、</w:t>
      </w:r>
      <w:r>
        <w:rPr>
          <w:rFonts w:hint="eastAsia" w:ascii="Arial" w:hAnsi="Arial" w:cs="Arial"/>
          <w:color w:val="auto"/>
          <w:sz w:val="26"/>
          <w:szCs w:val="26"/>
          <w:lang w:eastAsia="zh-CN"/>
        </w:rPr>
        <w:t>仁沙镇、兴龙镇、社坛镇，</w:t>
      </w:r>
      <w:r>
        <w:rPr>
          <w:rFonts w:hint="eastAsia" w:ascii="Arial" w:hAnsi="Times New Roman" w:cs="Arial"/>
          <w:bCs/>
          <w:color w:val="auto"/>
          <w:sz w:val="26"/>
          <w:lang w:val="en-US" w:eastAsia="zh-CN"/>
        </w:rPr>
        <w:t>按照10年一遇防洪标准，新建</w:t>
      </w:r>
      <w:r>
        <w:rPr>
          <w:rFonts w:hint="eastAsia" w:ascii="Arial" w:hAnsi="Times New Roman" w:cs="Arial"/>
          <w:bCs/>
          <w:color w:val="auto"/>
          <w:sz w:val="26"/>
          <w:lang w:eastAsia="zh-CN"/>
        </w:rPr>
        <w:t>堤防、疏浚清淤、岸坡护砌、生态修复等工程措施，总长合计约</w:t>
      </w:r>
      <w:r>
        <w:rPr>
          <w:rFonts w:hint="eastAsia" w:ascii="Arial" w:hAnsi="Times New Roman" w:cs="Arial"/>
          <w:bCs/>
          <w:color w:val="auto"/>
          <w:sz w:val="26"/>
          <w:lang w:val="en-US" w:eastAsia="zh-CN"/>
        </w:rPr>
        <w:t>51.661km。</w:t>
      </w:r>
    </w:p>
    <w:p w14:paraId="2DA6C8FD">
      <w:pPr>
        <w:spacing w:line="460" w:lineRule="exact"/>
        <w:ind w:firstLine="522"/>
        <w:rPr>
          <w:rFonts w:hint="eastAsia" w:ascii="Arial" w:hAnsi="Arial" w:cs="Arial"/>
          <w:color w:val="auto"/>
          <w:sz w:val="26"/>
          <w:szCs w:val="26"/>
        </w:rPr>
      </w:pPr>
      <w:r>
        <w:rPr>
          <w:rFonts w:hint="eastAsia" w:ascii="Arial" w:hAnsi="Arial" w:cs="Arial"/>
          <w:color w:val="auto"/>
          <w:sz w:val="26"/>
          <w:szCs w:val="26"/>
        </w:rPr>
        <w:t>拟建项目与</w:t>
      </w:r>
      <w:r>
        <w:rPr>
          <w:rFonts w:hint="eastAsia" w:ascii="Arial" w:hAnsi="Arial" w:eastAsia="宋体" w:cs="Arial"/>
          <w:b w:val="0"/>
          <w:color w:val="auto"/>
          <w:kern w:val="2"/>
          <w:sz w:val="26"/>
          <w:szCs w:val="26"/>
          <w:lang w:val="en-US" w:eastAsia="zh-CN" w:bidi="ar-SA"/>
        </w:rPr>
        <w:t>重庆市渠溪河流域综合规划</w:t>
      </w:r>
      <w:r>
        <w:rPr>
          <w:rFonts w:hint="eastAsia" w:ascii="Arial" w:hAnsi="Arial" w:cs="Arial"/>
          <w:color w:val="auto"/>
          <w:sz w:val="26"/>
          <w:szCs w:val="26"/>
        </w:rPr>
        <w:t>总体布局位置关系详见</w:t>
      </w:r>
      <w:r>
        <w:rPr>
          <w:rFonts w:hint="eastAsia" w:ascii="Arial" w:hAnsi="Arial" w:cs="Arial"/>
          <w:b/>
          <w:color w:val="auto"/>
          <w:sz w:val="26"/>
          <w:szCs w:val="26"/>
        </w:rPr>
        <w:t>附图20</w:t>
      </w:r>
      <w:r>
        <w:rPr>
          <w:rFonts w:hint="eastAsia" w:ascii="Arial" w:hAnsi="Arial" w:cs="Arial"/>
          <w:color w:val="auto"/>
          <w:sz w:val="26"/>
          <w:szCs w:val="26"/>
        </w:rPr>
        <w:t>所示。</w:t>
      </w:r>
    </w:p>
    <w:p w14:paraId="2F8EE954">
      <w:pPr>
        <w:pStyle w:val="1291"/>
        <w:keepNext w:val="0"/>
        <w:keepLines w:val="0"/>
        <w:pageBreakBefore w:val="0"/>
        <w:widowControl/>
        <w:kinsoku/>
        <w:wordWrap/>
        <w:overflowPunct/>
        <w:topLinePunct w:val="0"/>
        <w:autoSpaceDE/>
        <w:autoSpaceDN/>
        <w:bidi w:val="0"/>
        <w:adjustRightInd w:val="0"/>
        <w:snapToGrid w:val="0"/>
        <w:spacing w:line="440" w:lineRule="exact"/>
        <w:ind w:firstLine="522" w:firstLineChars="200"/>
        <w:jc w:val="both"/>
        <w:textAlignment w:val="auto"/>
        <w:rPr>
          <w:rFonts w:hint="eastAsia" w:ascii="Arial" w:hAnsi="Arial" w:eastAsia="宋体" w:cs="Arial"/>
          <w:sz w:val="26"/>
          <w:szCs w:val="26"/>
          <w:lang w:eastAsia="zh-CN"/>
        </w:rPr>
      </w:pPr>
      <w:r>
        <w:rPr>
          <w:rFonts w:hint="default" w:ascii="Arial" w:hAnsi="Arial" w:cs="Arial"/>
          <w:sz w:val="26"/>
          <w:szCs w:val="26"/>
        </w:rPr>
        <w:t>2.</w:t>
      </w:r>
      <w:r>
        <w:rPr>
          <w:rFonts w:hint="eastAsia" w:ascii="Arial" w:hAnsi="Arial" w:cs="Arial"/>
          <w:sz w:val="26"/>
          <w:szCs w:val="26"/>
          <w:lang w:val="en-US" w:eastAsia="zh-CN"/>
        </w:rPr>
        <w:t>2</w:t>
      </w:r>
      <w:r>
        <w:rPr>
          <w:rFonts w:hint="eastAsia" w:ascii="Arial" w:hAnsi="Arial" w:cs="Arial"/>
          <w:sz w:val="26"/>
          <w:szCs w:val="26"/>
          <w:lang w:eastAsia="zh-CN"/>
        </w:rPr>
        <w:t>建设项目概况</w:t>
      </w:r>
    </w:p>
    <w:p w14:paraId="61D13E47">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2.2.1地理位置</w:t>
      </w:r>
    </w:p>
    <w:p w14:paraId="01FF549B">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海螺沟水库位于丰都县双龙镇田家山村，双龙镇地处丰都县西北部，东抵青龙乡，东南与十直镇相邻，南靠保合镇，西接三元镇，北抵董家镇，总面积76.78km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。双龙镇下辖1个社区、9个行政村，61个村民小组、8个居民小组。海螺沟水库库尾有机耕道与双龙镇相通，但交通条件较差，枢纽区至双龙镇约12km，距离丰都县城约75km。</w:t>
      </w:r>
    </w:p>
    <w:p w14:paraId="41A943DD">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拟建项目地理位置及交通状况详见附图1所示。</w:t>
      </w:r>
    </w:p>
    <w:p w14:paraId="11749C3E">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2.2.2工程基本情况</w:t>
      </w:r>
    </w:p>
    <w:p w14:paraId="709BF924">
      <w:pPr>
        <w:spacing w:line="460" w:lineRule="exact"/>
        <w:ind w:firstLine="390" w:firstLineChars="150"/>
        <w:rPr>
          <w:rFonts w:hint="eastAsia" w:ascii="Arial" w:hAnsi="Arial" w:eastAsia="宋体" w:cs="Arial"/>
          <w:bCs/>
          <w:sz w:val="26"/>
          <w:szCs w:val="26"/>
          <w:lang w:eastAsia="zh-CN"/>
        </w:rPr>
      </w:pPr>
      <w:r>
        <w:rPr>
          <w:rFonts w:ascii="Arial" w:hAnsi="Arial" w:cs="Arial"/>
          <w:bCs/>
          <w:sz w:val="26"/>
          <w:szCs w:val="26"/>
        </w:rPr>
        <w:t>（1）工程名称：</w:t>
      </w:r>
      <w:r>
        <w:rPr>
          <w:rFonts w:hint="eastAsia" w:ascii="Arial" w:hAnsi="Arial" w:cs="Arial"/>
          <w:bCs/>
          <w:sz w:val="26"/>
          <w:szCs w:val="26"/>
          <w:lang w:eastAsia="zh-CN"/>
        </w:rPr>
        <w:t>丰都县海螺沟水库工程</w:t>
      </w:r>
    </w:p>
    <w:p w14:paraId="788BA8F0">
      <w:pPr>
        <w:spacing w:line="460" w:lineRule="exact"/>
        <w:ind w:firstLine="390" w:firstLineChars="150"/>
        <w:rPr>
          <w:rFonts w:hint="eastAsia" w:ascii="Arial" w:hAnsi="Arial" w:cs="Arial"/>
          <w:bCs/>
          <w:sz w:val="26"/>
          <w:szCs w:val="26"/>
        </w:rPr>
      </w:pPr>
      <w:r>
        <w:rPr>
          <w:rFonts w:ascii="Arial" w:hAnsi="Arial" w:cs="Arial"/>
          <w:bCs/>
          <w:sz w:val="26"/>
          <w:szCs w:val="26"/>
        </w:rPr>
        <w:t>（2）建设单位</w:t>
      </w:r>
      <w:r>
        <w:rPr>
          <w:rFonts w:hint="eastAsia" w:ascii="Arial" w:hAnsi="Arial" w:cs="Arial"/>
          <w:bCs/>
          <w:sz w:val="26"/>
          <w:szCs w:val="26"/>
        </w:rPr>
        <w:t>：</w:t>
      </w:r>
      <w:r>
        <w:rPr>
          <w:rFonts w:hint="eastAsia" w:ascii="Arial" w:hAnsi="Arial" w:eastAsia="宋体" w:cs="Arial"/>
          <w:b w:val="0"/>
          <w:color w:val="auto"/>
          <w:kern w:val="2"/>
          <w:sz w:val="26"/>
          <w:szCs w:val="26"/>
          <w:lang w:val="en-US" w:eastAsia="zh-CN" w:bidi="ar-SA"/>
        </w:rPr>
        <w:t>丰都县水利工程服务中心</w:t>
      </w:r>
    </w:p>
    <w:p w14:paraId="57602A90">
      <w:pPr>
        <w:spacing w:line="460" w:lineRule="exact"/>
        <w:ind w:firstLine="390" w:firstLineChars="150"/>
        <w:rPr>
          <w:rFonts w:hint="eastAsia" w:ascii="Arial" w:eastAsia="宋体" w:cs="Arial"/>
          <w:sz w:val="26"/>
          <w:szCs w:val="26"/>
          <w:lang w:eastAsia="zh-CN"/>
        </w:rPr>
      </w:pPr>
      <w:r>
        <w:rPr>
          <w:rFonts w:ascii="Arial" w:cs="Arial"/>
          <w:sz w:val="26"/>
          <w:szCs w:val="26"/>
        </w:rPr>
        <w:t>（</w:t>
      </w:r>
      <w:r>
        <w:rPr>
          <w:rFonts w:ascii="Arial" w:hAnsi="Arial" w:cs="Arial"/>
          <w:sz w:val="26"/>
          <w:szCs w:val="26"/>
        </w:rPr>
        <w:t>3</w:t>
      </w:r>
      <w:r>
        <w:rPr>
          <w:rFonts w:ascii="Arial" w:cs="Arial"/>
          <w:sz w:val="26"/>
          <w:szCs w:val="26"/>
        </w:rPr>
        <w:t>）工程地点：</w:t>
      </w:r>
      <w:r>
        <w:rPr>
          <w:rFonts w:hint="eastAsia" w:ascii="Arial" w:cs="Arial"/>
          <w:bCs/>
          <w:sz w:val="26"/>
          <w:szCs w:val="26"/>
          <w:lang w:eastAsia="zh-CN"/>
        </w:rPr>
        <w:t>丰都县双龙镇田家山村</w:t>
      </w:r>
    </w:p>
    <w:p w14:paraId="42B14920">
      <w:pPr>
        <w:spacing w:line="460" w:lineRule="exact"/>
        <w:ind w:firstLine="390" w:firstLineChars="150"/>
        <w:rPr>
          <w:rFonts w:ascii="Arial" w:hAnsi="Arial" w:cs="Arial"/>
          <w:sz w:val="26"/>
          <w:szCs w:val="26"/>
        </w:rPr>
      </w:pPr>
      <w:r>
        <w:rPr>
          <w:rFonts w:ascii="Arial" w:cs="Arial"/>
          <w:sz w:val="26"/>
          <w:szCs w:val="26"/>
        </w:rPr>
        <w:t>（</w:t>
      </w:r>
      <w:r>
        <w:rPr>
          <w:rFonts w:ascii="Arial" w:hAnsi="Arial" w:cs="Arial"/>
          <w:sz w:val="26"/>
          <w:szCs w:val="26"/>
        </w:rPr>
        <w:t>4</w:t>
      </w:r>
      <w:r>
        <w:rPr>
          <w:rFonts w:ascii="Arial" w:cs="Arial"/>
          <w:sz w:val="26"/>
          <w:szCs w:val="26"/>
        </w:rPr>
        <w:t>）建设性质：新建</w:t>
      </w:r>
    </w:p>
    <w:p w14:paraId="76791E5A">
      <w:pPr>
        <w:pStyle w:val="2104"/>
        <w:ind w:firstLine="390" w:firstLineChars="150"/>
        <w:rPr>
          <w:rFonts w:hint="eastAsia" w:ascii="Arial" w:hAnsi="Arial" w:cs="Arial"/>
        </w:rPr>
      </w:pPr>
      <w:r>
        <w:rPr>
          <w:rFonts w:ascii="Arial" w:hAnsi="Arial" w:cs="Arial"/>
        </w:rPr>
        <w:t>（5）工程投资：</w:t>
      </w:r>
      <w:r>
        <w:rPr>
          <w:rFonts w:hint="eastAsia" w:ascii="Arial" w:hAnsi="Arial" w:cs="Arial"/>
        </w:rPr>
        <w:t>拟建项目总投资为</w:t>
      </w:r>
      <w:r>
        <w:rPr>
          <w:rFonts w:hint="eastAsia" w:ascii="Arial" w:hAnsi="Arial" w:cs="Arial"/>
          <w:lang w:val="en-US" w:eastAsia="zh-CN"/>
        </w:rPr>
        <w:t>14499.6</w:t>
      </w:r>
      <w:r>
        <w:rPr>
          <w:rFonts w:ascii="Arial" w:hAnsi="Arial" w:cs="Arial"/>
        </w:rPr>
        <w:t>万元</w:t>
      </w:r>
    </w:p>
    <w:p w14:paraId="7AC30B94">
      <w:pPr>
        <w:pStyle w:val="2104"/>
        <w:ind w:firstLine="390" w:firstLineChars="150"/>
        <w:rPr>
          <w:rFonts w:hint="eastAsia" w:ascii="Arial" w:hAnsi="Arial" w:eastAsia="宋体" w:cs="Arial"/>
          <w:lang w:eastAsia="zh-CN"/>
        </w:rPr>
      </w:pPr>
      <w:r>
        <w:rPr>
          <w:rFonts w:hint="eastAsia" w:ascii="Arial" w:hAnsi="Arial" w:cs="Arial"/>
        </w:rPr>
        <w:t>（6）开发河流：</w:t>
      </w:r>
      <w:r>
        <w:rPr>
          <w:rFonts w:hint="eastAsia" w:ascii="Arial" w:hAnsi="Arial" w:cs="Arial"/>
          <w:lang w:eastAsia="zh-CN"/>
        </w:rPr>
        <w:t>海螺沟</w:t>
      </w:r>
    </w:p>
    <w:p w14:paraId="7596AC43">
      <w:pPr>
        <w:spacing w:line="460" w:lineRule="exact"/>
        <w:ind w:firstLine="390" w:firstLineChars="150"/>
        <w:rPr>
          <w:rFonts w:hint="eastAsia" w:ascii="Arial" w:hAnsi="Arial" w:cs="Arial"/>
          <w:bCs/>
          <w:sz w:val="26"/>
          <w:szCs w:val="26"/>
        </w:rPr>
      </w:pPr>
      <w:r>
        <w:rPr>
          <w:rFonts w:hint="eastAsia" w:ascii="Arial" w:hAnsi="Arial" w:cs="Arial"/>
          <w:bCs/>
          <w:sz w:val="26"/>
          <w:szCs w:val="26"/>
        </w:rPr>
        <w:t>（7）开发任务：</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p>
    <w:p w14:paraId="52D2537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bCs/>
          <w:sz w:val="26"/>
          <w:szCs w:val="26"/>
        </w:rPr>
        <w:t>（8）工程规模：</w:t>
      </w:r>
      <w:r>
        <w:rPr>
          <w:rFonts w:hint="eastAsia" w:ascii="Arial" w:hAnsi="Arial" w:eastAsia="宋体" w:cs="Arial"/>
          <w:color w:val="auto"/>
          <w:kern w:val="0"/>
          <w:sz w:val="26"/>
          <w:szCs w:val="26"/>
          <w:highlight w:val="none"/>
          <w:lang w:val="en-US" w:eastAsia="zh-CN"/>
        </w:rPr>
        <w:t>水库</w:t>
      </w:r>
      <w:r>
        <w:rPr>
          <w:rFonts w:hint="eastAsia" w:ascii="Arial" w:hAnsi="Arial" w:cs="Arial"/>
          <w:color w:val="auto"/>
          <w:kern w:val="0"/>
          <w:sz w:val="26"/>
          <w:szCs w:val="26"/>
          <w:highlight w:val="none"/>
          <w:lang w:val="en-US" w:eastAsia="zh-CN"/>
        </w:rPr>
        <w:t>正常蓄水位为420.0m，相应库容65.36万m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；死水位407.50m，死库容5.62万m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，调节库容59.74万m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；校核洪水位421.78m，总库容80.51万m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。建成后</w:t>
      </w:r>
      <w:r>
        <w:rPr>
          <w:rFonts w:hint="eastAsia" w:ascii="Arial" w:hAnsi="Arial" w:eastAsia="宋体" w:cs="Arial"/>
          <w:color w:val="auto"/>
          <w:kern w:val="0"/>
          <w:sz w:val="26"/>
          <w:szCs w:val="26"/>
          <w:highlight w:val="none"/>
          <w:lang w:val="en-US" w:eastAsia="zh-CN"/>
        </w:rPr>
        <w:t>可解决双龙社区、回龙场村、田家山村7000人饮和双龙社区、回龙场村2000亩耕地灌溉用水，多年平均总供水量76.28万m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配套输水管线总长8.9km，其中双龙干管长5.27km，5条支管长3.63km；采取PE管，地埋式敷设，取水流量为0.1124m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/s。配套建设上坝道路长1.76km、环库巡检步道长2.5km，及水库管理房、取水闸阀房等。</w:t>
      </w:r>
    </w:p>
    <w:p w14:paraId="35ACF4FC">
      <w:pPr>
        <w:spacing w:line="460" w:lineRule="exact"/>
        <w:ind w:firstLine="390" w:firstLineChars="150"/>
        <w:rPr>
          <w:rFonts w:hint="eastAsia" w:ascii="Arial" w:hAnsi="Arial" w:cs="Arial"/>
          <w:bCs/>
          <w:sz w:val="26"/>
          <w:szCs w:val="26"/>
        </w:rPr>
      </w:pPr>
      <w:r>
        <w:rPr>
          <w:rFonts w:hint="eastAsia" w:ascii="Arial" w:hAnsi="宋体" w:cs="Arial"/>
          <w:sz w:val="26"/>
          <w:szCs w:val="26"/>
        </w:rPr>
        <w:t>拟建项目总平面布置详见</w:t>
      </w:r>
      <w:r>
        <w:rPr>
          <w:rFonts w:hint="eastAsia" w:ascii="Arial" w:hAnsi="宋体" w:cs="Arial"/>
          <w:b/>
          <w:sz w:val="26"/>
          <w:szCs w:val="26"/>
        </w:rPr>
        <w:t>附图2</w:t>
      </w:r>
      <w:r>
        <w:rPr>
          <w:rFonts w:hint="eastAsia" w:ascii="Arial" w:hAnsi="宋体" w:cs="Arial"/>
          <w:sz w:val="26"/>
          <w:szCs w:val="26"/>
        </w:rPr>
        <w:t>所示。</w:t>
      </w:r>
    </w:p>
    <w:p w14:paraId="20DEAF17">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2.2.3项目组成</w:t>
      </w:r>
    </w:p>
    <w:p w14:paraId="6E3C896A">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本项目</w:t>
      </w:r>
      <w:r>
        <w:rPr>
          <w:rFonts w:hint="eastAsia" w:ascii="Arial" w:hAnsi="Arial" w:eastAsia="宋体" w:cs="Arial"/>
          <w:color w:val="auto"/>
          <w:kern w:val="0"/>
          <w:sz w:val="26"/>
          <w:szCs w:val="26"/>
          <w:highlight w:val="none"/>
          <w:lang w:val="en-US" w:eastAsia="zh-CN"/>
        </w:rPr>
        <w:t>主要由枢纽工程、输水工程和附属设施工程</w:t>
      </w:r>
      <w:r>
        <w:rPr>
          <w:rFonts w:hint="eastAsia" w:ascii="Arial" w:hAnsi="Arial" w:cs="Arial"/>
          <w:color w:val="auto"/>
          <w:kern w:val="0"/>
          <w:sz w:val="26"/>
          <w:szCs w:val="26"/>
          <w:highlight w:val="none"/>
          <w:lang w:val="en-US" w:eastAsia="zh-CN"/>
        </w:rPr>
        <w:t>3部分</w:t>
      </w:r>
      <w:r>
        <w:rPr>
          <w:rFonts w:hint="eastAsia" w:ascii="Arial" w:hAnsi="Arial" w:eastAsia="宋体" w:cs="Arial"/>
          <w:color w:val="auto"/>
          <w:kern w:val="0"/>
          <w:sz w:val="26"/>
          <w:szCs w:val="26"/>
          <w:highlight w:val="none"/>
          <w:lang w:val="en-US" w:eastAsia="zh-CN"/>
        </w:rPr>
        <w:t>组成</w:t>
      </w:r>
      <w:r>
        <w:rPr>
          <w:rFonts w:hint="eastAsia" w:ascii="Arial" w:hAnsi="Arial" w:cs="Arial"/>
          <w:color w:val="auto"/>
          <w:kern w:val="0"/>
          <w:sz w:val="26"/>
          <w:szCs w:val="26"/>
          <w:highlight w:val="none"/>
          <w:lang w:val="en-US" w:eastAsia="zh-CN"/>
        </w:rPr>
        <w:t>，详见表2.2-1所示。</w:t>
      </w:r>
    </w:p>
    <w:p w14:paraId="2677D395">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Arial" w:hAnsi="Arial" w:cs="Arial"/>
          <w:b/>
          <w:bCs/>
          <w:color w:val="auto"/>
          <w:kern w:val="0"/>
          <w:sz w:val="26"/>
          <w:szCs w:val="26"/>
          <w:highlight w:val="none"/>
          <w:lang w:val="en-US" w:eastAsia="zh-CN"/>
        </w:rPr>
      </w:pPr>
      <w:r>
        <w:rPr>
          <w:rFonts w:hint="eastAsia" w:ascii="Arial" w:hAnsi="Arial" w:cs="Arial"/>
          <w:b/>
          <w:bCs/>
          <w:color w:val="auto"/>
          <w:kern w:val="0"/>
          <w:sz w:val="26"/>
          <w:szCs w:val="26"/>
          <w:highlight w:val="none"/>
          <w:lang w:val="en-US" w:eastAsia="zh-CN"/>
        </w:rPr>
        <w:t>表2.2-1 项目组成一览表</w:t>
      </w:r>
    </w:p>
    <w:tbl>
      <w:tblPr>
        <w:tblStyle w:val="77"/>
        <w:tblW w:w="95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6"/>
        <w:gridCol w:w="641"/>
        <w:gridCol w:w="4"/>
        <w:gridCol w:w="513"/>
        <w:gridCol w:w="734"/>
        <w:gridCol w:w="6979"/>
      </w:tblGrid>
      <w:tr w14:paraId="22859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548" w:type="dxa"/>
            <w:gridSpan w:val="5"/>
            <w:noWrap w:val="0"/>
            <w:vAlign w:val="center"/>
          </w:tcPr>
          <w:p w14:paraId="04F236FA">
            <w:pPr>
              <w:spacing w:line="300" w:lineRule="exact"/>
              <w:jc w:val="center"/>
              <w:rPr>
                <w:rFonts w:ascii="Arial" w:hAnsi="Arial" w:cs="Arial"/>
                <w:bCs/>
                <w:sz w:val="22"/>
                <w:szCs w:val="22"/>
              </w:rPr>
            </w:pPr>
            <w:r>
              <w:rPr>
                <w:rFonts w:ascii="Arial" w:hAnsi="宋体" w:cs="Arial"/>
                <w:bCs/>
                <w:sz w:val="22"/>
                <w:szCs w:val="22"/>
              </w:rPr>
              <w:t>项目组成</w:t>
            </w:r>
          </w:p>
        </w:tc>
        <w:tc>
          <w:tcPr>
            <w:tcW w:w="6979" w:type="dxa"/>
            <w:noWrap w:val="0"/>
            <w:vAlign w:val="center"/>
          </w:tcPr>
          <w:p w14:paraId="5D54192E">
            <w:pPr>
              <w:spacing w:line="300" w:lineRule="exact"/>
              <w:jc w:val="center"/>
              <w:rPr>
                <w:rFonts w:ascii="Arial" w:hAnsi="Arial" w:cs="Arial"/>
                <w:bCs/>
                <w:sz w:val="22"/>
                <w:szCs w:val="22"/>
              </w:rPr>
            </w:pPr>
            <w:r>
              <w:rPr>
                <w:rFonts w:ascii="Arial" w:hAnsi="宋体" w:cs="Arial"/>
                <w:bCs/>
                <w:sz w:val="22"/>
                <w:szCs w:val="22"/>
              </w:rPr>
              <w:t>工程组成</w:t>
            </w:r>
          </w:p>
        </w:tc>
      </w:tr>
      <w:tr w14:paraId="76B2A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restart"/>
            <w:noWrap w:val="0"/>
            <w:vAlign w:val="center"/>
          </w:tcPr>
          <w:p w14:paraId="7B2273ED">
            <w:pPr>
              <w:spacing w:line="300" w:lineRule="exact"/>
              <w:jc w:val="center"/>
              <w:rPr>
                <w:rFonts w:ascii="Arial" w:hAnsi="Arial" w:cs="Arial"/>
                <w:bCs/>
                <w:sz w:val="22"/>
                <w:szCs w:val="22"/>
              </w:rPr>
            </w:pPr>
            <w:r>
              <w:rPr>
                <w:rFonts w:ascii="Arial" w:hAnsi="宋体" w:cs="Arial"/>
                <w:bCs/>
                <w:sz w:val="22"/>
                <w:szCs w:val="22"/>
              </w:rPr>
              <w:t>主体工程</w:t>
            </w:r>
          </w:p>
        </w:tc>
        <w:tc>
          <w:tcPr>
            <w:tcW w:w="645" w:type="dxa"/>
            <w:gridSpan w:val="2"/>
            <w:vMerge w:val="restart"/>
            <w:noWrap w:val="0"/>
            <w:vAlign w:val="center"/>
          </w:tcPr>
          <w:p w14:paraId="0036CFEC">
            <w:pPr>
              <w:spacing w:line="300" w:lineRule="exact"/>
              <w:jc w:val="center"/>
              <w:rPr>
                <w:rFonts w:ascii="Arial" w:hAnsi="Arial" w:cs="Arial"/>
                <w:bCs/>
                <w:sz w:val="22"/>
                <w:szCs w:val="22"/>
              </w:rPr>
            </w:pPr>
            <w:r>
              <w:rPr>
                <w:rFonts w:ascii="Arial" w:hAnsi="宋体" w:cs="Arial"/>
                <w:bCs/>
                <w:sz w:val="22"/>
                <w:szCs w:val="22"/>
              </w:rPr>
              <w:t>枢纽工程</w:t>
            </w:r>
          </w:p>
        </w:tc>
        <w:tc>
          <w:tcPr>
            <w:tcW w:w="1247" w:type="dxa"/>
            <w:gridSpan w:val="2"/>
            <w:noWrap w:val="0"/>
            <w:vAlign w:val="center"/>
          </w:tcPr>
          <w:p w14:paraId="37AC9600">
            <w:pPr>
              <w:spacing w:line="300" w:lineRule="exact"/>
              <w:jc w:val="center"/>
              <w:rPr>
                <w:rFonts w:ascii="Arial" w:hAnsi="宋体" w:cs="Arial"/>
                <w:bCs/>
                <w:sz w:val="22"/>
                <w:szCs w:val="22"/>
              </w:rPr>
            </w:pPr>
            <w:r>
              <w:rPr>
                <w:rFonts w:ascii="Arial" w:hAnsi="宋体" w:cs="Arial"/>
                <w:bCs/>
                <w:sz w:val="22"/>
                <w:szCs w:val="22"/>
              </w:rPr>
              <w:t>挡水</w:t>
            </w:r>
          </w:p>
          <w:p w14:paraId="33717282">
            <w:pPr>
              <w:spacing w:line="300" w:lineRule="exact"/>
              <w:jc w:val="center"/>
              <w:rPr>
                <w:rFonts w:ascii="Arial" w:hAnsi="Arial" w:cs="Arial"/>
                <w:bCs/>
                <w:sz w:val="22"/>
                <w:szCs w:val="22"/>
              </w:rPr>
            </w:pPr>
            <w:r>
              <w:rPr>
                <w:rFonts w:ascii="Arial" w:hAnsi="宋体" w:cs="Arial"/>
                <w:bCs/>
                <w:sz w:val="22"/>
                <w:szCs w:val="22"/>
              </w:rPr>
              <w:t>建筑物</w:t>
            </w:r>
          </w:p>
        </w:tc>
        <w:tc>
          <w:tcPr>
            <w:tcW w:w="6979" w:type="dxa"/>
            <w:noWrap w:val="0"/>
            <w:vAlign w:val="center"/>
          </w:tcPr>
          <w:p w14:paraId="397EE73D">
            <w:pPr>
              <w:spacing w:line="300" w:lineRule="exact"/>
              <w:rPr>
                <w:rFonts w:ascii="Arial" w:hAnsi="Arial" w:cs="Arial"/>
                <w:bCs/>
                <w:sz w:val="22"/>
                <w:szCs w:val="22"/>
              </w:rPr>
            </w:pPr>
            <w:r>
              <w:rPr>
                <w:rFonts w:hint="default" w:ascii="Arial" w:hAnsi="宋体" w:cs="Arial"/>
                <w:bCs/>
                <w:sz w:val="22"/>
                <w:szCs w:val="22"/>
              </w:rPr>
              <w:t>挡水建筑物为C20埋石砼重力坝，埋石率20%，坝轴线长112.0m，坝顶宽度8.0m，坝顶高程424.0m，坝顶上下游侧设防撞设施栏杆，高1.2m。坝基基岩采用单排帷幕防渗，帷幕灌浆及防渗墙均伸入相对不透水层（≤5Lu）以下5m。</w:t>
            </w:r>
          </w:p>
        </w:tc>
      </w:tr>
      <w:tr w14:paraId="34EEE3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02B4927C">
            <w:pPr>
              <w:spacing w:line="300" w:lineRule="exact"/>
              <w:jc w:val="center"/>
              <w:rPr>
                <w:rFonts w:ascii="Arial" w:hAnsi="Arial" w:cs="Arial"/>
                <w:bCs/>
                <w:sz w:val="22"/>
                <w:szCs w:val="22"/>
              </w:rPr>
            </w:pPr>
          </w:p>
        </w:tc>
        <w:tc>
          <w:tcPr>
            <w:tcW w:w="645" w:type="dxa"/>
            <w:gridSpan w:val="2"/>
            <w:vMerge w:val="continue"/>
            <w:noWrap w:val="0"/>
            <w:vAlign w:val="center"/>
          </w:tcPr>
          <w:p w14:paraId="5D8A6EDE">
            <w:pPr>
              <w:spacing w:line="300" w:lineRule="exact"/>
              <w:jc w:val="center"/>
              <w:rPr>
                <w:rFonts w:ascii="Arial" w:hAnsi="Arial" w:cs="Arial"/>
                <w:bCs/>
                <w:sz w:val="22"/>
                <w:szCs w:val="22"/>
              </w:rPr>
            </w:pPr>
          </w:p>
        </w:tc>
        <w:tc>
          <w:tcPr>
            <w:tcW w:w="1247" w:type="dxa"/>
            <w:gridSpan w:val="2"/>
            <w:noWrap w:val="0"/>
            <w:vAlign w:val="center"/>
          </w:tcPr>
          <w:p w14:paraId="10F3F921">
            <w:pPr>
              <w:spacing w:line="300" w:lineRule="exact"/>
              <w:jc w:val="center"/>
              <w:rPr>
                <w:rFonts w:ascii="Arial" w:hAnsi="宋体" w:cs="Arial"/>
                <w:bCs/>
                <w:sz w:val="22"/>
                <w:szCs w:val="22"/>
              </w:rPr>
            </w:pPr>
            <w:r>
              <w:rPr>
                <w:rFonts w:ascii="Arial" w:hAnsi="宋体" w:cs="Arial"/>
                <w:bCs/>
                <w:sz w:val="22"/>
                <w:szCs w:val="22"/>
              </w:rPr>
              <w:t>泄水</w:t>
            </w:r>
          </w:p>
          <w:p w14:paraId="0BC3208F">
            <w:pPr>
              <w:spacing w:line="300" w:lineRule="exact"/>
              <w:jc w:val="center"/>
              <w:rPr>
                <w:rFonts w:ascii="Arial" w:hAnsi="Arial" w:cs="Arial"/>
                <w:bCs/>
                <w:sz w:val="22"/>
                <w:szCs w:val="22"/>
              </w:rPr>
            </w:pPr>
            <w:r>
              <w:rPr>
                <w:rFonts w:ascii="Arial" w:hAnsi="宋体" w:cs="Arial"/>
                <w:bCs/>
                <w:sz w:val="22"/>
                <w:szCs w:val="22"/>
              </w:rPr>
              <w:t>建筑物</w:t>
            </w:r>
          </w:p>
        </w:tc>
        <w:tc>
          <w:tcPr>
            <w:tcW w:w="6979" w:type="dxa"/>
            <w:noWrap w:val="0"/>
            <w:vAlign w:val="center"/>
          </w:tcPr>
          <w:p w14:paraId="5637FF57">
            <w:pPr>
              <w:spacing w:line="300" w:lineRule="exact"/>
              <w:rPr>
                <w:rFonts w:ascii="Arial" w:hAnsi="Arial" w:cs="Arial"/>
                <w:bCs/>
                <w:sz w:val="22"/>
                <w:szCs w:val="22"/>
              </w:rPr>
            </w:pPr>
            <w:r>
              <w:rPr>
                <w:rFonts w:ascii="Arial" w:hAnsi="宋体" w:cs="Arial"/>
                <w:bCs/>
                <w:sz w:val="22"/>
                <w:szCs w:val="22"/>
              </w:rPr>
              <w:t>泄水建筑物由溢流堰、消力池组成。</w:t>
            </w:r>
          </w:p>
          <w:p w14:paraId="5B9F3001">
            <w:pPr>
              <w:spacing w:line="300" w:lineRule="exact"/>
              <w:rPr>
                <w:rFonts w:hint="eastAsia" w:ascii="Arial" w:hAnsi="宋体" w:cs="Arial"/>
                <w:kern w:val="0"/>
                <w:sz w:val="22"/>
                <w:szCs w:val="22"/>
                <w:lang w:eastAsia="zh-CN"/>
              </w:rPr>
            </w:pPr>
            <w:r>
              <w:rPr>
                <w:rFonts w:hint="default" w:ascii="Arial" w:hAnsi="宋体" w:cs="Arial"/>
                <w:kern w:val="0"/>
                <w:sz w:val="22"/>
                <w:szCs w:val="22"/>
              </w:rPr>
              <w:t>溢流坝段位于河床中部，溢流坝段长12.0m，堰顶高程420.0m，桥墩顶部高程423.70m，溢流坝段最低建基面高程393.50m，最大坝高30.5m。堰顶采用宽顶堰，溢流净宽9.0m，2孔布置，中墩厚1.0m，中墩及边墩的墩头采用半圆形，墩尾采用矩形。桥墩上设板梁式交通桥，交通桥顶高程与坝顶齐平为424.0m，梁底高程为423.30m。溢流堰堰顶曲线后设置消能阶梯，每阶宽0.4m，高0.5m，阶梯整体坡比为1：0.8，首尾顺接上下游结构，溢流斜坡宽度保持10.0m不变</w:t>
            </w:r>
            <w:r>
              <w:rPr>
                <w:rFonts w:hint="eastAsia" w:ascii="Arial" w:hAnsi="宋体" w:cs="Arial"/>
                <w:kern w:val="0"/>
                <w:sz w:val="22"/>
                <w:szCs w:val="22"/>
                <w:lang w:eastAsia="zh-CN"/>
              </w:rPr>
              <w:t>。</w:t>
            </w:r>
          </w:p>
          <w:p w14:paraId="5E6E08FC">
            <w:pPr>
              <w:spacing w:line="300" w:lineRule="exact"/>
              <w:rPr>
                <w:rFonts w:hint="default" w:ascii="Arial" w:hAnsi="宋体" w:cs="Arial"/>
                <w:kern w:val="0"/>
                <w:sz w:val="22"/>
                <w:szCs w:val="22"/>
              </w:rPr>
            </w:pPr>
            <w:r>
              <w:rPr>
                <w:rFonts w:hint="default" w:ascii="Arial" w:hAnsi="宋体" w:cs="Arial"/>
                <w:kern w:val="0"/>
                <w:sz w:val="22"/>
                <w:szCs w:val="22"/>
              </w:rPr>
              <w:t>消能阶梯</w:t>
            </w:r>
            <w:r>
              <w:rPr>
                <w:rFonts w:hint="eastAsia" w:ascii="Arial" w:hAnsi="宋体" w:cs="Arial"/>
                <w:kern w:val="0"/>
                <w:sz w:val="22"/>
                <w:szCs w:val="22"/>
                <w:lang w:eastAsia="zh-CN"/>
              </w:rPr>
              <w:t>下游接消力池，</w:t>
            </w:r>
            <w:r>
              <w:rPr>
                <w:rFonts w:hint="default" w:ascii="Arial" w:hAnsi="宋体" w:cs="Arial"/>
                <w:kern w:val="0"/>
                <w:sz w:val="22"/>
                <w:szCs w:val="22"/>
              </w:rPr>
              <w:t>消力池池长19.5m，池深2.0m，池宽10.0m；消力池底板厚1.0m，采用C30钢筋砼结构，垂直设置直径d=110mm的PVC排水管，梅花型布置，排间距2m，伸入基岩内3m；消力池边墙高5.5m，埋深1.5m，墙身高4.0m，采用C25埋石砼衡重式挡墙，墙顶宽0.7m，墙底宽1.94m，在最大墙高1/2处设置0.7m宽平台，边墙临水侧坡比为1：0.1，背水坡坡比为1：0.3，墙身预埋φ50PVC排水管，间距2.0m，呈梅花形布置，孔后布置0.5m×0.5m土工布，土工布后设置0.4m×0.4m×0.4m反滤堆囊。</w:t>
            </w:r>
          </w:p>
          <w:p w14:paraId="1F30E4FB">
            <w:pPr>
              <w:spacing w:line="300" w:lineRule="exact"/>
              <w:rPr>
                <w:rFonts w:hint="eastAsia" w:ascii="Arial" w:hAnsi="宋体" w:cs="Arial"/>
                <w:kern w:val="0"/>
                <w:sz w:val="22"/>
                <w:szCs w:val="22"/>
                <w:lang w:eastAsia="zh-CN"/>
              </w:rPr>
            </w:pPr>
            <w:r>
              <w:rPr>
                <w:rFonts w:hint="default" w:ascii="Arial" w:hAnsi="宋体" w:cs="Arial"/>
                <w:kern w:val="0"/>
                <w:sz w:val="22"/>
                <w:szCs w:val="22"/>
              </w:rPr>
              <w:t>尾水渠长64.74m，其中桩号坝纵0+047.84~坝纵0+057.84，宽度由10.0m收缩至7.0m，桩号坝纵0+057.84~坝纵0+112.58，宽度为7</w:t>
            </w:r>
            <w:r>
              <w:rPr>
                <w:rFonts w:hint="eastAsia" w:ascii="Arial" w:hAnsi="宋体" w:cs="Arial"/>
                <w:kern w:val="0"/>
                <w:sz w:val="22"/>
                <w:szCs w:val="22"/>
                <w:lang w:val="en-US" w:eastAsia="zh-CN"/>
              </w:rPr>
              <w:t>.0</w:t>
            </w:r>
            <w:r>
              <w:rPr>
                <w:rFonts w:hint="default" w:ascii="Arial" w:hAnsi="宋体" w:cs="Arial"/>
                <w:kern w:val="0"/>
                <w:sz w:val="22"/>
                <w:szCs w:val="22"/>
              </w:rPr>
              <w:t>m，采用浆砌块石铺砌，厚0.5m，边墙高2</w:t>
            </w:r>
            <w:r>
              <w:rPr>
                <w:rFonts w:hint="eastAsia" w:ascii="Arial" w:hAnsi="宋体" w:cs="Arial"/>
                <w:kern w:val="0"/>
                <w:sz w:val="22"/>
                <w:szCs w:val="22"/>
                <w:lang w:val="en-US" w:eastAsia="zh-CN"/>
              </w:rPr>
              <w:t>.0</w:t>
            </w:r>
            <w:r>
              <w:rPr>
                <w:rFonts w:hint="default" w:ascii="Arial" w:hAnsi="宋体" w:cs="Arial"/>
                <w:kern w:val="0"/>
                <w:sz w:val="22"/>
                <w:szCs w:val="22"/>
              </w:rPr>
              <w:t>m，采用C25埋石砼重力式挡墙，墙顶宽0.6m，底宽1.1m，边墙临水侧直立，背水坡坡比为1：0.3，墙身预埋φ50PVC排水管，间距2.0m，呈梅花形布置，孔后布置0.5m×0.5m土工布，土工布后设置0.4m×0.4m×0.4m反滤堆囊。桩号坝纵0+057.84处布置人行桥1座，桥面尺寸（L×b×h）8.0×2.0×0.3m，C30钢筋砼板式结构。</w:t>
            </w:r>
          </w:p>
          <w:p w14:paraId="295E118B">
            <w:pPr>
              <w:spacing w:line="300" w:lineRule="exact"/>
              <w:rPr>
                <w:rFonts w:ascii="Arial" w:hAnsi="Arial" w:cs="Arial"/>
                <w:bCs/>
                <w:sz w:val="22"/>
                <w:szCs w:val="22"/>
              </w:rPr>
            </w:pPr>
            <w:r>
              <w:rPr>
                <w:rFonts w:hint="default" w:ascii="Arial" w:hAnsi="宋体" w:cs="Arial"/>
                <w:kern w:val="0"/>
                <w:sz w:val="22"/>
                <w:szCs w:val="22"/>
              </w:rPr>
              <w:t>非溢流坝段布置于左、右两岸。左岸非溢流坝段长54.0m，坝顶宽8.0m。坝顶高程424.0m，上游坝面410.5m高程以上铅直，以下1：0.3，下游坝坡418.12m高程以上铅直，以下1：0.8。右岸非溢流坝段长46.0m，坝顶宽8.0m，坝体基本剖面与左岸非溢流坝相同。</w:t>
            </w:r>
          </w:p>
        </w:tc>
      </w:tr>
      <w:tr w14:paraId="7ECE9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07D1DB33">
            <w:pPr>
              <w:spacing w:line="300" w:lineRule="exact"/>
              <w:jc w:val="center"/>
              <w:rPr>
                <w:rFonts w:ascii="Arial" w:hAnsi="Arial" w:cs="Arial"/>
                <w:bCs/>
                <w:sz w:val="22"/>
                <w:szCs w:val="22"/>
              </w:rPr>
            </w:pPr>
          </w:p>
        </w:tc>
        <w:tc>
          <w:tcPr>
            <w:tcW w:w="645" w:type="dxa"/>
            <w:gridSpan w:val="2"/>
            <w:vMerge w:val="continue"/>
            <w:noWrap w:val="0"/>
            <w:vAlign w:val="center"/>
          </w:tcPr>
          <w:p w14:paraId="56A2D5D0">
            <w:pPr>
              <w:spacing w:line="300" w:lineRule="exact"/>
              <w:jc w:val="center"/>
              <w:rPr>
                <w:rFonts w:ascii="Arial" w:hAnsi="Arial" w:cs="Arial"/>
                <w:bCs/>
                <w:sz w:val="22"/>
                <w:szCs w:val="22"/>
              </w:rPr>
            </w:pPr>
          </w:p>
        </w:tc>
        <w:tc>
          <w:tcPr>
            <w:tcW w:w="1247" w:type="dxa"/>
            <w:gridSpan w:val="2"/>
            <w:noWrap w:val="0"/>
            <w:vAlign w:val="center"/>
          </w:tcPr>
          <w:p w14:paraId="3AC2EFF9">
            <w:pPr>
              <w:spacing w:line="300" w:lineRule="exact"/>
              <w:jc w:val="center"/>
              <w:rPr>
                <w:rFonts w:hint="eastAsia" w:ascii="Arial" w:hAnsi="宋体" w:cs="Arial"/>
                <w:bCs/>
                <w:sz w:val="22"/>
                <w:szCs w:val="22"/>
                <w:lang w:eastAsia="zh-CN"/>
              </w:rPr>
            </w:pPr>
            <w:r>
              <w:rPr>
                <w:rFonts w:hint="eastAsia" w:ascii="Arial" w:hAnsi="宋体" w:cs="Arial"/>
                <w:bCs/>
                <w:sz w:val="22"/>
                <w:szCs w:val="22"/>
                <w:lang w:eastAsia="zh-CN"/>
              </w:rPr>
              <w:t>放空</w:t>
            </w:r>
          </w:p>
          <w:p w14:paraId="542882DE">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建筑物</w:t>
            </w:r>
          </w:p>
        </w:tc>
        <w:tc>
          <w:tcPr>
            <w:tcW w:w="6979" w:type="dxa"/>
            <w:noWrap w:val="0"/>
            <w:vAlign w:val="center"/>
          </w:tcPr>
          <w:p w14:paraId="53C98C6D">
            <w:pPr>
              <w:spacing w:line="300" w:lineRule="exact"/>
              <w:rPr>
                <w:rFonts w:hint="eastAsia" w:ascii="Arial" w:hAnsi="宋体" w:cs="Arial"/>
                <w:sz w:val="22"/>
                <w:szCs w:val="22"/>
                <w:lang w:eastAsia="zh-CN"/>
              </w:rPr>
            </w:pPr>
            <w:r>
              <w:rPr>
                <w:rFonts w:hint="default" w:ascii="Arial" w:hAnsi="宋体" w:cs="Arial"/>
                <w:sz w:val="22"/>
                <w:szCs w:val="22"/>
              </w:rPr>
              <w:t>水库放空管采用永临结合的方式，利用导流管穿大坝段，采用内径D1000×8mm钢管，利用管道长89m，设控制阀1个，检修阀1个</w:t>
            </w:r>
            <w:r>
              <w:rPr>
                <w:rFonts w:hint="eastAsia" w:ascii="Arial" w:hAnsi="宋体" w:cs="Arial"/>
                <w:sz w:val="22"/>
                <w:szCs w:val="22"/>
                <w:lang w:eastAsia="zh-CN"/>
              </w:rPr>
              <w:t>。</w:t>
            </w:r>
          </w:p>
        </w:tc>
      </w:tr>
      <w:tr w14:paraId="26F54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328FBFA4">
            <w:pPr>
              <w:spacing w:line="300" w:lineRule="exact"/>
              <w:jc w:val="center"/>
              <w:rPr>
                <w:rFonts w:ascii="Arial" w:hAnsi="Arial" w:cs="Arial"/>
                <w:bCs/>
                <w:sz w:val="22"/>
                <w:szCs w:val="22"/>
              </w:rPr>
            </w:pPr>
          </w:p>
        </w:tc>
        <w:tc>
          <w:tcPr>
            <w:tcW w:w="645" w:type="dxa"/>
            <w:gridSpan w:val="2"/>
            <w:vMerge w:val="continue"/>
            <w:noWrap w:val="0"/>
            <w:vAlign w:val="center"/>
          </w:tcPr>
          <w:p w14:paraId="57E2AA9E">
            <w:pPr>
              <w:spacing w:line="300" w:lineRule="exact"/>
              <w:jc w:val="center"/>
              <w:rPr>
                <w:rFonts w:ascii="Arial" w:hAnsi="Arial" w:cs="Arial"/>
                <w:bCs/>
                <w:sz w:val="22"/>
                <w:szCs w:val="22"/>
              </w:rPr>
            </w:pPr>
          </w:p>
        </w:tc>
        <w:tc>
          <w:tcPr>
            <w:tcW w:w="1247" w:type="dxa"/>
            <w:gridSpan w:val="2"/>
            <w:noWrap w:val="0"/>
            <w:vAlign w:val="center"/>
          </w:tcPr>
          <w:p w14:paraId="10646509">
            <w:pPr>
              <w:spacing w:line="300" w:lineRule="exact"/>
              <w:jc w:val="center"/>
              <w:rPr>
                <w:rFonts w:hint="eastAsia" w:ascii="Arial" w:hAnsi="Arial" w:eastAsia="宋体" w:cs="Arial"/>
                <w:bCs/>
                <w:color w:val="auto"/>
                <w:sz w:val="22"/>
                <w:szCs w:val="22"/>
                <w:lang w:eastAsia="zh-CN"/>
              </w:rPr>
            </w:pPr>
            <w:r>
              <w:rPr>
                <w:rFonts w:ascii="Arial" w:hAnsi="宋体" w:cs="Arial"/>
                <w:bCs/>
                <w:color w:val="auto"/>
                <w:sz w:val="22"/>
                <w:szCs w:val="22"/>
              </w:rPr>
              <w:t>取水</w:t>
            </w:r>
            <w:r>
              <w:rPr>
                <w:rFonts w:hint="eastAsia" w:ascii="Arial" w:hAnsi="宋体" w:cs="Arial"/>
                <w:bCs/>
                <w:color w:val="auto"/>
                <w:sz w:val="22"/>
                <w:szCs w:val="22"/>
                <w:lang w:eastAsia="zh-CN"/>
              </w:rPr>
              <w:t>设施</w:t>
            </w:r>
          </w:p>
        </w:tc>
        <w:tc>
          <w:tcPr>
            <w:tcW w:w="6979" w:type="dxa"/>
            <w:noWrap w:val="0"/>
            <w:vAlign w:val="center"/>
          </w:tcPr>
          <w:p w14:paraId="0AECD23B">
            <w:pPr>
              <w:spacing w:line="300" w:lineRule="exact"/>
              <w:rPr>
                <w:rFonts w:ascii="Arial" w:hAnsi="宋体" w:cs="Arial"/>
                <w:sz w:val="22"/>
                <w:szCs w:val="22"/>
              </w:rPr>
            </w:pPr>
            <w:r>
              <w:rPr>
                <w:rFonts w:hint="default" w:ascii="Arial" w:hAnsi="宋体" w:cs="Arial"/>
                <w:sz w:val="22"/>
                <w:szCs w:val="22"/>
              </w:rPr>
              <w:t>本工程放水设施（兼做放生态流量功能）采用管道穿坝输水的型式。共设</w:t>
            </w:r>
            <w:r>
              <w:rPr>
                <w:rFonts w:hint="eastAsia" w:ascii="Arial" w:hAnsi="宋体" w:cs="Arial"/>
                <w:sz w:val="22"/>
                <w:szCs w:val="22"/>
              </w:rPr>
              <w:t>五</w:t>
            </w:r>
            <w:r>
              <w:rPr>
                <w:rFonts w:hint="default" w:ascii="Arial" w:hAnsi="宋体" w:cs="Arial"/>
                <w:sz w:val="22"/>
                <w:szCs w:val="22"/>
              </w:rPr>
              <w:t>层取水口，从上至下依次为1~5#取水口，1#、2#、3#</w:t>
            </w:r>
            <w:r>
              <w:rPr>
                <w:rFonts w:hint="eastAsia" w:ascii="Arial" w:hAnsi="宋体" w:cs="Arial"/>
                <w:sz w:val="22"/>
                <w:szCs w:val="22"/>
              </w:rPr>
              <w:t>、4</w:t>
            </w:r>
            <w:r>
              <w:rPr>
                <w:rFonts w:hint="default" w:ascii="Arial" w:hAnsi="宋体" w:cs="Arial"/>
                <w:sz w:val="22"/>
                <w:szCs w:val="22"/>
              </w:rPr>
              <w:t>#取水管采用D400×8mm钢管取水，最下层取水口利用导流管，内径D1000×8mm钢管取水，取水口高程（管顶高程）为418.0m、415.0m、412.0m</w:t>
            </w:r>
            <w:r>
              <w:rPr>
                <w:rFonts w:hint="eastAsia" w:ascii="Arial" w:hAnsi="宋体" w:cs="Arial"/>
                <w:sz w:val="22"/>
                <w:szCs w:val="22"/>
              </w:rPr>
              <w:t>、</w:t>
            </w:r>
            <w:r>
              <w:rPr>
                <w:rFonts w:hint="default" w:ascii="Arial" w:hAnsi="宋体" w:cs="Arial"/>
                <w:sz w:val="22"/>
                <w:szCs w:val="22"/>
              </w:rPr>
              <w:t>409.0m</w:t>
            </w:r>
            <w:r>
              <w:rPr>
                <w:rFonts w:hint="eastAsia" w:ascii="Arial" w:hAnsi="宋体" w:cs="Arial"/>
                <w:sz w:val="22"/>
                <w:szCs w:val="22"/>
              </w:rPr>
              <w:t>、</w:t>
            </w:r>
            <w:r>
              <w:rPr>
                <w:rFonts w:hint="default" w:ascii="Arial" w:hAnsi="宋体" w:cs="Arial"/>
                <w:sz w:val="22"/>
                <w:szCs w:val="22"/>
              </w:rPr>
              <w:t>405.5m，管道中心线分别位于桩号坝横0+036.0、坝横0+040.0、坝横0+044.0、坝横0+048.5、坝横0+052.28，出口中心线高程分别为415.0m、412.0m、409.0m、406.0m、400.94m。每根取水管进口处设置</w:t>
            </w:r>
            <w:r>
              <w:rPr>
                <w:rFonts w:hint="eastAsia" w:ascii="Arial" w:hAnsi="宋体" w:cs="Arial"/>
                <w:sz w:val="22"/>
                <w:szCs w:val="22"/>
              </w:rPr>
              <w:t>两道钢板</w:t>
            </w:r>
            <w:r>
              <w:rPr>
                <w:rFonts w:hint="default" w:ascii="Arial" w:hAnsi="宋体" w:cs="Arial"/>
                <w:sz w:val="22"/>
                <w:szCs w:val="22"/>
              </w:rPr>
              <w:t>截流环，上</w:t>
            </w:r>
            <w:r>
              <w:rPr>
                <w:rFonts w:hint="eastAsia" w:ascii="Arial" w:hAnsi="宋体" w:cs="Arial"/>
                <w:sz w:val="22"/>
                <w:szCs w:val="22"/>
              </w:rPr>
              <w:t>四</w:t>
            </w:r>
            <w:r>
              <w:rPr>
                <w:rFonts w:hint="default" w:ascii="Arial" w:hAnsi="宋体" w:cs="Arial"/>
                <w:sz w:val="22"/>
                <w:szCs w:val="22"/>
              </w:rPr>
              <w:t>层截流环为直径2.60m的圆环，最下层截流环为直径3.0m的圆环，包裹取水管道，厚10mm。坝内取水管分别设置控制阀和电磁流量，位于下游坝坡穿出处。</w:t>
            </w:r>
            <w:r>
              <w:rPr>
                <w:rFonts w:hint="eastAsia" w:ascii="Arial" w:hAnsi="宋体" w:cs="Arial"/>
                <w:sz w:val="22"/>
                <w:szCs w:val="22"/>
              </w:rPr>
              <w:t>五</w:t>
            </w:r>
            <w:r>
              <w:rPr>
                <w:rFonts w:hint="default" w:ascii="Arial" w:hAnsi="宋体" w:cs="Arial"/>
                <w:sz w:val="22"/>
                <w:szCs w:val="22"/>
              </w:rPr>
              <w:t>层取水管（1#、2#、3#、4#</w:t>
            </w:r>
            <w:r>
              <w:rPr>
                <w:rFonts w:hint="eastAsia" w:ascii="Arial" w:hAnsi="宋体" w:cs="Arial"/>
                <w:sz w:val="22"/>
                <w:szCs w:val="22"/>
              </w:rPr>
              <w:t>、5</w:t>
            </w:r>
            <w:r>
              <w:rPr>
                <w:rFonts w:hint="default" w:ascii="Arial" w:hAnsi="宋体" w:cs="Arial"/>
                <w:sz w:val="22"/>
                <w:szCs w:val="22"/>
              </w:rPr>
              <w:t>#取水管）位于坝体内共长110</w:t>
            </w:r>
            <w:r>
              <w:rPr>
                <w:rFonts w:hint="eastAsia" w:ascii="Arial" w:hAnsi="宋体" w:cs="Arial"/>
                <w:sz w:val="22"/>
                <w:szCs w:val="22"/>
                <w:lang w:val="en-US" w:eastAsia="zh-CN"/>
              </w:rPr>
              <w:t>.0</w:t>
            </w:r>
            <w:r>
              <w:rPr>
                <w:rFonts w:hint="default" w:ascii="Arial" w:hAnsi="宋体" w:cs="Arial"/>
                <w:sz w:val="22"/>
                <w:szCs w:val="22"/>
              </w:rPr>
              <w:t>m，</w:t>
            </w:r>
            <w:r>
              <w:rPr>
                <w:rFonts w:hint="eastAsia" w:ascii="Arial" w:hAnsi="宋体" w:cs="Arial"/>
                <w:sz w:val="22"/>
                <w:szCs w:val="22"/>
              </w:rPr>
              <w:t>五</w:t>
            </w:r>
            <w:r>
              <w:rPr>
                <w:rFonts w:hint="default" w:ascii="Arial" w:hAnsi="宋体" w:cs="Arial"/>
                <w:sz w:val="22"/>
                <w:szCs w:val="22"/>
              </w:rPr>
              <w:t>层取水管从坝体下游坝坡穿出后汇合成一根引水管，引水管沿大坝下游坝坡左侧坝脚布置，汇合后管长62m，采用内径D1000×8mm钢管，取水管、引水管全管段采用C20砼外包，砼外包厚0.2m。</w:t>
            </w:r>
          </w:p>
        </w:tc>
      </w:tr>
      <w:tr w14:paraId="6EC13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656" w:type="dxa"/>
            <w:vMerge w:val="continue"/>
            <w:noWrap w:val="0"/>
            <w:vAlign w:val="center"/>
          </w:tcPr>
          <w:p w14:paraId="2155D0A6">
            <w:pPr>
              <w:spacing w:line="300" w:lineRule="exact"/>
              <w:jc w:val="center"/>
              <w:rPr>
                <w:rFonts w:ascii="Arial" w:hAnsi="Arial" w:cs="Arial"/>
                <w:bCs/>
                <w:sz w:val="22"/>
                <w:szCs w:val="22"/>
              </w:rPr>
            </w:pPr>
          </w:p>
        </w:tc>
        <w:tc>
          <w:tcPr>
            <w:tcW w:w="645" w:type="dxa"/>
            <w:gridSpan w:val="2"/>
            <w:vMerge w:val="continue"/>
            <w:noWrap w:val="0"/>
            <w:vAlign w:val="center"/>
          </w:tcPr>
          <w:p w14:paraId="756573B7">
            <w:pPr>
              <w:spacing w:line="300" w:lineRule="exact"/>
              <w:jc w:val="center"/>
              <w:rPr>
                <w:rFonts w:ascii="Arial" w:hAnsi="Arial" w:cs="Arial"/>
                <w:bCs/>
                <w:sz w:val="22"/>
                <w:szCs w:val="22"/>
              </w:rPr>
            </w:pPr>
          </w:p>
        </w:tc>
        <w:tc>
          <w:tcPr>
            <w:tcW w:w="1247" w:type="dxa"/>
            <w:gridSpan w:val="2"/>
            <w:noWrap w:val="0"/>
            <w:vAlign w:val="center"/>
          </w:tcPr>
          <w:p w14:paraId="72136955">
            <w:pPr>
              <w:spacing w:line="300" w:lineRule="exact"/>
              <w:jc w:val="center"/>
              <w:rPr>
                <w:rFonts w:hint="eastAsia" w:ascii="Arial" w:hAnsi="宋体" w:eastAsia="宋体" w:cs="Arial"/>
                <w:bCs/>
                <w:color w:val="auto"/>
                <w:sz w:val="22"/>
                <w:szCs w:val="22"/>
                <w:lang w:eastAsia="zh-CN"/>
              </w:rPr>
            </w:pPr>
            <w:r>
              <w:rPr>
                <w:rFonts w:hint="eastAsia" w:ascii="Arial" w:hAnsi="宋体" w:cs="Arial"/>
                <w:bCs/>
                <w:color w:val="auto"/>
                <w:sz w:val="22"/>
                <w:szCs w:val="22"/>
              </w:rPr>
              <w:t>生态放水</w:t>
            </w:r>
            <w:r>
              <w:rPr>
                <w:rFonts w:hint="eastAsia" w:ascii="Arial" w:hAnsi="宋体" w:cs="Arial"/>
                <w:bCs/>
                <w:color w:val="auto"/>
                <w:sz w:val="22"/>
                <w:szCs w:val="22"/>
                <w:lang w:eastAsia="zh-CN"/>
              </w:rPr>
              <w:t>设施</w:t>
            </w:r>
          </w:p>
        </w:tc>
        <w:tc>
          <w:tcPr>
            <w:tcW w:w="6979" w:type="dxa"/>
            <w:noWrap w:val="0"/>
            <w:vAlign w:val="center"/>
          </w:tcPr>
          <w:p w14:paraId="24E3E124">
            <w:pPr>
              <w:spacing w:line="300" w:lineRule="exact"/>
              <w:rPr>
                <w:rFonts w:hint="eastAsia" w:ascii="Arial" w:hAnsi="宋体" w:cs="Arial"/>
                <w:sz w:val="22"/>
                <w:szCs w:val="22"/>
              </w:rPr>
            </w:pPr>
            <w:r>
              <w:rPr>
                <w:rFonts w:hint="default" w:ascii="Arial" w:hAnsi="宋体" w:cs="Arial"/>
                <w:sz w:val="22"/>
                <w:szCs w:val="22"/>
              </w:rPr>
              <w:t>水库生态放水采用内径D100×8mm钢管，管道长15.0m，从取水闸阀房中控制分水，沿消力池左边墙外侧埋地铺设，出口置于护坦上放水。</w:t>
            </w:r>
          </w:p>
        </w:tc>
      </w:tr>
      <w:tr w14:paraId="3664D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62A3DCFB">
            <w:pPr>
              <w:spacing w:line="300" w:lineRule="exact"/>
              <w:jc w:val="center"/>
              <w:rPr>
                <w:rFonts w:ascii="Arial" w:hAnsi="Arial" w:cs="Arial"/>
                <w:bCs/>
                <w:sz w:val="22"/>
                <w:szCs w:val="22"/>
              </w:rPr>
            </w:pPr>
          </w:p>
        </w:tc>
        <w:tc>
          <w:tcPr>
            <w:tcW w:w="645" w:type="dxa"/>
            <w:gridSpan w:val="2"/>
            <w:vMerge w:val="restart"/>
            <w:shd w:val="clear" w:color="auto" w:fill="auto"/>
            <w:noWrap w:val="0"/>
            <w:vAlign w:val="center"/>
          </w:tcPr>
          <w:p w14:paraId="05E7D4C7">
            <w:pPr>
              <w:spacing w:line="300" w:lineRule="exact"/>
              <w:jc w:val="center"/>
              <w:rPr>
                <w:rFonts w:ascii="Arial" w:hAnsi="Arial" w:cs="Arial"/>
                <w:bCs/>
                <w:sz w:val="22"/>
                <w:szCs w:val="22"/>
              </w:rPr>
            </w:pPr>
            <w:r>
              <w:rPr>
                <w:rFonts w:ascii="Arial" w:hAnsi="宋体" w:cs="Arial"/>
                <w:bCs/>
                <w:sz w:val="22"/>
                <w:szCs w:val="22"/>
              </w:rPr>
              <w:t>输水工程</w:t>
            </w:r>
          </w:p>
        </w:tc>
        <w:tc>
          <w:tcPr>
            <w:tcW w:w="513" w:type="dxa"/>
            <w:vMerge w:val="restart"/>
            <w:shd w:val="clear" w:color="auto" w:fill="auto"/>
            <w:noWrap w:val="0"/>
            <w:vAlign w:val="center"/>
          </w:tcPr>
          <w:p w14:paraId="6234811B">
            <w:pPr>
              <w:spacing w:line="300" w:lineRule="exact"/>
              <w:jc w:val="center"/>
              <w:rPr>
                <w:rFonts w:hint="eastAsia" w:ascii="Arial" w:hAnsi="Arial" w:eastAsia="宋体" w:cs="Arial"/>
                <w:bCs/>
                <w:sz w:val="22"/>
                <w:szCs w:val="22"/>
                <w:lang w:eastAsia="zh-CN"/>
              </w:rPr>
            </w:pPr>
            <w:r>
              <w:rPr>
                <w:rFonts w:hint="eastAsia" w:ascii="Arial" w:hAnsi="Arial" w:cs="Arial"/>
                <w:bCs/>
                <w:sz w:val="22"/>
                <w:szCs w:val="22"/>
                <w:lang w:eastAsia="zh-CN"/>
              </w:rPr>
              <w:t>双龙干管</w:t>
            </w:r>
          </w:p>
        </w:tc>
        <w:tc>
          <w:tcPr>
            <w:tcW w:w="734" w:type="dxa"/>
            <w:shd w:val="clear" w:color="auto" w:fill="auto"/>
            <w:noWrap w:val="0"/>
            <w:vAlign w:val="center"/>
          </w:tcPr>
          <w:p w14:paraId="67C29AF0">
            <w:pPr>
              <w:spacing w:line="300" w:lineRule="exact"/>
              <w:jc w:val="center"/>
              <w:rPr>
                <w:rFonts w:hint="eastAsia" w:ascii="Arial" w:hAnsi="Arial" w:cs="Arial"/>
                <w:bCs/>
                <w:sz w:val="22"/>
                <w:szCs w:val="22"/>
              </w:rPr>
            </w:pPr>
            <w:r>
              <w:rPr>
                <w:rFonts w:hint="eastAsia" w:ascii="Arial" w:hAnsi="Arial" w:cs="Arial"/>
                <w:bCs/>
                <w:sz w:val="22"/>
                <w:szCs w:val="22"/>
              </w:rPr>
              <w:t>管线</w:t>
            </w:r>
          </w:p>
        </w:tc>
        <w:tc>
          <w:tcPr>
            <w:tcW w:w="6979" w:type="dxa"/>
            <w:noWrap w:val="0"/>
            <w:vAlign w:val="center"/>
          </w:tcPr>
          <w:p w14:paraId="7A6F1ED0">
            <w:pPr>
              <w:spacing w:line="300" w:lineRule="exact"/>
              <w:jc w:val="both"/>
              <w:rPr>
                <w:rFonts w:hint="eastAsia" w:ascii="Arial" w:hAnsi="宋体" w:cs="Arial"/>
                <w:bCs/>
                <w:spacing w:val="-4"/>
                <w:sz w:val="22"/>
                <w:szCs w:val="22"/>
              </w:rPr>
            </w:pPr>
            <w:r>
              <w:rPr>
                <w:rFonts w:hint="eastAsia" w:ascii="Arial" w:hAnsi="宋体" w:cs="Arial"/>
                <w:bCs/>
                <w:spacing w:val="-4"/>
                <w:sz w:val="22"/>
                <w:szCs w:val="22"/>
              </w:rPr>
              <w:t>双龙干管设计线路为：海螺沟水库坝体取水管→双龙干管→双龙水厂。长5270.51m，</w:t>
            </w:r>
            <w:r>
              <w:rPr>
                <w:rFonts w:hint="eastAsia" w:ascii="Arial" w:hAnsi="宋体" w:cs="Arial"/>
                <w:bCs/>
                <w:spacing w:val="-4"/>
                <w:sz w:val="22"/>
                <w:szCs w:val="22"/>
                <w:lang w:eastAsia="zh-CN"/>
              </w:rPr>
              <w:t>桩号为</w:t>
            </w:r>
            <w:r>
              <w:rPr>
                <w:rFonts w:hint="eastAsia" w:ascii="Arial" w:hAnsi="宋体" w:cs="Arial"/>
                <w:bCs/>
                <w:spacing w:val="-4"/>
                <w:sz w:val="22"/>
                <w:szCs w:val="22"/>
                <w:lang w:val="en-US" w:eastAsia="zh-CN"/>
              </w:rPr>
              <w:t>K0+000~K5+270，</w:t>
            </w:r>
            <w:r>
              <w:rPr>
                <w:rFonts w:hint="eastAsia" w:ascii="Arial" w:hAnsi="宋体" w:cs="Arial"/>
                <w:bCs/>
                <w:spacing w:val="-4"/>
                <w:sz w:val="22"/>
                <w:szCs w:val="22"/>
              </w:rPr>
              <w:t>管首设计流量0.1074m</w:t>
            </w:r>
            <w:r>
              <w:rPr>
                <w:rFonts w:hint="eastAsia" w:ascii="Arial" w:hAnsi="宋体" w:cs="Arial"/>
                <w:bCs/>
                <w:spacing w:val="-4"/>
                <w:sz w:val="22"/>
                <w:szCs w:val="22"/>
                <w:vertAlign w:val="superscript"/>
                <w:lang w:val="en-US" w:eastAsia="zh-CN"/>
              </w:rPr>
              <w:t>3</w:t>
            </w:r>
            <w:r>
              <w:rPr>
                <w:rFonts w:hint="eastAsia" w:ascii="Arial" w:hAnsi="宋体" w:cs="Arial"/>
                <w:bCs/>
                <w:spacing w:val="-4"/>
                <w:sz w:val="22"/>
                <w:szCs w:val="22"/>
              </w:rPr>
              <w:t>/s，由输水管道组成，采用地埋式，埋深不小于0.7m。</w:t>
            </w:r>
          </w:p>
          <w:p w14:paraId="37E1BBBF">
            <w:pPr>
              <w:spacing w:line="300" w:lineRule="exact"/>
              <w:jc w:val="both"/>
              <w:rPr>
                <w:rFonts w:hint="eastAsia" w:ascii="Arial" w:hAnsi="宋体" w:cs="Arial"/>
                <w:bCs/>
                <w:spacing w:val="-4"/>
                <w:sz w:val="22"/>
                <w:szCs w:val="22"/>
              </w:rPr>
            </w:pPr>
            <w:r>
              <w:rPr>
                <w:rFonts w:hint="eastAsia" w:ascii="Arial" w:hAnsi="宋体" w:cs="Arial"/>
                <w:bCs/>
                <w:spacing w:val="-4"/>
                <w:sz w:val="22"/>
                <w:szCs w:val="22"/>
              </w:rPr>
              <w:t>管首配套流量计（</w:t>
            </w:r>
            <w:r>
              <w:rPr>
                <w:rFonts w:hint="eastAsia" w:ascii="Arial" w:hAnsi="宋体" w:cs="Arial"/>
                <w:bCs/>
                <w:spacing w:val="-4"/>
                <w:sz w:val="22"/>
                <w:szCs w:val="22"/>
                <w:lang w:val="en-US" w:eastAsia="zh-CN"/>
              </w:rPr>
              <w:t>DN</w:t>
            </w:r>
            <w:r>
              <w:rPr>
                <w:rFonts w:hint="eastAsia" w:ascii="Arial" w:hAnsi="宋体" w:cs="Arial"/>
                <w:bCs/>
                <w:spacing w:val="-4"/>
                <w:sz w:val="22"/>
                <w:szCs w:val="22"/>
              </w:rPr>
              <w:t>400）1个，控制阀（</w:t>
            </w:r>
            <w:r>
              <w:rPr>
                <w:rFonts w:hint="eastAsia" w:ascii="Arial" w:hAnsi="宋体" w:cs="Arial"/>
                <w:bCs/>
                <w:spacing w:val="-4"/>
                <w:sz w:val="22"/>
                <w:szCs w:val="22"/>
                <w:lang w:val="en-US" w:eastAsia="zh-CN"/>
              </w:rPr>
              <w:t>DN</w:t>
            </w:r>
            <w:r>
              <w:rPr>
                <w:rFonts w:hint="eastAsia" w:ascii="Arial" w:hAnsi="宋体" w:cs="Arial"/>
                <w:bCs/>
                <w:spacing w:val="-4"/>
                <w:sz w:val="22"/>
                <w:szCs w:val="22"/>
              </w:rPr>
              <w:t>400，2.0Mpa）1套和（</w:t>
            </w:r>
            <w:r>
              <w:rPr>
                <w:rFonts w:hint="eastAsia" w:ascii="Arial" w:hAnsi="宋体" w:cs="Arial"/>
                <w:bCs/>
                <w:spacing w:val="-4"/>
                <w:sz w:val="22"/>
                <w:szCs w:val="22"/>
                <w:lang w:val="en-US" w:eastAsia="zh-CN"/>
              </w:rPr>
              <w:t>DN</w:t>
            </w:r>
            <w:r>
              <w:rPr>
                <w:rFonts w:hint="eastAsia" w:ascii="Arial" w:hAnsi="宋体" w:cs="Arial"/>
                <w:bCs/>
                <w:spacing w:val="-4"/>
                <w:sz w:val="22"/>
                <w:szCs w:val="22"/>
              </w:rPr>
              <w:t>100，2.0Mpa）1套，分水阀（</w:t>
            </w:r>
            <w:r>
              <w:rPr>
                <w:rFonts w:hint="eastAsia" w:ascii="Arial" w:hAnsi="宋体" w:cs="Arial"/>
                <w:bCs/>
                <w:spacing w:val="-4"/>
                <w:sz w:val="22"/>
                <w:szCs w:val="22"/>
                <w:lang w:val="en-US" w:eastAsia="zh-CN"/>
              </w:rPr>
              <w:t>DN</w:t>
            </w:r>
            <w:r>
              <w:rPr>
                <w:rFonts w:hint="eastAsia" w:ascii="Arial" w:hAnsi="宋体" w:cs="Arial"/>
                <w:bCs/>
                <w:spacing w:val="-4"/>
                <w:sz w:val="22"/>
                <w:szCs w:val="22"/>
              </w:rPr>
              <w:t>300，2.0Mpa）4套，检修阀（</w:t>
            </w:r>
            <w:r>
              <w:rPr>
                <w:rFonts w:hint="eastAsia" w:ascii="Arial" w:hAnsi="宋体" w:cs="Arial"/>
                <w:bCs/>
                <w:spacing w:val="-4"/>
                <w:sz w:val="22"/>
                <w:szCs w:val="22"/>
                <w:lang w:val="en-US" w:eastAsia="zh-CN"/>
              </w:rPr>
              <w:t>DN</w:t>
            </w:r>
            <w:r>
              <w:rPr>
                <w:rFonts w:hint="eastAsia" w:ascii="Arial" w:hAnsi="宋体" w:cs="Arial"/>
                <w:bCs/>
                <w:spacing w:val="-4"/>
                <w:sz w:val="22"/>
                <w:szCs w:val="22"/>
              </w:rPr>
              <w:t>300，2.0Mpa）3套和（</w:t>
            </w:r>
            <w:r>
              <w:rPr>
                <w:rFonts w:hint="eastAsia" w:ascii="Arial" w:hAnsi="宋体" w:cs="Arial"/>
                <w:bCs/>
                <w:spacing w:val="-4"/>
                <w:sz w:val="22"/>
                <w:szCs w:val="22"/>
                <w:lang w:val="en-US" w:eastAsia="zh-CN"/>
              </w:rPr>
              <w:t>DN</w:t>
            </w:r>
            <w:r>
              <w:rPr>
                <w:rFonts w:hint="eastAsia" w:ascii="Arial" w:hAnsi="宋体" w:cs="Arial"/>
                <w:bCs/>
                <w:spacing w:val="-4"/>
                <w:sz w:val="22"/>
                <w:szCs w:val="22"/>
              </w:rPr>
              <w:t>100，2.0Mpa）1套；沿线凸起处增设排气阀（</w:t>
            </w:r>
            <w:r>
              <w:rPr>
                <w:rFonts w:hint="eastAsia" w:ascii="Arial" w:hAnsi="宋体" w:cs="Arial"/>
                <w:bCs/>
                <w:spacing w:val="-4"/>
                <w:sz w:val="22"/>
                <w:szCs w:val="22"/>
                <w:lang w:val="en-US" w:eastAsia="zh-CN"/>
              </w:rPr>
              <w:t>DN</w:t>
            </w:r>
            <w:r>
              <w:rPr>
                <w:rFonts w:hint="eastAsia" w:ascii="Arial" w:hAnsi="宋体" w:cs="Arial"/>
                <w:bCs/>
                <w:spacing w:val="-4"/>
                <w:sz w:val="22"/>
                <w:szCs w:val="22"/>
              </w:rPr>
              <w:t>500）共计9个，管道沿线低洼处增设排泥阀（</w:t>
            </w:r>
            <w:r>
              <w:rPr>
                <w:rFonts w:hint="eastAsia" w:ascii="Arial" w:hAnsi="宋体" w:cs="Arial"/>
                <w:bCs/>
                <w:spacing w:val="-4"/>
                <w:sz w:val="22"/>
                <w:szCs w:val="22"/>
                <w:lang w:val="en-US" w:eastAsia="zh-CN"/>
              </w:rPr>
              <w:t>DN</w:t>
            </w:r>
            <w:r>
              <w:rPr>
                <w:rFonts w:hint="eastAsia" w:ascii="Arial" w:hAnsi="宋体" w:cs="Arial"/>
                <w:bCs/>
                <w:spacing w:val="-4"/>
                <w:sz w:val="22"/>
                <w:szCs w:val="22"/>
              </w:rPr>
              <w:t>50）共计9个。</w:t>
            </w:r>
            <w:r>
              <w:rPr>
                <w:rFonts w:hint="eastAsia" w:ascii="Arial" w:hAnsi="宋体" w:cs="Arial"/>
                <w:bCs/>
                <w:spacing w:val="-4"/>
                <w:sz w:val="22"/>
                <w:szCs w:val="22"/>
                <w:lang w:val="en-US" w:eastAsia="zh-CN"/>
              </w:rPr>
              <w:t>K</w:t>
            </w:r>
            <w:r>
              <w:rPr>
                <w:rFonts w:hint="eastAsia" w:ascii="Arial" w:hAnsi="宋体" w:cs="Arial"/>
                <w:bCs/>
                <w:spacing w:val="-4"/>
                <w:sz w:val="22"/>
                <w:szCs w:val="22"/>
              </w:rPr>
              <w:t>0+000.0</w:t>
            </w:r>
            <w:r>
              <w:rPr>
                <w:rFonts w:hint="eastAsia" w:ascii="Arial" w:hAnsi="宋体" w:cs="Arial"/>
                <w:bCs/>
                <w:spacing w:val="-4"/>
                <w:sz w:val="22"/>
                <w:szCs w:val="22"/>
                <w:lang w:val="en-US" w:eastAsia="zh-CN"/>
              </w:rPr>
              <w:t>~K</w:t>
            </w:r>
            <w:r>
              <w:rPr>
                <w:rFonts w:hint="eastAsia" w:ascii="Arial" w:hAnsi="宋体" w:cs="Arial"/>
                <w:bCs/>
                <w:spacing w:val="-4"/>
                <w:sz w:val="22"/>
                <w:szCs w:val="22"/>
              </w:rPr>
              <w:t>1+098.32段直径为400mm，管材采用1.6Mpa的100级PE管，长1109.71m；桩号</w:t>
            </w:r>
            <w:r>
              <w:rPr>
                <w:rFonts w:hint="eastAsia" w:ascii="Arial" w:hAnsi="宋体" w:cs="Arial"/>
                <w:bCs/>
                <w:spacing w:val="-4"/>
                <w:sz w:val="22"/>
                <w:szCs w:val="22"/>
                <w:lang w:val="en-US" w:eastAsia="zh-CN"/>
              </w:rPr>
              <w:t>K</w:t>
            </w:r>
            <w:r>
              <w:rPr>
                <w:rFonts w:hint="eastAsia" w:ascii="Arial" w:hAnsi="宋体" w:cs="Arial"/>
                <w:bCs/>
                <w:spacing w:val="-4"/>
                <w:sz w:val="22"/>
                <w:szCs w:val="22"/>
              </w:rPr>
              <w:t>1+098.32</w:t>
            </w:r>
            <w:r>
              <w:rPr>
                <w:rFonts w:hint="eastAsia" w:ascii="Arial" w:hAnsi="宋体" w:cs="Arial"/>
                <w:bCs/>
                <w:spacing w:val="-4"/>
                <w:sz w:val="22"/>
                <w:szCs w:val="22"/>
                <w:lang w:val="en-US" w:eastAsia="zh-CN"/>
              </w:rPr>
              <w:t>~K</w:t>
            </w:r>
            <w:r>
              <w:rPr>
                <w:rFonts w:hint="eastAsia" w:ascii="Arial" w:hAnsi="宋体" w:cs="Arial"/>
                <w:bCs/>
                <w:spacing w:val="-4"/>
                <w:sz w:val="22"/>
                <w:szCs w:val="22"/>
              </w:rPr>
              <w:t>1+567.51段直径为325mm，长476.48m，管材采用涂塑钢管；桩号</w:t>
            </w:r>
            <w:r>
              <w:rPr>
                <w:rFonts w:hint="eastAsia" w:ascii="Arial" w:hAnsi="宋体" w:cs="Arial"/>
                <w:bCs/>
                <w:spacing w:val="-4"/>
                <w:sz w:val="22"/>
                <w:szCs w:val="22"/>
                <w:lang w:val="en-US" w:eastAsia="zh-CN"/>
              </w:rPr>
              <w:t>K</w:t>
            </w:r>
            <w:r>
              <w:rPr>
                <w:rFonts w:hint="eastAsia" w:ascii="Arial" w:hAnsi="宋体" w:cs="Arial"/>
                <w:bCs/>
                <w:spacing w:val="-4"/>
                <w:sz w:val="22"/>
                <w:szCs w:val="22"/>
              </w:rPr>
              <w:t>1+567.51</w:t>
            </w:r>
            <w:r>
              <w:rPr>
                <w:rFonts w:hint="eastAsia" w:ascii="Arial" w:hAnsi="宋体" w:cs="Arial"/>
                <w:bCs/>
                <w:spacing w:val="-4"/>
                <w:sz w:val="22"/>
                <w:szCs w:val="22"/>
                <w:lang w:val="en-US" w:eastAsia="zh-CN"/>
              </w:rPr>
              <w:t>~K</w:t>
            </w:r>
            <w:r>
              <w:rPr>
                <w:rFonts w:hint="eastAsia" w:ascii="Arial" w:hAnsi="宋体" w:cs="Arial"/>
                <w:bCs/>
                <w:spacing w:val="-4"/>
                <w:sz w:val="22"/>
                <w:szCs w:val="22"/>
              </w:rPr>
              <w:t>4+042.97段直径为273mm，长2481.18m，管材采用涂塑钢管；桩号</w:t>
            </w:r>
            <w:r>
              <w:rPr>
                <w:rFonts w:hint="eastAsia" w:ascii="Arial" w:hAnsi="宋体" w:cs="Arial"/>
                <w:bCs/>
                <w:spacing w:val="-4"/>
                <w:sz w:val="22"/>
                <w:szCs w:val="22"/>
                <w:lang w:val="en-US" w:eastAsia="zh-CN"/>
              </w:rPr>
              <w:t>K</w:t>
            </w:r>
            <w:r>
              <w:rPr>
                <w:rFonts w:hint="eastAsia" w:ascii="Arial" w:hAnsi="宋体" w:cs="Arial"/>
                <w:bCs/>
                <w:spacing w:val="-4"/>
                <w:sz w:val="22"/>
                <w:szCs w:val="22"/>
              </w:rPr>
              <w:t>4+042.97</w:t>
            </w:r>
            <w:r>
              <w:rPr>
                <w:rFonts w:hint="eastAsia" w:ascii="Arial" w:hAnsi="宋体" w:cs="Arial"/>
                <w:bCs/>
                <w:spacing w:val="-4"/>
                <w:sz w:val="22"/>
                <w:szCs w:val="22"/>
                <w:lang w:val="en-US" w:eastAsia="zh-CN"/>
              </w:rPr>
              <w:t>~K</w:t>
            </w:r>
            <w:r>
              <w:rPr>
                <w:rFonts w:hint="eastAsia" w:ascii="Arial" w:hAnsi="宋体" w:cs="Arial"/>
                <w:bCs/>
                <w:spacing w:val="-4"/>
                <w:sz w:val="22"/>
                <w:szCs w:val="22"/>
              </w:rPr>
              <w:t>5+221.9段直径为108mm，长1203.14m，管材采用涂塑钢管。</w:t>
            </w:r>
          </w:p>
          <w:p w14:paraId="238D7CD1">
            <w:pPr>
              <w:spacing w:line="300" w:lineRule="exact"/>
              <w:jc w:val="both"/>
              <w:rPr>
                <w:rFonts w:ascii="Arial" w:hAnsi="Arial" w:cs="Arial"/>
                <w:sz w:val="22"/>
                <w:szCs w:val="22"/>
              </w:rPr>
            </w:pPr>
            <w:r>
              <w:rPr>
                <w:rFonts w:hint="eastAsia" w:ascii="Arial" w:hAnsi="宋体" w:cs="Arial"/>
                <w:bCs/>
                <w:spacing w:val="-4"/>
                <w:sz w:val="22"/>
                <w:szCs w:val="22"/>
              </w:rPr>
              <w:t>DN400、DN325、DN273管段平面和剖面转弯处均设置C20砼镇墩，管道进出口和管段间距</w:t>
            </w:r>
            <w:r>
              <w:rPr>
                <w:rFonts w:hint="eastAsia" w:ascii="Arial" w:hAnsi="宋体" w:cs="Arial"/>
                <w:bCs/>
                <w:spacing w:val="-4"/>
                <w:sz w:val="22"/>
                <w:szCs w:val="22"/>
                <w:lang w:eastAsia="zh-CN"/>
              </w:rPr>
              <w:t>≥</w:t>
            </w:r>
            <w:r>
              <w:rPr>
                <w:rFonts w:hint="eastAsia" w:ascii="Arial" w:hAnsi="宋体" w:cs="Arial"/>
                <w:bCs/>
                <w:spacing w:val="-4"/>
                <w:sz w:val="22"/>
                <w:szCs w:val="22"/>
              </w:rPr>
              <w:t>150m处均设置C20砼镇墩。</w:t>
            </w:r>
          </w:p>
        </w:tc>
      </w:tr>
      <w:tr w14:paraId="6DC39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4EDFE20B">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4DDEC0E3">
            <w:pPr>
              <w:spacing w:line="300" w:lineRule="exact"/>
              <w:jc w:val="center"/>
              <w:rPr>
                <w:rFonts w:ascii="Arial" w:hAnsi="宋体" w:cs="Arial"/>
                <w:bCs/>
                <w:sz w:val="22"/>
                <w:szCs w:val="22"/>
              </w:rPr>
            </w:pPr>
          </w:p>
        </w:tc>
        <w:tc>
          <w:tcPr>
            <w:tcW w:w="513" w:type="dxa"/>
            <w:vMerge w:val="continue"/>
            <w:shd w:val="clear" w:color="auto" w:fill="auto"/>
            <w:noWrap w:val="0"/>
            <w:vAlign w:val="center"/>
          </w:tcPr>
          <w:p w14:paraId="75428330">
            <w:pPr>
              <w:spacing w:line="300" w:lineRule="exact"/>
              <w:jc w:val="center"/>
              <w:rPr>
                <w:rFonts w:hint="eastAsia" w:ascii="Arial" w:hAnsi="Arial" w:cs="Arial"/>
                <w:bCs/>
                <w:sz w:val="22"/>
                <w:szCs w:val="22"/>
              </w:rPr>
            </w:pPr>
          </w:p>
        </w:tc>
        <w:tc>
          <w:tcPr>
            <w:tcW w:w="734" w:type="dxa"/>
            <w:shd w:val="clear" w:color="auto" w:fill="auto"/>
            <w:noWrap w:val="0"/>
            <w:vAlign w:val="center"/>
          </w:tcPr>
          <w:p w14:paraId="60BF199B">
            <w:pPr>
              <w:spacing w:line="300" w:lineRule="exact"/>
              <w:jc w:val="center"/>
              <w:rPr>
                <w:rFonts w:hint="eastAsia" w:ascii="Arial" w:hAnsi="Arial" w:eastAsia="宋体" w:cs="Arial"/>
                <w:bCs/>
                <w:sz w:val="22"/>
                <w:szCs w:val="22"/>
                <w:lang w:eastAsia="zh-CN"/>
              </w:rPr>
            </w:pPr>
            <w:r>
              <w:rPr>
                <w:rFonts w:hint="eastAsia" w:ascii="Arial" w:hAnsi="Arial" w:cs="Arial"/>
                <w:bCs/>
                <w:sz w:val="22"/>
                <w:szCs w:val="22"/>
                <w:lang w:eastAsia="zh-CN"/>
              </w:rPr>
              <w:t>分水阀</w:t>
            </w:r>
          </w:p>
        </w:tc>
        <w:tc>
          <w:tcPr>
            <w:tcW w:w="6979" w:type="dxa"/>
            <w:noWrap w:val="0"/>
            <w:vAlign w:val="center"/>
          </w:tcPr>
          <w:p w14:paraId="74A18B67">
            <w:pPr>
              <w:spacing w:line="300" w:lineRule="exact"/>
              <w:jc w:val="center"/>
              <w:rPr>
                <w:rFonts w:ascii="Arial" w:hAnsi="宋体" w:cs="Arial"/>
                <w:spacing w:val="-4"/>
                <w:sz w:val="22"/>
                <w:szCs w:val="22"/>
              </w:rPr>
            </w:pPr>
            <w:r>
              <w:rPr>
                <w:rFonts w:hint="eastAsia" w:ascii="Arial" w:hAnsi="宋体" w:cs="Arial"/>
                <w:bCs/>
                <w:spacing w:val="-4"/>
                <w:sz w:val="22"/>
                <w:szCs w:val="22"/>
              </w:rPr>
              <w:t>设置有4处分水阀，分别为1#分水阀（</w:t>
            </w:r>
            <w:r>
              <w:rPr>
                <w:rFonts w:hint="eastAsia" w:ascii="Arial" w:hAnsi="宋体" w:cs="Arial"/>
                <w:bCs/>
                <w:spacing w:val="-4"/>
                <w:sz w:val="22"/>
                <w:szCs w:val="22"/>
                <w:lang w:val="en-US" w:eastAsia="zh-CN"/>
              </w:rPr>
              <w:t>K</w:t>
            </w:r>
            <w:r>
              <w:rPr>
                <w:rFonts w:hint="eastAsia" w:ascii="Arial" w:hAnsi="宋体" w:cs="Arial"/>
                <w:bCs/>
                <w:spacing w:val="-4"/>
                <w:sz w:val="22"/>
                <w:szCs w:val="22"/>
              </w:rPr>
              <w:t>1+360.04），2#分水阀（</w:t>
            </w:r>
            <w:r>
              <w:rPr>
                <w:rFonts w:hint="eastAsia" w:ascii="Arial" w:hAnsi="宋体" w:cs="Arial"/>
                <w:bCs/>
                <w:spacing w:val="-4"/>
                <w:sz w:val="22"/>
                <w:szCs w:val="22"/>
                <w:lang w:val="en-US" w:eastAsia="zh-CN"/>
              </w:rPr>
              <w:t>K</w:t>
            </w:r>
            <w:r>
              <w:rPr>
                <w:rFonts w:hint="eastAsia" w:ascii="Arial" w:hAnsi="宋体" w:cs="Arial"/>
                <w:bCs/>
                <w:spacing w:val="-4"/>
                <w:sz w:val="22"/>
                <w:szCs w:val="22"/>
              </w:rPr>
              <w:t>1+567.51），3#分水阀（</w:t>
            </w:r>
            <w:r>
              <w:rPr>
                <w:rFonts w:hint="eastAsia" w:ascii="Arial" w:hAnsi="宋体" w:cs="Arial"/>
                <w:bCs/>
                <w:spacing w:val="-4"/>
                <w:sz w:val="22"/>
                <w:szCs w:val="22"/>
                <w:lang w:val="en-US" w:eastAsia="zh-CN"/>
              </w:rPr>
              <w:t>K</w:t>
            </w:r>
            <w:r>
              <w:rPr>
                <w:rFonts w:hint="eastAsia" w:ascii="Arial" w:hAnsi="宋体" w:cs="Arial"/>
                <w:bCs/>
                <w:spacing w:val="-4"/>
                <w:sz w:val="22"/>
                <w:szCs w:val="22"/>
              </w:rPr>
              <w:t>2+138.81），4#分水阀（</w:t>
            </w:r>
            <w:r>
              <w:rPr>
                <w:rFonts w:hint="eastAsia" w:ascii="Arial" w:hAnsi="宋体" w:cs="Arial"/>
                <w:bCs/>
                <w:spacing w:val="-4"/>
                <w:sz w:val="22"/>
                <w:szCs w:val="22"/>
                <w:lang w:val="en-US" w:eastAsia="zh-CN"/>
              </w:rPr>
              <w:t>K</w:t>
            </w:r>
            <w:r>
              <w:rPr>
                <w:rFonts w:hint="eastAsia" w:ascii="Arial" w:hAnsi="宋体" w:cs="Arial"/>
                <w:bCs/>
                <w:spacing w:val="-4"/>
                <w:sz w:val="22"/>
                <w:szCs w:val="22"/>
              </w:rPr>
              <w:t>4+042.97）。</w:t>
            </w:r>
          </w:p>
        </w:tc>
      </w:tr>
      <w:tr w14:paraId="160D2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2E89DB2E">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77680320">
            <w:pPr>
              <w:spacing w:line="300" w:lineRule="exact"/>
              <w:jc w:val="center"/>
              <w:rPr>
                <w:rFonts w:ascii="Arial" w:hAnsi="宋体" w:cs="Arial"/>
                <w:bCs/>
                <w:sz w:val="22"/>
                <w:szCs w:val="22"/>
              </w:rPr>
            </w:pPr>
          </w:p>
        </w:tc>
        <w:tc>
          <w:tcPr>
            <w:tcW w:w="513" w:type="dxa"/>
            <w:shd w:val="clear" w:color="auto" w:fill="auto"/>
            <w:noWrap w:val="0"/>
            <w:vAlign w:val="center"/>
          </w:tcPr>
          <w:p w14:paraId="7E4B5FBD">
            <w:pPr>
              <w:spacing w:line="300" w:lineRule="exact"/>
              <w:jc w:val="center"/>
              <w:rPr>
                <w:rFonts w:hint="eastAsia" w:ascii="Arial" w:hAnsi="Arial" w:eastAsia="宋体" w:cs="Arial"/>
                <w:bCs/>
                <w:sz w:val="22"/>
                <w:szCs w:val="22"/>
                <w:lang w:eastAsia="zh-CN"/>
              </w:rPr>
            </w:pPr>
            <w:r>
              <w:rPr>
                <w:rFonts w:hint="eastAsia" w:ascii="Arial" w:hAnsi="Arial" w:cs="Arial"/>
                <w:bCs/>
                <w:sz w:val="22"/>
                <w:szCs w:val="22"/>
                <w:lang w:eastAsia="zh-CN"/>
              </w:rPr>
              <w:t>新华支管</w:t>
            </w:r>
          </w:p>
        </w:tc>
        <w:tc>
          <w:tcPr>
            <w:tcW w:w="734" w:type="dxa"/>
            <w:shd w:val="clear" w:color="auto" w:fill="auto"/>
            <w:noWrap w:val="0"/>
            <w:vAlign w:val="center"/>
          </w:tcPr>
          <w:p w14:paraId="506FE076">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3A481BF2">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新华支管设计线路为：双龙干管1#分水口→新华支管→新华水厂。长</w:t>
            </w:r>
            <w:r>
              <w:rPr>
                <w:rFonts w:hint="eastAsia" w:ascii="Arial" w:hAnsi="Arial" w:cs="Arial"/>
                <w:bCs/>
                <w:sz w:val="22"/>
                <w:szCs w:val="22"/>
                <w:lang w:val="en-US" w:eastAsia="zh-CN"/>
              </w:rPr>
              <w:t>160</w:t>
            </w:r>
            <w:r>
              <w:rPr>
                <w:rFonts w:hint="eastAsia" w:ascii="Arial" w:hAnsi="Arial" w:cs="Arial"/>
                <w:bCs/>
                <w:sz w:val="22"/>
                <w:szCs w:val="22"/>
                <w:lang w:eastAsia="zh-CN"/>
              </w:rPr>
              <w:t>m，桩号为</w:t>
            </w:r>
            <w:r>
              <w:rPr>
                <w:rFonts w:hint="eastAsia" w:ascii="Arial" w:hAnsi="Arial" w:cs="Arial"/>
                <w:bCs/>
                <w:sz w:val="22"/>
                <w:szCs w:val="22"/>
                <w:lang w:val="en-US" w:eastAsia="zh-CN"/>
              </w:rPr>
              <w:t>XZ0+000~XZ0+160，</w:t>
            </w:r>
            <w:r>
              <w:rPr>
                <w:rFonts w:hint="eastAsia" w:ascii="Arial" w:hAnsi="Arial" w:cs="Arial"/>
                <w:bCs/>
                <w:sz w:val="22"/>
                <w:szCs w:val="22"/>
                <w:lang w:eastAsia="zh-CN"/>
              </w:rPr>
              <w:t>管首设计流量0.0005m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36D8C009">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100，2.0Mpa）2套，检修阀（</w:t>
            </w:r>
            <w:r>
              <w:rPr>
                <w:rFonts w:hint="eastAsia" w:ascii="Arial" w:hAnsi="Arial" w:cs="Arial"/>
                <w:bCs/>
                <w:sz w:val="22"/>
                <w:szCs w:val="22"/>
                <w:lang w:val="en-US" w:eastAsia="zh-CN"/>
              </w:rPr>
              <w:t>DN1</w:t>
            </w:r>
            <w:r>
              <w:rPr>
                <w:rFonts w:hint="eastAsia" w:ascii="Arial" w:hAnsi="Arial" w:cs="Arial"/>
                <w:bCs/>
                <w:sz w:val="22"/>
                <w:szCs w:val="22"/>
                <w:lang w:eastAsia="zh-CN"/>
              </w:rPr>
              <w:t>00，2.0Mpa）1套；沿线凸起处增设排气阀（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500）共计2个，管道沿线低洼处增设排泥阀（</w:t>
            </w:r>
            <w:r>
              <w:rPr>
                <w:rFonts w:hint="eastAsia" w:ascii="Arial" w:hAnsi="Arial" w:cs="Arial"/>
                <w:bCs/>
                <w:sz w:val="22"/>
                <w:szCs w:val="22"/>
                <w:lang w:val="en-US" w:eastAsia="zh-CN"/>
              </w:rPr>
              <w:t>DN</w:t>
            </w:r>
            <w:r>
              <w:rPr>
                <w:rFonts w:hint="eastAsia" w:ascii="Arial" w:hAnsi="Arial" w:cs="Arial"/>
                <w:bCs/>
                <w:sz w:val="22"/>
                <w:szCs w:val="22"/>
                <w:lang w:eastAsia="zh-CN"/>
              </w:rPr>
              <w:t>50）共计2个。</w:t>
            </w:r>
          </w:p>
          <w:p w14:paraId="19C09B28">
            <w:pPr>
              <w:spacing w:line="300" w:lineRule="exact"/>
              <w:jc w:val="both"/>
              <w:rPr>
                <w:rFonts w:hint="eastAsia" w:ascii="Arial" w:hAnsi="宋体" w:cs="Arial"/>
                <w:bCs/>
                <w:spacing w:val="-4"/>
                <w:sz w:val="22"/>
                <w:szCs w:val="22"/>
              </w:rPr>
            </w:pPr>
            <w:r>
              <w:rPr>
                <w:rFonts w:hint="eastAsia" w:ascii="Arial" w:hAnsi="Arial" w:cs="Arial"/>
                <w:bCs/>
                <w:sz w:val="22"/>
                <w:szCs w:val="22"/>
                <w:lang w:eastAsia="zh-CN"/>
              </w:rPr>
              <w:t>管材采用DN32涂塑钢管，长</w:t>
            </w:r>
            <w:r>
              <w:rPr>
                <w:rFonts w:hint="eastAsia" w:ascii="Arial" w:hAnsi="Arial" w:cs="Arial"/>
                <w:bCs/>
                <w:sz w:val="22"/>
                <w:szCs w:val="22"/>
                <w:lang w:val="en-US" w:eastAsia="zh-CN"/>
              </w:rPr>
              <w:t>160</w:t>
            </w:r>
            <w:r>
              <w:rPr>
                <w:rFonts w:hint="eastAsia" w:ascii="Arial" w:hAnsi="Arial" w:cs="Arial"/>
                <w:bCs/>
                <w:sz w:val="22"/>
                <w:szCs w:val="22"/>
                <w:lang w:eastAsia="zh-CN"/>
              </w:rPr>
              <w:t>m。进出口和管段间距</w:t>
            </w:r>
            <w:r>
              <w:rPr>
                <w:rFonts w:hint="eastAsia" w:ascii="Arial" w:hAnsi="Arial" w:cs="Arial"/>
                <w:bCs/>
                <w:sz w:val="22"/>
                <w:szCs w:val="22"/>
                <w:lang w:val="en-US" w:eastAsia="zh-CN"/>
              </w:rPr>
              <w:t>≥</w:t>
            </w:r>
            <w:r>
              <w:rPr>
                <w:rFonts w:hint="eastAsia" w:ascii="Arial" w:hAnsi="Arial" w:cs="Arial"/>
                <w:bCs/>
                <w:sz w:val="22"/>
                <w:szCs w:val="22"/>
                <w:lang w:eastAsia="zh-CN"/>
              </w:rPr>
              <w:t>150m处均设置C20砼镇墩。</w:t>
            </w:r>
          </w:p>
        </w:tc>
      </w:tr>
      <w:tr w14:paraId="29B50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278BC934">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03A4A0F2">
            <w:pPr>
              <w:spacing w:line="300" w:lineRule="exact"/>
              <w:jc w:val="center"/>
              <w:rPr>
                <w:rFonts w:ascii="Arial" w:hAnsi="宋体" w:cs="Arial"/>
                <w:bCs/>
                <w:sz w:val="22"/>
                <w:szCs w:val="22"/>
              </w:rPr>
            </w:pPr>
          </w:p>
        </w:tc>
        <w:tc>
          <w:tcPr>
            <w:tcW w:w="513" w:type="dxa"/>
            <w:shd w:val="clear" w:color="auto" w:fill="auto"/>
            <w:noWrap w:val="0"/>
            <w:vAlign w:val="center"/>
          </w:tcPr>
          <w:p w14:paraId="071B079A">
            <w:pPr>
              <w:spacing w:line="300" w:lineRule="exact"/>
              <w:jc w:val="center"/>
              <w:rPr>
                <w:rFonts w:hint="eastAsia" w:ascii="Arial" w:hAnsi="Arial" w:eastAsia="宋体" w:cs="Arial"/>
                <w:bCs/>
                <w:sz w:val="22"/>
                <w:szCs w:val="22"/>
                <w:lang w:eastAsia="zh-CN"/>
              </w:rPr>
            </w:pPr>
            <w:r>
              <w:rPr>
                <w:rFonts w:hint="eastAsia" w:ascii="Arial" w:hAnsi="Arial" w:cs="Arial"/>
                <w:bCs/>
                <w:sz w:val="22"/>
                <w:szCs w:val="22"/>
                <w:lang w:eastAsia="zh-CN"/>
              </w:rPr>
              <w:t>范家湾支管</w:t>
            </w:r>
          </w:p>
        </w:tc>
        <w:tc>
          <w:tcPr>
            <w:tcW w:w="734" w:type="dxa"/>
            <w:shd w:val="clear" w:color="auto" w:fill="auto"/>
            <w:noWrap w:val="0"/>
            <w:vAlign w:val="center"/>
          </w:tcPr>
          <w:p w14:paraId="53304E3F">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32BE98E1">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范家湾支管设计线路为：双龙干管2#分水口→范家湾支管→范家湾水池。长18</w:t>
            </w:r>
            <w:r>
              <w:rPr>
                <w:rFonts w:hint="eastAsia" w:ascii="Arial" w:hAnsi="Arial" w:cs="Arial"/>
                <w:bCs/>
                <w:sz w:val="22"/>
                <w:szCs w:val="22"/>
                <w:lang w:val="en-US" w:eastAsia="zh-CN"/>
              </w:rPr>
              <w:t>50</w:t>
            </w:r>
            <w:r>
              <w:rPr>
                <w:rFonts w:hint="eastAsia" w:ascii="Arial" w:hAnsi="Arial" w:cs="Arial"/>
                <w:bCs/>
                <w:sz w:val="22"/>
                <w:szCs w:val="22"/>
                <w:lang w:eastAsia="zh-CN"/>
              </w:rPr>
              <w:t>m，桩号为</w:t>
            </w:r>
            <w:r>
              <w:rPr>
                <w:rFonts w:hint="eastAsia" w:ascii="Arial" w:hAnsi="Arial" w:cs="Arial"/>
                <w:bCs/>
                <w:sz w:val="22"/>
                <w:szCs w:val="22"/>
                <w:lang w:val="en-US" w:eastAsia="zh-CN"/>
              </w:rPr>
              <w:t>FZ0+000~FZ1+850，</w:t>
            </w:r>
            <w:r>
              <w:rPr>
                <w:rFonts w:hint="eastAsia" w:ascii="Arial" w:hAnsi="Arial" w:cs="Arial"/>
                <w:bCs/>
                <w:sz w:val="22"/>
                <w:szCs w:val="22"/>
                <w:lang w:eastAsia="zh-CN"/>
              </w:rPr>
              <w:t>管首设计流量0.0005m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1E7F300A">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100，2.0Mpa）2套，检修阀（</w:t>
            </w:r>
            <w:r>
              <w:rPr>
                <w:rFonts w:hint="eastAsia" w:ascii="Arial" w:hAnsi="Arial" w:cs="Arial"/>
                <w:bCs/>
                <w:sz w:val="22"/>
                <w:szCs w:val="22"/>
                <w:lang w:val="en-US" w:eastAsia="zh-CN"/>
              </w:rPr>
              <w:t>DN</w:t>
            </w:r>
            <w:r>
              <w:rPr>
                <w:rFonts w:hint="eastAsia" w:ascii="Arial" w:hAnsi="Arial" w:cs="Arial"/>
                <w:bCs/>
                <w:sz w:val="22"/>
                <w:szCs w:val="22"/>
                <w:lang w:eastAsia="zh-CN"/>
              </w:rPr>
              <w:t>100，2.0Mpa）1套；沿线凸起处增设排气阀（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500）共计6个，管道沿线低洼处增设排泥阀（</w:t>
            </w:r>
            <w:r>
              <w:rPr>
                <w:rFonts w:hint="eastAsia" w:ascii="Arial" w:hAnsi="Arial" w:cs="Arial"/>
                <w:bCs/>
                <w:sz w:val="22"/>
                <w:szCs w:val="22"/>
                <w:lang w:val="en-US" w:eastAsia="zh-CN"/>
              </w:rPr>
              <w:t>DN</w:t>
            </w:r>
            <w:r>
              <w:rPr>
                <w:rFonts w:hint="eastAsia" w:ascii="Arial" w:hAnsi="Arial" w:cs="Arial"/>
                <w:bCs/>
                <w:sz w:val="22"/>
                <w:szCs w:val="22"/>
                <w:lang w:eastAsia="zh-CN"/>
              </w:rPr>
              <w:t>50）共计6个。</w:t>
            </w:r>
          </w:p>
          <w:p w14:paraId="10CE66FB">
            <w:pPr>
              <w:spacing w:line="300" w:lineRule="exact"/>
              <w:jc w:val="both"/>
              <w:rPr>
                <w:rFonts w:hint="eastAsia" w:ascii="Arial" w:hAnsi="Arial" w:cs="Arial"/>
                <w:bCs/>
                <w:sz w:val="22"/>
                <w:szCs w:val="22"/>
                <w:lang w:eastAsia="zh-CN"/>
              </w:rPr>
            </w:pPr>
            <w:r>
              <w:rPr>
                <w:rFonts w:hint="eastAsia" w:ascii="Arial" w:hAnsi="Arial" w:cs="Arial"/>
                <w:bCs/>
                <w:sz w:val="22"/>
                <w:szCs w:val="22"/>
                <w:lang w:val="en-US" w:eastAsia="zh-CN"/>
              </w:rPr>
              <w:t>FZ</w:t>
            </w:r>
            <w:r>
              <w:rPr>
                <w:rFonts w:hint="eastAsia" w:ascii="Arial" w:hAnsi="Arial" w:cs="Arial"/>
                <w:bCs/>
                <w:sz w:val="22"/>
                <w:szCs w:val="22"/>
                <w:lang w:eastAsia="zh-CN"/>
              </w:rPr>
              <w:t>0+000.0</w:t>
            </w:r>
            <w:r>
              <w:rPr>
                <w:rFonts w:hint="eastAsia" w:ascii="Arial" w:hAnsi="Arial" w:cs="Arial"/>
                <w:bCs/>
                <w:sz w:val="22"/>
                <w:szCs w:val="22"/>
                <w:lang w:val="en-US" w:eastAsia="zh-CN"/>
              </w:rPr>
              <w:t>~FZ</w:t>
            </w:r>
            <w:r>
              <w:rPr>
                <w:rFonts w:hint="eastAsia" w:ascii="Arial" w:hAnsi="Arial" w:cs="Arial"/>
                <w:bCs/>
                <w:sz w:val="22"/>
                <w:szCs w:val="22"/>
                <w:lang w:eastAsia="zh-CN"/>
              </w:rPr>
              <w:t>1+567.46段管材采用DN48涂塑钢管，长1581.23m；</w:t>
            </w:r>
            <w:r>
              <w:rPr>
                <w:rFonts w:hint="eastAsia" w:ascii="Arial" w:hAnsi="Arial" w:cs="Arial"/>
                <w:bCs/>
                <w:sz w:val="22"/>
                <w:szCs w:val="22"/>
                <w:lang w:val="en-US" w:eastAsia="zh-CN"/>
              </w:rPr>
              <w:t>FZ</w:t>
            </w:r>
            <w:r>
              <w:rPr>
                <w:rFonts w:hint="eastAsia" w:ascii="Arial" w:hAnsi="Arial" w:cs="Arial"/>
                <w:bCs/>
                <w:sz w:val="22"/>
                <w:szCs w:val="22"/>
                <w:lang w:eastAsia="zh-CN"/>
              </w:rPr>
              <w:t>1+567.46</w:t>
            </w:r>
            <w:r>
              <w:rPr>
                <w:rFonts w:hint="eastAsia" w:ascii="Arial" w:hAnsi="Arial" w:cs="Arial"/>
                <w:bCs/>
                <w:sz w:val="22"/>
                <w:szCs w:val="22"/>
                <w:lang w:val="en-US" w:eastAsia="zh-CN"/>
              </w:rPr>
              <w:t>~FZ</w:t>
            </w:r>
            <w:r>
              <w:rPr>
                <w:rFonts w:hint="eastAsia" w:ascii="Arial" w:hAnsi="Arial" w:cs="Arial"/>
                <w:bCs/>
                <w:sz w:val="22"/>
                <w:szCs w:val="22"/>
                <w:lang w:eastAsia="zh-CN"/>
              </w:rPr>
              <w:t>1+8</w:t>
            </w:r>
            <w:r>
              <w:rPr>
                <w:rFonts w:hint="eastAsia" w:ascii="Arial" w:hAnsi="Arial" w:cs="Arial"/>
                <w:bCs/>
                <w:sz w:val="22"/>
                <w:szCs w:val="22"/>
                <w:lang w:val="en-US" w:eastAsia="zh-CN"/>
              </w:rPr>
              <w:t>50</w:t>
            </w:r>
            <w:r>
              <w:rPr>
                <w:rFonts w:hint="eastAsia" w:ascii="Arial" w:hAnsi="Arial" w:cs="Arial"/>
                <w:bCs/>
                <w:sz w:val="22"/>
                <w:szCs w:val="22"/>
                <w:lang w:eastAsia="zh-CN"/>
              </w:rPr>
              <w:t>段管材采用1.6Mpa的100级DN32PE管，长266.6m。</w:t>
            </w:r>
          </w:p>
          <w:p w14:paraId="022DB121">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进出口和管段间距≥150m处均设置C20砼镇墩。</w:t>
            </w:r>
          </w:p>
        </w:tc>
      </w:tr>
      <w:tr w14:paraId="16C5A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64569150">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0CA58A43">
            <w:pPr>
              <w:spacing w:line="300" w:lineRule="exact"/>
              <w:jc w:val="center"/>
              <w:rPr>
                <w:rFonts w:ascii="Arial" w:hAnsi="宋体" w:cs="Arial"/>
                <w:bCs/>
                <w:sz w:val="22"/>
                <w:szCs w:val="22"/>
              </w:rPr>
            </w:pPr>
          </w:p>
        </w:tc>
        <w:tc>
          <w:tcPr>
            <w:tcW w:w="513" w:type="dxa"/>
            <w:vMerge w:val="restart"/>
            <w:shd w:val="clear" w:color="auto" w:fill="auto"/>
            <w:noWrap w:val="0"/>
            <w:vAlign w:val="center"/>
          </w:tcPr>
          <w:p w14:paraId="0F77C809">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樊家湾支管</w:t>
            </w:r>
          </w:p>
        </w:tc>
        <w:tc>
          <w:tcPr>
            <w:tcW w:w="734" w:type="dxa"/>
            <w:shd w:val="clear" w:color="auto" w:fill="auto"/>
            <w:noWrap w:val="0"/>
            <w:vAlign w:val="center"/>
          </w:tcPr>
          <w:p w14:paraId="350EE3BF">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00A8847A">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樊家湾支管设计线路为：双龙干管3#分水口→樊家湾支管→樊家湾水池。长7</w:t>
            </w:r>
            <w:r>
              <w:rPr>
                <w:rFonts w:hint="eastAsia" w:ascii="Arial" w:hAnsi="Arial" w:cs="Arial"/>
                <w:bCs/>
                <w:sz w:val="22"/>
                <w:szCs w:val="22"/>
                <w:lang w:val="en-US" w:eastAsia="zh-CN"/>
              </w:rPr>
              <w:t>10</w:t>
            </w:r>
            <w:r>
              <w:rPr>
                <w:rFonts w:hint="eastAsia" w:ascii="Arial" w:hAnsi="Arial" w:cs="Arial"/>
                <w:bCs/>
                <w:sz w:val="22"/>
                <w:szCs w:val="22"/>
                <w:lang w:eastAsia="zh-CN"/>
              </w:rPr>
              <w:t>m，桩号为</w:t>
            </w:r>
            <w:r>
              <w:rPr>
                <w:rFonts w:hint="eastAsia" w:ascii="Arial" w:hAnsi="Arial" w:cs="Arial"/>
                <w:bCs/>
                <w:sz w:val="22"/>
                <w:szCs w:val="22"/>
                <w:lang w:val="en-US" w:eastAsia="zh-CN"/>
              </w:rPr>
              <w:t>FZ0+000~FZ0+710，</w:t>
            </w:r>
            <w:r>
              <w:rPr>
                <w:rFonts w:hint="eastAsia" w:ascii="Arial" w:hAnsi="Arial" w:cs="Arial"/>
                <w:bCs/>
                <w:sz w:val="22"/>
                <w:szCs w:val="22"/>
                <w:lang w:eastAsia="zh-CN"/>
              </w:rPr>
              <w:t>管首设计流量0.0005m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033AA09B">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100，2.0Mpa）2套，分水阀（</w:t>
            </w:r>
            <w:r>
              <w:rPr>
                <w:rFonts w:hint="eastAsia" w:ascii="Arial" w:hAnsi="Arial" w:cs="Arial"/>
                <w:bCs/>
                <w:sz w:val="22"/>
                <w:szCs w:val="22"/>
                <w:lang w:val="en-US" w:eastAsia="zh-CN"/>
              </w:rPr>
              <w:t>DN</w:t>
            </w:r>
            <w:r>
              <w:rPr>
                <w:rFonts w:hint="eastAsia" w:ascii="Arial" w:hAnsi="Arial" w:cs="Arial"/>
                <w:bCs/>
                <w:sz w:val="22"/>
                <w:szCs w:val="22"/>
                <w:lang w:eastAsia="zh-CN"/>
              </w:rPr>
              <w:t>100，2.0Mpa）1套，检修阀（</w:t>
            </w:r>
            <w:r>
              <w:rPr>
                <w:rFonts w:hint="eastAsia" w:ascii="Arial" w:hAnsi="Arial" w:cs="Arial"/>
                <w:bCs/>
                <w:sz w:val="22"/>
                <w:szCs w:val="22"/>
                <w:lang w:val="en-US" w:eastAsia="zh-CN"/>
              </w:rPr>
              <w:t>DN</w:t>
            </w:r>
            <w:r>
              <w:rPr>
                <w:rFonts w:hint="eastAsia" w:ascii="Arial" w:hAnsi="Arial" w:cs="Arial"/>
                <w:bCs/>
                <w:sz w:val="22"/>
                <w:szCs w:val="22"/>
                <w:lang w:eastAsia="zh-CN"/>
              </w:rPr>
              <w:t>100，2.0Mpa）2套；沿线凸起处增设排气阀（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500）共计2个，管道沿线低洼处增设排泥阀（</w:t>
            </w:r>
            <w:r>
              <w:rPr>
                <w:rFonts w:hint="eastAsia" w:ascii="Arial" w:hAnsi="Arial" w:cs="Arial"/>
                <w:bCs/>
                <w:sz w:val="22"/>
                <w:szCs w:val="22"/>
                <w:lang w:val="en-US" w:eastAsia="zh-CN"/>
              </w:rPr>
              <w:t>DN</w:t>
            </w:r>
            <w:r>
              <w:rPr>
                <w:rFonts w:hint="eastAsia" w:ascii="Arial" w:hAnsi="Arial" w:cs="Arial"/>
                <w:bCs/>
                <w:sz w:val="22"/>
                <w:szCs w:val="22"/>
                <w:lang w:eastAsia="zh-CN"/>
              </w:rPr>
              <w:t>50）共计2个。</w:t>
            </w:r>
          </w:p>
          <w:p w14:paraId="3FB9D90F">
            <w:pPr>
              <w:spacing w:line="300" w:lineRule="exact"/>
              <w:jc w:val="both"/>
              <w:rPr>
                <w:rFonts w:hint="eastAsia" w:ascii="Arial" w:hAnsi="Arial" w:cs="Arial"/>
                <w:bCs/>
                <w:sz w:val="22"/>
                <w:szCs w:val="22"/>
                <w:lang w:eastAsia="zh-CN"/>
              </w:rPr>
            </w:pPr>
            <w:r>
              <w:rPr>
                <w:rFonts w:hint="eastAsia" w:ascii="Arial" w:hAnsi="Arial" w:cs="Arial"/>
                <w:bCs/>
                <w:sz w:val="22"/>
                <w:szCs w:val="22"/>
                <w:lang w:val="en-US" w:eastAsia="zh-CN"/>
              </w:rPr>
              <w:t>FZ</w:t>
            </w:r>
            <w:r>
              <w:rPr>
                <w:rFonts w:hint="eastAsia" w:ascii="Arial" w:hAnsi="Arial" w:cs="Arial"/>
                <w:bCs/>
                <w:sz w:val="22"/>
                <w:szCs w:val="22"/>
                <w:lang w:eastAsia="zh-CN"/>
              </w:rPr>
              <w:t>0+000.0</w:t>
            </w:r>
            <w:r>
              <w:rPr>
                <w:rFonts w:hint="eastAsia" w:ascii="Arial" w:hAnsi="Arial" w:cs="Arial"/>
                <w:bCs/>
                <w:sz w:val="22"/>
                <w:szCs w:val="22"/>
                <w:lang w:val="en-US" w:eastAsia="zh-CN"/>
              </w:rPr>
              <w:t>~FZ</w:t>
            </w:r>
            <w:r>
              <w:rPr>
                <w:rFonts w:hint="eastAsia" w:ascii="Arial" w:hAnsi="Arial" w:cs="Arial"/>
                <w:bCs/>
                <w:sz w:val="22"/>
                <w:szCs w:val="22"/>
                <w:lang w:eastAsia="zh-CN"/>
              </w:rPr>
              <w:t>0+524.54段管材采用DN48涂塑钢管，长534.71m；</w:t>
            </w:r>
            <w:r>
              <w:rPr>
                <w:rFonts w:hint="eastAsia" w:ascii="Arial" w:hAnsi="Arial" w:cs="Arial"/>
                <w:bCs/>
                <w:sz w:val="22"/>
                <w:szCs w:val="22"/>
                <w:lang w:val="en-US" w:eastAsia="zh-CN"/>
              </w:rPr>
              <w:t>FZ</w:t>
            </w:r>
            <w:r>
              <w:rPr>
                <w:rFonts w:hint="eastAsia" w:ascii="Arial" w:hAnsi="Arial" w:cs="Arial"/>
                <w:bCs/>
                <w:sz w:val="22"/>
                <w:szCs w:val="22"/>
                <w:lang w:eastAsia="zh-CN"/>
              </w:rPr>
              <w:t>0+524.54</w:t>
            </w:r>
            <w:r>
              <w:rPr>
                <w:rFonts w:hint="eastAsia" w:ascii="Arial" w:hAnsi="Arial" w:cs="Arial"/>
                <w:bCs/>
                <w:sz w:val="22"/>
                <w:szCs w:val="22"/>
                <w:lang w:val="en-US" w:eastAsia="zh-CN"/>
              </w:rPr>
              <w:t>~FZ</w:t>
            </w:r>
            <w:r>
              <w:rPr>
                <w:rFonts w:hint="eastAsia" w:ascii="Arial" w:hAnsi="Arial" w:cs="Arial"/>
                <w:bCs/>
                <w:sz w:val="22"/>
                <w:szCs w:val="22"/>
                <w:lang w:eastAsia="zh-CN"/>
              </w:rPr>
              <w:t>0+</w:t>
            </w:r>
            <w:r>
              <w:rPr>
                <w:rFonts w:hint="eastAsia" w:ascii="Arial" w:hAnsi="Arial" w:cs="Arial"/>
                <w:bCs/>
                <w:sz w:val="22"/>
                <w:szCs w:val="22"/>
                <w:lang w:val="en-US" w:eastAsia="zh-CN"/>
              </w:rPr>
              <w:t>710</w:t>
            </w:r>
            <w:r>
              <w:rPr>
                <w:rFonts w:hint="eastAsia" w:ascii="Arial" w:hAnsi="Arial" w:cs="Arial"/>
                <w:bCs/>
                <w:sz w:val="22"/>
                <w:szCs w:val="22"/>
                <w:lang w:eastAsia="zh-CN"/>
              </w:rPr>
              <w:t>段管材采用1.6Mpa的100级DN32PE管，长173.65m。</w:t>
            </w:r>
          </w:p>
          <w:p w14:paraId="06AA662A">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进出口和管段间距≥150m处均设置C20砼镇墩。</w:t>
            </w:r>
          </w:p>
        </w:tc>
      </w:tr>
      <w:tr w14:paraId="745B3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656" w:type="dxa"/>
            <w:vMerge w:val="continue"/>
            <w:shd w:val="clear" w:color="auto" w:fill="auto"/>
            <w:noWrap w:val="0"/>
            <w:vAlign w:val="center"/>
          </w:tcPr>
          <w:p w14:paraId="02DA0BFA">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0EF39056">
            <w:pPr>
              <w:spacing w:line="300" w:lineRule="exact"/>
              <w:jc w:val="center"/>
              <w:rPr>
                <w:rFonts w:ascii="Arial" w:hAnsi="宋体" w:cs="Arial"/>
                <w:bCs/>
                <w:sz w:val="22"/>
                <w:szCs w:val="22"/>
              </w:rPr>
            </w:pPr>
          </w:p>
        </w:tc>
        <w:tc>
          <w:tcPr>
            <w:tcW w:w="513" w:type="dxa"/>
            <w:vMerge w:val="continue"/>
            <w:shd w:val="clear" w:color="auto" w:fill="auto"/>
            <w:noWrap w:val="0"/>
            <w:vAlign w:val="center"/>
          </w:tcPr>
          <w:p w14:paraId="49B798AE">
            <w:pPr>
              <w:spacing w:line="300" w:lineRule="exact"/>
              <w:jc w:val="center"/>
              <w:rPr>
                <w:rFonts w:hint="eastAsia" w:ascii="Arial" w:hAnsi="Arial" w:cs="Arial"/>
                <w:bCs/>
                <w:sz w:val="22"/>
                <w:szCs w:val="22"/>
                <w:lang w:eastAsia="zh-CN"/>
              </w:rPr>
            </w:pPr>
          </w:p>
        </w:tc>
        <w:tc>
          <w:tcPr>
            <w:tcW w:w="734" w:type="dxa"/>
            <w:shd w:val="clear" w:color="auto" w:fill="auto"/>
            <w:noWrap w:val="0"/>
            <w:vAlign w:val="center"/>
          </w:tcPr>
          <w:p w14:paraId="3CE734F0">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分水阀</w:t>
            </w:r>
          </w:p>
        </w:tc>
        <w:tc>
          <w:tcPr>
            <w:tcW w:w="6979" w:type="dxa"/>
            <w:noWrap w:val="0"/>
            <w:vAlign w:val="center"/>
          </w:tcPr>
          <w:p w14:paraId="18F214E9">
            <w:pPr>
              <w:spacing w:line="300" w:lineRule="exact"/>
              <w:jc w:val="both"/>
              <w:rPr>
                <w:rFonts w:hint="eastAsia" w:ascii="Arial" w:hAnsi="Arial" w:cs="Arial"/>
                <w:bCs/>
                <w:sz w:val="22"/>
                <w:szCs w:val="22"/>
                <w:lang w:val="en-US" w:eastAsia="zh-CN"/>
              </w:rPr>
            </w:pPr>
            <w:r>
              <w:rPr>
                <w:rFonts w:hint="eastAsia" w:ascii="Arial" w:hAnsi="Arial" w:cs="Arial"/>
                <w:bCs/>
                <w:sz w:val="22"/>
                <w:szCs w:val="22"/>
                <w:lang w:eastAsia="zh-CN"/>
              </w:rPr>
              <w:t>在樊家湾支管</w:t>
            </w:r>
            <w:r>
              <w:rPr>
                <w:rFonts w:hint="eastAsia" w:ascii="Arial" w:hAnsi="Arial" w:cs="Arial"/>
                <w:bCs/>
                <w:sz w:val="22"/>
                <w:szCs w:val="22"/>
                <w:lang w:val="en-US" w:eastAsia="zh-CN"/>
              </w:rPr>
              <w:t>FZ</w:t>
            </w:r>
            <w:r>
              <w:rPr>
                <w:rFonts w:hint="eastAsia" w:ascii="Arial" w:hAnsi="Arial" w:cs="Arial"/>
                <w:bCs/>
                <w:sz w:val="22"/>
                <w:szCs w:val="22"/>
                <w:lang w:eastAsia="zh-CN"/>
              </w:rPr>
              <w:t>0+685.54处设置有1个分水阀。</w:t>
            </w:r>
          </w:p>
        </w:tc>
      </w:tr>
      <w:tr w14:paraId="5A7E6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5A9C9535">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296FFB31">
            <w:pPr>
              <w:spacing w:line="300" w:lineRule="exact"/>
              <w:jc w:val="center"/>
              <w:rPr>
                <w:rFonts w:ascii="Arial" w:hAnsi="宋体" w:cs="Arial"/>
                <w:bCs/>
                <w:sz w:val="22"/>
                <w:szCs w:val="22"/>
              </w:rPr>
            </w:pPr>
          </w:p>
        </w:tc>
        <w:tc>
          <w:tcPr>
            <w:tcW w:w="513" w:type="dxa"/>
            <w:shd w:val="clear" w:color="auto" w:fill="auto"/>
            <w:noWrap w:val="0"/>
            <w:vAlign w:val="center"/>
          </w:tcPr>
          <w:p w14:paraId="151A0888">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三角冲支管</w:t>
            </w:r>
          </w:p>
        </w:tc>
        <w:tc>
          <w:tcPr>
            <w:tcW w:w="734" w:type="dxa"/>
            <w:shd w:val="clear" w:color="auto" w:fill="auto"/>
            <w:noWrap w:val="0"/>
            <w:vAlign w:val="center"/>
          </w:tcPr>
          <w:p w14:paraId="4ADEF760">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632116D4">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三角冲支管设计线路为：樊家湾支管分水口→三角冲支管→三角冲水池。长3</w:t>
            </w:r>
            <w:r>
              <w:rPr>
                <w:rFonts w:hint="eastAsia" w:ascii="Arial" w:hAnsi="Arial" w:cs="Arial"/>
                <w:bCs/>
                <w:sz w:val="22"/>
                <w:szCs w:val="22"/>
                <w:lang w:val="en-US" w:eastAsia="zh-CN"/>
              </w:rPr>
              <w:t>10</w:t>
            </w:r>
            <w:r>
              <w:rPr>
                <w:rFonts w:hint="eastAsia" w:ascii="Arial" w:hAnsi="Arial" w:cs="Arial"/>
                <w:bCs/>
                <w:sz w:val="22"/>
                <w:szCs w:val="22"/>
                <w:lang w:eastAsia="zh-CN"/>
              </w:rPr>
              <w:t>m，桩号为</w:t>
            </w:r>
            <w:r>
              <w:rPr>
                <w:rFonts w:hint="eastAsia" w:ascii="Arial" w:hAnsi="Arial" w:cs="Arial"/>
                <w:bCs/>
                <w:sz w:val="22"/>
                <w:szCs w:val="22"/>
                <w:lang w:val="en-US" w:eastAsia="zh-CN"/>
              </w:rPr>
              <w:t>SZ0+000~SZ0+310，</w:t>
            </w:r>
            <w:r>
              <w:rPr>
                <w:rFonts w:hint="eastAsia" w:ascii="Arial" w:hAnsi="Arial" w:cs="Arial"/>
                <w:bCs/>
                <w:sz w:val="22"/>
                <w:szCs w:val="22"/>
                <w:lang w:eastAsia="zh-CN"/>
              </w:rPr>
              <w:t>管首设计流量0.0002m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2EF1AB22">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100，2.0Mpa）1套，检修阀（</w:t>
            </w:r>
            <w:r>
              <w:rPr>
                <w:rFonts w:hint="eastAsia" w:ascii="Arial" w:hAnsi="Arial" w:cs="Arial"/>
                <w:bCs/>
                <w:sz w:val="22"/>
                <w:szCs w:val="22"/>
                <w:lang w:val="en-US" w:eastAsia="zh-CN"/>
              </w:rPr>
              <w:t>DN</w:t>
            </w:r>
            <w:r>
              <w:rPr>
                <w:rFonts w:hint="eastAsia" w:ascii="Arial" w:hAnsi="Arial" w:cs="Arial"/>
                <w:bCs/>
                <w:sz w:val="22"/>
                <w:szCs w:val="22"/>
                <w:lang w:eastAsia="zh-CN"/>
              </w:rPr>
              <w:t>100，2.0Mpa）1套；沿线凸起处增设排气阀（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500）共计4个，管道沿线低洼处增设排泥阀（</w:t>
            </w:r>
            <w:r>
              <w:rPr>
                <w:rFonts w:hint="eastAsia" w:ascii="Arial" w:hAnsi="Arial" w:cs="Arial"/>
                <w:bCs/>
                <w:sz w:val="22"/>
                <w:szCs w:val="22"/>
                <w:lang w:val="en-US" w:eastAsia="zh-CN"/>
              </w:rPr>
              <w:t>ND</w:t>
            </w:r>
            <w:r>
              <w:rPr>
                <w:rFonts w:hint="eastAsia" w:ascii="Arial" w:hAnsi="Arial" w:cs="Arial"/>
                <w:bCs/>
                <w:sz w:val="22"/>
                <w:szCs w:val="22"/>
                <w:lang w:eastAsia="zh-CN"/>
              </w:rPr>
              <w:t>50）共计4个。</w:t>
            </w:r>
          </w:p>
          <w:p w14:paraId="3C20B312">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管材采用1.6Mpa的100级DN32PE管，长3</w:t>
            </w:r>
            <w:r>
              <w:rPr>
                <w:rFonts w:hint="eastAsia" w:ascii="Arial" w:hAnsi="Arial" w:cs="Arial"/>
                <w:bCs/>
                <w:sz w:val="22"/>
                <w:szCs w:val="22"/>
                <w:lang w:val="en-US" w:eastAsia="zh-CN"/>
              </w:rPr>
              <w:t>10</w:t>
            </w:r>
            <w:r>
              <w:rPr>
                <w:rFonts w:hint="eastAsia" w:ascii="Arial" w:hAnsi="Arial" w:cs="Arial"/>
                <w:bCs/>
                <w:sz w:val="22"/>
                <w:szCs w:val="22"/>
                <w:lang w:eastAsia="zh-CN"/>
              </w:rPr>
              <w:t>m。</w:t>
            </w:r>
          </w:p>
          <w:p w14:paraId="2F7702E2">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进出口和管段间距≥150m处均设置C20砼镇墩</w:t>
            </w:r>
            <w:r>
              <w:rPr>
                <w:rFonts w:hint="default" w:ascii="Arial" w:hAnsi="Arial" w:cs="Arial"/>
                <w:bCs/>
                <w:sz w:val="22"/>
                <w:szCs w:val="22"/>
                <w:lang w:val="zh-CN" w:eastAsia="zh-CN"/>
              </w:rPr>
              <w:t>。</w:t>
            </w:r>
          </w:p>
        </w:tc>
      </w:tr>
      <w:tr w14:paraId="7F9A5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00BA14E6">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67DE9AEF">
            <w:pPr>
              <w:spacing w:line="300" w:lineRule="exact"/>
              <w:jc w:val="center"/>
              <w:rPr>
                <w:rFonts w:ascii="Arial" w:hAnsi="宋体" w:cs="Arial"/>
                <w:bCs/>
                <w:sz w:val="22"/>
                <w:szCs w:val="22"/>
              </w:rPr>
            </w:pPr>
          </w:p>
        </w:tc>
        <w:tc>
          <w:tcPr>
            <w:tcW w:w="513" w:type="dxa"/>
            <w:shd w:val="clear" w:color="auto" w:fill="auto"/>
            <w:noWrap w:val="0"/>
            <w:vAlign w:val="center"/>
          </w:tcPr>
          <w:p w14:paraId="15CEB339">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鸦雀湾支管</w:t>
            </w:r>
          </w:p>
        </w:tc>
        <w:tc>
          <w:tcPr>
            <w:tcW w:w="734" w:type="dxa"/>
            <w:shd w:val="clear" w:color="auto" w:fill="auto"/>
            <w:noWrap w:val="0"/>
            <w:vAlign w:val="center"/>
          </w:tcPr>
          <w:p w14:paraId="448FE659">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4402D92F">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鸦雀湾支管设计线路为：双龙干管4#分水口→鸦雀湾支管→鸦雀湾水池。长610m，桩号为</w:t>
            </w:r>
            <w:r>
              <w:rPr>
                <w:rFonts w:hint="eastAsia" w:ascii="Arial" w:hAnsi="Arial" w:cs="Arial"/>
                <w:bCs/>
                <w:sz w:val="22"/>
                <w:szCs w:val="22"/>
                <w:lang w:val="en-US" w:eastAsia="zh-CN"/>
              </w:rPr>
              <w:t>YZ0+000~YZ0+610，</w:t>
            </w:r>
            <w:r>
              <w:rPr>
                <w:rFonts w:hint="eastAsia" w:ascii="Arial" w:hAnsi="Arial" w:cs="Arial"/>
                <w:bCs/>
                <w:sz w:val="22"/>
                <w:szCs w:val="22"/>
                <w:lang w:eastAsia="zh-CN"/>
              </w:rPr>
              <w:t>管首设计流量0.0002m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3B0C434D">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100，2.0Mpa）2套，检修阀（</w:t>
            </w:r>
            <w:r>
              <w:rPr>
                <w:rFonts w:hint="eastAsia" w:ascii="Arial" w:hAnsi="Arial" w:cs="Arial"/>
                <w:bCs/>
                <w:sz w:val="22"/>
                <w:szCs w:val="22"/>
                <w:lang w:val="en-US" w:eastAsia="zh-CN"/>
              </w:rPr>
              <w:t>DN</w:t>
            </w:r>
            <w:r>
              <w:rPr>
                <w:rFonts w:hint="eastAsia" w:ascii="Arial" w:hAnsi="Arial" w:cs="Arial"/>
                <w:bCs/>
                <w:sz w:val="22"/>
                <w:szCs w:val="22"/>
                <w:lang w:eastAsia="zh-CN"/>
              </w:rPr>
              <w:t>100，2.0Mpa）1套；沿线凸起处增设排气阀（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500）共计2个，管道沿线低洼处增设排泥阀（</w:t>
            </w:r>
            <w:r>
              <w:rPr>
                <w:rFonts w:hint="eastAsia" w:ascii="Arial" w:hAnsi="Arial" w:cs="Arial"/>
                <w:bCs/>
                <w:sz w:val="22"/>
                <w:szCs w:val="22"/>
                <w:lang w:val="en-US" w:eastAsia="zh-CN"/>
              </w:rPr>
              <w:t>DN</w:t>
            </w:r>
            <w:r>
              <w:rPr>
                <w:rFonts w:hint="eastAsia" w:ascii="Arial" w:hAnsi="Arial" w:cs="Arial"/>
                <w:bCs/>
                <w:sz w:val="22"/>
                <w:szCs w:val="22"/>
                <w:lang w:eastAsia="zh-CN"/>
              </w:rPr>
              <w:t>50）共计2个。</w:t>
            </w:r>
            <w:r>
              <w:rPr>
                <w:rFonts w:hint="eastAsia" w:ascii="Arial" w:hAnsi="Arial" w:cs="Arial"/>
                <w:bCs/>
                <w:sz w:val="22"/>
                <w:szCs w:val="22"/>
                <w:lang w:val="en-US" w:eastAsia="zh-CN"/>
              </w:rPr>
              <w:t>YZ</w:t>
            </w:r>
            <w:r>
              <w:rPr>
                <w:rFonts w:hint="eastAsia" w:ascii="Arial" w:hAnsi="Arial" w:cs="Arial"/>
                <w:bCs/>
                <w:sz w:val="22"/>
                <w:szCs w:val="22"/>
                <w:lang w:eastAsia="zh-CN"/>
              </w:rPr>
              <w:t>0+000</w:t>
            </w:r>
            <w:r>
              <w:rPr>
                <w:rFonts w:hint="eastAsia" w:ascii="Arial" w:hAnsi="Arial" w:cs="Arial"/>
                <w:bCs/>
                <w:sz w:val="22"/>
                <w:szCs w:val="22"/>
                <w:lang w:val="en-US" w:eastAsia="zh-CN"/>
              </w:rPr>
              <w:t>~YZ</w:t>
            </w:r>
            <w:r>
              <w:rPr>
                <w:rFonts w:hint="eastAsia" w:ascii="Arial" w:hAnsi="Arial" w:cs="Arial"/>
                <w:bCs/>
                <w:sz w:val="22"/>
                <w:szCs w:val="22"/>
                <w:lang w:eastAsia="zh-CN"/>
              </w:rPr>
              <w:t>0+</w:t>
            </w:r>
            <w:r>
              <w:rPr>
                <w:rFonts w:hint="eastAsia" w:ascii="Arial" w:hAnsi="Arial" w:cs="Arial"/>
                <w:bCs/>
                <w:sz w:val="22"/>
                <w:szCs w:val="22"/>
                <w:lang w:val="en-US" w:eastAsia="zh-CN"/>
              </w:rPr>
              <w:t>610</w:t>
            </w:r>
            <w:r>
              <w:rPr>
                <w:rFonts w:hint="eastAsia" w:ascii="Arial" w:hAnsi="Arial" w:cs="Arial"/>
                <w:bCs/>
                <w:sz w:val="22"/>
                <w:szCs w:val="22"/>
                <w:lang w:eastAsia="zh-CN"/>
              </w:rPr>
              <w:t>段管材采用DN32涂塑钢管，长610m。</w:t>
            </w:r>
          </w:p>
          <w:p w14:paraId="416F2628">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进出口和管段间距≥150m处均设置C20砼镇墩。</w:t>
            </w:r>
          </w:p>
        </w:tc>
      </w:tr>
      <w:tr w14:paraId="74548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restart"/>
            <w:noWrap w:val="0"/>
            <w:vAlign w:val="center"/>
          </w:tcPr>
          <w:p w14:paraId="44D3A3BF">
            <w:pPr>
              <w:spacing w:line="300" w:lineRule="exact"/>
              <w:jc w:val="center"/>
              <w:rPr>
                <w:rFonts w:hint="eastAsia" w:ascii="Arial" w:hAnsi="Arial" w:cs="Arial"/>
                <w:bCs/>
                <w:sz w:val="22"/>
                <w:szCs w:val="22"/>
              </w:rPr>
            </w:pPr>
            <w:r>
              <w:rPr>
                <w:rFonts w:hint="eastAsia" w:ascii="Arial" w:hAnsi="Arial" w:cs="Arial"/>
                <w:bCs/>
                <w:sz w:val="22"/>
                <w:szCs w:val="22"/>
              </w:rPr>
              <w:t>辅助工程</w:t>
            </w:r>
          </w:p>
        </w:tc>
        <w:tc>
          <w:tcPr>
            <w:tcW w:w="1892" w:type="dxa"/>
            <w:gridSpan w:val="4"/>
            <w:noWrap w:val="0"/>
            <w:vAlign w:val="center"/>
          </w:tcPr>
          <w:p w14:paraId="38172E33">
            <w:pPr>
              <w:spacing w:line="300" w:lineRule="exact"/>
              <w:jc w:val="center"/>
              <w:rPr>
                <w:rFonts w:hint="eastAsia" w:ascii="Arial" w:hAnsi="宋体" w:eastAsia="宋体" w:cs="Arial"/>
                <w:bCs/>
                <w:color w:val="FF0000"/>
                <w:sz w:val="22"/>
                <w:szCs w:val="22"/>
                <w:lang w:eastAsia="zh-CN"/>
              </w:rPr>
            </w:pPr>
            <w:r>
              <w:rPr>
                <w:rFonts w:hint="eastAsia" w:ascii="Arial" w:hAnsi="宋体" w:cs="Arial"/>
                <w:bCs/>
                <w:color w:val="auto"/>
                <w:sz w:val="22"/>
                <w:szCs w:val="22"/>
                <w:lang w:eastAsia="zh-CN"/>
              </w:rPr>
              <w:t>水库管理房</w:t>
            </w:r>
          </w:p>
        </w:tc>
        <w:tc>
          <w:tcPr>
            <w:tcW w:w="6979" w:type="dxa"/>
            <w:noWrap w:val="0"/>
            <w:vAlign w:val="center"/>
          </w:tcPr>
          <w:p w14:paraId="05BBA7A4">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宋体" w:eastAsia="宋体" w:cs="Arial"/>
                <w:color w:val="FF0000"/>
                <w:spacing w:val="-4"/>
                <w:sz w:val="22"/>
                <w:szCs w:val="22"/>
                <w:lang w:val="en-US" w:eastAsia="zh-CN"/>
              </w:rPr>
            </w:pPr>
            <w:r>
              <w:rPr>
                <w:rFonts w:hint="eastAsia" w:ascii="Arial" w:hAnsi="Arial" w:cs="Arial"/>
                <w:bCs/>
                <w:sz w:val="22"/>
                <w:szCs w:val="22"/>
                <w:lang w:val="zh-CN" w:eastAsia="zh-CN"/>
              </w:rPr>
              <w:t>位于大坝左岸，标高为</w:t>
            </w:r>
            <w:r>
              <w:rPr>
                <w:rFonts w:hint="eastAsia" w:ascii="Arial" w:hAnsi="Arial" w:cs="Arial"/>
                <w:bCs/>
                <w:sz w:val="22"/>
                <w:szCs w:val="22"/>
                <w:lang w:val="en-US" w:eastAsia="zh-CN"/>
              </w:rPr>
              <w:t>+424.5m，</w:t>
            </w:r>
            <w:r>
              <w:rPr>
                <w:rFonts w:hint="eastAsia" w:ascii="Arial" w:hAnsi="Arial" w:cs="Arial"/>
                <w:bCs/>
                <w:sz w:val="22"/>
                <w:szCs w:val="22"/>
                <w:lang w:val="zh-CN" w:eastAsia="zh-CN"/>
              </w:rPr>
              <w:t>建筑占地面积</w:t>
            </w:r>
            <w:r>
              <w:rPr>
                <w:rFonts w:hint="eastAsia" w:ascii="Arial" w:hAnsi="Arial" w:cs="Arial"/>
                <w:bCs/>
                <w:sz w:val="22"/>
                <w:szCs w:val="22"/>
                <w:lang w:eastAsia="zh-CN"/>
              </w:rPr>
              <w:t>92</w:t>
            </w:r>
            <w:r>
              <w:rPr>
                <w:rFonts w:hint="eastAsia" w:ascii="Arial" w:hAnsi="Arial" w:cs="Arial"/>
                <w:bCs/>
                <w:sz w:val="22"/>
                <w:szCs w:val="22"/>
                <w:lang w:val="zh-CN" w:eastAsia="zh-CN"/>
              </w:rPr>
              <w:t>m</w:t>
            </w:r>
            <w:r>
              <w:rPr>
                <w:rFonts w:hint="eastAsia" w:ascii="Arial" w:hAnsi="Arial" w:cs="Arial"/>
                <w:bCs/>
                <w:sz w:val="22"/>
                <w:szCs w:val="22"/>
                <w:vertAlign w:val="superscript"/>
                <w:lang w:val="en-US" w:eastAsia="zh-CN"/>
              </w:rPr>
              <w:t>2</w:t>
            </w:r>
            <w:r>
              <w:rPr>
                <w:rFonts w:hint="eastAsia" w:ascii="Arial" w:hAnsi="Arial" w:cs="Arial"/>
                <w:bCs/>
                <w:sz w:val="22"/>
                <w:szCs w:val="22"/>
                <w:lang w:val="zh-CN" w:eastAsia="zh-CN"/>
              </w:rPr>
              <w:t>，总建筑面积</w:t>
            </w:r>
            <w:r>
              <w:rPr>
                <w:rFonts w:hint="eastAsia" w:ascii="Arial" w:hAnsi="Arial" w:cs="Arial"/>
                <w:bCs/>
                <w:sz w:val="22"/>
                <w:szCs w:val="22"/>
                <w:lang w:eastAsia="zh-CN"/>
              </w:rPr>
              <w:t>184</w:t>
            </w:r>
            <w:r>
              <w:rPr>
                <w:rFonts w:hint="eastAsia" w:ascii="Arial" w:hAnsi="Arial" w:cs="Arial"/>
                <w:bCs/>
                <w:sz w:val="22"/>
                <w:szCs w:val="22"/>
                <w:lang w:val="zh-CN" w:eastAsia="zh-CN"/>
              </w:rPr>
              <w:t>m</w:t>
            </w:r>
            <w:r>
              <w:rPr>
                <w:rFonts w:hint="eastAsia" w:ascii="Arial" w:hAnsi="Arial" w:cs="Arial"/>
                <w:bCs/>
                <w:sz w:val="22"/>
                <w:szCs w:val="22"/>
                <w:vertAlign w:val="superscript"/>
                <w:lang w:val="en-US" w:eastAsia="zh-CN"/>
              </w:rPr>
              <w:t>2</w:t>
            </w:r>
            <w:r>
              <w:rPr>
                <w:rFonts w:hint="eastAsia" w:ascii="Arial" w:hAnsi="Arial" w:cs="Arial"/>
                <w:bCs/>
                <w:sz w:val="22"/>
                <w:szCs w:val="22"/>
                <w:lang w:val="zh-CN" w:eastAsia="zh-CN"/>
              </w:rPr>
              <w:t>，采用砼框架砌体两层结构，一层层高3.30m，二层层高3.00m，总高8.06m。管理房平台边缘设1.2m高C25钢筋砼栏杆，总长约79m。</w:t>
            </w:r>
          </w:p>
        </w:tc>
      </w:tr>
      <w:tr w14:paraId="7EE08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4B09016D">
            <w:pPr>
              <w:spacing w:line="300" w:lineRule="exact"/>
              <w:jc w:val="center"/>
              <w:rPr>
                <w:rFonts w:hint="eastAsia" w:ascii="Arial" w:hAnsi="Arial" w:cs="Arial"/>
                <w:bCs/>
                <w:sz w:val="22"/>
                <w:szCs w:val="22"/>
              </w:rPr>
            </w:pPr>
          </w:p>
        </w:tc>
        <w:tc>
          <w:tcPr>
            <w:tcW w:w="1892" w:type="dxa"/>
            <w:gridSpan w:val="4"/>
            <w:noWrap w:val="0"/>
            <w:vAlign w:val="center"/>
          </w:tcPr>
          <w:p w14:paraId="0D66D9D8">
            <w:pPr>
              <w:spacing w:line="300" w:lineRule="exact"/>
              <w:jc w:val="center"/>
              <w:rPr>
                <w:rFonts w:hint="eastAsia" w:ascii="Arial" w:hAnsi="宋体" w:cs="Arial"/>
                <w:bCs/>
                <w:color w:val="auto"/>
                <w:sz w:val="22"/>
                <w:szCs w:val="22"/>
                <w:lang w:eastAsia="zh-CN"/>
              </w:rPr>
            </w:pPr>
            <w:r>
              <w:rPr>
                <w:rFonts w:hint="eastAsia" w:ascii="Arial" w:hAnsi="宋体" w:cs="Arial"/>
                <w:bCs/>
                <w:color w:val="auto"/>
                <w:sz w:val="22"/>
                <w:szCs w:val="22"/>
                <w:lang w:eastAsia="zh-CN"/>
              </w:rPr>
              <w:t>闸阀房</w:t>
            </w:r>
          </w:p>
        </w:tc>
        <w:tc>
          <w:tcPr>
            <w:tcW w:w="6979" w:type="dxa"/>
            <w:noWrap w:val="0"/>
            <w:vAlign w:val="center"/>
          </w:tcPr>
          <w:p w14:paraId="6BB7CDA7">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Arial" w:hAnsi="Arial" w:cs="Arial"/>
                <w:bCs/>
                <w:sz w:val="22"/>
                <w:szCs w:val="22"/>
                <w:lang w:val="zh-CN" w:eastAsia="zh-CN"/>
              </w:rPr>
            </w:pPr>
            <w:r>
              <w:rPr>
                <w:rFonts w:hint="eastAsia" w:ascii="Arial" w:hAnsi="Arial" w:cs="Arial"/>
                <w:bCs/>
                <w:sz w:val="22"/>
                <w:szCs w:val="22"/>
                <w:lang w:val="zh-CN" w:eastAsia="zh-CN"/>
              </w:rPr>
              <w:t>为取水、放空闸阀房，位于大坝下游尾水渠左边墙外侧，标高为</w:t>
            </w:r>
            <w:r>
              <w:rPr>
                <w:rFonts w:hint="eastAsia" w:ascii="Arial" w:hAnsi="Arial" w:cs="Arial"/>
                <w:bCs/>
                <w:sz w:val="22"/>
                <w:szCs w:val="22"/>
                <w:lang w:val="en-US" w:eastAsia="zh-CN"/>
              </w:rPr>
              <w:t>+</w:t>
            </w:r>
            <w:r>
              <w:rPr>
                <w:rFonts w:hint="eastAsia" w:ascii="Arial" w:hAnsi="Arial" w:cs="Arial"/>
                <w:bCs/>
                <w:sz w:val="22"/>
                <w:szCs w:val="22"/>
                <w:lang w:val="zh-CN" w:eastAsia="zh-CN"/>
              </w:rPr>
              <w:t>399.7m，总建筑面积20m</w:t>
            </w:r>
            <w:r>
              <w:rPr>
                <w:rFonts w:hint="eastAsia" w:ascii="Arial" w:hAnsi="Arial" w:cs="Arial"/>
                <w:bCs/>
                <w:sz w:val="22"/>
                <w:szCs w:val="22"/>
                <w:vertAlign w:val="superscript"/>
                <w:lang w:val="en-US" w:eastAsia="zh-CN"/>
              </w:rPr>
              <w:t>2</w:t>
            </w:r>
            <w:r>
              <w:rPr>
                <w:rFonts w:hint="eastAsia" w:ascii="Arial" w:hAnsi="Arial" w:cs="Arial"/>
                <w:bCs/>
                <w:sz w:val="22"/>
                <w:szCs w:val="22"/>
                <w:lang w:val="zh-CN" w:eastAsia="zh-CN"/>
              </w:rPr>
              <w:t>，砼框架砌体结构，层高3.5m。</w:t>
            </w:r>
          </w:p>
        </w:tc>
      </w:tr>
      <w:tr w14:paraId="41904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7AABFE7C">
            <w:pPr>
              <w:spacing w:line="300" w:lineRule="exact"/>
              <w:jc w:val="center"/>
              <w:rPr>
                <w:rFonts w:hint="eastAsia" w:ascii="Arial" w:hAnsi="Arial" w:cs="Arial"/>
                <w:bCs/>
                <w:sz w:val="22"/>
                <w:szCs w:val="22"/>
              </w:rPr>
            </w:pPr>
          </w:p>
        </w:tc>
        <w:tc>
          <w:tcPr>
            <w:tcW w:w="1892" w:type="dxa"/>
            <w:gridSpan w:val="4"/>
            <w:shd w:val="clear" w:color="auto" w:fill="auto"/>
            <w:noWrap w:val="0"/>
            <w:vAlign w:val="center"/>
          </w:tcPr>
          <w:p w14:paraId="3186978A">
            <w:pPr>
              <w:spacing w:line="300" w:lineRule="exact"/>
              <w:jc w:val="center"/>
              <w:rPr>
                <w:rFonts w:hint="eastAsia" w:ascii="Arial" w:hAnsi="宋体" w:eastAsia="宋体" w:cs="Arial"/>
                <w:bCs/>
                <w:color w:val="auto"/>
                <w:kern w:val="2"/>
                <w:sz w:val="22"/>
                <w:szCs w:val="22"/>
                <w:lang w:val="en-US" w:eastAsia="zh-CN" w:bidi="ar-SA"/>
              </w:rPr>
            </w:pPr>
            <w:r>
              <w:rPr>
                <w:rFonts w:hint="eastAsia" w:ascii="Arial" w:hAnsi="宋体" w:cs="Arial"/>
                <w:bCs/>
                <w:color w:val="auto"/>
                <w:kern w:val="2"/>
                <w:sz w:val="22"/>
                <w:szCs w:val="22"/>
                <w:lang w:val="en-US" w:eastAsia="zh-CN" w:bidi="ar-SA"/>
              </w:rPr>
              <w:t>上坝道路</w:t>
            </w:r>
          </w:p>
        </w:tc>
        <w:tc>
          <w:tcPr>
            <w:tcW w:w="6979" w:type="dxa"/>
            <w:shd w:val="clear" w:color="auto" w:fill="auto"/>
            <w:noWrap w:val="0"/>
            <w:vAlign w:val="center"/>
          </w:tcPr>
          <w:p w14:paraId="52FEB0B5">
            <w:pPr>
              <w:spacing w:line="300" w:lineRule="exact"/>
              <w:jc w:val="center"/>
              <w:rPr>
                <w:rFonts w:hint="eastAsia" w:ascii="Arial" w:hAnsi="宋体" w:eastAsia="宋体" w:cs="Arial"/>
                <w:color w:val="auto"/>
                <w:spacing w:val="-4"/>
                <w:kern w:val="2"/>
                <w:sz w:val="22"/>
                <w:szCs w:val="22"/>
                <w:lang w:val="en-US" w:eastAsia="zh-CN" w:bidi="ar-SA"/>
              </w:rPr>
            </w:pPr>
            <w:r>
              <w:rPr>
                <w:rFonts w:hint="eastAsia" w:ascii="Arial" w:hAnsi="Arial" w:cs="Arial"/>
                <w:color w:val="auto"/>
                <w:spacing w:val="-4"/>
                <w:sz w:val="22"/>
                <w:szCs w:val="22"/>
                <w:lang w:eastAsia="zh-CN"/>
              </w:rPr>
              <w:t>因项目所在地基础设施建设较为落后，现状无道路与项目拟建坝址处进行衔接，为满足水库运行管理需求</w:t>
            </w:r>
            <w:r>
              <w:rPr>
                <w:rFonts w:hint="eastAsia" w:ascii="Arial" w:hAnsi="Arial" w:cs="Arial"/>
                <w:color w:val="auto"/>
                <w:spacing w:val="-4"/>
                <w:sz w:val="22"/>
                <w:szCs w:val="22"/>
                <w:lang w:val="zh-CN" w:eastAsia="zh-CN"/>
              </w:rPr>
              <w:t>，需建设上坝公路总长</w:t>
            </w:r>
            <w:r>
              <w:rPr>
                <w:rFonts w:hint="eastAsia" w:ascii="Arial" w:hAnsi="Arial" w:cs="Arial"/>
                <w:color w:val="auto"/>
                <w:spacing w:val="-4"/>
                <w:sz w:val="22"/>
                <w:szCs w:val="22"/>
                <w:lang w:val="en-US" w:eastAsia="zh-CN"/>
              </w:rPr>
              <w:t>1762m，</w:t>
            </w:r>
            <w:r>
              <w:rPr>
                <w:rFonts w:hint="eastAsia" w:ascii="Arial" w:hAnsi="Arial" w:cs="Arial"/>
                <w:color w:val="auto"/>
                <w:spacing w:val="-4"/>
                <w:sz w:val="22"/>
                <w:szCs w:val="22"/>
                <w:lang w:val="zh-CN"/>
              </w:rPr>
              <w:t>其中扩建现状机耕道段长331m，新建段长1431m。起点接已建成农村公路，终点接大坝下游闸阀房，中途经过大坝坝顶，沿等高线往西南方向布置，沿右库岸布置，路路面宽4.5m，起点高程512.48m，终点高程401.0m</w:t>
            </w:r>
            <w:r>
              <w:rPr>
                <w:rFonts w:hint="eastAsia" w:ascii="Arial" w:hAnsi="Arial" w:cs="Arial"/>
                <w:color w:val="auto"/>
                <w:spacing w:val="-4"/>
                <w:sz w:val="22"/>
                <w:szCs w:val="22"/>
              </w:rPr>
              <w:t>。</w:t>
            </w:r>
          </w:p>
        </w:tc>
      </w:tr>
      <w:tr w14:paraId="0EF05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2BB4DD09">
            <w:pPr>
              <w:spacing w:line="300" w:lineRule="exact"/>
              <w:jc w:val="center"/>
              <w:rPr>
                <w:rFonts w:hint="eastAsia" w:ascii="Arial" w:hAnsi="Arial" w:cs="Arial"/>
                <w:bCs/>
                <w:sz w:val="22"/>
                <w:szCs w:val="22"/>
              </w:rPr>
            </w:pPr>
          </w:p>
        </w:tc>
        <w:tc>
          <w:tcPr>
            <w:tcW w:w="1892" w:type="dxa"/>
            <w:gridSpan w:val="4"/>
            <w:noWrap w:val="0"/>
            <w:vAlign w:val="center"/>
          </w:tcPr>
          <w:p w14:paraId="6115182B">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环库巡检步道</w:t>
            </w:r>
          </w:p>
        </w:tc>
        <w:tc>
          <w:tcPr>
            <w:tcW w:w="6979" w:type="dxa"/>
            <w:noWrap w:val="0"/>
            <w:vAlign w:val="center"/>
          </w:tcPr>
          <w:p w14:paraId="1858B6D9">
            <w:pPr>
              <w:spacing w:line="300" w:lineRule="exact"/>
              <w:jc w:val="center"/>
              <w:rPr>
                <w:rFonts w:hint="eastAsia" w:ascii="Arial" w:hAnsi="Arial" w:cs="Arial"/>
                <w:spacing w:val="-4"/>
                <w:sz w:val="22"/>
                <w:szCs w:val="22"/>
              </w:rPr>
            </w:pPr>
            <w:r>
              <w:rPr>
                <w:rFonts w:hint="eastAsia" w:ascii="Arial" w:hAnsi="Arial" w:cs="Arial"/>
                <w:color w:val="auto"/>
                <w:spacing w:val="-4"/>
                <w:sz w:val="22"/>
                <w:szCs w:val="22"/>
                <w:lang w:eastAsia="zh-CN"/>
              </w:rPr>
              <w:t>海螺沟水库建成后具有人饮供水功能，为便于管理人员进行日常的巡检，需沿库区新建巡检步道</w:t>
            </w:r>
            <w:r>
              <w:rPr>
                <w:rFonts w:hint="eastAsia" w:ascii="Arial" w:hAnsi="Arial" w:cs="Arial"/>
                <w:color w:val="auto"/>
                <w:spacing w:val="-4"/>
                <w:sz w:val="22"/>
                <w:szCs w:val="22"/>
                <w:lang w:val="en-US" w:eastAsia="zh-CN"/>
              </w:rPr>
              <w:t>2504m，路面宽1.5m，</w:t>
            </w:r>
            <w:r>
              <w:rPr>
                <w:rFonts w:hint="eastAsia" w:ascii="Arial" w:hAnsi="Arial" w:cs="Arial"/>
                <w:color w:val="auto"/>
                <w:spacing w:val="-4"/>
                <w:sz w:val="22"/>
                <w:szCs w:val="22"/>
                <w:lang w:val="zh-CN" w:eastAsia="zh-CN"/>
              </w:rPr>
              <w:t>沿等库区四周高线布置，起点接新建上坝公路，高程435.44m，终点接坝顶，高程424.0m。</w:t>
            </w:r>
          </w:p>
        </w:tc>
      </w:tr>
      <w:tr w14:paraId="3B18B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01648DC2">
            <w:pPr>
              <w:spacing w:line="300" w:lineRule="exact"/>
              <w:jc w:val="center"/>
              <w:rPr>
                <w:rFonts w:hint="eastAsia" w:ascii="Arial" w:hAnsi="Arial" w:cs="Arial"/>
                <w:bCs/>
                <w:sz w:val="22"/>
                <w:szCs w:val="22"/>
              </w:rPr>
            </w:pPr>
          </w:p>
        </w:tc>
        <w:tc>
          <w:tcPr>
            <w:tcW w:w="1892" w:type="dxa"/>
            <w:gridSpan w:val="4"/>
            <w:shd w:val="clear" w:color="auto" w:fill="auto"/>
            <w:noWrap w:val="0"/>
            <w:vAlign w:val="center"/>
          </w:tcPr>
          <w:p w14:paraId="5C718201">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监测设施</w:t>
            </w:r>
          </w:p>
        </w:tc>
        <w:tc>
          <w:tcPr>
            <w:tcW w:w="6979" w:type="dxa"/>
            <w:shd w:val="clear" w:color="auto" w:fill="auto"/>
            <w:noWrap w:val="0"/>
            <w:vAlign w:val="center"/>
          </w:tcPr>
          <w:p w14:paraId="5E398842">
            <w:pPr>
              <w:spacing w:line="300" w:lineRule="exact"/>
              <w:jc w:val="center"/>
              <w:rPr>
                <w:rFonts w:hint="eastAsia" w:ascii="Arial" w:hAnsi="Arial" w:eastAsia="宋体" w:cs="Arial"/>
                <w:bCs/>
                <w:kern w:val="2"/>
                <w:sz w:val="22"/>
                <w:szCs w:val="22"/>
                <w:lang w:val="en-US" w:eastAsia="zh-CN" w:bidi="ar-SA"/>
              </w:rPr>
            </w:pPr>
            <w:r>
              <w:rPr>
                <w:rFonts w:hint="eastAsia" w:ascii="Arial" w:hAnsi="Arial" w:cs="Arial"/>
                <w:color w:val="auto"/>
                <w:kern w:val="0"/>
                <w:sz w:val="22"/>
                <w:szCs w:val="22"/>
                <w:highlight w:val="none"/>
                <w:lang w:val="en-US" w:eastAsia="zh-CN"/>
              </w:rPr>
              <w:t>包括变形监测桩、渗流监测、量水堰、应力应变监测点、流速仪、水位监测设施、水温监测设施、气温监测系统、降雨量监测系统、水质监测设备等。</w:t>
            </w:r>
          </w:p>
        </w:tc>
      </w:tr>
      <w:tr w14:paraId="0C427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5CEEA93F">
            <w:pPr>
              <w:spacing w:line="300" w:lineRule="exact"/>
              <w:jc w:val="center"/>
              <w:rPr>
                <w:rFonts w:hint="eastAsia" w:ascii="Arial" w:hAnsi="Arial" w:cs="Arial"/>
                <w:bCs/>
                <w:sz w:val="22"/>
                <w:szCs w:val="22"/>
              </w:rPr>
            </w:pPr>
          </w:p>
        </w:tc>
        <w:tc>
          <w:tcPr>
            <w:tcW w:w="1892" w:type="dxa"/>
            <w:gridSpan w:val="4"/>
            <w:noWrap w:val="0"/>
            <w:vAlign w:val="center"/>
          </w:tcPr>
          <w:p w14:paraId="1F2C3E52">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其他</w:t>
            </w:r>
          </w:p>
        </w:tc>
        <w:tc>
          <w:tcPr>
            <w:tcW w:w="6979" w:type="dxa"/>
            <w:noWrap w:val="0"/>
            <w:vAlign w:val="center"/>
          </w:tcPr>
          <w:p w14:paraId="0518A261">
            <w:pPr>
              <w:spacing w:line="300" w:lineRule="exact"/>
              <w:jc w:val="center"/>
              <w:rPr>
                <w:rFonts w:hint="eastAsia" w:ascii="Arial" w:hAnsi="Arial" w:cs="Arial"/>
                <w:bCs/>
                <w:sz w:val="26"/>
              </w:rPr>
            </w:pPr>
            <w:r>
              <w:rPr>
                <w:rFonts w:hint="eastAsia" w:ascii="Arial" w:hAnsi="Arial" w:cs="Arial"/>
                <w:color w:val="auto"/>
                <w:kern w:val="0"/>
                <w:sz w:val="22"/>
                <w:szCs w:val="22"/>
                <w:highlight w:val="none"/>
                <w:lang w:val="en-US" w:eastAsia="zh-CN"/>
              </w:rPr>
              <w:t>新建大理石竣工碑1座，增设安全警示牌10个。</w:t>
            </w:r>
          </w:p>
        </w:tc>
      </w:tr>
      <w:tr w14:paraId="48216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restart"/>
            <w:noWrap w:val="0"/>
            <w:vAlign w:val="center"/>
          </w:tcPr>
          <w:p w14:paraId="3AA1850A">
            <w:pPr>
              <w:spacing w:line="300" w:lineRule="exact"/>
              <w:jc w:val="center"/>
              <w:rPr>
                <w:rFonts w:hint="eastAsia" w:ascii="Arial" w:hAnsi="Arial" w:cs="Arial"/>
                <w:bCs/>
                <w:sz w:val="22"/>
                <w:szCs w:val="22"/>
              </w:rPr>
            </w:pPr>
            <w:r>
              <w:rPr>
                <w:rFonts w:hint="eastAsia" w:ascii="Arial" w:hAnsi="Arial" w:cs="Arial"/>
                <w:bCs/>
                <w:sz w:val="22"/>
                <w:szCs w:val="22"/>
              </w:rPr>
              <w:t>施工临时工程</w:t>
            </w:r>
          </w:p>
        </w:tc>
        <w:tc>
          <w:tcPr>
            <w:tcW w:w="645" w:type="dxa"/>
            <w:gridSpan w:val="2"/>
            <w:vMerge w:val="restart"/>
            <w:noWrap w:val="0"/>
            <w:vAlign w:val="center"/>
          </w:tcPr>
          <w:p w14:paraId="73A27B42">
            <w:pPr>
              <w:spacing w:line="300" w:lineRule="exact"/>
              <w:jc w:val="center"/>
              <w:rPr>
                <w:rFonts w:hint="eastAsia" w:ascii="Arial" w:hAnsi="宋体" w:cs="Arial"/>
                <w:bCs/>
                <w:sz w:val="22"/>
                <w:szCs w:val="22"/>
              </w:rPr>
            </w:pPr>
            <w:r>
              <w:rPr>
                <w:rFonts w:hint="eastAsia" w:ascii="Arial" w:hAnsi="宋体" w:cs="Arial"/>
                <w:bCs/>
                <w:sz w:val="22"/>
                <w:szCs w:val="22"/>
              </w:rPr>
              <w:t>导流工程</w:t>
            </w:r>
          </w:p>
        </w:tc>
        <w:tc>
          <w:tcPr>
            <w:tcW w:w="1247" w:type="dxa"/>
            <w:gridSpan w:val="2"/>
            <w:noWrap w:val="0"/>
            <w:vAlign w:val="center"/>
          </w:tcPr>
          <w:p w14:paraId="677F7F01">
            <w:pPr>
              <w:spacing w:line="300" w:lineRule="exact"/>
              <w:jc w:val="center"/>
              <w:rPr>
                <w:rFonts w:hint="eastAsia" w:ascii="Arial" w:hAnsi="宋体" w:cs="Arial"/>
                <w:bCs/>
                <w:sz w:val="22"/>
                <w:szCs w:val="22"/>
              </w:rPr>
            </w:pPr>
            <w:r>
              <w:rPr>
                <w:rFonts w:hint="eastAsia" w:ascii="Arial" w:hAnsi="宋体" w:cs="Arial"/>
                <w:bCs/>
                <w:sz w:val="22"/>
                <w:szCs w:val="22"/>
              </w:rPr>
              <w:t>枢纽工程</w:t>
            </w:r>
          </w:p>
        </w:tc>
        <w:tc>
          <w:tcPr>
            <w:tcW w:w="6979" w:type="dxa"/>
            <w:noWrap w:val="0"/>
            <w:vAlign w:val="center"/>
          </w:tcPr>
          <w:p w14:paraId="692412ED">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Arial" w:hAnsi="Arial" w:cs="Arial"/>
                <w:sz w:val="22"/>
                <w:szCs w:val="22"/>
                <w:lang w:eastAsia="zh-CN"/>
              </w:rPr>
            </w:pPr>
            <w:r>
              <w:rPr>
                <w:rFonts w:hint="eastAsia" w:ascii="Arial" w:hAnsi="Arial" w:cs="Arial"/>
                <w:b/>
                <w:bCs/>
                <w:sz w:val="22"/>
                <w:szCs w:val="22"/>
                <w:lang w:eastAsia="zh-CN"/>
              </w:rPr>
              <w:t>导流涵管：</w:t>
            </w:r>
            <w:r>
              <w:rPr>
                <w:rFonts w:hint="eastAsia" w:ascii="Arial" w:hAnsi="Arial" w:cs="Arial"/>
                <w:b w:val="0"/>
                <w:bCs w:val="0"/>
                <w:sz w:val="22"/>
                <w:szCs w:val="22"/>
                <w:lang w:eastAsia="zh-CN"/>
              </w:rPr>
              <w:t>位于河道左侧，</w:t>
            </w:r>
            <w:r>
              <w:rPr>
                <w:rFonts w:hint="eastAsia" w:ascii="Arial" w:hAnsi="Arial" w:cs="Arial"/>
                <w:sz w:val="22"/>
                <w:szCs w:val="22"/>
                <w:lang w:eastAsia="zh-CN"/>
              </w:rPr>
              <w:t>进口中心线高程定位401.86m，出口高程为400.94m，穿坝段涵管采用</w:t>
            </w:r>
            <w:r>
              <w:rPr>
                <w:rFonts w:hint="eastAsia" w:ascii="Arial" w:hAnsi="Arial" w:cs="Arial"/>
                <w:sz w:val="22"/>
                <w:szCs w:val="22"/>
                <w:lang w:val="en-US" w:eastAsia="zh-CN"/>
              </w:rPr>
              <w:t>DN</w:t>
            </w:r>
            <w:r>
              <w:rPr>
                <w:rFonts w:hint="eastAsia" w:ascii="Arial" w:hAnsi="Arial" w:cs="Arial"/>
                <w:sz w:val="22"/>
                <w:szCs w:val="22"/>
                <w:lang w:eastAsia="zh-CN"/>
              </w:rPr>
              <w:t>1000焊接钢管，长约</w:t>
            </w:r>
            <w:r>
              <w:rPr>
                <w:rFonts w:hint="eastAsia" w:ascii="Arial" w:hAnsi="Arial" w:cs="Arial"/>
                <w:sz w:val="22"/>
                <w:szCs w:val="22"/>
                <w:lang w:val="en-US" w:eastAsia="zh-CN"/>
              </w:rPr>
              <w:t>282m，</w:t>
            </w:r>
            <w:r>
              <w:rPr>
                <w:rFonts w:hint="eastAsia" w:ascii="Arial" w:hAnsi="Arial" w:cs="Arial"/>
                <w:sz w:val="22"/>
                <w:szCs w:val="22"/>
                <w:lang w:eastAsia="zh-CN"/>
              </w:rPr>
              <w:t>穿坝段与延伸段采用法兰连接，导流任务结束后，拆卸法兰连接处，拆除前端管道，关闭下游闸阀，作为水库检修的放空管使用。</w:t>
            </w:r>
          </w:p>
          <w:p w14:paraId="58213FF8">
            <w:pPr>
              <w:spacing w:line="300" w:lineRule="exact"/>
              <w:rPr>
                <w:rFonts w:hint="eastAsia" w:ascii="Arial" w:hAnsi="Arial" w:cs="Arial"/>
                <w:bCs/>
                <w:color w:val="auto"/>
                <w:sz w:val="22"/>
                <w:szCs w:val="22"/>
              </w:rPr>
            </w:pPr>
            <w:r>
              <w:rPr>
                <w:rFonts w:hint="eastAsia" w:ascii="Arial" w:hAnsi="Arial" w:cs="Arial"/>
                <w:b/>
                <w:bCs/>
                <w:sz w:val="22"/>
                <w:szCs w:val="22"/>
                <w:lang w:eastAsia="zh-CN"/>
              </w:rPr>
              <w:t>挡水围挡</w:t>
            </w:r>
            <w:r>
              <w:rPr>
                <w:rFonts w:hint="eastAsia" w:ascii="Arial" w:hAnsi="Arial" w:cs="Arial"/>
                <w:b/>
                <w:bCs/>
                <w:color w:val="auto"/>
                <w:sz w:val="22"/>
                <w:szCs w:val="22"/>
                <w:lang w:eastAsia="zh-CN"/>
              </w:rPr>
              <w:t>：</w:t>
            </w:r>
            <w:r>
              <w:rPr>
                <w:rFonts w:hint="eastAsia" w:ascii="Arial" w:hAnsi="Arial" w:cs="Arial"/>
                <w:bCs/>
                <w:color w:val="auto"/>
                <w:sz w:val="22"/>
                <w:szCs w:val="22"/>
              </w:rPr>
              <w:t>上、下游围堰均为土石围堰，采用开挖料装袋后填筑，并于上、下游围堰四面敷设防渗膜，以防基坑废水渗出。</w:t>
            </w:r>
          </w:p>
          <w:p w14:paraId="4A38DFC8">
            <w:pPr>
              <w:spacing w:line="300" w:lineRule="exact"/>
              <w:rPr>
                <w:rFonts w:hint="eastAsia" w:ascii="Arial" w:hAnsi="Arial" w:cs="Arial"/>
                <w:bCs/>
                <w:sz w:val="22"/>
                <w:szCs w:val="22"/>
              </w:rPr>
            </w:pPr>
            <w:r>
              <w:rPr>
                <w:rFonts w:hint="eastAsia" w:ascii="Arial" w:hAnsi="Arial" w:cs="Arial"/>
                <w:b/>
                <w:bCs/>
                <w:sz w:val="22"/>
                <w:szCs w:val="22"/>
              </w:rPr>
              <w:t>纵向围堰</w:t>
            </w:r>
            <w:r>
              <w:rPr>
                <w:rFonts w:hint="eastAsia" w:ascii="Arial" w:hAnsi="Arial" w:cs="Arial"/>
                <w:bCs/>
                <w:sz w:val="22"/>
                <w:szCs w:val="22"/>
              </w:rPr>
              <w:t>：上、下游纵向围堰均为土石围堰，</w:t>
            </w:r>
            <w:r>
              <w:rPr>
                <w:rFonts w:hint="eastAsia" w:ascii="Arial" w:hAnsi="Arial" w:cs="Arial"/>
                <w:sz w:val="22"/>
                <w:szCs w:val="22"/>
                <w:lang w:eastAsia="zh-CN"/>
              </w:rPr>
              <w:t>上游围堰围堰顶高程为402.70m，最大堰高约2.5m，围堰轴线长18.0m，堰顶宽度为3.0m。下游围堰围堰顶高程为401.00m，最大堰高约1.52m，围堰轴线长55.0m，堰顶宽度为3.0m。</w:t>
            </w:r>
          </w:p>
        </w:tc>
      </w:tr>
      <w:tr w14:paraId="6EDCD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6B239804">
            <w:pPr>
              <w:spacing w:line="300" w:lineRule="exact"/>
              <w:jc w:val="center"/>
              <w:rPr>
                <w:rFonts w:hint="eastAsia" w:ascii="Arial" w:hAnsi="Arial" w:cs="Arial"/>
                <w:bCs/>
                <w:sz w:val="22"/>
                <w:szCs w:val="22"/>
              </w:rPr>
            </w:pPr>
          </w:p>
        </w:tc>
        <w:tc>
          <w:tcPr>
            <w:tcW w:w="645" w:type="dxa"/>
            <w:gridSpan w:val="2"/>
            <w:vMerge w:val="continue"/>
            <w:noWrap w:val="0"/>
            <w:vAlign w:val="center"/>
          </w:tcPr>
          <w:p w14:paraId="50953054">
            <w:pPr>
              <w:spacing w:line="300" w:lineRule="exact"/>
              <w:jc w:val="center"/>
              <w:rPr>
                <w:rFonts w:hint="eastAsia" w:ascii="Arial" w:hAnsi="宋体" w:cs="Arial"/>
                <w:bCs/>
                <w:sz w:val="22"/>
                <w:szCs w:val="22"/>
              </w:rPr>
            </w:pPr>
          </w:p>
        </w:tc>
        <w:tc>
          <w:tcPr>
            <w:tcW w:w="1247" w:type="dxa"/>
            <w:gridSpan w:val="2"/>
            <w:noWrap w:val="0"/>
            <w:vAlign w:val="center"/>
          </w:tcPr>
          <w:p w14:paraId="28EB05F7">
            <w:pPr>
              <w:spacing w:line="300" w:lineRule="exact"/>
              <w:jc w:val="center"/>
              <w:rPr>
                <w:rFonts w:hint="eastAsia" w:ascii="Arial" w:hAnsi="宋体" w:cs="Arial"/>
                <w:bCs/>
                <w:sz w:val="22"/>
                <w:szCs w:val="22"/>
              </w:rPr>
            </w:pPr>
            <w:r>
              <w:rPr>
                <w:rFonts w:hint="eastAsia" w:ascii="Arial" w:hAnsi="宋体" w:cs="Arial"/>
                <w:bCs/>
                <w:sz w:val="22"/>
                <w:szCs w:val="22"/>
                <w:highlight w:val="none"/>
              </w:rPr>
              <w:t>输水工程</w:t>
            </w:r>
          </w:p>
        </w:tc>
        <w:tc>
          <w:tcPr>
            <w:tcW w:w="6979" w:type="dxa"/>
            <w:noWrap w:val="0"/>
            <w:vAlign w:val="center"/>
          </w:tcPr>
          <w:p w14:paraId="0B3CD080">
            <w:pPr>
              <w:spacing w:line="300" w:lineRule="exact"/>
              <w:jc w:val="center"/>
              <w:rPr>
                <w:rFonts w:hint="eastAsia" w:ascii="Arial" w:hAnsi="Arial" w:cs="Arial"/>
                <w:sz w:val="22"/>
                <w:szCs w:val="22"/>
                <w:lang w:val="en-US" w:eastAsia="zh-CN"/>
              </w:rPr>
            </w:pPr>
            <w:r>
              <w:rPr>
                <w:rFonts w:hint="eastAsia" w:ascii="Arial" w:hAnsi="Arial" w:cs="Arial"/>
                <w:sz w:val="22"/>
                <w:szCs w:val="22"/>
                <w:lang w:eastAsia="zh-CN"/>
              </w:rPr>
              <w:t>结合各输水管线走向，共有</w:t>
            </w:r>
            <w:r>
              <w:rPr>
                <w:rFonts w:hint="eastAsia" w:ascii="Arial" w:hAnsi="Arial" w:cs="Arial"/>
                <w:sz w:val="22"/>
                <w:szCs w:val="22"/>
                <w:lang w:val="en-US" w:eastAsia="zh-CN"/>
              </w:rPr>
              <w:t>5处穿越现状河道，其中1次穿越海螺沟、3次穿越高洞桥河、1次穿越双龙河，本评价建议优先选用顶管、定向钻等不涉水施工工艺，无法采用时，需做好施工导流、围堰等工作，</w:t>
            </w:r>
            <w:r>
              <w:rPr>
                <w:rFonts w:hint="eastAsia"/>
                <w:snapToGrid w:val="0"/>
                <w:color w:val="auto"/>
                <w:kern w:val="24"/>
                <w:sz w:val="22"/>
                <w:szCs w:val="22"/>
                <w:highlight w:val="none"/>
              </w:rPr>
              <w:t>采用围堰一次断流、枯期围堰挡水、导流涵管泄流的导流方式。</w:t>
            </w:r>
            <w:r>
              <w:rPr>
                <w:snapToGrid w:val="0"/>
                <w:color w:val="auto"/>
                <w:kern w:val="24"/>
                <w:sz w:val="22"/>
                <w:szCs w:val="22"/>
                <w:highlight w:val="none"/>
              </w:rPr>
              <w:t>上</w:t>
            </w:r>
            <w:r>
              <w:rPr>
                <w:rFonts w:hint="eastAsia"/>
                <w:snapToGrid w:val="0"/>
                <w:color w:val="auto"/>
                <w:kern w:val="24"/>
                <w:sz w:val="22"/>
                <w:szCs w:val="22"/>
                <w:highlight w:val="none"/>
              </w:rPr>
              <w:t>、下</w:t>
            </w:r>
            <w:r>
              <w:rPr>
                <w:snapToGrid w:val="0"/>
                <w:color w:val="auto"/>
                <w:kern w:val="24"/>
                <w:sz w:val="22"/>
                <w:szCs w:val="22"/>
                <w:highlight w:val="none"/>
              </w:rPr>
              <w:t>游围堰采用土石围堰，堰体上游侧采用粘土+土工膜防渗</w:t>
            </w:r>
            <w:r>
              <w:rPr>
                <w:rFonts w:hint="eastAsia"/>
                <w:snapToGrid w:val="0"/>
                <w:color w:val="auto"/>
                <w:kern w:val="24"/>
                <w:sz w:val="22"/>
                <w:szCs w:val="22"/>
                <w:highlight w:val="none"/>
                <w:lang w:eastAsia="zh-CN"/>
              </w:rPr>
              <w:t>。</w:t>
            </w:r>
          </w:p>
        </w:tc>
      </w:tr>
      <w:tr w14:paraId="13EE1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6" w:type="dxa"/>
            <w:vMerge w:val="continue"/>
            <w:noWrap w:val="0"/>
            <w:vAlign w:val="center"/>
          </w:tcPr>
          <w:p w14:paraId="3BFDB954">
            <w:pPr>
              <w:spacing w:line="300" w:lineRule="exact"/>
              <w:jc w:val="center"/>
              <w:rPr>
                <w:rFonts w:hint="eastAsia" w:ascii="Arial" w:hAnsi="Arial" w:cs="Arial"/>
                <w:bCs/>
                <w:sz w:val="22"/>
                <w:szCs w:val="22"/>
              </w:rPr>
            </w:pPr>
          </w:p>
        </w:tc>
        <w:tc>
          <w:tcPr>
            <w:tcW w:w="645" w:type="dxa"/>
            <w:gridSpan w:val="2"/>
            <w:vMerge w:val="restart"/>
            <w:noWrap w:val="0"/>
            <w:vAlign w:val="center"/>
          </w:tcPr>
          <w:p w14:paraId="35CE1D5B">
            <w:pPr>
              <w:spacing w:line="300" w:lineRule="exact"/>
              <w:jc w:val="center"/>
              <w:rPr>
                <w:rFonts w:hint="eastAsia" w:ascii="Arial" w:hAnsi="宋体" w:cs="Arial"/>
                <w:bCs/>
                <w:sz w:val="22"/>
                <w:szCs w:val="22"/>
              </w:rPr>
            </w:pPr>
            <w:r>
              <w:rPr>
                <w:rFonts w:hint="eastAsia" w:ascii="Arial" w:hAnsi="宋体" w:cs="Arial"/>
                <w:bCs/>
                <w:sz w:val="22"/>
                <w:szCs w:val="22"/>
              </w:rPr>
              <w:t>施工便道</w:t>
            </w:r>
          </w:p>
        </w:tc>
        <w:tc>
          <w:tcPr>
            <w:tcW w:w="1247" w:type="dxa"/>
            <w:gridSpan w:val="2"/>
            <w:noWrap w:val="0"/>
            <w:vAlign w:val="center"/>
          </w:tcPr>
          <w:p w14:paraId="3B50CADC">
            <w:pPr>
              <w:spacing w:line="300" w:lineRule="exact"/>
              <w:jc w:val="center"/>
              <w:rPr>
                <w:rFonts w:hint="eastAsia" w:ascii="Arial" w:hAnsi="宋体" w:cs="Arial"/>
                <w:bCs/>
                <w:sz w:val="22"/>
                <w:szCs w:val="22"/>
              </w:rPr>
            </w:pPr>
            <w:r>
              <w:rPr>
                <w:rFonts w:hint="eastAsia" w:ascii="Arial" w:hAnsi="宋体" w:cs="Arial"/>
                <w:bCs/>
                <w:sz w:val="22"/>
                <w:szCs w:val="22"/>
              </w:rPr>
              <w:t>枢纽工程</w:t>
            </w:r>
          </w:p>
        </w:tc>
        <w:tc>
          <w:tcPr>
            <w:tcW w:w="6979" w:type="dxa"/>
            <w:noWrap w:val="0"/>
            <w:vAlign w:val="center"/>
          </w:tcPr>
          <w:p w14:paraId="3117F04B">
            <w:pPr>
              <w:spacing w:line="300" w:lineRule="exact"/>
              <w:jc w:val="center"/>
              <w:rPr>
                <w:rFonts w:hint="default" w:ascii="Arial" w:hAnsi="宋体" w:eastAsia="宋体" w:cs="Arial"/>
                <w:spacing w:val="-4"/>
                <w:sz w:val="22"/>
                <w:szCs w:val="22"/>
                <w:lang w:val="en-US" w:eastAsia="zh-CN"/>
              </w:rPr>
            </w:pPr>
            <w:r>
              <w:rPr>
                <w:rFonts w:hint="eastAsia" w:ascii="Arial" w:hAnsi="宋体" w:cs="Arial"/>
                <w:spacing w:val="-4"/>
                <w:sz w:val="22"/>
                <w:szCs w:val="22"/>
                <w:lang w:eastAsia="zh-CN"/>
              </w:rPr>
              <w:t>新建</w:t>
            </w:r>
            <w:r>
              <w:rPr>
                <w:rFonts w:hint="eastAsia" w:ascii="Arial" w:hAnsi="宋体" w:cs="Arial"/>
                <w:spacing w:val="-4"/>
                <w:sz w:val="22"/>
                <w:szCs w:val="22"/>
                <w:lang w:val="en-US" w:eastAsia="zh-CN"/>
              </w:rPr>
              <w:t>2条施工便道，</w:t>
            </w:r>
            <w:r>
              <w:rPr>
                <w:rFonts w:hint="eastAsia" w:ascii="Arial" w:hAnsi="Arial" w:cs="Arial"/>
                <w:sz w:val="22"/>
                <w:szCs w:val="22"/>
                <w:lang w:val="en-US" w:eastAsia="zh-CN"/>
              </w:rPr>
              <w:t>1#施工便道长0.78km，由库尾现状公路连接施工场地；2#施工便道长0.43km，由项目施工场地连接枢纽工程施工区；以便于物料、人员的输送。施工便道路路面宽度4.5~5m，采取30</w:t>
            </w:r>
            <w:r>
              <w:rPr>
                <w:rFonts w:hint="eastAsia" w:ascii="Arial" w:hAnsi="Arial" w:cs="Arial"/>
                <w:sz w:val="22"/>
                <w:szCs w:val="22"/>
                <w:lang w:eastAsia="zh-CN"/>
              </w:rPr>
              <w:t>cm厚</w:t>
            </w:r>
            <w:r>
              <w:rPr>
                <w:rFonts w:hint="eastAsia" w:ascii="Arial" w:hAnsi="Arial" w:cs="Arial"/>
                <w:sz w:val="22"/>
                <w:szCs w:val="22"/>
                <w:lang w:val="en-US" w:eastAsia="zh-CN"/>
              </w:rPr>
              <w:t>干砌片石基础+</w:t>
            </w:r>
            <w:r>
              <w:rPr>
                <w:rFonts w:hint="eastAsia" w:ascii="Arial" w:hAnsi="Arial" w:cs="Arial"/>
                <w:sz w:val="22"/>
                <w:szCs w:val="22"/>
                <w:lang w:eastAsia="zh-CN"/>
              </w:rPr>
              <w:t>15cm厚碎石垫层+15cm厚泥结石路面结构。</w:t>
            </w:r>
          </w:p>
        </w:tc>
      </w:tr>
      <w:tr w14:paraId="3F6CF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74ABD766">
            <w:pPr>
              <w:spacing w:line="300" w:lineRule="exact"/>
              <w:jc w:val="center"/>
              <w:rPr>
                <w:rFonts w:hint="eastAsia" w:ascii="Arial" w:hAnsi="Arial" w:cs="Arial"/>
                <w:bCs/>
                <w:sz w:val="22"/>
                <w:szCs w:val="22"/>
              </w:rPr>
            </w:pPr>
          </w:p>
        </w:tc>
        <w:tc>
          <w:tcPr>
            <w:tcW w:w="645" w:type="dxa"/>
            <w:gridSpan w:val="2"/>
            <w:vMerge w:val="continue"/>
            <w:noWrap w:val="0"/>
            <w:vAlign w:val="center"/>
          </w:tcPr>
          <w:p w14:paraId="27506327">
            <w:pPr>
              <w:spacing w:line="300" w:lineRule="exact"/>
              <w:jc w:val="center"/>
              <w:rPr>
                <w:rFonts w:hint="eastAsia" w:ascii="Arial" w:hAnsi="宋体" w:cs="Arial"/>
                <w:bCs/>
                <w:sz w:val="22"/>
                <w:szCs w:val="22"/>
              </w:rPr>
            </w:pPr>
          </w:p>
        </w:tc>
        <w:tc>
          <w:tcPr>
            <w:tcW w:w="1247" w:type="dxa"/>
            <w:gridSpan w:val="2"/>
            <w:shd w:val="clear" w:color="auto" w:fill="auto"/>
            <w:noWrap w:val="0"/>
            <w:vAlign w:val="center"/>
          </w:tcPr>
          <w:p w14:paraId="6A0411D5">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rPr>
              <w:t>输水工程</w:t>
            </w:r>
          </w:p>
        </w:tc>
        <w:tc>
          <w:tcPr>
            <w:tcW w:w="6979" w:type="dxa"/>
            <w:shd w:val="clear" w:color="auto" w:fill="auto"/>
            <w:noWrap w:val="0"/>
            <w:vAlign w:val="center"/>
          </w:tcPr>
          <w:p w14:paraId="3793840D">
            <w:pPr>
              <w:spacing w:line="300" w:lineRule="exact"/>
              <w:jc w:val="center"/>
              <w:rPr>
                <w:rFonts w:hint="eastAsia" w:ascii="Arial" w:hAnsi="宋体" w:eastAsia="宋体" w:cs="Arial"/>
                <w:bCs/>
                <w:kern w:val="2"/>
                <w:sz w:val="22"/>
                <w:szCs w:val="22"/>
                <w:lang w:val="en-US" w:eastAsia="zh-CN" w:bidi="ar-SA"/>
              </w:rPr>
            </w:pPr>
            <w:r>
              <w:rPr>
                <w:rFonts w:hint="eastAsia" w:ascii="Arial" w:hAnsi="Arial" w:cs="Arial"/>
                <w:sz w:val="22"/>
                <w:szCs w:val="22"/>
                <w:lang w:eastAsia="zh-CN"/>
              </w:rPr>
              <w:t>新建</w:t>
            </w:r>
            <w:r>
              <w:rPr>
                <w:rFonts w:hint="eastAsia" w:ascii="Arial" w:hAnsi="Arial" w:cs="Arial"/>
                <w:sz w:val="22"/>
                <w:szCs w:val="22"/>
                <w:lang w:val="en-US" w:eastAsia="zh-CN"/>
              </w:rPr>
              <w:t>1条施工便道，长0.44km，由大坝枢纽沿双龙干线输水管线建设，接下游已建农村道路。施工便道路路面宽度3m，采取20cm厚C20砼路面结构，下设15cm厚碎石基层。</w:t>
            </w:r>
          </w:p>
        </w:tc>
      </w:tr>
      <w:tr w14:paraId="157E3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5996EA15">
            <w:pPr>
              <w:spacing w:line="300" w:lineRule="exact"/>
              <w:jc w:val="center"/>
              <w:rPr>
                <w:rFonts w:hint="eastAsia" w:ascii="Arial" w:hAnsi="Arial" w:cs="Arial"/>
                <w:bCs/>
                <w:sz w:val="22"/>
                <w:szCs w:val="22"/>
              </w:rPr>
            </w:pPr>
          </w:p>
        </w:tc>
        <w:tc>
          <w:tcPr>
            <w:tcW w:w="645" w:type="dxa"/>
            <w:gridSpan w:val="2"/>
            <w:vMerge w:val="continue"/>
            <w:noWrap w:val="0"/>
            <w:vAlign w:val="center"/>
          </w:tcPr>
          <w:p w14:paraId="53C30811">
            <w:pPr>
              <w:spacing w:line="300" w:lineRule="exact"/>
              <w:jc w:val="center"/>
              <w:rPr>
                <w:rFonts w:hint="eastAsia" w:ascii="Arial" w:hAnsi="宋体" w:cs="Arial"/>
                <w:bCs/>
                <w:sz w:val="22"/>
                <w:szCs w:val="22"/>
              </w:rPr>
            </w:pPr>
          </w:p>
        </w:tc>
        <w:tc>
          <w:tcPr>
            <w:tcW w:w="1247" w:type="dxa"/>
            <w:gridSpan w:val="2"/>
            <w:noWrap w:val="0"/>
            <w:vAlign w:val="center"/>
          </w:tcPr>
          <w:p w14:paraId="6F492EC8">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弃渣场</w:t>
            </w:r>
          </w:p>
        </w:tc>
        <w:tc>
          <w:tcPr>
            <w:tcW w:w="6979" w:type="dxa"/>
            <w:noWrap w:val="0"/>
            <w:vAlign w:val="center"/>
          </w:tcPr>
          <w:p w14:paraId="730DF5E7">
            <w:pPr>
              <w:spacing w:line="300" w:lineRule="exact"/>
              <w:jc w:val="center"/>
              <w:rPr>
                <w:rFonts w:hint="default" w:ascii="Arial" w:hAnsi="宋体" w:eastAsia="宋体" w:cs="Arial"/>
                <w:bCs/>
                <w:sz w:val="22"/>
                <w:szCs w:val="22"/>
                <w:lang w:val="en-US" w:eastAsia="zh-CN"/>
              </w:rPr>
            </w:pPr>
            <w:r>
              <w:rPr>
                <w:rFonts w:hint="eastAsia" w:ascii="Arial" w:hAnsi="Arial" w:cs="Arial"/>
                <w:sz w:val="22"/>
                <w:szCs w:val="22"/>
                <w:lang w:eastAsia="zh-CN"/>
              </w:rPr>
              <w:t>新建</w:t>
            </w:r>
            <w:r>
              <w:rPr>
                <w:rFonts w:hint="eastAsia" w:ascii="Arial" w:hAnsi="Arial" w:cs="Arial"/>
                <w:sz w:val="22"/>
                <w:szCs w:val="22"/>
                <w:lang w:val="en-US" w:eastAsia="zh-CN"/>
              </w:rPr>
              <w:t>1条施工便道，长0.4km，由现状农村公路连接挡渣墙，以便于施工弃渣的分层堆存夯实。施工便道路路面宽度4.5m，采取20cm厚C20砼路面结构，下设15cm厚碎石基层。</w:t>
            </w:r>
          </w:p>
        </w:tc>
      </w:tr>
      <w:tr w14:paraId="5C2BD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225E5C9B">
            <w:pPr>
              <w:spacing w:line="300" w:lineRule="exact"/>
              <w:jc w:val="center"/>
              <w:rPr>
                <w:rFonts w:hint="eastAsia" w:ascii="Arial" w:hAnsi="Arial" w:cs="Arial"/>
                <w:bCs/>
                <w:sz w:val="22"/>
                <w:szCs w:val="22"/>
              </w:rPr>
            </w:pPr>
          </w:p>
        </w:tc>
        <w:tc>
          <w:tcPr>
            <w:tcW w:w="645" w:type="dxa"/>
            <w:gridSpan w:val="2"/>
            <w:vMerge w:val="restart"/>
            <w:noWrap w:val="0"/>
            <w:vAlign w:val="center"/>
          </w:tcPr>
          <w:p w14:paraId="0184DC9A">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rPr>
              <w:t>施工</w:t>
            </w:r>
            <w:r>
              <w:rPr>
                <w:rFonts w:hint="eastAsia" w:ascii="Arial" w:hAnsi="宋体" w:cs="Arial"/>
                <w:bCs/>
                <w:sz w:val="22"/>
                <w:szCs w:val="22"/>
                <w:lang w:eastAsia="zh-CN"/>
              </w:rPr>
              <w:t>场地</w:t>
            </w:r>
          </w:p>
        </w:tc>
        <w:tc>
          <w:tcPr>
            <w:tcW w:w="1247" w:type="dxa"/>
            <w:gridSpan w:val="2"/>
            <w:noWrap w:val="0"/>
            <w:vAlign w:val="center"/>
          </w:tcPr>
          <w:p w14:paraId="1675E172">
            <w:pPr>
              <w:spacing w:line="300" w:lineRule="exact"/>
              <w:jc w:val="center"/>
              <w:rPr>
                <w:rFonts w:hint="eastAsia" w:ascii="Arial" w:hAnsi="宋体" w:cs="Arial"/>
                <w:bCs/>
                <w:sz w:val="22"/>
                <w:szCs w:val="22"/>
              </w:rPr>
            </w:pPr>
            <w:r>
              <w:rPr>
                <w:rFonts w:hint="eastAsia" w:ascii="Arial" w:hAnsi="宋体" w:cs="Arial"/>
                <w:bCs/>
                <w:sz w:val="22"/>
                <w:szCs w:val="22"/>
              </w:rPr>
              <w:t>枢纽工程</w:t>
            </w:r>
          </w:p>
        </w:tc>
        <w:tc>
          <w:tcPr>
            <w:tcW w:w="6979" w:type="dxa"/>
            <w:noWrap w:val="0"/>
            <w:vAlign w:val="center"/>
          </w:tcPr>
          <w:p w14:paraId="702F6F23">
            <w:pPr>
              <w:spacing w:line="300" w:lineRule="exact"/>
              <w:jc w:val="center"/>
              <w:rPr>
                <w:rFonts w:hint="eastAsia" w:ascii="Arial" w:hAnsi="Arial" w:cs="Arial"/>
                <w:sz w:val="22"/>
                <w:szCs w:val="22"/>
                <w:lang w:eastAsia="zh-CN"/>
              </w:rPr>
            </w:pPr>
            <w:r>
              <w:rPr>
                <w:rFonts w:hint="eastAsia" w:ascii="Arial" w:hAnsi="Arial" w:cs="Arial"/>
                <w:sz w:val="22"/>
                <w:szCs w:val="22"/>
                <w:lang w:eastAsia="zh-CN"/>
              </w:rPr>
              <w:t>设置1个工区，位于枢纽工程下游左岸约</w:t>
            </w:r>
            <w:r>
              <w:rPr>
                <w:rFonts w:hint="eastAsia" w:ascii="Arial" w:hAnsi="Arial" w:cs="Arial"/>
                <w:sz w:val="22"/>
                <w:szCs w:val="22"/>
                <w:lang w:val="en-US" w:eastAsia="zh-CN"/>
              </w:rPr>
              <w:t>200m处，地势较为平坦，占地面积约5000m</w:t>
            </w:r>
            <w:r>
              <w:rPr>
                <w:rFonts w:hint="eastAsia" w:ascii="Arial" w:hAnsi="Arial" w:cs="Arial"/>
                <w:sz w:val="22"/>
                <w:szCs w:val="22"/>
                <w:vertAlign w:val="superscript"/>
                <w:lang w:val="en-US" w:eastAsia="zh-CN"/>
              </w:rPr>
              <w:t>2</w:t>
            </w:r>
            <w:r>
              <w:rPr>
                <w:rFonts w:hint="eastAsia" w:ascii="Arial" w:hAnsi="Arial" w:cs="Arial"/>
                <w:sz w:val="22"/>
                <w:szCs w:val="22"/>
                <w:lang w:val="en-US" w:eastAsia="zh-CN"/>
              </w:rPr>
              <w:t>，主要布置为机械停放场、综合加工场、混凝土拌合场、物料堆场、油料区、</w:t>
            </w:r>
            <w:r>
              <w:rPr>
                <w:rFonts w:hint="eastAsia" w:ascii="Arial" w:hAnsi="Arial" w:cs="Arial"/>
                <w:sz w:val="22"/>
                <w:szCs w:val="22"/>
                <w:lang w:eastAsia="zh-CN"/>
              </w:rPr>
              <w:t>供风站、供水站等施工工厂和设施等。</w:t>
            </w:r>
          </w:p>
        </w:tc>
      </w:tr>
      <w:tr w14:paraId="5A5A2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00D679F5">
            <w:pPr>
              <w:spacing w:line="300" w:lineRule="exact"/>
              <w:jc w:val="center"/>
              <w:rPr>
                <w:rFonts w:hint="eastAsia" w:ascii="Arial" w:hAnsi="Arial" w:cs="Arial"/>
                <w:bCs/>
                <w:sz w:val="22"/>
                <w:szCs w:val="22"/>
              </w:rPr>
            </w:pPr>
          </w:p>
        </w:tc>
        <w:tc>
          <w:tcPr>
            <w:tcW w:w="645" w:type="dxa"/>
            <w:gridSpan w:val="2"/>
            <w:vMerge w:val="continue"/>
            <w:noWrap w:val="0"/>
            <w:vAlign w:val="center"/>
          </w:tcPr>
          <w:p w14:paraId="0A5467F9">
            <w:pPr>
              <w:spacing w:line="300" w:lineRule="exact"/>
              <w:jc w:val="center"/>
              <w:rPr>
                <w:rFonts w:hint="eastAsia" w:ascii="Arial" w:hAnsi="宋体" w:cs="Arial"/>
                <w:bCs/>
                <w:sz w:val="22"/>
                <w:szCs w:val="22"/>
              </w:rPr>
            </w:pPr>
          </w:p>
        </w:tc>
        <w:tc>
          <w:tcPr>
            <w:tcW w:w="1247" w:type="dxa"/>
            <w:gridSpan w:val="2"/>
            <w:noWrap w:val="0"/>
            <w:vAlign w:val="center"/>
          </w:tcPr>
          <w:p w14:paraId="3BF18DF2">
            <w:pPr>
              <w:spacing w:line="300" w:lineRule="exact"/>
              <w:jc w:val="center"/>
              <w:rPr>
                <w:rFonts w:hint="eastAsia" w:ascii="Arial" w:hAnsi="宋体" w:cs="Arial"/>
                <w:bCs/>
                <w:sz w:val="22"/>
                <w:szCs w:val="22"/>
              </w:rPr>
            </w:pPr>
            <w:r>
              <w:rPr>
                <w:rFonts w:hint="eastAsia" w:ascii="Arial" w:hAnsi="宋体" w:cs="Arial"/>
                <w:bCs/>
                <w:sz w:val="22"/>
                <w:szCs w:val="22"/>
              </w:rPr>
              <w:t>输水工程</w:t>
            </w:r>
          </w:p>
        </w:tc>
        <w:tc>
          <w:tcPr>
            <w:tcW w:w="6979" w:type="dxa"/>
            <w:noWrap w:val="0"/>
            <w:vAlign w:val="center"/>
          </w:tcPr>
          <w:p w14:paraId="047FD6D8">
            <w:pPr>
              <w:spacing w:line="300" w:lineRule="exact"/>
              <w:jc w:val="center"/>
              <w:rPr>
                <w:rFonts w:hint="eastAsia" w:ascii="Arial" w:hAnsi="Arial" w:cs="Arial"/>
                <w:sz w:val="22"/>
                <w:szCs w:val="22"/>
                <w:lang w:eastAsia="zh-CN"/>
              </w:rPr>
            </w:pPr>
            <w:r>
              <w:rPr>
                <w:rFonts w:hint="eastAsia" w:ascii="Arial" w:hAnsi="Arial" w:cs="Arial"/>
                <w:sz w:val="22"/>
                <w:szCs w:val="22"/>
                <w:lang w:eastAsia="zh-CN"/>
              </w:rPr>
              <w:t>设置1个工区，位于双龙干管</w:t>
            </w:r>
            <w:r>
              <w:rPr>
                <w:rFonts w:hint="eastAsia" w:ascii="Arial" w:hAnsi="Arial" w:cs="Arial"/>
                <w:sz w:val="22"/>
                <w:szCs w:val="22"/>
                <w:lang w:val="en-US" w:eastAsia="zh-CN"/>
              </w:rPr>
              <w:t>K1+950左侧，占地面积约1600m</w:t>
            </w:r>
            <w:r>
              <w:rPr>
                <w:rFonts w:hint="eastAsia" w:ascii="Arial" w:hAnsi="Arial" w:cs="Arial"/>
                <w:sz w:val="22"/>
                <w:szCs w:val="22"/>
                <w:vertAlign w:val="superscript"/>
                <w:lang w:val="en-US" w:eastAsia="zh-CN"/>
              </w:rPr>
              <w:t>2</w:t>
            </w:r>
            <w:r>
              <w:rPr>
                <w:rFonts w:hint="eastAsia" w:ascii="Arial" w:hAnsi="Arial" w:cs="Arial"/>
                <w:sz w:val="22"/>
                <w:szCs w:val="22"/>
                <w:lang w:val="en-US" w:eastAsia="zh-CN"/>
              </w:rPr>
              <w:t>，主要布置有物料堆场、综合加工场、机械停放场等，沿线施工区设置可移动式搅拌机。</w:t>
            </w:r>
          </w:p>
        </w:tc>
      </w:tr>
      <w:tr w14:paraId="5F6EF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114567B6">
            <w:pPr>
              <w:spacing w:line="300" w:lineRule="exact"/>
              <w:jc w:val="center"/>
              <w:rPr>
                <w:rFonts w:hint="eastAsia" w:ascii="Arial" w:hAnsi="Arial" w:cs="Arial"/>
                <w:bCs/>
                <w:sz w:val="22"/>
                <w:szCs w:val="22"/>
              </w:rPr>
            </w:pPr>
          </w:p>
        </w:tc>
        <w:tc>
          <w:tcPr>
            <w:tcW w:w="1892" w:type="dxa"/>
            <w:gridSpan w:val="4"/>
            <w:noWrap w:val="0"/>
            <w:vAlign w:val="center"/>
          </w:tcPr>
          <w:p w14:paraId="549F7F8C">
            <w:pPr>
              <w:spacing w:line="300" w:lineRule="exact"/>
              <w:jc w:val="center"/>
              <w:rPr>
                <w:rFonts w:hint="eastAsia" w:ascii="Arial" w:hAnsi="宋体" w:cs="Arial"/>
                <w:bCs/>
                <w:color w:val="auto"/>
                <w:sz w:val="22"/>
                <w:szCs w:val="22"/>
              </w:rPr>
            </w:pPr>
            <w:r>
              <w:rPr>
                <w:rFonts w:hint="eastAsia" w:ascii="Arial" w:hAnsi="宋体" w:cs="Arial"/>
                <w:bCs/>
                <w:color w:val="auto"/>
                <w:sz w:val="22"/>
                <w:szCs w:val="22"/>
              </w:rPr>
              <w:t>料场</w:t>
            </w:r>
          </w:p>
        </w:tc>
        <w:tc>
          <w:tcPr>
            <w:tcW w:w="6979" w:type="dxa"/>
            <w:noWrap w:val="0"/>
            <w:vAlign w:val="center"/>
          </w:tcPr>
          <w:p w14:paraId="4313934B">
            <w:pPr>
              <w:spacing w:line="300" w:lineRule="exact"/>
              <w:jc w:val="center"/>
              <w:rPr>
                <w:rFonts w:hint="eastAsia" w:ascii="Arial" w:hAnsi="宋体" w:cs="Arial"/>
                <w:bCs/>
                <w:color w:val="auto"/>
                <w:sz w:val="22"/>
                <w:szCs w:val="22"/>
              </w:rPr>
            </w:pPr>
            <w:r>
              <w:rPr>
                <w:rFonts w:hint="eastAsia" w:ascii="Arial" w:cs="Arial"/>
                <w:bCs/>
                <w:color w:val="auto"/>
                <w:sz w:val="22"/>
                <w:szCs w:val="22"/>
              </w:rPr>
              <w:t>项目不设料场，施工所需块石可外购于</w:t>
            </w:r>
            <w:r>
              <w:rPr>
                <w:rFonts w:hint="eastAsia" w:ascii="Arial" w:cs="Arial"/>
                <w:bCs/>
                <w:color w:val="auto"/>
                <w:sz w:val="22"/>
                <w:szCs w:val="22"/>
                <w:lang w:eastAsia="zh-CN"/>
              </w:rPr>
              <w:t>青龙乡黄泥村石料场</w:t>
            </w:r>
            <w:r>
              <w:rPr>
                <w:rFonts w:hint="eastAsia" w:ascii="Arial" w:cs="Arial"/>
                <w:bCs/>
                <w:color w:val="auto"/>
                <w:sz w:val="22"/>
                <w:szCs w:val="22"/>
              </w:rPr>
              <w:t>，</w:t>
            </w:r>
            <w:r>
              <w:rPr>
                <w:rFonts w:hint="eastAsia" w:ascii="Arial" w:cs="Arial"/>
                <w:bCs/>
                <w:color w:val="auto"/>
                <w:sz w:val="22"/>
                <w:szCs w:val="22"/>
                <w:lang w:eastAsia="zh-CN"/>
              </w:rPr>
              <w:t>特细砂料可在丰都县购买合法采沙场开采的长江砂，水泥可在东方希望重庆水泥有限公司购买，混凝土在枢纽工程施工场地和输水工程沿线设置的移动式搅拌机内进行拌合。</w:t>
            </w:r>
          </w:p>
        </w:tc>
      </w:tr>
      <w:tr w14:paraId="04CF2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29A8C5D3">
            <w:pPr>
              <w:spacing w:line="300" w:lineRule="exact"/>
              <w:jc w:val="center"/>
              <w:rPr>
                <w:rFonts w:hint="eastAsia" w:ascii="Arial" w:hAnsi="Arial" w:cs="Arial"/>
                <w:bCs/>
                <w:sz w:val="22"/>
                <w:szCs w:val="22"/>
              </w:rPr>
            </w:pPr>
          </w:p>
        </w:tc>
        <w:tc>
          <w:tcPr>
            <w:tcW w:w="1892" w:type="dxa"/>
            <w:gridSpan w:val="4"/>
            <w:shd w:val="clear" w:color="auto" w:fill="auto"/>
            <w:noWrap w:val="0"/>
            <w:vAlign w:val="center"/>
          </w:tcPr>
          <w:p w14:paraId="7698AAB3">
            <w:pPr>
              <w:spacing w:line="300" w:lineRule="exact"/>
              <w:jc w:val="center"/>
              <w:rPr>
                <w:rFonts w:hint="eastAsia" w:ascii="Arial" w:hAnsi="宋体" w:eastAsia="宋体" w:cs="Arial"/>
                <w:bCs/>
                <w:color w:val="auto"/>
                <w:kern w:val="2"/>
                <w:sz w:val="22"/>
                <w:szCs w:val="22"/>
                <w:lang w:val="en-US" w:eastAsia="zh-CN" w:bidi="ar-SA"/>
              </w:rPr>
            </w:pPr>
            <w:r>
              <w:rPr>
                <w:rFonts w:hint="eastAsia" w:ascii="Arial" w:hAnsi="宋体" w:cs="Arial"/>
                <w:bCs/>
                <w:color w:val="auto"/>
                <w:sz w:val="22"/>
                <w:szCs w:val="22"/>
                <w:lang w:eastAsia="zh-CN"/>
              </w:rPr>
              <w:t>弃渣场</w:t>
            </w:r>
          </w:p>
        </w:tc>
        <w:tc>
          <w:tcPr>
            <w:tcW w:w="6979" w:type="dxa"/>
            <w:shd w:val="clear" w:color="auto" w:fill="auto"/>
            <w:noWrap w:val="0"/>
            <w:vAlign w:val="center"/>
          </w:tcPr>
          <w:p w14:paraId="330DE5DC">
            <w:pPr>
              <w:spacing w:line="300" w:lineRule="exact"/>
              <w:jc w:val="center"/>
              <w:rPr>
                <w:rFonts w:hint="eastAsia" w:ascii="Arial" w:hAnsi="Times New Roman" w:eastAsia="宋体" w:cs="Arial"/>
                <w:bCs/>
                <w:color w:val="auto"/>
                <w:kern w:val="2"/>
                <w:sz w:val="22"/>
                <w:szCs w:val="22"/>
                <w:lang w:val="en-US" w:eastAsia="zh-CN" w:bidi="ar-SA"/>
              </w:rPr>
            </w:pPr>
            <w:r>
              <w:rPr>
                <w:rFonts w:hint="eastAsia" w:ascii="Arial" w:cs="Arial"/>
                <w:bCs/>
                <w:color w:val="auto"/>
                <w:sz w:val="22"/>
                <w:szCs w:val="22"/>
              </w:rPr>
              <w:t>设置弃渣场1处，位于</w:t>
            </w:r>
            <w:r>
              <w:rPr>
                <w:rFonts w:hint="eastAsia" w:ascii="Arial" w:cs="Arial"/>
                <w:bCs/>
                <w:color w:val="auto"/>
                <w:sz w:val="22"/>
                <w:szCs w:val="22"/>
                <w:lang w:eastAsia="zh-CN"/>
              </w:rPr>
              <w:t>田家山村村委会附近</w:t>
            </w:r>
            <w:r>
              <w:rPr>
                <w:rFonts w:hint="eastAsia" w:ascii="Arial" w:cs="Arial"/>
                <w:bCs/>
                <w:color w:val="auto"/>
                <w:sz w:val="22"/>
                <w:szCs w:val="22"/>
                <w:lang w:val="en-US" w:eastAsia="zh-CN"/>
              </w:rPr>
              <w:t>200m处，</w:t>
            </w:r>
            <w:r>
              <w:rPr>
                <w:rFonts w:hint="eastAsia" w:ascii="Arial" w:cs="Arial"/>
                <w:bCs/>
                <w:color w:val="auto"/>
                <w:sz w:val="22"/>
                <w:szCs w:val="22"/>
              </w:rPr>
              <w:t>距离大坝枢纽运距约</w:t>
            </w:r>
            <w:r>
              <w:rPr>
                <w:rFonts w:hint="eastAsia" w:ascii="Arial" w:cs="Arial"/>
                <w:bCs/>
                <w:color w:val="auto"/>
                <w:sz w:val="22"/>
                <w:szCs w:val="22"/>
                <w:lang w:val="en-US" w:eastAsia="zh-CN"/>
              </w:rPr>
              <w:t>6</w:t>
            </w:r>
            <w:r>
              <w:rPr>
                <w:rFonts w:ascii="Arial" w:cs="Arial"/>
                <w:bCs/>
                <w:color w:val="auto"/>
                <w:sz w:val="22"/>
                <w:szCs w:val="22"/>
              </w:rPr>
              <w:t>km</w:t>
            </w:r>
            <w:r>
              <w:rPr>
                <w:rFonts w:hint="eastAsia" w:ascii="Arial" w:cs="Arial"/>
                <w:bCs/>
                <w:color w:val="auto"/>
                <w:sz w:val="22"/>
                <w:szCs w:val="22"/>
              </w:rPr>
              <w:t>，占地面积</w:t>
            </w:r>
            <w:r>
              <w:rPr>
                <w:rFonts w:hint="eastAsia" w:ascii="Arial" w:cs="Arial"/>
                <w:bCs/>
                <w:color w:val="auto"/>
                <w:sz w:val="22"/>
                <w:szCs w:val="22"/>
                <w:lang w:val="en-US" w:eastAsia="zh-CN"/>
              </w:rPr>
              <w:t>49.47亩</w:t>
            </w:r>
            <w:r>
              <w:rPr>
                <w:rFonts w:hint="eastAsia" w:ascii="Arial" w:cs="Arial"/>
                <w:bCs/>
                <w:color w:val="auto"/>
                <w:sz w:val="22"/>
                <w:szCs w:val="22"/>
              </w:rPr>
              <w:t>，弃渣容量约</w:t>
            </w:r>
            <w:r>
              <w:rPr>
                <w:rFonts w:hint="eastAsia" w:ascii="Arial" w:cs="Arial"/>
                <w:bCs/>
                <w:color w:val="auto"/>
                <w:sz w:val="22"/>
                <w:szCs w:val="22"/>
                <w:lang w:val="en-US" w:eastAsia="zh-CN"/>
              </w:rPr>
              <w:t>1</w:t>
            </w:r>
            <w:r>
              <w:rPr>
                <w:rFonts w:hint="eastAsia" w:ascii="Arial" w:cs="Arial"/>
                <w:bCs/>
                <w:color w:val="auto"/>
                <w:sz w:val="22"/>
                <w:szCs w:val="22"/>
              </w:rPr>
              <w:t>2万</w:t>
            </w:r>
            <w:r>
              <w:rPr>
                <w:rFonts w:ascii="Arial" w:cs="Arial"/>
                <w:bCs/>
                <w:color w:val="auto"/>
                <w:sz w:val="22"/>
                <w:szCs w:val="22"/>
              </w:rPr>
              <w:t>m</w:t>
            </w:r>
            <w:r>
              <w:rPr>
                <w:rFonts w:ascii="Arial" w:cs="Arial"/>
                <w:bCs/>
                <w:color w:val="auto"/>
                <w:sz w:val="22"/>
                <w:szCs w:val="22"/>
                <w:vertAlign w:val="superscript"/>
              </w:rPr>
              <w:t>3</w:t>
            </w:r>
            <w:r>
              <w:rPr>
                <w:rFonts w:hint="eastAsia" w:ascii="Arial" w:cs="Arial"/>
                <w:bCs/>
                <w:color w:val="auto"/>
                <w:sz w:val="22"/>
                <w:szCs w:val="22"/>
              </w:rPr>
              <w:t>，用于堆存处置枢纽工程</w:t>
            </w:r>
            <w:r>
              <w:rPr>
                <w:rFonts w:hint="eastAsia" w:ascii="Arial" w:cs="Arial"/>
                <w:bCs/>
                <w:color w:val="auto"/>
                <w:sz w:val="22"/>
                <w:szCs w:val="22"/>
                <w:lang w:eastAsia="zh-CN"/>
              </w:rPr>
              <w:t>、输水工程</w:t>
            </w:r>
            <w:r>
              <w:rPr>
                <w:rFonts w:hint="eastAsia" w:ascii="Arial" w:cs="Arial"/>
                <w:bCs/>
                <w:color w:val="auto"/>
                <w:sz w:val="22"/>
                <w:szCs w:val="22"/>
              </w:rPr>
              <w:t>施工产生的废弃土石方。</w:t>
            </w:r>
            <w:r>
              <w:rPr>
                <w:rFonts w:hint="default" w:ascii="Arial" w:hAnsi="Arial" w:cs="Arial"/>
                <w:color w:val="auto"/>
                <w:sz w:val="22"/>
                <w:szCs w:val="22"/>
                <w:lang w:val="en-US" w:eastAsia="zh-CN"/>
              </w:rPr>
              <w:t>堆渣前于</w:t>
            </w:r>
            <w:r>
              <w:rPr>
                <w:rFonts w:hint="default" w:ascii="Arial" w:hAnsi="Arial" w:cs="Arial"/>
                <w:color w:val="auto"/>
                <w:sz w:val="22"/>
                <w:szCs w:val="22"/>
                <w:highlight w:val="none"/>
              </w:rPr>
              <w:t>坡脚</w:t>
            </w:r>
            <w:r>
              <w:rPr>
                <w:rFonts w:hint="default" w:ascii="Arial" w:hAnsi="Arial" w:cs="Arial"/>
                <w:color w:val="auto"/>
                <w:sz w:val="22"/>
                <w:szCs w:val="22"/>
                <w:highlight w:val="none"/>
                <w:lang w:eastAsia="zh-CN"/>
              </w:rPr>
              <w:t>修建</w:t>
            </w:r>
            <w:r>
              <w:rPr>
                <w:rFonts w:hint="default" w:ascii="Arial" w:hAnsi="Arial" w:cs="Arial"/>
                <w:color w:val="auto"/>
                <w:sz w:val="22"/>
                <w:szCs w:val="22"/>
                <w:highlight w:val="none"/>
              </w:rPr>
              <w:t xml:space="preserve"> C20埋石砼</w:t>
            </w:r>
            <w:r>
              <w:rPr>
                <w:rFonts w:hint="default" w:ascii="Arial" w:hAnsi="Arial" w:cs="Arial"/>
                <w:color w:val="auto"/>
                <w:sz w:val="22"/>
                <w:szCs w:val="22"/>
                <w:highlight w:val="none"/>
                <w:lang w:val="en-US" w:eastAsia="zh-CN"/>
              </w:rPr>
              <w:t>重力式</w:t>
            </w:r>
            <w:r>
              <w:rPr>
                <w:rFonts w:hint="default" w:ascii="Arial" w:hAnsi="Arial" w:cs="Arial"/>
                <w:color w:val="auto"/>
                <w:sz w:val="22"/>
                <w:szCs w:val="22"/>
                <w:highlight w:val="none"/>
              </w:rPr>
              <w:t>挡土墙拦挡</w:t>
            </w:r>
            <w:r>
              <w:rPr>
                <w:rFonts w:hint="default" w:ascii="Arial" w:hAnsi="Arial" w:cs="Arial"/>
                <w:color w:val="auto"/>
                <w:sz w:val="22"/>
                <w:szCs w:val="22"/>
                <w:lang w:val="en-US" w:eastAsia="zh-CN"/>
              </w:rPr>
              <w:t>，</w:t>
            </w:r>
            <w:r>
              <w:rPr>
                <w:rFonts w:hint="eastAsia" w:ascii="Arial" w:hAnsi="Arial" w:cs="Arial"/>
                <w:color w:val="auto"/>
                <w:sz w:val="22"/>
                <w:szCs w:val="22"/>
                <w:lang w:val="en-US" w:eastAsia="zh-CN"/>
              </w:rPr>
              <w:t>长95m。</w:t>
            </w:r>
            <w:r>
              <w:rPr>
                <w:rFonts w:hint="eastAsia" w:ascii="Arial" w:hAnsi="Times New Roman" w:cs="Arial"/>
                <w:bCs/>
                <w:color w:val="auto"/>
                <w:sz w:val="22"/>
                <w:szCs w:val="22"/>
                <w:lang w:val="en-US" w:eastAsia="zh-CN"/>
              </w:rPr>
              <w:t>采取多级放坡方式布置，平均堆渣厚度5.0m</w:t>
            </w:r>
            <w:r>
              <w:rPr>
                <w:rFonts w:hint="eastAsia" w:ascii="Arial" w:hAnsi="Times New Roman" w:cs="Arial"/>
                <w:bCs/>
                <w:color w:val="auto"/>
                <w:sz w:val="22"/>
                <w:szCs w:val="22"/>
                <w:lang w:eastAsia="zh-CN"/>
              </w:rPr>
              <w:t>，堆渣边坡不陡</w:t>
            </w:r>
            <w:r>
              <w:rPr>
                <w:rFonts w:hint="eastAsia" w:ascii="Arial" w:hAnsi="Times New Roman" w:cs="Arial"/>
                <w:bCs/>
                <w:color w:val="auto"/>
                <w:sz w:val="22"/>
                <w:szCs w:val="22"/>
                <w:lang w:val="en-US" w:eastAsia="zh-CN"/>
              </w:rPr>
              <w:t>于1:3.0，堆渣体</w:t>
            </w:r>
            <w:r>
              <w:rPr>
                <w:rFonts w:hint="eastAsia" w:ascii="Arial" w:hAnsi="Times New Roman" w:cs="Arial"/>
                <w:bCs/>
                <w:color w:val="auto"/>
                <w:sz w:val="22"/>
                <w:szCs w:val="22"/>
                <w:lang w:eastAsia="zh-CN"/>
              </w:rPr>
              <w:t>应采取分层碾压，压实系数不低于 0.91。沿渣场</w:t>
            </w:r>
            <w:r>
              <w:rPr>
                <w:rFonts w:hint="eastAsia" w:ascii="Arial" w:hAnsi="Times New Roman" w:cs="Arial"/>
                <w:bCs/>
                <w:color w:val="auto"/>
                <w:sz w:val="22"/>
                <w:szCs w:val="22"/>
                <w:lang w:val="en-US" w:eastAsia="zh-CN"/>
              </w:rPr>
              <w:t>外围</w:t>
            </w:r>
            <w:r>
              <w:rPr>
                <w:rFonts w:hint="eastAsia" w:ascii="Arial" w:hAnsi="Times New Roman" w:cs="Arial"/>
                <w:bCs/>
                <w:color w:val="auto"/>
                <w:sz w:val="22"/>
                <w:szCs w:val="22"/>
                <w:lang w:eastAsia="zh-CN"/>
              </w:rPr>
              <w:t>边界及坡顶布置</w:t>
            </w:r>
            <w:r>
              <w:rPr>
                <w:rFonts w:hint="eastAsia" w:ascii="Arial" w:hAnsi="Times New Roman" w:cs="Arial"/>
                <w:bCs/>
                <w:color w:val="auto"/>
                <w:sz w:val="22"/>
                <w:szCs w:val="22"/>
                <w:lang w:val="en-US" w:eastAsia="zh-CN"/>
              </w:rPr>
              <w:t>M10浆砌块石</w:t>
            </w:r>
            <w:r>
              <w:rPr>
                <w:rFonts w:hint="eastAsia" w:ascii="Arial" w:hAnsi="Times New Roman" w:cs="Arial"/>
                <w:bCs/>
                <w:color w:val="auto"/>
                <w:sz w:val="22"/>
                <w:szCs w:val="22"/>
                <w:lang w:eastAsia="zh-CN"/>
              </w:rPr>
              <w:t>排水沟，排水沟出口处设沉砂池，经沉沙后接入附近天然沟道。渣场堆填完成后，应对渣场实施覆土、绿化等水土保持最终封场措施。</w:t>
            </w:r>
          </w:p>
        </w:tc>
      </w:tr>
      <w:tr w14:paraId="60ECE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4E13A034">
            <w:pPr>
              <w:spacing w:line="300" w:lineRule="exact"/>
              <w:jc w:val="center"/>
              <w:rPr>
                <w:rFonts w:hint="eastAsia" w:ascii="Arial" w:hAnsi="Arial" w:cs="Arial"/>
                <w:bCs/>
                <w:sz w:val="22"/>
                <w:szCs w:val="22"/>
              </w:rPr>
            </w:pPr>
          </w:p>
        </w:tc>
        <w:tc>
          <w:tcPr>
            <w:tcW w:w="1892" w:type="dxa"/>
            <w:gridSpan w:val="4"/>
            <w:noWrap w:val="0"/>
            <w:vAlign w:val="center"/>
          </w:tcPr>
          <w:p w14:paraId="59D899E8">
            <w:pPr>
              <w:spacing w:line="300" w:lineRule="exact"/>
              <w:jc w:val="center"/>
              <w:rPr>
                <w:rFonts w:hint="eastAsia" w:ascii="Arial" w:hAnsi="宋体" w:eastAsia="宋体" w:cs="Arial"/>
                <w:bCs/>
                <w:color w:val="auto"/>
                <w:sz w:val="22"/>
                <w:szCs w:val="22"/>
                <w:lang w:eastAsia="zh-CN"/>
              </w:rPr>
            </w:pPr>
            <w:r>
              <w:rPr>
                <w:rFonts w:hint="eastAsia" w:ascii="Arial" w:hAnsi="宋体" w:cs="Arial"/>
                <w:bCs/>
                <w:color w:val="auto"/>
                <w:sz w:val="22"/>
                <w:szCs w:val="22"/>
                <w:lang w:eastAsia="zh-CN"/>
              </w:rPr>
              <w:t>施工营地</w:t>
            </w:r>
          </w:p>
        </w:tc>
        <w:tc>
          <w:tcPr>
            <w:tcW w:w="6979" w:type="dxa"/>
            <w:noWrap w:val="0"/>
            <w:vAlign w:val="center"/>
          </w:tcPr>
          <w:p w14:paraId="175687C7">
            <w:pPr>
              <w:spacing w:line="300" w:lineRule="exact"/>
              <w:jc w:val="center"/>
              <w:rPr>
                <w:rFonts w:hint="eastAsia" w:ascii="Arial" w:eastAsia="宋体" w:cs="Arial"/>
                <w:bCs/>
                <w:color w:val="auto"/>
                <w:sz w:val="22"/>
                <w:szCs w:val="22"/>
                <w:lang w:eastAsia="zh-CN"/>
              </w:rPr>
            </w:pPr>
            <w:r>
              <w:rPr>
                <w:rFonts w:hint="eastAsia" w:ascii="Arial" w:cs="Arial"/>
                <w:bCs/>
                <w:color w:val="auto"/>
                <w:sz w:val="22"/>
                <w:szCs w:val="22"/>
                <w:lang w:eastAsia="zh-CN"/>
              </w:rPr>
              <w:t>租用周边居民房屋作施工营地，不新增占地和建构筑物。</w:t>
            </w:r>
          </w:p>
        </w:tc>
      </w:tr>
      <w:tr w14:paraId="2779B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56" w:type="dxa"/>
            <w:vMerge w:val="restart"/>
            <w:noWrap w:val="0"/>
            <w:vAlign w:val="center"/>
          </w:tcPr>
          <w:p w14:paraId="163756A2">
            <w:pPr>
              <w:spacing w:line="300" w:lineRule="exact"/>
              <w:jc w:val="center"/>
              <w:rPr>
                <w:rFonts w:hint="eastAsia" w:ascii="Arial" w:hAnsi="Arial" w:cs="Arial"/>
                <w:bCs/>
                <w:sz w:val="22"/>
                <w:szCs w:val="22"/>
              </w:rPr>
            </w:pPr>
            <w:r>
              <w:rPr>
                <w:rFonts w:hint="eastAsia" w:ascii="Arial" w:hAnsi="Arial" w:cs="Arial"/>
                <w:bCs/>
                <w:sz w:val="22"/>
                <w:szCs w:val="22"/>
              </w:rPr>
              <w:t>公用工程</w:t>
            </w:r>
          </w:p>
        </w:tc>
        <w:tc>
          <w:tcPr>
            <w:tcW w:w="641" w:type="dxa"/>
            <w:vMerge w:val="restart"/>
            <w:noWrap w:val="0"/>
            <w:vAlign w:val="center"/>
          </w:tcPr>
          <w:p w14:paraId="45E62124">
            <w:pPr>
              <w:spacing w:line="300" w:lineRule="exact"/>
              <w:jc w:val="center"/>
              <w:rPr>
                <w:rFonts w:hint="eastAsia" w:ascii="Arial" w:hAnsi="宋体" w:cs="Arial"/>
                <w:bCs/>
                <w:sz w:val="22"/>
                <w:szCs w:val="22"/>
              </w:rPr>
            </w:pPr>
            <w:r>
              <w:rPr>
                <w:rFonts w:hint="eastAsia" w:ascii="Arial" w:hAnsi="宋体" w:cs="Arial"/>
                <w:bCs/>
                <w:sz w:val="22"/>
                <w:szCs w:val="22"/>
              </w:rPr>
              <w:t>供水</w:t>
            </w:r>
          </w:p>
        </w:tc>
        <w:tc>
          <w:tcPr>
            <w:tcW w:w="1251" w:type="dxa"/>
            <w:gridSpan w:val="3"/>
            <w:noWrap w:val="0"/>
            <w:vAlign w:val="center"/>
          </w:tcPr>
          <w:p w14:paraId="6A741345">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枢纽工程</w:t>
            </w:r>
          </w:p>
        </w:tc>
        <w:tc>
          <w:tcPr>
            <w:tcW w:w="6979" w:type="dxa"/>
            <w:noWrap w:val="0"/>
            <w:vAlign w:val="center"/>
          </w:tcPr>
          <w:p w14:paraId="38DD9213">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rPr>
              <w:t>施工期生产用水直接从工程河段下游抽取，</w:t>
            </w:r>
            <w:r>
              <w:rPr>
                <w:rFonts w:hint="eastAsia" w:ascii="Arial" w:hAnsi="宋体" w:cs="Arial"/>
                <w:bCs/>
                <w:sz w:val="22"/>
                <w:szCs w:val="22"/>
                <w:lang w:eastAsia="zh-CN"/>
              </w:rPr>
              <w:t>暂存于大坝左岸永久占地范围内设置的容积为</w:t>
            </w:r>
            <w:r>
              <w:rPr>
                <w:rFonts w:hint="eastAsia" w:ascii="Arial" w:hAnsi="宋体" w:cs="Arial"/>
                <w:bCs/>
                <w:sz w:val="22"/>
                <w:szCs w:val="22"/>
                <w:lang w:val="en-US" w:eastAsia="zh-CN"/>
              </w:rPr>
              <w:t>60m</w:t>
            </w:r>
            <w:r>
              <w:rPr>
                <w:rFonts w:hint="eastAsia" w:ascii="Arial" w:hAnsi="宋体" w:cs="Arial"/>
                <w:bCs/>
                <w:sz w:val="22"/>
                <w:szCs w:val="22"/>
                <w:vertAlign w:val="superscript"/>
                <w:lang w:val="en-US" w:eastAsia="zh-CN"/>
              </w:rPr>
              <w:t>3</w:t>
            </w:r>
            <w:r>
              <w:rPr>
                <w:rFonts w:hint="eastAsia" w:ascii="Arial" w:hAnsi="宋体" w:cs="Arial"/>
                <w:bCs/>
                <w:sz w:val="22"/>
                <w:szCs w:val="22"/>
                <w:lang w:val="en-US" w:eastAsia="zh-CN"/>
              </w:rPr>
              <w:t>水池内，</w:t>
            </w:r>
            <w:r>
              <w:rPr>
                <w:rFonts w:hint="eastAsia" w:ascii="Arial" w:hAnsi="宋体" w:cs="Arial"/>
                <w:bCs/>
                <w:sz w:val="22"/>
                <w:szCs w:val="22"/>
              </w:rPr>
              <w:t>其水质及水量均能满足要求。</w:t>
            </w:r>
            <w:r>
              <w:rPr>
                <w:rFonts w:hint="eastAsia" w:ascii="Arial" w:hAnsi="宋体" w:cs="Arial"/>
                <w:bCs/>
                <w:sz w:val="22"/>
                <w:szCs w:val="22"/>
                <w:lang w:eastAsia="zh-CN"/>
              </w:rPr>
              <w:t>租赁居民房屋作施工营地，生活用水</w:t>
            </w:r>
            <w:r>
              <w:rPr>
                <w:rFonts w:hint="eastAsia" w:ascii="Arial" w:hAnsi="Arial" w:cs="Arial"/>
                <w:color w:val="auto"/>
                <w:kern w:val="0"/>
                <w:sz w:val="22"/>
                <w:szCs w:val="22"/>
                <w:highlight w:val="none"/>
                <w:lang w:eastAsia="zh-CN"/>
              </w:rPr>
              <w:t>采取当地已供给的自来水或桶装水。</w:t>
            </w:r>
          </w:p>
        </w:tc>
      </w:tr>
      <w:tr w14:paraId="53E3B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656" w:type="dxa"/>
            <w:vMerge w:val="continue"/>
            <w:noWrap w:val="0"/>
            <w:vAlign w:val="center"/>
          </w:tcPr>
          <w:p w14:paraId="778C4359">
            <w:pPr>
              <w:spacing w:line="300" w:lineRule="exact"/>
              <w:jc w:val="center"/>
            </w:pPr>
          </w:p>
        </w:tc>
        <w:tc>
          <w:tcPr>
            <w:tcW w:w="641" w:type="dxa"/>
            <w:vMerge w:val="continue"/>
            <w:noWrap w:val="0"/>
            <w:vAlign w:val="center"/>
          </w:tcPr>
          <w:p w14:paraId="7F72FDDF">
            <w:pPr>
              <w:spacing w:line="300" w:lineRule="exact"/>
              <w:jc w:val="center"/>
            </w:pPr>
          </w:p>
        </w:tc>
        <w:tc>
          <w:tcPr>
            <w:tcW w:w="1251" w:type="dxa"/>
            <w:gridSpan w:val="3"/>
            <w:noWrap w:val="0"/>
            <w:vAlign w:val="center"/>
          </w:tcPr>
          <w:p w14:paraId="2B6E5EBC">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输水工程</w:t>
            </w:r>
          </w:p>
        </w:tc>
        <w:tc>
          <w:tcPr>
            <w:tcW w:w="6979" w:type="dxa"/>
            <w:noWrap w:val="0"/>
            <w:vAlign w:val="center"/>
          </w:tcPr>
          <w:p w14:paraId="0CD97CCA">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直接从河道内抽取。</w:t>
            </w:r>
          </w:p>
        </w:tc>
      </w:tr>
      <w:tr w14:paraId="29FA1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jc w:val="center"/>
        </w:trPr>
        <w:tc>
          <w:tcPr>
            <w:tcW w:w="656" w:type="dxa"/>
            <w:vMerge w:val="continue"/>
            <w:noWrap w:val="0"/>
            <w:vAlign w:val="center"/>
          </w:tcPr>
          <w:p w14:paraId="628624E1">
            <w:pPr>
              <w:spacing w:line="300" w:lineRule="exact"/>
              <w:jc w:val="center"/>
              <w:rPr>
                <w:rFonts w:hint="eastAsia" w:ascii="Arial" w:hAnsi="Arial" w:cs="Arial"/>
                <w:bCs/>
                <w:sz w:val="22"/>
                <w:szCs w:val="22"/>
              </w:rPr>
            </w:pPr>
          </w:p>
        </w:tc>
        <w:tc>
          <w:tcPr>
            <w:tcW w:w="641" w:type="dxa"/>
            <w:vMerge w:val="restart"/>
            <w:noWrap w:val="0"/>
            <w:vAlign w:val="center"/>
          </w:tcPr>
          <w:p w14:paraId="49C3D916">
            <w:pPr>
              <w:spacing w:line="300" w:lineRule="exact"/>
              <w:jc w:val="center"/>
              <w:rPr>
                <w:rFonts w:hint="eastAsia" w:ascii="Arial" w:hAnsi="宋体" w:cs="Arial"/>
                <w:bCs/>
                <w:sz w:val="22"/>
                <w:szCs w:val="22"/>
              </w:rPr>
            </w:pPr>
            <w:r>
              <w:rPr>
                <w:rFonts w:hint="eastAsia" w:ascii="Arial" w:hAnsi="宋体" w:cs="Arial"/>
                <w:bCs/>
                <w:sz w:val="22"/>
                <w:szCs w:val="22"/>
              </w:rPr>
              <w:t>供电</w:t>
            </w:r>
          </w:p>
        </w:tc>
        <w:tc>
          <w:tcPr>
            <w:tcW w:w="1251" w:type="dxa"/>
            <w:gridSpan w:val="3"/>
            <w:shd w:val="clear" w:color="auto" w:fill="auto"/>
            <w:noWrap w:val="0"/>
            <w:vAlign w:val="center"/>
          </w:tcPr>
          <w:p w14:paraId="10E297AD">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枢纽工程</w:t>
            </w:r>
          </w:p>
        </w:tc>
        <w:tc>
          <w:tcPr>
            <w:tcW w:w="6979" w:type="dxa"/>
            <w:noWrap w:val="0"/>
            <w:vAlign w:val="center"/>
          </w:tcPr>
          <w:p w14:paraId="6F62CA54">
            <w:pPr>
              <w:spacing w:line="300" w:lineRule="exact"/>
              <w:jc w:val="center"/>
              <w:rPr>
                <w:rFonts w:hint="eastAsia" w:ascii="Arial" w:hAnsi="宋体" w:cs="Arial"/>
                <w:bCs/>
                <w:sz w:val="22"/>
                <w:szCs w:val="22"/>
              </w:rPr>
            </w:pPr>
            <w:r>
              <w:rPr>
                <w:rFonts w:hint="eastAsia" w:ascii="Arial" w:cs="Arial"/>
                <w:bCs/>
                <w:sz w:val="22"/>
                <w:szCs w:val="22"/>
              </w:rPr>
              <w:t>施工用电直接从附近10KV线路</w:t>
            </w:r>
            <w:r>
              <w:rPr>
                <w:rFonts w:hint="eastAsia" w:ascii="Arial" w:cs="Arial"/>
                <w:bCs/>
                <w:sz w:val="22"/>
                <w:szCs w:val="22"/>
                <w:lang w:eastAsia="zh-CN"/>
              </w:rPr>
              <w:t>“</w:t>
            </w:r>
            <w:r>
              <w:rPr>
                <w:rFonts w:hint="eastAsia" w:ascii="Arial" w:cs="Arial"/>
                <w:bCs/>
                <w:sz w:val="22"/>
                <w:szCs w:val="22"/>
              </w:rPr>
              <w:t>T</w:t>
            </w:r>
            <w:r>
              <w:rPr>
                <w:rFonts w:hint="eastAsia" w:ascii="Arial" w:cs="Arial"/>
                <w:bCs/>
                <w:sz w:val="22"/>
                <w:szCs w:val="22"/>
                <w:lang w:eastAsia="zh-CN"/>
              </w:rPr>
              <w:t>”</w:t>
            </w:r>
            <w:r>
              <w:rPr>
                <w:rFonts w:hint="eastAsia" w:ascii="Arial" w:cs="Arial"/>
                <w:bCs/>
                <w:sz w:val="22"/>
                <w:szCs w:val="22"/>
              </w:rPr>
              <w:t>接向施工区供电，后期作为管理房设施设备用电。在施工区的大坝施工</w:t>
            </w:r>
            <w:r>
              <w:rPr>
                <w:rFonts w:hint="eastAsia" w:ascii="Arial" w:cs="Arial"/>
                <w:bCs/>
                <w:sz w:val="22"/>
                <w:szCs w:val="22"/>
                <w:lang w:val="en-US" w:eastAsia="zh-CN"/>
              </w:rPr>
              <w:t>内共计布置4</w:t>
            </w:r>
            <w:r>
              <w:rPr>
                <w:rFonts w:hint="eastAsia" w:ascii="Arial" w:cs="Arial"/>
                <w:bCs/>
                <w:sz w:val="22"/>
                <w:szCs w:val="22"/>
              </w:rPr>
              <w:t>台10/0.4kV预装式箱式变电站，另外，配置 2台50kW可移动式柴油发电机，以保证供电可靠性。</w:t>
            </w:r>
          </w:p>
        </w:tc>
      </w:tr>
      <w:tr w14:paraId="38EA3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 w:hRule="atLeast"/>
          <w:jc w:val="center"/>
        </w:trPr>
        <w:tc>
          <w:tcPr>
            <w:tcW w:w="656" w:type="dxa"/>
            <w:vMerge w:val="continue"/>
            <w:noWrap w:val="0"/>
            <w:vAlign w:val="center"/>
          </w:tcPr>
          <w:p w14:paraId="1A6E3DEC">
            <w:pPr>
              <w:spacing w:line="300" w:lineRule="exact"/>
              <w:jc w:val="center"/>
            </w:pPr>
          </w:p>
        </w:tc>
        <w:tc>
          <w:tcPr>
            <w:tcW w:w="641" w:type="dxa"/>
            <w:vMerge w:val="continue"/>
            <w:noWrap w:val="0"/>
            <w:vAlign w:val="center"/>
          </w:tcPr>
          <w:p w14:paraId="0F76574F">
            <w:pPr>
              <w:spacing w:line="300" w:lineRule="exact"/>
              <w:jc w:val="center"/>
            </w:pPr>
          </w:p>
        </w:tc>
        <w:tc>
          <w:tcPr>
            <w:tcW w:w="1251" w:type="dxa"/>
            <w:gridSpan w:val="3"/>
            <w:shd w:val="clear" w:color="auto" w:fill="auto"/>
            <w:noWrap w:val="0"/>
            <w:vAlign w:val="center"/>
          </w:tcPr>
          <w:p w14:paraId="32A0199D">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输水工程</w:t>
            </w:r>
          </w:p>
        </w:tc>
        <w:tc>
          <w:tcPr>
            <w:tcW w:w="6979" w:type="dxa"/>
            <w:noWrap w:val="0"/>
            <w:vAlign w:val="center"/>
          </w:tcPr>
          <w:p w14:paraId="1A07F8A1">
            <w:pPr>
              <w:spacing w:line="300" w:lineRule="exact"/>
              <w:jc w:val="center"/>
              <w:rPr>
                <w:rFonts w:hint="eastAsia" w:ascii="Arial" w:hAnsi="宋体" w:cs="Arial"/>
                <w:bCs/>
                <w:sz w:val="22"/>
                <w:szCs w:val="22"/>
              </w:rPr>
            </w:pPr>
            <w:r>
              <w:rPr>
                <w:rFonts w:hint="eastAsia" w:ascii="Arial" w:cs="Arial"/>
                <w:bCs/>
                <w:sz w:val="22"/>
                <w:szCs w:val="22"/>
              </w:rPr>
              <w:t>采用</w:t>
            </w:r>
            <w:r>
              <w:rPr>
                <w:rFonts w:hint="eastAsia" w:ascii="Arial" w:cs="Arial"/>
                <w:bCs/>
                <w:sz w:val="22"/>
                <w:szCs w:val="22"/>
                <w:lang w:val="en-US" w:eastAsia="zh-CN"/>
              </w:rPr>
              <w:t>2台</w:t>
            </w:r>
            <w:r>
              <w:rPr>
                <w:rFonts w:hint="eastAsia" w:ascii="Arial" w:cs="Arial"/>
                <w:bCs/>
                <w:sz w:val="22"/>
                <w:szCs w:val="22"/>
              </w:rPr>
              <w:t>12</w:t>
            </w:r>
            <w:r>
              <w:rPr>
                <w:rFonts w:hint="eastAsia" w:ascii="Arial" w:cs="Arial"/>
                <w:bCs/>
                <w:sz w:val="22"/>
                <w:szCs w:val="22"/>
                <w:lang w:val="en-US" w:eastAsia="zh-CN"/>
              </w:rPr>
              <w:t>KW</w:t>
            </w:r>
            <w:r>
              <w:rPr>
                <w:rFonts w:hint="eastAsia" w:ascii="Arial" w:cs="Arial"/>
                <w:bCs/>
                <w:sz w:val="22"/>
                <w:szCs w:val="22"/>
              </w:rPr>
              <w:t>小型柴油发电机组供电，一供一备。</w:t>
            </w:r>
          </w:p>
        </w:tc>
      </w:tr>
      <w:tr w14:paraId="60FD63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jc w:val="center"/>
        </w:trPr>
        <w:tc>
          <w:tcPr>
            <w:tcW w:w="656" w:type="dxa"/>
            <w:vMerge w:val="continue"/>
            <w:noWrap w:val="0"/>
            <w:vAlign w:val="center"/>
          </w:tcPr>
          <w:p w14:paraId="709EF9C3">
            <w:pPr>
              <w:spacing w:line="300" w:lineRule="exact"/>
              <w:jc w:val="center"/>
              <w:rPr>
                <w:rFonts w:hint="eastAsia" w:ascii="Arial" w:hAnsi="Arial" w:cs="Arial"/>
                <w:bCs/>
                <w:sz w:val="22"/>
                <w:szCs w:val="22"/>
              </w:rPr>
            </w:pPr>
          </w:p>
        </w:tc>
        <w:tc>
          <w:tcPr>
            <w:tcW w:w="641" w:type="dxa"/>
            <w:vMerge w:val="restart"/>
            <w:noWrap w:val="0"/>
            <w:vAlign w:val="center"/>
          </w:tcPr>
          <w:p w14:paraId="0A21DE9D">
            <w:pPr>
              <w:spacing w:line="300" w:lineRule="exact"/>
              <w:jc w:val="center"/>
              <w:rPr>
                <w:rFonts w:hint="eastAsia" w:ascii="Arial" w:hAnsi="宋体" w:cs="Arial"/>
                <w:bCs/>
                <w:sz w:val="22"/>
                <w:szCs w:val="22"/>
              </w:rPr>
            </w:pPr>
            <w:r>
              <w:rPr>
                <w:rFonts w:hint="eastAsia" w:ascii="Arial" w:hAnsi="宋体" w:cs="Arial"/>
                <w:bCs/>
                <w:sz w:val="22"/>
                <w:szCs w:val="22"/>
              </w:rPr>
              <w:t>供风</w:t>
            </w:r>
          </w:p>
        </w:tc>
        <w:tc>
          <w:tcPr>
            <w:tcW w:w="1251" w:type="dxa"/>
            <w:gridSpan w:val="3"/>
            <w:noWrap w:val="0"/>
            <w:vAlign w:val="center"/>
          </w:tcPr>
          <w:p w14:paraId="2D859624">
            <w:pPr>
              <w:spacing w:line="300" w:lineRule="exact"/>
              <w:jc w:val="center"/>
              <w:rPr>
                <w:rFonts w:hint="eastAsia" w:ascii="Arial" w:hAnsi="宋体" w:cs="Arial"/>
                <w:bCs/>
                <w:sz w:val="22"/>
                <w:szCs w:val="22"/>
              </w:rPr>
            </w:pPr>
            <w:r>
              <w:rPr>
                <w:rFonts w:hint="eastAsia" w:ascii="Arial" w:hAnsi="宋体" w:cs="Arial"/>
                <w:bCs/>
                <w:sz w:val="22"/>
                <w:szCs w:val="22"/>
                <w:lang w:eastAsia="zh-CN"/>
              </w:rPr>
              <w:t>枢纽工程</w:t>
            </w:r>
          </w:p>
        </w:tc>
        <w:tc>
          <w:tcPr>
            <w:tcW w:w="6979" w:type="dxa"/>
            <w:noWrap w:val="0"/>
            <w:vAlign w:val="center"/>
          </w:tcPr>
          <w:p w14:paraId="6CDF6924">
            <w:pPr>
              <w:spacing w:line="300" w:lineRule="exact"/>
              <w:jc w:val="center"/>
              <w:rPr>
                <w:rFonts w:hint="eastAsia" w:ascii="Arial" w:cs="Arial"/>
                <w:bCs/>
                <w:sz w:val="22"/>
                <w:szCs w:val="22"/>
              </w:rPr>
            </w:pPr>
            <w:r>
              <w:rPr>
                <w:rFonts w:hint="eastAsia" w:ascii="Arial" w:cs="Arial"/>
                <w:bCs/>
                <w:sz w:val="22"/>
                <w:szCs w:val="22"/>
              </w:rPr>
              <w:t>在大坝右岸</w:t>
            </w:r>
            <w:r>
              <w:rPr>
                <w:rFonts w:hint="eastAsia" w:ascii="Arial" w:cs="Arial"/>
                <w:bCs/>
                <w:sz w:val="22"/>
                <w:szCs w:val="22"/>
                <w:lang w:eastAsia="zh-CN"/>
              </w:rPr>
              <w:t>永久占地范围内</w:t>
            </w:r>
            <w:r>
              <w:rPr>
                <w:rFonts w:hint="eastAsia" w:ascii="Arial" w:cs="Arial"/>
                <w:bCs/>
                <w:sz w:val="22"/>
                <w:szCs w:val="22"/>
              </w:rPr>
              <w:t>集中设一座空压站，站内设4台LGFD40/8型固定空压机供风，主要供工程石方开挖、大坝灌浆等供风使用。</w:t>
            </w:r>
          </w:p>
        </w:tc>
      </w:tr>
      <w:tr w14:paraId="1376D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656" w:type="dxa"/>
            <w:vMerge w:val="continue"/>
            <w:noWrap w:val="0"/>
            <w:vAlign w:val="center"/>
          </w:tcPr>
          <w:p w14:paraId="2C17E869">
            <w:pPr>
              <w:spacing w:line="300" w:lineRule="exact"/>
              <w:jc w:val="center"/>
            </w:pPr>
          </w:p>
        </w:tc>
        <w:tc>
          <w:tcPr>
            <w:tcW w:w="641" w:type="dxa"/>
            <w:vMerge w:val="continue"/>
            <w:noWrap w:val="0"/>
            <w:vAlign w:val="center"/>
          </w:tcPr>
          <w:p w14:paraId="08580ECE">
            <w:pPr>
              <w:spacing w:line="300" w:lineRule="exact"/>
              <w:jc w:val="center"/>
            </w:pPr>
          </w:p>
        </w:tc>
        <w:tc>
          <w:tcPr>
            <w:tcW w:w="1251" w:type="dxa"/>
            <w:gridSpan w:val="3"/>
            <w:noWrap w:val="0"/>
            <w:vAlign w:val="center"/>
          </w:tcPr>
          <w:p w14:paraId="309CA357">
            <w:pPr>
              <w:spacing w:line="300" w:lineRule="exact"/>
              <w:jc w:val="center"/>
              <w:rPr>
                <w:rFonts w:hint="eastAsia" w:ascii="Arial" w:hAnsi="宋体" w:cs="Arial"/>
                <w:bCs/>
                <w:sz w:val="22"/>
                <w:szCs w:val="22"/>
              </w:rPr>
            </w:pPr>
            <w:r>
              <w:rPr>
                <w:rFonts w:hint="eastAsia" w:ascii="Arial" w:hAnsi="宋体" w:cs="Arial"/>
                <w:bCs/>
                <w:sz w:val="22"/>
                <w:szCs w:val="22"/>
                <w:lang w:eastAsia="zh-CN"/>
              </w:rPr>
              <w:t>输水工程</w:t>
            </w:r>
          </w:p>
        </w:tc>
        <w:tc>
          <w:tcPr>
            <w:tcW w:w="6979" w:type="dxa"/>
            <w:noWrap w:val="0"/>
            <w:vAlign w:val="center"/>
          </w:tcPr>
          <w:p w14:paraId="5A92E8A5">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输水工程</w:t>
            </w:r>
            <w:r>
              <w:rPr>
                <w:rFonts w:hint="eastAsia" w:ascii="Arial" w:cs="Arial"/>
                <w:bCs/>
                <w:sz w:val="22"/>
                <w:szCs w:val="22"/>
              </w:rPr>
              <w:t>作业点各配置1台3m</w:t>
            </w:r>
            <w:r>
              <w:rPr>
                <w:rFonts w:hint="eastAsia" w:ascii="Arial" w:cs="Arial"/>
                <w:bCs/>
                <w:sz w:val="22"/>
                <w:szCs w:val="22"/>
                <w:vertAlign w:val="superscript"/>
              </w:rPr>
              <w:t>3</w:t>
            </w:r>
            <w:r>
              <w:rPr>
                <w:rFonts w:hint="eastAsia" w:ascii="Arial" w:cs="Arial"/>
                <w:bCs/>
                <w:sz w:val="22"/>
                <w:szCs w:val="22"/>
              </w:rPr>
              <w:t>/min移动空压机及相应配套的辅助设备，以供应施工区钻孔用风。</w:t>
            </w:r>
          </w:p>
        </w:tc>
      </w:tr>
      <w:tr w14:paraId="73671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2" w:hRule="atLeast"/>
          <w:jc w:val="center"/>
        </w:trPr>
        <w:tc>
          <w:tcPr>
            <w:tcW w:w="656" w:type="dxa"/>
            <w:vMerge w:val="restart"/>
            <w:noWrap w:val="0"/>
            <w:vAlign w:val="center"/>
          </w:tcPr>
          <w:p w14:paraId="46C9BE00">
            <w:pPr>
              <w:spacing w:line="300" w:lineRule="exact"/>
              <w:jc w:val="center"/>
              <w:rPr>
                <w:rFonts w:hint="eastAsia" w:ascii="Arial" w:hAnsi="Arial" w:cs="Arial"/>
                <w:bCs/>
                <w:sz w:val="22"/>
                <w:szCs w:val="22"/>
              </w:rPr>
            </w:pPr>
            <w:r>
              <w:rPr>
                <w:rFonts w:hint="eastAsia" w:ascii="Arial" w:hAnsi="Arial" w:cs="Arial"/>
                <w:bCs/>
                <w:sz w:val="22"/>
                <w:szCs w:val="22"/>
              </w:rPr>
              <w:t>环保工程</w:t>
            </w:r>
          </w:p>
        </w:tc>
        <w:tc>
          <w:tcPr>
            <w:tcW w:w="641" w:type="dxa"/>
            <w:vMerge w:val="restart"/>
            <w:noWrap w:val="0"/>
            <w:vAlign w:val="center"/>
          </w:tcPr>
          <w:p w14:paraId="70569666">
            <w:pPr>
              <w:spacing w:line="300" w:lineRule="exact"/>
              <w:jc w:val="center"/>
              <w:rPr>
                <w:rFonts w:hint="eastAsia" w:ascii="Arial" w:hAnsi="宋体" w:cs="Arial"/>
                <w:bCs/>
                <w:sz w:val="22"/>
                <w:szCs w:val="22"/>
              </w:rPr>
            </w:pPr>
            <w:r>
              <w:rPr>
                <w:rFonts w:hint="eastAsia" w:ascii="Arial" w:hAnsi="宋体" w:cs="Arial"/>
                <w:bCs/>
                <w:sz w:val="22"/>
                <w:szCs w:val="22"/>
              </w:rPr>
              <w:t>废水</w:t>
            </w:r>
          </w:p>
        </w:tc>
        <w:tc>
          <w:tcPr>
            <w:tcW w:w="1251" w:type="dxa"/>
            <w:gridSpan w:val="3"/>
            <w:noWrap w:val="0"/>
            <w:vAlign w:val="center"/>
          </w:tcPr>
          <w:p w14:paraId="53F4DDBE">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施工期</w:t>
            </w:r>
          </w:p>
        </w:tc>
        <w:tc>
          <w:tcPr>
            <w:tcW w:w="6979" w:type="dxa"/>
            <w:noWrap w:val="0"/>
            <w:vAlign w:val="center"/>
          </w:tcPr>
          <w:p w14:paraId="6CCC4F4E">
            <w:pPr>
              <w:spacing w:line="300" w:lineRule="exact"/>
              <w:rPr>
                <w:rFonts w:hint="eastAsia" w:ascii="Arial" w:cs="Arial"/>
                <w:bCs/>
                <w:sz w:val="26"/>
              </w:rPr>
            </w:pPr>
            <w:r>
              <w:rPr>
                <w:rFonts w:hint="eastAsia" w:ascii="Arial" w:cs="Arial"/>
                <w:bCs/>
                <w:color w:val="auto"/>
                <w:sz w:val="22"/>
                <w:szCs w:val="22"/>
              </w:rPr>
              <w:t>施工</w:t>
            </w:r>
            <w:r>
              <w:rPr>
                <w:rFonts w:hint="eastAsia" w:ascii="Arial" w:cs="Arial"/>
                <w:bCs/>
                <w:color w:val="auto"/>
                <w:sz w:val="22"/>
                <w:szCs w:val="22"/>
                <w:lang w:eastAsia="zh-CN"/>
              </w:rPr>
              <w:t>场地内拌合系统清洗、运输车辆冲洗、初期雨水等</w:t>
            </w:r>
            <w:r>
              <w:rPr>
                <w:rFonts w:hint="eastAsia" w:ascii="Arial" w:cs="Arial"/>
                <w:bCs/>
                <w:color w:val="auto"/>
                <w:sz w:val="22"/>
                <w:szCs w:val="22"/>
              </w:rPr>
              <w:t>生产废水</w:t>
            </w:r>
            <w:r>
              <w:rPr>
                <w:rFonts w:hint="eastAsia" w:ascii="Arial" w:cs="Arial"/>
                <w:bCs/>
                <w:color w:val="auto"/>
                <w:sz w:val="22"/>
                <w:szCs w:val="22"/>
                <w:lang w:eastAsia="zh-CN"/>
              </w:rPr>
              <w:t>经</w:t>
            </w:r>
            <w:r>
              <w:rPr>
                <w:rFonts w:hint="eastAsia" w:ascii="Arial" w:cs="Arial"/>
                <w:bCs/>
                <w:color w:val="auto"/>
                <w:sz w:val="22"/>
                <w:szCs w:val="22"/>
              </w:rPr>
              <w:t>收集</w:t>
            </w:r>
            <w:r>
              <w:rPr>
                <w:rFonts w:hint="eastAsia" w:ascii="Arial" w:cs="Arial"/>
                <w:bCs/>
                <w:color w:val="auto"/>
                <w:sz w:val="22"/>
                <w:szCs w:val="22"/>
                <w:lang w:eastAsia="zh-CN"/>
              </w:rPr>
              <w:t>并</w:t>
            </w:r>
            <w:r>
              <w:rPr>
                <w:rFonts w:hint="eastAsia" w:ascii="Arial" w:cs="Arial"/>
                <w:bCs/>
                <w:color w:val="auto"/>
                <w:sz w:val="22"/>
                <w:szCs w:val="22"/>
              </w:rPr>
              <w:t>沉淀</w:t>
            </w:r>
            <w:r>
              <w:rPr>
                <w:rFonts w:hint="eastAsia" w:ascii="Arial" w:cs="Arial"/>
                <w:bCs/>
                <w:color w:val="auto"/>
                <w:sz w:val="22"/>
                <w:szCs w:val="22"/>
                <w:lang w:eastAsia="zh-CN"/>
              </w:rPr>
              <w:t>处置</w:t>
            </w:r>
            <w:r>
              <w:rPr>
                <w:rFonts w:hint="eastAsia" w:ascii="Arial" w:cs="Arial"/>
                <w:bCs/>
                <w:color w:val="auto"/>
                <w:sz w:val="22"/>
                <w:szCs w:val="22"/>
              </w:rPr>
              <w:t>后，全部回用于生产</w:t>
            </w:r>
            <w:r>
              <w:rPr>
                <w:rFonts w:hint="eastAsia" w:ascii="Arial" w:cs="Arial"/>
                <w:bCs/>
                <w:color w:val="auto"/>
                <w:sz w:val="22"/>
                <w:szCs w:val="22"/>
                <w:lang w:eastAsia="zh-CN"/>
              </w:rPr>
              <w:t>，不外排</w:t>
            </w:r>
            <w:r>
              <w:rPr>
                <w:rFonts w:hint="eastAsia" w:ascii="Arial" w:cs="Arial"/>
                <w:bCs/>
                <w:color w:val="auto"/>
                <w:sz w:val="22"/>
                <w:szCs w:val="22"/>
              </w:rPr>
              <w:t>；</w:t>
            </w:r>
            <w:r>
              <w:rPr>
                <w:rFonts w:hint="eastAsia" w:ascii="Arial" w:cs="Arial"/>
                <w:bCs/>
                <w:color w:val="auto"/>
                <w:sz w:val="22"/>
                <w:szCs w:val="22"/>
                <w:lang w:eastAsia="zh-CN"/>
              </w:rPr>
              <w:t>围堰采取土工膜防渗，减少基坑废水产生，</w:t>
            </w:r>
            <w:r>
              <w:rPr>
                <w:rFonts w:hint="eastAsia" w:ascii="Arial" w:cs="Arial"/>
                <w:bCs/>
                <w:color w:val="auto"/>
                <w:sz w:val="22"/>
                <w:szCs w:val="22"/>
              </w:rPr>
              <w:t>基坑废水经围堰、集水坑收集沉淀处理后，尽可能回用</w:t>
            </w:r>
            <w:r>
              <w:rPr>
                <w:rFonts w:hint="eastAsia" w:ascii="Arial" w:cs="Arial"/>
                <w:bCs/>
                <w:color w:val="auto"/>
                <w:sz w:val="22"/>
                <w:szCs w:val="22"/>
                <w:lang w:eastAsia="zh-CN"/>
              </w:rPr>
              <w:t>作施工用水、抑尘</w:t>
            </w:r>
            <w:r>
              <w:rPr>
                <w:rFonts w:hint="eastAsia" w:ascii="Arial" w:cs="Arial"/>
                <w:bCs/>
                <w:color w:val="auto"/>
                <w:sz w:val="22"/>
                <w:szCs w:val="22"/>
              </w:rPr>
              <w:t>洒水、车辆冲洗</w:t>
            </w:r>
            <w:r>
              <w:rPr>
                <w:rFonts w:hint="eastAsia" w:ascii="Arial" w:cs="Arial"/>
                <w:bCs/>
                <w:color w:val="auto"/>
                <w:sz w:val="22"/>
                <w:szCs w:val="22"/>
                <w:lang w:eastAsia="zh-CN"/>
              </w:rPr>
              <w:t>等</w:t>
            </w:r>
            <w:r>
              <w:rPr>
                <w:rFonts w:hint="eastAsia" w:ascii="Arial" w:cs="Arial"/>
                <w:bCs/>
                <w:color w:val="auto"/>
                <w:sz w:val="22"/>
                <w:szCs w:val="22"/>
              </w:rPr>
              <w:t>，</w:t>
            </w:r>
            <w:r>
              <w:rPr>
                <w:rFonts w:hint="eastAsia" w:ascii="Arial" w:hAnsi="宋体" w:cs="Arial"/>
                <w:color w:val="auto"/>
                <w:spacing w:val="-4"/>
                <w:sz w:val="22"/>
                <w:szCs w:val="22"/>
              </w:rPr>
              <w:t>多余部分需沉淀处理</w:t>
            </w:r>
            <w:r>
              <w:rPr>
                <w:rFonts w:hint="eastAsia" w:ascii="Arial" w:hAnsi="宋体" w:cs="Arial"/>
                <w:color w:val="auto"/>
                <w:spacing w:val="-4"/>
                <w:sz w:val="22"/>
                <w:szCs w:val="22"/>
                <w:lang w:eastAsia="zh-CN"/>
              </w:rPr>
              <w:t>后引至下游河道</w:t>
            </w:r>
            <w:r>
              <w:rPr>
                <w:rFonts w:hint="eastAsia" w:ascii="Arial" w:hAnsi="宋体" w:cs="Arial"/>
                <w:color w:val="auto"/>
                <w:spacing w:val="-4"/>
                <w:sz w:val="22"/>
                <w:szCs w:val="22"/>
              </w:rPr>
              <w:t>排放</w:t>
            </w:r>
            <w:r>
              <w:rPr>
                <w:rFonts w:hint="eastAsia" w:ascii="Arial" w:hAnsi="宋体" w:cs="Arial"/>
                <w:color w:val="auto"/>
                <w:spacing w:val="-4"/>
                <w:sz w:val="22"/>
                <w:szCs w:val="22"/>
                <w:lang w:eastAsia="zh-CN"/>
              </w:rPr>
              <w:t>。</w:t>
            </w:r>
            <w:r>
              <w:rPr>
                <w:rFonts w:hint="eastAsia" w:ascii="Arial" w:cs="Arial"/>
                <w:bCs/>
                <w:color w:val="auto"/>
                <w:sz w:val="22"/>
                <w:szCs w:val="22"/>
              </w:rPr>
              <w:t>生活废水经</w:t>
            </w:r>
            <w:r>
              <w:rPr>
                <w:rFonts w:hint="eastAsia" w:ascii="Arial" w:cs="Arial"/>
                <w:bCs/>
                <w:color w:val="auto"/>
                <w:sz w:val="22"/>
                <w:szCs w:val="22"/>
                <w:lang w:eastAsia="zh-CN"/>
              </w:rPr>
              <w:t>租赁民房内已有的</w:t>
            </w:r>
            <w:r>
              <w:rPr>
                <w:rFonts w:hint="eastAsia" w:ascii="Arial" w:cs="Arial"/>
                <w:bCs/>
                <w:color w:val="auto"/>
                <w:sz w:val="22"/>
                <w:szCs w:val="22"/>
              </w:rPr>
              <w:t>旱厕收集后</w:t>
            </w:r>
            <w:r>
              <w:rPr>
                <w:rFonts w:hint="eastAsia" w:ascii="Arial" w:cs="Arial"/>
                <w:bCs/>
                <w:color w:val="auto"/>
                <w:sz w:val="22"/>
                <w:szCs w:val="22"/>
                <w:lang w:eastAsia="zh-CN"/>
              </w:rPr>
              <w:t>，用作农肥，不外排</w:t>
            </w:r>
            <w:r>
              <w:rPr>
                <w:rFonts w:hint="eastAsia" w:ascii="Arial" w:cs="Arial"/>
                <w:bCs/>
                <w:color w:val="auto"/>
                <w:sz w:val="22"/>
                <w:szCs w:val="22"/>
              </w:rPr>
              <w:t>。</w:t>
            </w:r>
          </w:p>
        </w:tc>
      </w:tr>
      <w:tr w14:paraId="08DF0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656" w:type="dxa"/>
            <w:vMerge w:val="continue"/>
            <w:noWrap w:val="0"/>
            <w:vAlign w:val="center"/>
          </w:tcPr>
          <w:p w14:paraId="3189266A">
            <w:pPr>
              <w:spacing w:line="300" w:lineRule="exact"/>
              <w:jc w:val="center"/>
            </w:pPr>
          </w:p>
        </w:tc>
        <w:tc>
          <w:tcPr>
            <w:tcW w:w="641" w:type="dxa"/>
            <w:vMerge w:val="continue"/>
            <w:noWrap w:val="0"/>
            <w:vAlign w:val="center"/>
          </w:tcPr>
          <w:p w14:paraId="391AB97D">
            <w:pPr>
              <w:spacing w:line="300" w:lineRule="exact"/>
              <w:jc w:val="center"/>
            </w:pPr>
          </w:p>
        </w:tc>
        <w:tc>
          <w:tcPr>
            <w:tcW w:w="1251" w:type="dxa"/>
            <w:gridSpan w:val="3"/>
            <w:noWrap w:val="0"/>
            <w:vAlign w:val="center"/>
          </w:tcPr>
          <w:p w14:paraId="50B6DDB8">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运营期</w:t>
            </w:r>
          </w:p>
        </w:tc>
        <w:tc>
          <w:tcPr>
            <w:tcW w:w="6979" w:type="dxa"/>
            <w:noWrap w:val="0"/>
            <w:vAlign w:val="center"/>
          </w:tcPr>
          <w:p w14:paraId="30B6BAF2">
            <w:pPr>
              <w:spacing w:line="300" w:lineRule="exact"/>
              <w:jc w:val="center"/>
              <w:rPr>
                <w:rFonts w:hint="eastAsia" w:ascii="Arial" w:hAnsi="宋体" w:cs="Arial"/>
                <w:bCs/>
                <w:sz w:val="22"/>
                <w:szCs w:val="22"/>
              </w:rPr>
            </w:pPr>
            <w:r>
              <w:rPr>
                <w:rFonts w:hint="eastAsia" w:ascii="Arial" w:cs="Arial"/>
                <w:bCs/>
                <w:color w:val="auto"/>
                <w:sz w:val="22"/>
                <w:szCs w:val="22"/>
              </w:rPr>
              <w:t>营运期管理用房产生的生活污水经化粪池收集后用于绿化或农灌。</w:t>
            </w:r>
          </w:p>
        </w:tc>
      </w:tr>
      <w:tr w14:paraId="66E00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56" w:type="dxa"/>
            <w:vMerge w:val="continue"/>
            <w:noWrap w:val="0"/>
            <w:vAlign w:val="center"/>
          </w:tcPr>
          <w:p w14:paraId="6F7B0321">
            <w:pPr>
              <w:spacing w:line="300" w:lineRule="exact"/>
              <w:jc w:val="center"/>
              <w:rPr>
                <w:rFonts w:hint="eastAsia" w:ascii="Arial" w:hAnsi="Arial" w:cs="Arial"/>
                <w:bCs/>
                <w:sz w:val="22"/>
                <w:szCs w:val="22"/>
              </w:rPr>
            </w:pPr>
          </w:p>
        </w:tc>
        <w:tc>
          <w:tcPr>
            <w:tcW w:w="641" w:type="dxa"/>
            <w:vMerge w:val="restart"/>
            <w:noWrap w:val="0"/>
            <w:vAlign w:val="center"/>
          </w:tcPr>
          <w:p w14:paraId="620E3BD7">
            <w:pPr>
              <w:spacing w:line="300" w:lineRule="exact"/>
              <w:jc w:val="center"/>
              <w:rPr>
                <w:rFonts w:hint="eastAsia" w:ascii="Arial" w:hAnsi="宋体" w:cs="Arial"/>
                <w:bCs/>
                <w:sz w:val="22"/>
                <w:szCs w:val="22"/>
              </w:rPr>
            </w:pPr>
            <w:r>
              <w:rPr>
                <w:rFonts w:hint="eastAsia" w:ascii="Arial" w:hAnsi="宋体" w:cs="Arial"/>
                <w:bCs/>
                <w:sz w:val="22"/>
                <w:szCs w:val="22"/>
              </w:rPr>
              <w:t>废气</w:t>
            </w:r>
          </w:p>
        </w:tc>
        <w:tc>
          <w:tcPr>
            <w:tcW w:w="1251" w:type="dxa"/>
            <w:gridSpan w:val="3"/>
            <w:shd w:val="clear" w:color="auto" w:fill="auto"/>
            <w:noWrap w:val="0"/>
            <w:vAlign w:val="center"/>
          </w:tcPr>
          <w:p w14:paraId="03DDE78D">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施工期</w:t>
            </w:r>
          </w:p>
        </w:tc>
        <w:tc>
          <w:tcPr>
            <w:tcW w:w="6979" w:type="dxa"/>
            <w:noWrap w:val="0"/>
            <w:vAlign w:val="center"/>
          </w:tcPr>
          <w:p w14:paraId="772018B0">
            <w:pPr>
              <w:spacing w:line="300" w:lineRule="exact"/>
              <w:jc w:val="center"/>
              <w:rPr>
                <w:rFonts w:hint="eastAsia" w:ascii="Arial" w:eastAsia="宋体" w:cs="Arial"/>
                <w:bCs/>
                <w:sz w:val="26"/>
                <w:lang w:eastAsia="zh-CN"/>
              </w:rPr>
            </w:pPr>
            <w:r>
              <w:rPr>
                <w:rFonts w:hint="eastAsia" w:ascii="Arial" w:cs="Arial"/>
                <w:bCs/>
                <w:sz w:val="22"/>
                <w:szCs w:val="22"/>
              </w:rPr>
              <w:t>湿法作业，洒水抑尘</w:t>
            </w:r>
            <w:r>
              <w:rPr>
                <w:rFonts w:hint="eastAsia" w:ascii="Arial" w:cs="Arial"/>
                <w:bCs/>
                <w:sz w:val="22"/>
                <w:szCs w:val="22"/>
                <w:lang w:eastAsia="zh-CN"/>
              </w:rPr>
              <w:t>；</w:t>
            </w:r>
            <w:r>
              <w:rPr>
                <w:rFonts w:hint="eastAsia" w:ascii="Arial" w:cs="Arial"/>
                <w:bCs/>
                <w:sz w:val="22"/>
                <w:szCs w:val="22"/>
              </w:rPr>
              <w:t>粉质物料</w:t>
            </w:r>
            <w:r>
              <w:rPr>
                <w:rFonts w:hint="eastAsia" w:ascii="Arial" w:cs="Arial"/>
                <w:bCs/>
                <w:sz w:val="22"/>
                <w:szCs w:val="22"/>
                <w:lang w:eastAsia="zh-CN"/>
              </w:rPr>
              <w:t>袋装集中</w:t>
            </w:r>
            <w:r>
              <w:rPr>
                <w:rFonts w:hint="eastAsia" w:ascii="Arial" w:cs="Arial"/>
                <w:bCs/>
                <w:sz w:val="22"/>
                <w:szCs w:val="22"/>
              </w:rPr>
              <w:t>堆存</w:t>
            </w:r>
            <w:r>
              <w:rPr>
                <w:rFonts w:hint="eastAsia" w:ascii="Arial" w:cs="Arial"/>
                <w:bCs/>
                <w:sz w:val="22"/>
                <w:szCs w:val="22"/>
                <w:lang w:eastAsia="zh-CN"/>
              </w:rPr>
              <w:t>，并</w:t>
            </w:r>
            <w:r>
              <w:rPr>
                <w:rFonts w:hint="eastAsia" w:ascii="Arial" w:cs="Arial"/>
                <w:bCs/>
                <w:sz w:val="22"/>
                <w:szCs w:val="22"/>
              </w:rPr>
              <w:t>采取篷布遮盖</w:t>
            </w:r>
            <w:r>
              <w:rPr>
                <w:rFonts w:hint="eastAsia" w:ascii="Arial" w:cs="Arial"/>
                <w:bCs/>
                <w:sz w:val="22"/>
                <w:szCs w:val="22"/>
                <w:lang w:eastAsia="zh-CN"/>
              </w:rPr>
              <w:t>；分段作业，避免大面积开挖；大风天气对开挖边坡、基础等采取密目网遮盖；物料、弃渣运输过程中限速限载，设置车辆冲洗装置，避免带泥上路引起二次扬尘；及时清运暂不利用的弃渣，避免场地内长时间、大容量堆存；枢纽工程施工场地内拌合系统采取筒仓储存水泥、粉煤灰等物料，安装仓顶除尘器，搅拌罐密闭运行。</w:t>
            </w:r>
          </w:p>
        </w:tc>
      </w:tr>
      <w:tr w14:paraId="274FF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656" w:type="dxa"/>
            <w:vMerge w:val="continue"/>
            <w:noWrap w:val="0"/>
            <w:vAlign w:val="center"/>
          </w:tcPr>
          <w:p w14:paraId="6767C22D">
            <w:pPr>
              <w:spacing w:line="300" w:lineRule="exact"/>
              <w:jc w:val="center"/>
            </w:pPr>
          </w:p>
        </w:tc>
        <w:tc>
          <w:tcPr>
            <w:tcW w:w="641" w:type="dxa"/>
            <w:vMerge w:val="continue"/>
            <w:noWrap w:val="0"/>
            <w:vAlign w:val="center"/>
          </w:tcPr>
          <w:p w14:paraId="04DC68F0">
            <w:pPr>
              <w:spacing w:line="300" w:lineRule="exact"/>
              <w:jc w:val="center"/>
            </w:pPr>
          </w:p>
        </w:tc>
        <w:tc>
          <w:tcPr>
            <w:tcW w:w="1251" w:type="dxa"/>
            <w:gridSpan w:val="3"/>
            <w:shd w:val="clear" w:color="auto" w:fill="auto"/>
            <w:noWrap w:val="0"/>
            <w:vAlign w:val="center"/>
          </w:tcPr>
          <w:p w14:paraId="4BDC6B3E">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运营期</w:t>
            </w:r>
          </w:p>
        </w:tc>
        <w:tc>
          <w:tcPr>
            <w:tcW w:w="6979" w:type="dxa"/>
            <w:noWrap w:val="0"/>
            <w:vAlign w:val="center"/>
          </w:tcPr>
          <w:p w14:paraId="10474290">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管理用房内食堂油烟经油烟净化器收集处理后，引至超屋顶外排。</w:t>
            </w:r>
          </w:p>
        </w:tc>
      </w:tr>
      <w:tr w14:paraId="70CB2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656" w:type="dxa"/>
            <w:vMerge w:val="continue"/>
            <w:noWrap w:val="0"/>
            <w:vAlign w:val="center"/>
          </w:tcPr>
          <w:p w14:paraId="136698E4">
            <w:pPr>
              <w:spacing w:line="300" w:lineRule="exact"/>
              <w:jc w:val="center"/>
            </w:pPr>
          </w:p>
        </w:tc>
        <w:tc>
          <w:tcPr>
            <w:tcW w:w="641" w:type="dxa"/>
            <w:vMerge w:val="restart"/>
            <w:noWrap w:val="0"/>
            <w:vAlign w:val="center"/>
          </w:tcPr>
          <w:p w14:paraId="0A6E40D9">
            <w:pPr>
              <w:spacing w:line="300" w:lineRule="exact"/>
              <w:jc w:val="center"/>
            </w:pPr>
            <w:r>
              <w:rPr>
                <w:rFonts w:hint="eastAsia" w:ascii="Arial" w:hAnsi="宋体" w:cs="Arial"/>
                <w:bCs/>
                <w:sz w:val="22"/>
                <w:szCs w:val="22"/>
              </w:rPr>
              <w:t>固体废弃物</w:t>
            </w:r>
          </w:p>
        </w:tc>
        <w:tc>
          <w:tcPr>
            <w:tcW w:w="1251" w:type="dxa"/>
            <w:gridSpan w:val="3"/>
            <w:shd w:val="clear" w:color="auto" w:fill="auto"/>
            <w:noWrap w:val="0"/>
            <w:vAlign w:val="center"/>
          </w:tcPr>
          <w:p w14:paraId="5079A83E">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施工期</w:t>
            </w:r>
          </w:p>
        </w:tc>
        <w:tc>
          <w:tcPr>
            <w:tcW w:w="6979" w:type="dxa"/>
            <w:noWrap w:val="0"/>
            <w:vAlign w:val="center"/>
          </w:tcPr>
          <w:p w14:paraId="29E34571">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施工产生的弃渣、建筑垃圾及时清运至弃渣场内夯实堆存；表土清理至弃渣场内分区暂存，后期全部用作生态覆土；施工人员生活垃圾袋装收集后，交当地市政环卫部门统一清运处置；餐厨垃圾桶装收集后，交有资质单位处置；</w:t>
            </w:r>
            <w:r>
              <w:rPr>
                <w:rFonts w:hint="eastAsia" w:ascii="Arial" w:hAnsi="宋体" w:cs="Arial"/>
                <w:bCs/>
                <w:sz w:val="22"/>
                <w:szCs w:val="22"/>
              </w:rPr>
              <w:t>库底清理包括淹没区内林木清理、卫生清理，清理出来的废物按要求进行分类收集处置</w:t>
            </w:r>
            <w:r>
              <w:rPr>
                <w:rFonts w:hint="eastAsia" w:ascii="Arial" w:hAnsi="宋体" w:cs="Arial"/>
                <w:bCs/>
                <w:sz w:val="22"/>
                <w:szCs w:val="22"/>
                <w:lang w:eastAsia="zh-CN"/>
              </w:rPr>
              <w:t>；设备维护、检修产生的废矿物油、含油棉纱手套等属于危险废物，需交有资质的单位处置。</w:t>
            </w:r>
          </w:p>
        </w:tc>
      </w:tr>
      <w:tr w14:paraId="74EEE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656" w:type="dxa"/>
            <w:vMerge w:val="continue"/>
            <w:noWrap w:val="0"/>
            <w:vAlign w:val="center"/>
          </w:tcPr>
          <w:p w14:paraId="4DE443D6">
            <w:pPr>
              <w:spacing w:line="300" w:lineRule="exact"/>
              <w:jc w:val="center"/>
            </w:pPr>
          </w:p>
        </w:tc>
        <w:tc>
          <w:tcPr>
            <w:tcW w:w="641" w:type="dxa"/>
            <w:vMerge w:val="continue"/>
            <w:noWrap w:val="0"/>
            <w:vAlign w:val="center"/>
          </w:tcPr>
          <w:p w14:paraId="44F85F6C">
            <w:pPr>
              <w:spacing w:line="300" w:lineRule="exact"/>
              <w:jc w:val="center"/>
            </w:pPr>
          </w:p>
        </w:tc>
        <w:tc>
          <w:tcPr>
            <w:tcW w:w="1251" w:type="dxa"/>
            <w:gridSpan w:val="3"/>
            <w:shd w:val="clear" w:color="auto" w:fill="auto"/>
            <w:noWrap w:val="0"/>
            <w:vAlign w:val="center"/>
          </w:tcPr>
          <w:p w14:paraId="05CAD2EE">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运营期</w:t>
            </w:r>
          </w:p>
        </w:tc>
        <w:tc>
          <w:tcPr>
            <w:tcW w:w="6979" w:type="dxa"/>
            <w:noWrap w:val="0"/>
            <w:vAlign w:val="center"/>
          </w:tcPr>
          <w:p w14:paraId="02E277EF">
            <w:pPr>
              <w:spacing w:line="300" w:lineRule="exact"/>
              <w:jc w:val="center"/>
              <w:rPr>
                <w:rFonts w:hint="eastAsia" w:ascii="Arial" w:hAnsi="宋体" w:cs="Arial"/>
                <w:bCs/>
                <w:sz w:val="22"/>
                <w:szCs w:val="22"/>
                <w:lang w:eastAsia="zh-CN"/>
              </w:rPr>
            </w:pPr>
            <w:r>
              <w:rPr>
                <w:rFonts w:hint="eastAsia" w:ascii="Arial" w:hAnsi="宋体" w:cs="Arial"/>
                <w:bCs/>
                <w:sz w:val="22"/>
                <w:szCs w:val="22"/>
                <w:lang w:eastAsia="zh-CN"/>
              </w:rPr>
              <w:t>职工生活垃圾袋装收集后，交当地市政环卫部门统一清运处置。</w:t>
            </w:r>
          </w:p>
        </w:tc>
      </w:tr>
      <w:tr w14:paraId="4E6A8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7B9B80A4">
            <w:pPr>
              <w:spacing w:line="300" w:lineRule="exact"/>
              <w:jc w:val="center"/>
              <w:rPr>
                <w:rFonts w:hint="eastAsia" w:ascii="Arial" w:hAnsi="Arial" w:cs="Arial"/>
                <w:bCs/>
                <w:sz w:val="22"/>
                <w:szCs w:val="22"/>
              </w:rPr>
            </w:pPr>
          </w:p>
        </w:tc>
        <w:tc>
          <w:tcPr>
            <w:tcW w:w="1892" w:type="dxa"/>
            <w:gridSpan w:val="4"/>
            <w:noWrap w:val="0"/>
            <w:vAlign w:val="center"/>
          </w:tcPr>
          <w:p w14:paraId="3D6C119E">
            <w:pPr>
              <w:spacing w:line="300" w:lineRule="exact"/>
              <w:jc w:val="center"/>
              <w:rPr>
                <w:rFonts w:hint="eastAsia" w:ascii="Arial" w:hAnsi="宋体" w:cs="Arial"/>
                <w:bCs/>
                <w:sz w:val="22"/>
                <w:szCs w:val="22"/>
              </w:rPr>
            </w:pPr>
            <w:r>
              <w:rPr>
                <w:rFonts w:hint="eastAsia" w:ascii="Arial" w:hAnsi="宋体" w:cs="Arial"/>
                <w:bCs/>
                <w:sz w:val="22"/>
                <w:szCs w:val="22"/>
              </w:rPr>
              <w:t>生态放流</w:t>
            </w:r>
          </w:p>
        </w:tc>
        <w:tc>
          <w:tcPr>
            <w:tcW w:w="6979" w:type="dxa"/>
            <w:noWrap w:val="0"/>
            <w:vAlign w:val="center"/>
          </w:tcPr>
          <w:p w14:paraId="453F7765">
            <w:pPr>
              <w:spacing w:line="300" w:lineRule="exact"/>
              <w:jc w:val="center"/>
              <w:rPr>
                <w:rFonts w:hint="eastAsia" w:ascii="Arial" w:cs="Arial"/>
                <w:bCs/>
                <w:color w:val="FF0000"/>
                <w:sz w:val="26"/>
              </w:rPr>
            </w:pPr>
            <w:r>
              <w:rPr>
                <w:rFonts w:hint="eastAsia" w:ascii="Arial" w:cs="Arial"/>
                <w:bCs/>
                <w:color w:val="auto"/>
                <w:sz w:val="22"/>
                <w:szCs w:val="22"/>
                <w:lang w:eastAsia="zh-CN"/>
              </w:rPr>
              <w:t>下泄生态流量为坝址处多年平均流量的</w:t>
            </w:r>
            <w:r>
              <w:rPr>
                <w:rFonts w:hint="eastAsia" w:ascii="Arial" w:cs="Arial"/>
                <w:bCs/>
                <w:color w:val="auto"/>
                <w:sz w:val="22"/>
                <w:szCs w:val="22"/>
                <w:lang w:val="en-US" w:eastAsia="zh-CN"/>
              </w:rPr>
              <w:t>15%，为0.005</w:t>
            </w:r>
            <w:r>
              <w:rPr>
                <w:rFonts w:ascii="Arial" w:cs="Arial"/>
                <w:bCs/>
                <w:color w:val="auto"/>
                <w:sz w:val="22"/>
                <w:szCs w:val="22"/>
              </w:rPr>
              <w:t>m</w:t>
            </w:r>
            <w:r>
              <w:rPr>
                <w:rFonts w:ascii="Arial" w:cs="Arial"/>
                <w:bCs/>
                <w:color w:val="auto"/>
                <w:sz w:val="22"/>
                <w:szCs w:val="22"/>
                <w:vertAlign w:val="superscript"/>
              </w:rPr>
              <w:t>3</w:t>
            </w:r>
            <w:r>
              <w:rPr>
                <w:rFonts w:ascii="Arial" w:cs="Arial"/>
                <w:bCs/>
                <w:color w:val="auto"/>
                <w:sz w:val="22"/>
                <w:szCs w:val="22"/>
              </w:rPr>
              <w:t>/s</w:t>
            </w:r>
            <w:r>
              <w:rPr>
                <w:rFonts w:hint="eastAsia" w:ascii="Arial" w:cs="Arial"/>
                <w:bCs/>
                <w:color w:val="auto"/>
                <w:sz w:val="22"/>
                <w:szCs w:val="22"/>
                <w:lang w:eastAsia="zh-CN"/>
              </w:rPr>
              <w:t>。</w:t>
            </w:r>
            <w:r>
              <w:rPr>
                <w:rFonts w:hint="eastAsia" w:ascii="Arial" w:cs="Arial"/>
                <w:bCs/>
                <w:color w:val="auto"/>
                <w:sz w:val="22"/>
                <w:szCs w:val="22"/>
              </w:rPr>
              <w:t>为避免低温水下泄对坝后减水河段内水生生物造成影响，</w:t>
            </w:r>
            <w:r>
              <w:rPr>
                <w:rFonts w:hint="eastAsia" w:ascii="Arial" w:cs="Arial"/>
                <w:bCs/>
                <w:color w:val="auto"/>
                <w:sz w:val="22"/>
                <w:szCs w:val="22"/>
                <w:lang w:eastAsia="zh-CN"/>
              </w:rPr>
              <w:t>本项目采取分成取水方式，从上到下设置</w:t>
            </w:r>
            <w:r>
              <w:rPr>
                <w:rFonts w:hint="eastAsia" w:ascii="Arial" w:cs="Arial"/>
                <w:bCs/>
                <w:color w:val="auto"/>
                <w:sz w:val="22"/>
                <w:szCs w:val="22"/>
                <w:lang w:val="en-US" w:eastAsia="zh-CN"/>
              </w:rPr>
              <w:t>5个取水口，高程分别</w:t>
            </w:r>
            <w:r>
              <w:rPr>
                <w:rFonts w:hint="default" w:ascii="Arial" w:hAnsi="Arial" w:cs="Arial"/>
                <w:color w:val="auto"/>
                <w:sz w:val="22"/>
                <w:szCs w:val="22"/>
              </w:rPr>
              <w:t>为418.0m、415.0m、412.0m</w:t>
            </w:r>
            <w:r>
              <w:rPr>
                <w:rFonts w:hint="eastAsia" w:ascii="Arial" w:hAnsi="Arial" w:cs="Arial"/>
                <w:color w:val="auto"/>
                <w:sz w:val="22"/>
                <w:szCs w:val="22"/>
              </w:rPr>
              <w:t>、</w:t>
            </w:r>
            <w:r>
              <w:rPr>
                <w:rFonts w:hint="default" w:ascii="Arial" w:hAnsi="Arial" w:cs="Arial"/>
                <w:color w:val="auto"/>
                <w:sz w:val="22"/>
                <w:szCs w:val="22"/>
              </w:rPr>
              <w:t>409.0m</w:t>
            </w:r>
            <w:r>
              <w:rPr>
                <w:rFonts w:hint="eastAsia" w:ascii="Arial" w:hAnsi="Arial" w:cs="Arial"/>
                <w:color w:val="auto"/>
                <w:sz w:val="22"/>
                <w:szCs w:val="22"/>
              </w:rPr>
              <w:t>、</w:t>
            </w:r>
            <w:r>
              <w:rPr>
                <w:rFonts w:hint="default" w:ascii="Arial" w:hAnsi="Arial" w:cs="Arial"/>
                <w:color w:val="auto"/>
                <w:sz w:val="22"/>
                <w:szCs w:val="22"/>
              </w:rPr>
              <w:t>405.5m，</w:t>
            </w:r>
            <w:r>
              <w:rPr>
                <w:rFonts w:hint="eastAsia" w:ascii="Arial" w:hAnsi="Arial" w:cs="Arial"/>
                <w:color w:val="auto"/>
                <w:sz w:val="22"/>
                <w:szCs w:val="22"/>
                <w:lang w:eastAsia="zh-CN"/>
              </w:rPr>
              <w:t>分层取水后汇合成一根引水管，</w:t>
            </w:r>
            <w:r>
              <w:rPr>
                <w:rFonts w:hint="default" w:ascii="Arial" w:hAnsi="Arial" w:cs="Arial"/>
                <w:color w:val="auto"/>
                <w:sz w:val="22"/>
                <w:szCs w:val="22"/>
              </w:rPr>
              <w:t>引水管</w:t>
            </w:r>
            <w:r>
              <w:rPr>
                <w:rFonts w:hint="eastAsia" w:ascii="Arial" w:hAnsi="Arial" w:cs="Arial"/>
                <w:color w:val="auto"/>
                <w:sz w:val="22"/>
                <w:szCs w:val="22"/>
                <w:lang w:eastAsia="zh-CN"/>
              </w:rPr>
              <w:t>经</w:t>
            </w:r>
            <w:r>
              <w:rPr>
                <w:rFonts w:hint="default" w:ascii="Arial" w:hAnsi="Arial" w:cs="Arial"/>
                <w:color w:val="auto"/>
                <w:sz w:val="22"/>
                <w:szCs w:val="22"/>
              </w:rPr>
              <w:t>大坝下游坝坡左侧坝脚</w:t>
            </w:r>
            <w:r>
              <w:rPr>
                <w:rFonts w:hint="eastAsia" w:ascii="Arial" w:hAnsi="Arial" w:cs="Arial"/>
                <w:color w:val="auto"/>
                <w:sz w:val="22"/>
                <w:szCs w:val="22"/>
                <w:lang w:eastAsia="zh-CN"/>
              </w:rPr>
              <w:t>后引入闸阀房</w:t>
            </w:r>
            <w:r>
              <w:rPr>
                <w:rFonts w:hint="default" w:ascii="Arial" w:hAnsi="Arial" w:cs="Arial"/>
                <w:color w:val="auto"/>
                <w:sz w:val="22"/>
                <w:szCs w:val="22"/>
              </w:rPr>
              <w:t>，</w:t>
            </w:r>
            <w:r>
              <w:rPr>
                <w:rFonts w:hint="eastAsia" w:ascii="Arial" w:cs="Arial"/>
                <w:bCs/>
                <w:color w:val="auto"/>
                <w:sz w:val="22"/>
                <w:szCs w:val="22"/>
              </w:rPr>
              <w:t>充分混合后，根据用水性质分类，</w:t>
            </w:r>
            <w:r>
              <w:rPr>
                <w:rFonts w:hint="eastAsia" w:ascii="Arial" w:cs="Arial"/>
                <w:bCs/>
                <w:color w:val="auto"/>
                <w:sz w:val="22"/>
                <w:szCs w:val="22"/>
                <w:lang w:eastAsia="zh-CN"/>
              </w:rPr>
              <w:t>室内设</w:t>
            </w:r>
            <w:r>
              <w:rPr>
                <w:rFonts w:hint="eastAsia" w:ascii="Arial" w:cs="Arial"/>
                <w:bCs/>
                <w:color w:val="auto"/>
                <w:sz w:val="22"/>
                <w:szCs w:val="22"/>
              </w:rPr>
              <w:t>3根管道</w:t>
            </w:r>
            <w:r>
              <w:rPr>
                <w:rFonts w:hint="eastAsia" w:ascii="Arial" w:cs="Arial"/>
                <w:bCs/>
                <w:color w:val="auto"/>
                <w:sz w:val="22"/>
                <w:szCs w:val="22"/>
                <w:lang w:eastAsia="zh-CN"/>
              </w:rPr>
              <w:t>、</w:t>
            </w:r>
            <w:r>
              <w:rPr>
                <w:rFonts w:hint="eastAsia" w:ascii="Arial" w:cs="Arial"/>
                <w:bCs/>
                <w:color w:val="auto"/>
                <w:sz w:val="22"/>
                <w:szCs w:val="22"/>
                <w:lang w:val="en-US" w:eastAsia="zh-CN"/>
              </w:rPr>
              <w:t>3个</w:t>
            </w:r>
            <w:r>
              <w:rPr>
                <w:rFonts w:hint="eastAsia" w:ascii="Arial" w:cs="Arial"/>
                <w:bCs/>
                <w:color w:val="auto"/>
                <w:sz w:val="22"/>
                <w:szCs w:val="22"/>
                <w:lang w:eastAsia="zh-CN"/>
              </w:rPr>
              <w:t>控制阀</w:t>
            </w:r>
            <w:r>
              <w:rPr>
                <w:rFonts w:hint="eastAsia" w:ascii="Arial" w:cs="Arial"/>
                <w:bCs/>
                <w:color w:val="auto"/>
                <w:sz w:val="22"/>
                <w:szCs w:val="22"/>
                <w:lang w:val="en-US" w:eastAsia="zh-CN"/>
              </w:rPr>
              <w:t>，其中一根</w:t>
            </w:r>
            <w:r>
              <w:rPr>
                <w:rFonts w:ascii="Arial" w:cs="Arial"/>
                <w:bCs/>
                <w:color w:val="auto"/>
                <w:sz w:val="22"/>
                <w:szCs w:val="22"/>
              </w:rPr>
              <w:t>DN</w:t>
            </w:r>
            <w:r>
              <w:rPr>
                <w:rFonts w:hint="eastAsia" w:ascii="Arial" w:cs="Arial"/>
                <w:bCs/>
                <w:color w:val="auto"/>
                <w:sz w:val="22"/>
                <w:szCs w:val="22"/>
                <w:lang w:val="en-US" w:eastAsia="zh-CN"/>
              </w:rPr>
              <w:t>1</w:t>
            </w:r>
            <w:r>
              <w:rPr>
                <w:rFonts w:ascii="Arial" w:cs="Arial"/>
                <w:bCs/>
                <w:color w:val="auto"/>
                <w:sz w:val="22"/>
                <w:szCs w:val="22"/>
              </w:rPr>
              <w:t>00</w:t>
            </w:r>
            <w:r>
              <w:rPr>
                <w:rFonts w:hint="eastAsia" w:ascii="Arial" w:cs="Arial"/>
                <w:bCs/>
                <w:color w:val="auto"/>
                <w:sz w:val="22"/>
                <w:szCs w:val="22"/>
                <w:lang w:eastAsia="zh-CN"/>
              </w:rPr>
              <w:t>钢管为</w:t>
            </w:r>
            <w:r>
              <w:rPr>
                <w:rFonts w:hint="eastAsia" w:ascii="Arial" w:cs="Arial"/>
                <w:bCs/>
                <w:color w:val="auto"/>
                <w:sz w:val="22"/>
                <w:szCs w:val="22"/>
              </w:rPr>
              <w:t>生态放水</w:t>
            </w:r>
            <w:r>
              <w:rPr>
                <w:rFonts w:hint="eastAsia" w:ascii="Arial" w:cs="Arial"/>
                <w:bCs/>
                <w:color w:val="auto"/>
                <w:sz w:val="22"/>
                <w:szCs w:val="22"/>
                <w:lang w:eastAsia="zh-CN"/>
              </w:rPr>
              <w:t>管，</w:t>
            </w:r>
            <w:r>
              <w:rPr>
                <w:rFonts w:hint="eastAsia" w:ascii="Arial" w:cs="Arial"/>
                <w:bCs/>
                <w:color w:val="auto"/>
                <w:sz w:val="22"/>
                <w:szCs w:val="22"/>
                <w:lang w:val="en-US" w:eastAsia="zh-CN"/>
              </w:rPr>
              <w:t>出水口处</w:t>
            </w:r>
            <w:r>
              <w:rPr>
                <w:rFonts w:hint="eastAsia" w:ascii="Arial" w:cs="Arial"/>
                <w:bCs/>
                <w:color w:val="auto"/>
                <w:sz w:val="22"/>
                <w:szCs w:val="22"/>
              </w:rPr>
              <w:t>安装</w:t>
            </w:r>
            <w:r>
              <w:rPr>
                <w:rFonts w:hint="eastAsia" w:ascii="Arial" w:cs="Arial"/>
                <w:bCs/>
                <w:color w:val="auto"/>
                <w:sz w:val="22"/>
                <w:szCs w:val="22"/>
                <w:lang w:eastAsia="zh-CN"/>
              </w:rPr>
              <w:t>在线监控装置并联网运行</w:t>
            </w:r>
            <w:r>
              <w:rPr>
                <w:rFonts w:hint="eastAsia" w:ascii="Arial" w:cs="Arial"/>
                <w:bCs/>
                <w:color w:val="auto"/>
                <w:sz w:val="22"/>
                <w:szCs w:val="22"/>
              </w:rPr>
              <w:t>，确保满足坝后减水河段的用水需求。</w:t>
            </w:r>
          </w:p>
        </w:tc>
      </w:tr>
      <w:tr w14:paraId="2D43D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restart"/>
            <w:noWrap w:val="0"/>
            <w:vAlign w:val="center"/>
          </w:tcPr>
          <w:p w14:paraId="667CF489">
            <w:pPr>
              <w:spacing w:line="300" w:lineRule="exact"/>
              <w:jc w:val="center"/>
              <w:rPr>
                <w:rFonts w:hint="eastAsia" w:ascii="Arial" w:hAnsi="Arial" w:cs="Arial"/>
                <w:bCs/>
                <w:sz w:val="22"/>
                <w:szCs w:val="22"/>
              </w:rPr>
            </w:pPr>
            <w:r>
              <w:rPr>
                <w:rFonts w:hint="eastAsia" w:ascii="Arial" w:hAnsi="Arial" w:cs="Arial"/>
                <w:bCs/>
                <w:sz w:val="22"/>
                <w:szCs w:val="22"/>
              </w:rPr>
              <w:t>水库淹没、移民安置</w:t>
            </w:r>
          </w:p>
        </w:tc>
        <w:tc>
          <w:tcPr>
            <w:tcW w:w="1892" w:type="dxa"/>
            <w:gridSpan w:val="4"/>
            <w:noWrap w:val="0"/>
            <w:vAlign w:val="center"/>
          </w:tcPr>
          <w:p w14:paraId="0CFC02B1">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工程征地</w:t>
            </w:r>
          </w:p>
        </w:tc>
        <w:tc>
          <w:tcPr>
            <w:tcW w:w="6979" w:type="dxa"/>
            <w:noWrap w:val="0"/>
            <w:vAlign w:val="center"/>
          </w:tcPr>
          <w:p w14:paraId="1759A6C5">
            <w:pPr>
              <w:spacing w:line="300" w:lineRule="exact"/>
              <w:jc w:val="center"/>
              <w:rPr>
                <w:rFonts w:hint="eastAsia" w:ascii="Arial" w:eastAsia="宋体" w:cs="Arial"/>
                <w:bCs/>
                <w:sz w:val="26"/>
                <w:lang w:val="en-US" w:eastAsia="zh-CN"/>
              </w:rPr>
            </w:pPr>
            <w:r>
              <w:rPr>
                <w:rFonts w:hint="eastAsia" w:ascii="Arial" w:cs="Arial"/>
                <w:bCs/>
                <w:sz w:val="22"/>
                <w:szCs w:val="22"/>
                <w:lang w:eastAsia="zh-CN"/>
              </w:rPr>
              <w:t>项目总用地面积为</w:t>
            </w:r>
            <w:r>
              <w:rPr>
                <w:rFonts w:hint="eastAsia" w:ascii="Arial" w:cs="Arial"/>
                <w:bCs/>
                <w:sz w:val="22"/>
                <w:szCs w:val="22"/>
                <w:lang w:val="en-US" w:eastAsia="zh-CN"/>
              </w:rPr>
              <w:t>11.3182hm</w:t>
            </w:r>
            <w:r>
              <w:rPr>
                <w:rFonts w:hint="eastAsia" w:ascii="Arial" w:cs="Arial"/>
                <w:bCs/>
                <w:sz w:val="22"/>
                <w:szCs w:val="22"/>
                <w:vertAlign w:val="superscript"/>
                <w:lang w:val="en-US" w:eastAsia="zh-CN"/>
              </w:rPr>
              <w:t>2</w:t>
            </w:r>
            <w:r>
              <w:rPr>
                <w:rFonts w:hint="eastAsia" w:ascii="Arial" w:cs="Arial"/>
                <w:bCs/>
                <w:sz w:val="22"/>
                <w:szCs w:val="22"/>
              </w:rPr>
              <w:t>，</w:t>
            </w:r>
            <w:r>
              <w:rPr>
                <w:rFonts w:hint="eastAsia" w:ascii="Arial" w:cs="Arial"/>
                <w:bCs/>
                <w:sz w:val="22"/>
                <w:szCs w:val="22"/>
                <w:lang w:eastAsia="zh-CN"/>
              </w:rPr>
              <w:t>其中</w:t>
            </w:r>
            <w:r>
              <w:rPr>
                <w:rFonts w:hint="eastAsia" w:ascii="Arial" w:cs="Arial"/>
                <w:bCs/>
                <w:sz w:val="22"/>
                <w:szCs w:val="22"/>
              </w:rPr>
              <w:t>库区淹没面积</w:t>
            </w:r>
            <w:r>
              <w:rPr>
                <w:rFonts w:hint="eastAsia" w:ascii="Arial" w:cs="Arial"/>
                <w:bCs/>
                <w:sz w:val="22"/>
                <w:szCs w:val="22"/>
                <w:lang w:val="en-US" w:eastAsia="zh-CN"/>
              </w:rPr>
              <w:t>8.3026hm</w:t>
            </w:r>
            <w:r>
              <w:rPr>
                <w:rFonts w:hint="eastAsia" w:ascii="Arial" w:cs="Arial"/>
                <w:bCs/>
                <w:sz w:val="22"/>
                <w:szCs w:val="22"/>
                <w:vertAlign w:val="superscript"/>
                <w:lang w:val="en-US" w:eastAsia="zh-CN"/>
              </w:rPr>
              <w:t>2</w:t>
            </w:r>
            <w:r>
              <w:rPr>
                <w:rFonts w:hint="eastAsia" w:ascii="Arial" w:cs="Arial"/>
                <w:bCs/>
                <w:sz w:val="22"/>
                <w:szCs w:val="22"/>
              </w:rPr>
              <w:t>，回水段长约</w:t>
            </w:r>
            <w:r>
              <w:rPr>
                <w:rFonts w:hint="eastAsia" w:ascii="Arial" w:cs="Arial"/>
                <w:bCs/>
                <w:sz w:val="22"/>
                <w:szCs w:val="22"/>
                <w:lang w:val="en-US" w:eastAsia="zh-CN"/>
              </w:rPr>
              <w:t>0.55</w:t>
            </w:r>
            <w:r>
              <w:rPr>
                <w:rFonts w:hint="eastAsia" w:ascii="Arial" w:cs="Arial"/>
                <w:bCs/>
                <w:sz w:val="22"/>
                <w:szCs w:val="22"/>
              </w:rPr>
              <w:t>km</w:t>
            </w:r>
            <w:r>
              <w:rPr>
                <w:rFonts w:hint="eastAsia" w:ascii="Arial" w:cs="Arial"/>
                <w:bCs/>
                <w:sz w:val="22"/>
                <w:szCs w:val="22"/>
                <w:lang w:eastAsia="zh-CN"/>
              </w:rPr>
              <w:t>；临时占地面积为</w:t>
            </w:r>
            <w:r>
              <w:rPr>
                <w:rFonts w:hint="eastAsia" w:ascii="Arial" w:cs="Arial"/>
                <w:bCs/>
                <w:sz w:val="22"/>
                <w:szCs w:val="22"/>
                <w:lang w:val="en-US" w:eastAsia="zh-CN"/>
              </w:rPr>
              <w:t>12.7944hm</w:t>
            </w:r>
            <w:r>
              <w:rPr>
                <w:rFonts w:hint="eastAsia" w:ascii="Arial" w:cs="Arial"/>
                <w:bCs/>
                <w:sz w:val="22"/>
                <w:szCs w:val="22"/>
                <w:vertAlign w:val="superscript"/>
                <w:lang w:val="en-US" w:eastAsia="zh-CN"/>
              </w:rPr>
              <w:t>2</w:t>
            </w:r>
            <w:r>
              <w:rPr>
                <w:rFonts w:hint="eastAsia" w:ascii="Arial" w:cs="Arial"/>
                <w:bCs/>
                <w:sz w:val="22"/>
                <w:szCs w:val="22"/>
                <w:lang w:eastAsia="zh-CN"/>
              </w:rPr>
              <w:t>。</w:t>
            </w:r>
          </w:p>
        </w:tc>
      </w:tr>
      <w:tr w14:paraId="211FE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76FB4354">
            <w:pPr>
              <w:spacing w:line="300" w:lineRule="exact"/>
              <w:jc w:val="center"/>
              <w:rPr>
                <w:rFonts w:hint="eastAsia" w:ascii="Arial" w:hAnsi="Arial" w:cs="Arial"/>
                <w:bCs/>
                <w:sz w:val="22"/>
                <w:szCs w:val="22"/>
              </w:rPr>
            </w:pPr>
          </w:p>
        </w:tc>
        <w:tc>
          <w:tcPr>
            <w:tcW w:w="1892" w:type="dxa"/>
            <w:gridSpan w:val="4"/>
            <w:noWrap w:val="0"/>
            <w:vAlign w:val="center"/>
          </w:tcPr>
          <w:p w14:paraId="48D67771">
            <w:pPr>
              <w:spacing w:line="300" w:lineRule="exact"/>
              <w:jc w:val="center"/>
              <w:rPr>
                <w:rFonts w:hint="eastAsia" w:ascii="Arial" w:hAnsi="宋体" w:cs="Arial"/>
                <w:bCs/>
                <w:sz w:val="22"/>
                <w:szCs w:val="22"/>
              </w:rPr>
            </w:pPr>
            <w:r>
              <w:rPr>
                <w:rFonts w:hint="eastAsia" w:ascii="Arial" w:hAnsi="宋体" w:cs="Arial"/>
                <w:bCs/>
                <w:sz w:val="22"/>
                <w:szCs w:val="22"/>
              </w:rPr>
              <w:t>库底清理</w:t>
            </w:r>
          </w:p>
        </w:tc>
        <w:tc>
          <w:tcPr>
            <w:tcW w:w="6979" w:type="dxa"/>
            <w:noWrap w:val="0"/>
            <w:vAlign w:val="center"/>
          </w:tcPr>
          <w:p w14:paraId="417B0259">
            <w:pPr>
              <w:spacing w:line="300" w:lineRule="exact"/>
              <w:jc w:val="center"/>
              <w:rPr>
                <w:rFonts w:hint="eastAsia" w:ascii="Arial" w:hAnsi="宋体" w:cs="Arial"/>
                <w:spacing w:val="1"/>
                <w:sz w:val="22"/>
                <w:szCs w:val="22"/>
              </w:rPr>
            </w:pPr>
            <w:r>
              <w:rPr>
                <w:rFonts w:hint="eastAsia" w:ascii="Arial" w:hAnsi="宋体" w:cs="Arial"/>
                <w:spacing w:val="1"/>
                <w:sz w:val="22"/>
                <w:szCs w:val="22"/>
              </w:rPr>
              <w:t>包括淹没区内林木清理、卫生清理，清理出来的废物按要求进行分类收集处置。</w:t>
            </w:r>
            <w:r>
              <w:rPr>
                <w:rFonts w:ascii="Arial" w:hAnsi="宋体" w:cs="Arial"/>
                <w:spacing w:val="1"/>
                <w:sz w:val="22"/>
                <w:szCs w:val="22"/>
              </w:rPr>
              <w:t xml:space="preserve"> </w:t>
            </w:r>
          </w:p>
        </w:tc>
      </w:tr>
      <w:tr w14:paraId="69F63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3EC80C74">
            <w:pPr>
              <w:spacing w:line="300" w:lineRule="exact"/>
              <w:jc w:val="center"/>
              <w:rPr>
                <w:rFonts w:hint="eastAsia" w:ascii="Arial" w:hAnsi="Arial" w:cs="Arial"/>
                <w:bCs/>
                <w:sz w:val="22"/>
                <w:szCs w:val="22"/>
              </w:rPr>
            </w:pPr>
          </w:p>
        </w:tc>
        <w:tc>
          <w:tcPr>
            <w:tcW w:w="1892" w:type="dxa"/>
            <w:gridSpan w:val="4"/>
            <w:noWrap w:val="0"/>
            <w:vAlign w:val="center"/>
          </w:tcPr>
          <w:p w14:paraId="53BD2469">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专业项目处理</w:t>
            </w:r>
          </w:p>
        </w:tc>
        <w:tc>
          <w:tcPr>
            <w:tcW w:w="6979" w:type="dxa"/>
            <w:noWrap w:val="0"/>
            <w:vAlign w:val="center"/>
          </w:tcPr>
          <w:p w14:paraId="35FFE90A">
            <w:pPr>
              <w:spacing w:line="300" w:lineRule="exact"/>
              <w:jc w:val="center"/>
              <w:rPr>
                <w:rFonts w:hint="eastAsia" w:ascii="Arial" w:hAnsi="宋体" w:cs="Arial"/>
                <w:spacing w:val="1"/>
                <w:sz w:val="22"/>
                <w:szCs w:val="22"/>
              </w:rPr>
            </w:pPr>
            <w:r>
              <w:rPr>
                <w:rFonts w:hint="eastAsia" w:ascii="Arial" w:hAnsi="宋体" w:cs="Arial"/>
                <w:spacing w:val="1"/>
                <w:sz w:val="22"/>
                <w:szCs w:val="22"/>
                <w:lang w:val="en-US" w:eastAsia="zh-CN"/>
              </w:rPr>
              <w:t>库区不会淹没道路、桥梁、输电线路、电杆等专项设施处理，</w:t>
            </w:r>
          </w:p>
        </w:tc>
      </w:tr>
      <w:tr w14:paraId="41A25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3CA74412">
            <w:pPr>
              <w:spacing w:line="300" w:lineRule="exact"/>
              <w:jc w:val="center"/>
              <w:rPr>
                <w:rFonts w:hint="eastAsia" w:ascii="Arial" w:hAnsi="Arial" w:cs="Arial"/>
                <w:bCs/>
                <w:sz w:val="22"/>
                <w:szCs w:val="22"/>
              </w:rPr>
            </w:pPr>
          </w:p>
        </w:tc>
        <w:tc>
          <w:tcPr>
            <w:tcW w:w="1892" w:type="dxa"/>
            <w:gridSpan w:val="4"/>
            <w:noWrap w:val="0"/>
            <w:vAlign w:val="center"/>
          </w:tcPr>
          <w:p w14:paraId="2BFD6A9A">
            <w:pPr>
              <w:spacing w:line="300" w:lineRule="exact"/>
              <w:jc w:val="center"/>
              <w:rPr>
                <w:rFonts w:hint="eastAsia" w:ascii="Arial" w:hAnsi="宋体" w:cs="Arial"/>
                <w:bCs/>
                <w:sz w:val="22"/>
                <w:szCs w:val="22"/>
              </w:rPr>
            </w:pPr>
            <w:r>
              <w:rPr>
                <w:rFonts w:hint="eastAsia" w:ascii="Arial" w:hAnsi="宋体" w:cs="Arial"/>
                <w:bCs/>
                <w:sz w:val="22"/>
                <w:szCs w:val="22"/>
              </w:rPr>
              <w:t>移民安置</w:t>
            </w:r>
          </w:p>
        </w:tc>
        <w:tc>
          <w:tcPr>
            <w:tcW w:w="6979" w:type="dxa"/>
            <w:noWrap w:val="0"/>
            <w:vAlign w:val="center"/>
          </w:tcPr>
          <w:p w14:paraId="6465DF42">
            <w:pPr>
              <w:spacing w:line="300" w:lineRule="exact"/>
              <w:jc w:val="center"/>
              <w:rPr>
                <w:rFonts w:hint="eastAsia" w:ascii="Arial" w:hAnsi="宋体" w:cs="Arial"/>
                <w:spacing w:val="1"/>
                <w:sz w:val="22"/>
                <w:szCs w:val="22"/>
              </w:rPr>
            </w:pPr>
            <w:r>
              <w:rPr>
                <w:rFonts w:hint="eastAsia" w:ascii="Arial" w:hAnsi="宋体" w:cs="Arial"/>
                <w:spacing w:val="1"/>
                <w:sz w:val="22"/>
                <w:szCs w:val="22"/>
                <w:lang w:val="en-US" w:eastAsia="zh-CN"/>
              </w:rPr>
              <w:t>库区不会淹没居民房屋，但因征地需安置人口34人，均采取货币安置的方式。</w:t>
            </w:r>
          </w:p>
        </w:tc>
      </w:tr>
    </w:tbl>
    <w:p w14:paraId="12D1BE2F">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Arial" w:hAnsi="Arial" w:cs="Arial"/>
          <w:color w:val="auto"/>
          <w:kern w:val="0"/>
          <w:sz w:val="26"/>
          <w:szCs w:val="26"/>
          <w:highlight w:val="none"/>
          <w:lang w:val="en-US" w:eastAsia="zh-CN"/>
        </w:rPr>
      </w:pPr>
    </w:p>
    <w:p w14:paraId="62BD3D98">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2.2.4工程任务、规模、等级及调度运行方式</w:t>
      </w:r>
    </w:p>
    <w:p w14:paraId="3B4F833F">
      <w:pPr>
        <w:spacing w:line="480" w:lineRule="exact"/>
        <w:ind w:firstLine="392" w:firstLineChars="150"/>
        <w:rPr>
          <w:rFonts w:hint="eastAsia" w:ascii="Arial" w:hAnsi="Arial" w:cs="Arial"/>
          <w:b/>
          <w:sz w:val="26"/>
          <w:szCs w:val="26"/>
        </w:rPr>
      </w:pPr>
      <w:r>
        <w:rPr>
          <w:rFonts w:hint="eastAsia" w:ascii="Arial" w:hAnsi="Arial" w:cs="Arial"/>
          <w:b/>
          <w:sz w:val="26"/>
          <w:szCs w:val="26"/>
        </w:rPr>
        <w:t>（1）工程任务</w:t>
      </w:r>
    </w:p>
    <w:p w14:paraId="5D99DB3F">
      <w:pPr>
        <w:spacing w:line="480" w:lineRule="exact"/>
        <w:ind w:firstLine="520" w:firstLineChars="200"/>
        <w:rPr>
          <w:rFonts w:hint="eastAsia" w:ascii="Arial" w:hAnsi="Arial" w:cs="Arial"/>
          <w:bCs/>
          <w:sz w:val="26"/>
          <w:szCs w:val="26"/>
        </w:rPr>
      </w:pPr>
      <w:r>
        <w:rPr>
          <w:rFonts w:hint="eastAsia" w:ascii="Arial" w:cs="Arial"/>
          <w:bCs/>
          <w:sz w:val="26"/>
          <w:lang w:eastAsia="zh-CN"/>
        </w:rPr>
        <w:t>海螺沟</w:t>
      </w:r>
      <w:r>
        <w:rPr>
          <w:rFonts w:hint="eastAsia" w:ascii="Arial" w:cs="Arial"/>
          <w:bCs/>
          <w:sz w:val="26"/>
        </w:rPr>
        <w:t>水库工程的开发任务</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hAnsi="Arial" w:cs="Arial"/>
          <w:bCs/>
          <w:sz w:val="26"/>
          <w:szCs w:val="26"/>
        </w:rPr>
        <w:t>。</w:t>
      </w:r>
    </w:p>
    <w:p w14:paraId="1A928277">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① 灌溉供水</w:t>
      </w:r>
    </w:p>
    <w:p w14:paraId="121AC8FE">
      <w:pPr>
        <w:spacing w:line="480" w:lineRule="exact"/>
        <w:ind w:firstLine="520" w:firstLineChars="200"/>
        <w:rPr>
          <w:rFonts w:hint="eastAsia" w:ascii="Arial" w:cs="Arial"/>
          <w:bCs/>
          <w:sz w:val="26"/>
          <w:lang w:eastAsia="zh-CN"/>
        </w:rPr>
      </w:pPr>
      <w:r>
        <w:rPr>
          <w:rFonts w:hint="eastAsia" w:ascii="Arial" w:cs="Arial"/>
          <w:bCs/>
          <w:sz w:val="26"/>
          <w:lang w:eastAsia="zh-CN"/>
        </w:rPr>
        <w:t>本项目灌区主要集中在双龙镇双龙社区、回龙场村，设计灌溉面积2000亩。灌区灌溉水利用系数为0.831，多年平均灌溉净需水量43.52万m</w:t>
      </w:r>
      <w:r>
        <w:rPr>
          <w:rFonts w:hint="eastAsia" w:ascii="Arial" w:cs="Arial"/>
          <w:bCs/>
          <w:sz w:val="26"/>
          <w:vertAlign w:val="superscript"/>
          <w:lang w:eastAsia="zh-CN"/>
        </w:rPr>
        <w:t>3</w:t>
      </w:r>
      <w:r>
        <w:rPr>
          <w:rFonts w:hint="eastAsia" w:ascii="Arial" w:cs="Arial"/>
          <w:bCs/>
          <w:sz w:val="26"/>
          <w:lang w:eastAsia="zh-CN"/>
        </w:rPr>
        <w:t>，毛需水量52.36万m</w:t>
      </w:r>
      <w:r>
        <w:rPr>
          <w:rFonts w:hint="eastAsia" w:ascii="Arial" w:cs="Arial"/>
          <w:bCs/>
          <w:sz w:val="26"/>
          <w:vertAlign w:val="superscript"/>
          <w:lang w:eastAsia="zh-CN"/>
        </w:rPr>
        <w:t>3</w:t>
      </w:r>
      <w:r>
        <w:rPr>
          <w:rFonts w:hint="eastAsia" w:ascii="Arial" w:cs="Arial"/>
          <w:bCs/>
          <w:sz w:val="26"/>
          <w:lang w:eastAsia="zh-CN"/>
        </w:rPr>
        <w:t>，扣除现有小型水利设施供水0.94万m</w:t>
      </w:r>
      <w:r>
        <w:rPr>
          <w:rFonts w:hint="eastAsia" w:ascii="Arial" w:cs="Arial"/>
          <w:bCs/>
          <w:sz w:val="26"/>
          <w:vertAlign w:val="superscript"/>
          <w:lang w:eastAsia="zh-CN"/>
        </w:rPr>
        <w:t>3</w:t>
      </w:r>
      <w:r>
        <w:rPr>
          <w:rFonts w:hint="eastAsia" w:ascii="Arial" w:cs="Arial"/>
          <w:bCs/>
          <w:sz w:val="26"/>
          <w:lang w:eastAsia="zh-CN"/>
        </w:rPr>
        <w:t>，灌区毛缺水量51.42万m</w:t>
      </w:r>
      <w:r>
        <w:rPr>
          <w:rFonts w:hint="eastAsia" w:ascii="Arial" w:cs="Arial"/>
          <w:bCs/>
          <w:sz w:val="26"/>
          <w:vertAlign w:val="superscript"/>
          <w:lang w:eastAsia="zh-CN"/>
        </w:rPr>
        <w:t>3</w:t>
      </w:r>
      <w:r>
        <w:rPr>
          <w:rFonts w:hint="eastAsia" w:ascii="Arial" w:cs="Arial"/>
          <w:bCs/>
          <w:sz w:val="26"/>
          <w:lang w:eastAsia="zh-CN"/>
        </w:rPr>
        <w:t>；灌溉设计保证率P=75%年灌溉净需水量48.67万m</w:t>
      </w:r>
      <w:r>
        <w:rPr>
          <w:rFonts w:hint="eastAsia" w:ascii="Arial" w:cs="Arial"/>
          <w:bCs/>
          <w:sz w:val="26"/>
          <w:vertAlign w:val="superscript"/>
          <w:lang w:eastAsia="zh-CN"/>
        </w:rPr>
        <w:t>3</w:t>
      </w:r>
      <w:r>
        <w:rPr>
          <w:rFonts w:hint="eastAsia" w:ascii="Arial" w:cs="Arial"/>
          <w:bCs/>
          <w:sz w:val="26"/>
          <w:lang w:eastAsia="zh-CN"/>
        </w:rPr>
        <w:t>，毛需水量58.55万m</w:t>
      </w:r>
      <w:r>
        <w:rPr>
          <w:rFonts w:hint="eastAsia" w:ascii="Arial" w:cs="Arial"/>
          <w:bCs/>
          <w:sz w:val="26"/>
          <w:vertAlign w:val="superscript"/>
          <w:lang w:eastAsia="zh-CN"/>
        </w:rPr>
        <w:t>3</w:t>
      </w:r>
      <w:r>
        <w:rPr>
          <w:rFonts w:hint="eastAsia" w:ascii="Arial" w:cs="Arial"/>
          <w:bCs/>
          <w:sz w:val="26"/>
          <w:lang w:eastAsia="zh-CN"/>
        </w:rPr>
        <w:t>，扣除现有小型水利设施供水1.05万m</w:t>
      </w:r>
      <w:r>
        <w:rPr>
          <w:rFonts w:hint="eastAsia" w:ascii="Arial" w:cs="Arial"/>
          <w:bCs/>
          <w:sz w:val="26"/>
          <w:vertAlign w:val="superscript"/>
          <w:lang w:eastAsia="zh-CN"/>
        </w:rPr>
        <w:t>3</w:t>
      </w:r>
      <w:r>
        <w:rPr>
          <w:rFonts w:hint="eastAsia" w:ascii="Arial" w:cs="Arial"/>
          <w:bCs/>
          <w:sz w:val="26"/>
          <w:lang w:eastAsia="zh-CN"/>
        </w:rPr>
        <w:t>，灌区毛缺水量57.5万m</w:t>
      </w:r>
      <w:r>
        <w:rPr>
          <w:rFonts w:hint="eastAsia" w:ascii="Arial" w:cs="Arial"/>
          <w:bCs/>
          <w:sz w:val="26"/>
          <w:vertAlign w:val="superscript"/>
          <w:lang w:eastAsia="zh-CN"/>
        </w:rPr>
        <w:t>3</w:t>
      </w:r>
      <w:r>
        <w:rPr>
          <w:rFonts w:hint="eastAsia" w:ascii="Arial" w:cs="Arial"/>
          <w:bCs/>
          <w:sz w:val="26"/>
          <w:lang w:eastAsia="zh-CN"/>
        </w:rPr>
        <w:t>。</w:t>
      </w:r>
    </w:p>
    <w:p w14:paraId="4BC65C89">
      <w:pPr>
        <w:spacing w:line="480" w:lineRule="exact"/>
        <w:ind w:firstLine="520" w:firstLineChars="200"/>
        <w:rPr>
          <w:rFonts w:hint="eastAsia" w:ascii="Arial" w:cs="Arial"/>
          <w:bCs/>
          <w:sz w:val="26"/>
          <w:lang w:eastAsia="zh-CN"/>
        </w:rPr>
      </w:pPr>
      <w:r>
        <w:rPr>
          <w:rFonts w:hint="eastAsia" w:ascii="Arial" w:cs="Arial"/>
          <w:bCs/>
          <w:sz w:val="26"/>
          <w:lang w:eastAsia="zh-CN"/>
        </w:rPr>
        <w:t>灌区设计净灌水率为0.41m</w:t>
      </w:r>
      <w:r>
        <w:rPr>
          <w:rFonts w:hint="eastAsia" w:ascii="Arial" w:cs="Arial"/>
          <w:bCs/>
          <w:sz w:val="26"/>
          <w:vertAlign w:val="superscript"/>
          <w:lang w:eastAsia="zh-CN"/>
        </w:rPr>
        <w:t>3</w:t>
      </w:r>
      <w:r>
        <w:rPr>
          <w:rFonts w:hint="eastAsia" w:ascii="Arial" w:cs="Arial"/>
          <w:bCs/>
          <w:sz w:val="26"/>
          <w:lang w:eastAsia="zh-CN"/>
        </w:rPr>
        <w:t>/s/万亩，灌区综合利用系数为0.831，渠首灌溉设计总流量为0.0987m</w:t>
      </w:r>
      <w:r>
        <w:rPr>
          <w:rFonts w:hint="eastAsia" w:ascii="Arial" w:cs="Arial"/>
          <w:bCs/>
          <w:sz w:val="26"/>
          <w:vertAlign w:val="superscript"/>
          <w:lang w:eastAsia="zh-CN"/>
        </w:rPr>
        <w:t>3</w:t>
      </w:r>
      <w:r>
        <w:rPr>
          <w:rFonts w:hint="eastAsia" w:ascii="Arial" w:cs="Arial"/>
          <w:bCs/>
          <w:sz w:val="26"/>
          <w:lang w:eastAsia="zh-CN"/>
        </w:rPr>
        <w:t>/s。</w:t>
      </w:r>
    </w:p>
    <w:p w14:paraId="22E72E75">
      <w:pPr>
        <w:spacing w:line="440" w:lineRule="exact"/>
        <w:ind w:firstLine="522" w:firstLineChars="200"/>
        <w:rPr>
          <w:rFonts w:hint="eastAsia" w:ascii="Arial" w:hAnsi="Arial" w:cs="Arial"/>
          <w:b/>
          <w:bCs/>
          <w:sz w:val="26"/>
        </w:rPr>
      </w:pPr>
      <w:r>
        <w:rPr>
          <w:rFonts w:hint="eastAsia" w:ascii="Arial" w:hAnsi="Arial" w:cs="Arial"/>
          <w:b/>
          <w:bCs/>
          <w:sz w:val="26"/>
        </w:rPr>
        <w:t xml:space="preserve">② </w:t>
      </w:r>
      <w:r>
        <w:rPr>
          <w:rFonts w:hint="eastAsia" w:ascii="Arial" w:hAnsi="Arial" w:cs="Arial"/>
          <w:b/>
          <w:bCs/>
          <w:sz w:val="26"/>
          <w:lang w:eastAsia="zh-CN"/>
        </w:rPr>
        <w:t>人饮</w:t>
      </w:r>
      <w:r>
        <w:rPr>
          <w:rFonts w:ascii="Arial" w:hAnsi="Arial" w:cs="Arial"/>
          <w:b/>
          <w:bCs/>
          <w:sz w:val="26"/>
        </w:rPr>
        <w:t>供水</w:t>
      </w:r>
    </w:p>
    <w:p w14:paraId="7C164648">
      <w:pPr>
        <w:spacing w:line="480" w:lineRule="exact"/>
        <w:ind w:firstLine="520" w:firstLineChars="200"/>
        <w:rPr>
          <w:rFonts w:hint="eastAsia" w:ascii="Arial" w:cs="Arial"/>
          <w:bCs/>
          <w:sz w:val="26"/>
          <w:lang w:eastAsia="zh-CN"/>
        </w:rPr>
      </w:pPr>
      <w:r>
        <w:rPr>
          <w:rFonts w:hint="eastAsia" w:ascii="Arial" w:cs="Arial"/>
          <w:bCs/>
          <w:sz w:val="26"/>
          <w:lang w:eastAsia="zh-CN"/>
        </w:rPr>
        <w:t>海螺沟水库向双龙社区、双龙场村、田家山村供水，供水对象为农村居民7000人、大牲畜330头、小牲畜1280只。综合考虑用水定额、管网漏损后，海螺沟水库向双龙镇供水量为</w:t>
      </w:r>
      <w:r>
        <w:rPr>
          <w:rFonts w:hint="eastAsia" w:ascii="Arial" w:cs="Arial"/>
          <w:bCs/>
          <w:sz w:val="26"/>
          <w:lang w:val="en-US" w:eastAsia="zh-CN"/>
        </w:rPr>
        <w:t>18.78</w:t>
      </w:r>
      <w:r>
        <w:rPr>
          <w:rFonts w:hint="eastAsia" w:ascii="Arial" w:cs="Arial"/>
          <w:bCs/>
          <w:sz w:val="26"/>
          <w:lang w:eastAsia="zh-CN"/>
        </w:rPr>
        <w:t>万m</w:t>
      </w:r>
      <w:r>
        <w:rPr>
          <w:rFonts w:hint="eastAsia" w:ascii="Arial" w:cs="Arial"/>
          <w:bCs/>
          <w:sz w:val="26"/>
          <w:vertAlign w:val="superscript"/>
          <w:lang w:eastAsia="zh-CN"/>
        </w:rPr>
        <w:t>3</w:t>
      </w:r>
      <w:r>
        <w:rPr>
          <w:rFonts w:hint="eastAsia" w:ascii="Arial" w:cs="Arial"/>
          <w:bCs/>
          <w:sz w:val="26"/>
          <w:lang w:eastAsia="zh-CN"/>
        </w:rPr>
        <w:t>。供水干管设计流量为0.0087m</w:t>
      </w:r>
      <w:r>
        <w:rPr>
          <w:rFonts w:hint="eastAsia" w:ascii="Arial" w:cs="Arial"/>
          <w:bCs/>
          <w:sz w:val="26"/>
          <w:vertAlign w:val="superscript"/>
          <w:lang w:eastAsia="zh-CN"/>
        </w:rPr>
        <w:t>3</w:t>
      </w:r>
      <w:r>
        <w:rPr>
          <w:rFonts w:hint="eastAsia" w:ascii="Arial" w:cs="Arial"/>
          <w:bCs/>
          <w:sz w:val="26"/>
          <w:lang w:eastAsia="zh-CN"/>
        </w:rPr>
        <w:t>/s。</w:t>
      </w:r>
    </w:p>
    <w:p w14:paraId="6527684A">
      <w:pPr>
        <w:spacing w:line="440" w:lineRule="exact"/>
        <w:ind w:firstLine="522" w:firstLineChars="200"/>
        <w:rPr>
          <w:rFonts w:hint="eastAsia" w:ascii="Arial" w:hAnsi="Arial" w:eastAsia="宋体" w:cs="Arial"/>
          <w:b/>
          <w:bCs/>
          <w:sz w:val="26"/>
          <w:lang w:eastAsia="zh-CN"/>
        </w:rPr>
      </w:pPr>
      <w:r>
        <w:rPr>
          <w:rFonts w:hint="eastAsia" w:ascii="Arial" w:hAnsi="Arial" w:cs="Arial"/>
          <w:b/>
          <w:bCs/>
          <w:sz w:val="26"/>
        </w:rPr>
        <w:t>③</w:t>
      </w:r>
      <w:r>
        <w:rPr>
          <w:rFonts w:ascii="Arial" w:hAnsi="Arial" w:cs="Arial"/>
          <w:b/>
          <w:bCs/>
          <w:sz w:val="26"/>
        </w:rPr>
        <w:t xml:space="preserve"> </w:t>
      </w:r>
      <w:r>
        <w:rPr>
          <w:rFonts w:hint="eastAsia" w:ascii="Arial" w:hAnsi="Arial" w:cs="Arial"/>
          <w:b/>
          <w:bCs/>
          <w:sz w:val="26"/>
          <w:lang w:eastAsia="zh-CN"/>
        </w:rPr>
        <w:t>生态流量</w:t>
      </w:r>
    </w:p>
    <w:p w14:paraId="348C65C6">
      <w:pPr>
        <w:spacing w:line="480" w:lineRule="exact"/>
        <w:ind w:firstLine="520" w:firstLineChars="200"/>
        <w:rPr>
          <w:rFonts w:hint="eastAsia" w:ascii="Arial" w:cs="Arial"/>
          <w:bCs/>
          <w:sz w:val="26"/>
          <w:lang w:eastAsia="zh-CN"/>
        </w:rPr>
      </w:pPr>
      <w:r>
        <w:rPr>
          <w:rFonts w:hint="eastAsia" w:ascii="Arial" w:cs="Arial"/>
          <w:bCs/>
          <w:sz w:val="26"/>
          <w:lang w:eastAsia="zh-CN"/>
        </w:rPr>
        <w:t>经对水库坝址处径流系列的分析，本次生态流量按多年平均径流量的1</w:t>
      </w:r>
      <w:r>
        <w:rPr>
          <w:rFonts w:hint="eastAsia" w:ascii="Arial" w:cs="Arial"/>
          <w:bCs/>
          <w:sz w:val="26"/>
          <w:lang w:val="en-US" w:eastAsia="zh-CN"/>
        </w:rPr>
        <w:t>5</w:t>
      </w:r>
      <w:r>
        <w:rPr>
          <w:rFonts w:hint="eastAsia" w:ascii="Arial" w:cs="Arial"/>
          <w:bCs/>
          <w:sz w:val="26"/>
          <w:lang w:eastAsia="zh-CN"/>
        </w:rPr>
        <w:t>%下泄，折合流量0.00</w:t>
      </w:r>
      <w:r>
        <w:rPr>
          <w:rFonts w:hint="eastAsia" w:ascii="Arial" w:cs="Arial"/>
          <w:bCs/>
          <w:sz w:val="26"/>
          <w:lang w:val="en-US" w:eastAsia="zh-CN"/>
        </w:rPr>
        <w:t>5</w:t>
      </w:r>
      <w:r>
        <w:rPr>
          <w:rFonts w:hint="eastAsia" w:ascii="Arial" w:cs="Arial"/>
          <w:bCs/>
          <w:sz w:val="26"/>
          <w:lang w:eastAsia="zh-CN"/>
        </w:rPr>
        <w:t>m</w:t>
      </w:r>
      <w:r>
        <w:rPr>
          <w:rFonts w:hint="eastAsia" w:ascii="Arial" w:cs="Arial"/>
          <w:bCs/>
          <w:sz w:val="26"/>
          <w:vertAlign w:val="superscript"/>
          <w:lang w:eastAsia="zh-CN"/>
        </w:rPr>
        <w:t>3</w:t>
      </w:r>
      <w:r>
        <w:rPr>
          <w:rFonts w:hint="eastAsia" w:ascii="Arial" w:cs="Arial"/>
          <w:bCs/>
          <w:sz w:val="26"/>
          <w:lang w:eastAsia="zh-CN"/>
        </w:rPr>
        <w:t>/s。坝址处多年平均径流量105万m</w:t>
      </w:r>
      <w:r>
        <w:rPr>
          <w:rFonts w:hint="eastAsia" w:ascii="Arial" w:cs="Arial"/>
          <w:bCs/>
          <w:sz w:val="26"/>
          <w:vertAlign w:val="superscript"/>
          <w:lang w:eastAsia="zh-CN"/>
        </w:rPr>
        <w:t>3</w:t>
      </w:r>
      <w:r>
        <w:rPr>
          <w:rFonts w:hint="eastAsia" w:ascii="Arial" w:cs="Arial"/>
          <w:bCs/>
          <w:sz w:val="26"/>
          <w:lang w:eastAsia="zh-CN"/>
        </w:rPr>
        <w:t>，则水库多年平均下泄生态年用水量为</w:t>
      </w:r>
      <w:r>
        <w:rPr>
          <w:rFonts w:hint="eastAsia" w:ascii="Arial" w:cs="Arial"/>
          <w:bCs/>
          <w:sz w:val="26"/>
          <w:lang w:val="en-US" w:eastAsia="zh-CN"/>
        </w:rPr>
        <w:t>15.75</w:t>
      </w:r>
      <w:r>
        <w:rPr>
          <w:rFonts w:hint="eastAsia" w:ascii="Arial" w:cs="Arial"/>
          <w:bCs/>
          <w:sz w:val="26"/>
          <w:lang w:eastAsia="zh-CN"/>
        </w:rPr>
        <w:t>万m</w:t>
      </w:r>
      <w:r>
        <w:rPr>
          <w:rFonts w:hint="eastAsia" w:ascii="Arial" w:cs="Arial"/>
          <w:bCs/>
          <w:sz w:val="26"/>
          <w:vertAlign w:val="superscript"/>
          <w:lang w:eastAsia="zh-CN"/>
        </w:rPr>
        <w:t>3</w:t>
      </w:r>
      <w:r>
        <w:rPr>
          <w:rFonts w:hint="eastAsia" w:ascii="Arial" w:cs="Arial"/>
          <w:bCs/>
          <w:sz w:val="26"/>
          <w:lang w:eastAsia="zh-CN"/>
        </w:rPr>
        <w:t>。</w:t>
      </w:r>
    </w:p>
    <w:p w14:paraId="6D48B8C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lang w:eastAsia="zh-CN"/>
        </w:rPr>
      </w:pPr>
      <w:r>
        <w:rPr>
          <w:rFonts w:hint="eastAsia" w:ascii="宋体" w:hAnsi="宋体" w:eastAsia="宋体" w:cs="宋体"/>
          <w:b/>
          <w:bCs/>
          <w:sz w:val="26"/>
        </w:rPr>
        <w:t>④</w:t>
      </w:r>
      <w:r>
        <w:rPr>
          <w:rFonts w:ascii="Arial" w:hAnsi="Arial" w:cs="Arial"/>
          <w:b/>
          <w:bCs/>
          <w:sz w:val="26"/>
        </w:rPr>
        <w:t xml:space="preserve"> </w:t>
      </w:r>
      <w:r>
        <w:rPr>
          <w:rFonts w:hint="eastAsia" w:ascii="Arial" w:hAnsi="Arial" w:cs="Arial"/>
          <w:b/>
          <w:bCs/>
          <w:sz w:val="26"/>
          <w:lang w:eastAsia="zh-CN"/>
        </w:rPr>
        <w:t>水资源分析</w:t>
      </w:r>
    </w:p>
    <w:p w14:paraId="22A3B34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cs="Arial"/>
          <w:sz w:val="26"/>
          <w:szCs w:val="26"/>
        </w:rPr>
      </w:pPr>
      <w:r>
        <w:rPr>
          <w:rFonts w:hint="eastAsia" w:ascii="Arial" w:cs="Arial"/>
          <w:bCs/>
          <w:sz w:val="26"/>
          <w:lang w:eastAsia="zh-CN"/>
        </w:rPr>
        <w:t>海螺沟水库坝址处多年平均径流量105万m</w:t>
      </w:r>
      <w:r>
        <w:rPr>
          <w:rFonts w:hint="eastAsia" w:ascii="Arial" w:cs="Arial"/>
          <w:bCs/>
          <w:sz w:val="26"/>
          <w:vertAlign w:val="superscript"/>
          <w:lang w:eastAsia="zh-CN"/>
        </w:rPr>
        <w:t>3</w:t>
      </w:r>
      <w:r>
        <w:rPr>
          <w:rFonts w:hint="eastAsia" w:ascii="Arial" w:cs="Arial"/>
          <w:bCs/>
          <w:sz w:val="26"/>
          <w:lang w:eastAsia="zh-CN"/>
        </w:rPr>
        <w:t>，灌溉、人饮供水量合计为</w:t>
      </w:r>
      <w:r>
        <w:rPr>
          <w:rFonts w:hint="eastAsia" w:ascii="Arial" w:cs="Arial"/>
          <w:bCs/>
          <w:sz w:val="26"/>
          <w:lang w:val="en-US" w:eastAsia="zh-CN"/>
        </w:rPr>
        <w:t>76.28万m</w:t>
      </w:r>
      <w:r>
        <w:rPr>
          <w:rFonts w:hint="eastAsia" w:ascii="Arial" w:cs="Arial"/>
          <w:bCs/>
          <w:sz w:val="26"/>
          <w:vertAlign w:val="superscript"/>
          <w:lang w:val="en-US" w:eastAsia="zh-CN"/>
        </w:rPr>
        <w:t>3</w:t>
      </w:r>
      <w:r>
        <w:rPr>
          <w:rFonts w:hint="eastAsia" w:ascii="Arial" w:cs="Arial"/>
          <w:bCs/>
          <w:sz w:val="26"/>
          <w:lang w:val="en-US" w:eastAsia="zh-CN"/>
        </w:rPr>
        <w:t>，生态下泄量为15.75</w:t>
      </w:r>
      <w:r>
        <w:rPr>
          <w:rFonts w:hint="eastAsia" w:ascii="Arial" w:cs="Arial"/>
          <w:bCs/>
          <w:sz w:val="26"/>
          <w:lang w:eastAsia="zh-CN"/>
        </w:rPr>
        <w:t>万m</w:t>
      </w:r>
      <w:r>
        <w:rPr>
          <w:rFonts w:hint="eastAsia" w:ascii="Arial" w:cs="Arial"/>
          <w:bCs/>
          <w:sz w:val="26"/>
          <w:vertAlign w:val="superscript"/>
          <w:lang w:eastAsia="zh-CN"/>
        </w:rPr>
        <w:t>3</w:t>
      </w:r>
      <w:r>
        <w:rPr>
          <w:rFonts w:hint="eastAsia" w:ascii="Arial" w:cs="Arial"/>
          <w:bCs/>
          <w:sz w:val="26"/>
          <w:lang w:eastAsia="zh-CN"/>
        </w:rPr>
        <w:t>，则弃水量为</w:t>
      </w:r>
      <w:r>
        <w:rPr>
          <w:rFonts w:hint="eastAsia" w:ascii="Arial" w:cs="Arial"/>
          <w:bCs/>
          <w:sz w:val="26"/>
          <w:lang w:val="en-US" w:eastAsia="zh-CN"/>
        </w:rPr>
        <w:t>12.97万</w:t>
      </w:r>
      <w:r>
        <w:rPr>
          <w:rFonts w:hint="eastAsia" w:ascii="Arial" w:cs="Arial"/>
          <w:bCs/>
          <w:sz w:val="26"/>
          <w:lang w:eastAsia="zh-CN"/>
        </w:rPr>
        <w:t>m</w:t>
      </w:r>
      <w:r>
        <w:rPr>
          <w:rFonts w:hint="eastAsia" w:ascii="Arial" w:cs="Arial"/>
          <w:bCs/>
          <w:sz w:val="26"/>
          <w:vertAlign w:val="superscript"/>
          <w:lang w:eastAsia="zh-CN"/>
        </w:rPr>
        <w:t>3</w:t>
      </w:r>
      <w:r>
        <w:rPr>
          <w:rFonts w:hint="eastAsia" w:ascii="Arial" w:cs="Arial"/>
          <w:bCs/>
          <w:sz w:val="26"/>
          <w:lang w:eastAsia="zh-CN"/>
        </w:rPr>
        <w:t>。</w:t>
      </w:r>
      <w:r>
        <w:rPr>
          <w:rFonts w:hint="eastAsia" w:ascii="Arial" w:hAnsi="宋体" w:cs="Arial"/>
          <w:sz w:val="26"/>
          <w:szCs w:val="26"/>
        </w:rPr>
        <w:t>水库水量平衡详见图2.</w:t>
      </w:r>
      <w:r>
        <w:rPr>
          <w:rFonts w:hint="eastAsia" w:ascii="Arial" w:hAnsi="宋体" w:cs="Arial"/>
          <w:sz w:val="26"/>
          <w:szCs w:val="26"/>
          <w:lang w:val="en-US" w:eastAsia="zh-CN"/>
        </w:rPr>
        <w:t>2</w:t>
      </w:r>
      <w:r>
        <w:rPr>
          <w:rFonts w:hint="eastAsia" w:ascii="Arial" w:hAnsi="宋体" w:cs="Arial"/>
          <w:sz w:val="26"/>
          <w:szCs w:val="26"/>
        </w:rPr>
        <w:t>-1所示。</w:t>
      </w:r>
    </w:p>
    <w:p w14:paraId="064BBFE2">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65408" behindDoc="0" locked="0" layoutInCell="1" allowOverlap="1">
                <wp:simplePos x="0" y="0"/>
                <wp:positionH relativeFrom="column">
                  <wp:posOffset>2437765</wp:posOffset>
                </wp:positionH>
                <wp:positionV relativeFrom="paragraph">
                  <wp:posOffset>83820</wp:posOffset>
                </wp:positionV>
                <wp:extent cx="1743075" cy="285750"/>
                <wp:effectExtent l="4445" t="4445" r="5080" b="14605"/>
                <wp:wrapNone/>
                <wp:docPr id="40" name="矩形 40"/>
                <wp:cNvGraphicFramePr/>
                <a:graphic xmlns:a="http://schemas.openxmlformats.org/drawingml/2006/main">
                  <a:graphicData uri="http://schemas.microsoft.com/office/word/2010/wordprocessingShape">
                    <wps:wsp>
                      <wps:cNvSpPr/>
                      <wps:spPr>
                        <a:xfrm>
                          <a:off x="0" y="0"/>
                          <a:ext cx="1743075" cy="285750"/>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1FB4B083">
                            <w:pPr>
                              <w:rPr>
                                <w:rFonts w:ascii="Arial" w:hAnsi="Arial" w:cs="Arial"/>
                              </w:rPr>
                            </w:pPr>
                            <w:r>
                              <w:rPr>
                                <w:rFonts w:ascii="Arial" w:cs="Arial"/>
                              </w:rPr>
                              <w:t>多年平均来水</w:t>
                            </w:r>
                            <w:r>
                              <w:rPr>
                                <w:rFonts w:hint="eastAsia" w:ascii="Arial" w:hAnsi="Arial" w:cs="Arial"/>
                                <w:lang w:val="en-US" w:eastAsia="zh-CN"/>
                              </w:rPr>
                              <w:t>105</w:t>
                            </w:r>
                            <w:r>
                              <w:rPr>
                                <w:rFonts w:ascii="Arial" w:cs="Arial"/>
                              </w:rPr>
                              <w:t>万</w:t>
                            </w:r>
                            <w:r>
                              <w:rPr>
                                <w:rFonts w:ascii="Arial" w:hAnsi="Arial" w:cs="Arial"/>
                              </w:rPr>
                              <w:t>m</w:t>
                            </w:r>
                            <w:r>
                              <w:rPr>
                                <w:rFonts w:ascii="Arial" w:hAnsi="Arial" w:cs="Arial"/>
                                <w:vertAlign w:val="superscript"/>
                              </w:rPr>
                              <w:t>3</w:t>
                            </w:r>
                          </w:p>
                        </w:txbxContent>
                      </wps:txbx>
                      <wps:bodyPr upright="1"/>
                    </wps:wsp>
                  </a:graphicData>
                </a:graphic>
              </wp:anchor>
            </w:drawing>
          </mc:Choice>
          <mc:Fallback>
            <w:pict>
              <v:rect id="_x0000_s1026" o:spid="_x0000_s1026" o:spt="1" style="position:absolute;left:0pt;margin-left:191.95pt;margin-top:6.6pt;height:22.5pt;width:137.25pt;z-index:251665408;mso-width-relative:page;mso-height-relative:page;" fillcolor="#92D050" filled="t" stroked="t" coordsize="21600,21600" o:gfxdata="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6oboNkAAAAJAQAADwAAAAAAAAABACAAAAAiAAAA&#10;ZHJzL2Rvd25yZXYueG1sUEsBAhQAFAAAAAgAh07iQGD3OjoGAgAAKwQAAA4AAAAAAAAAAQAgAAAA&#10;KAEAAGRycy9lMm9Eb2MueG1sUEsFBgAAAAAGAAYAWQEAAKAFAAAAAA==&#10;">
                <v:fill on="t" focussize="0,0"/>
                <v:stroke color="#000000" joinstyle="miter"/>
                <v:imagedata o:title=""/>
                <o:lock v:ext="edit" aspectratio="f"/>
                <v:textbox>
                  <w:txbxContent>
                    <w:p w14:paraId="1FB4B083">
                      <w:pPr>
                        <w:rPr>
                          <w:rFonts w:ascii="Arial" w:hAnsi="Arial" w:cs="Arial"/>
                        </w:rPr>
                      </w:pPr>
                      <w:r>
                        <w:rPr>
                          <w:rFonts w:ascii="Arial" w:cs="Arial"/>
                        </w:rPr>
                        <w:t>多年平均来水</w:t>
                      </w:r>
                      <w:r>
                        <w:rPr>
                          <w:rFonts w:hint="eastAsia" w:ascii="Arial" w:hAnsi="Arial" w:cs="Arial"/>
                          <w:lang w:val="en-US" w:eastAsia="zh-CN"/>
                        </w:rPr>
                        <w:t>105</w:t>
                      </w:r>
                      <w:r>
                        <w:rPr>
                          <w:rFonts w:ascii="Arial" w:cs="Arial"/>
                        </w:rPr>
                        <w:t>万</w:t>
                      </w:r>
                      <w:r>
                        <w:rPr>
                          <w:rFonts w:ascii="Arial" w:hAnsi="Arial" w:cs="Arial"/>
                        </w:rPr>
                        <w:t>m</w:t>
                      </w:r>
                      <w:r>
                        <w:rPr>
                          <w:rFonts w:ascii="Arial" w:hAnsi="Arial" w:cs="Arial"/>
                          <w:vertAlign w:val="superscript"/>
                        </w:rPr>
                        <w:t>3</w:t>
                      </w:r>
                    </w:p>
                  </w:txbxContent>
                </v:textbox>
              </v:rect>
            </w:pict>
          </mc:Fallback>
        </mc:AlternateContent>
      </w:r>
    </w:p>
    <w:p w14:paraId="30904132">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66432" behindDoc="0" locked="0" layoutInCell="1" allowOverlap="1">
                <wp:simplePos x="0" y="0"/>
                <wp:positionH relativeFrom="column">
                  <wp:posOffset>3323590</wp:posOffset>
                </wp:positionH>
                <wp:positionV relativeFrom="paragraph">
                  <wp:posOffset>90170</wp:posOffset>
                </wp:positionV>
                <wp:extent cx="0" cy="288290"/>
                <wp:effectExtent l="38100" t="0" r="38100" b="16510"/>
                <wp:wrapNone/>
                <wp:docPr id="36" name="直接箭头连接符 36"/>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1.7pt;margin-top:7.1pt;height:22.7pt;width:0pt;z-index:251666432;mso-width-relative:page;mso-height-relative:page;" filled="f" stroked="t" coordsize="21600,21600" o:gfxdata="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YeqBPYAAAACQEAAA8AAAAAAAAAAQAgAAAAIgAAAGRy&#10;cy9kb3ducmV2LnhtbFBLAQIUABQAAAAIAIdO4kDTIaOKBQIAAPEDAAAOAAAAAAAAAAEAIAAAACcB&#10;AABkcnMvZTJvRG9jLnhtbFBLBQYAAAAABgAGAFkBAACeBQAAAAA=&#10;">
                <v:fill on="f" focussize="0,0"/>
                <v:stroke color="#000000" joinstyle="round" endarrow="block"/>
                <v:imagedata o:title=""/>
                <o:lock v:ext="edit" aspectratio="f"/>
              </v:shape>
            </w:pict>
          </mc:Fallback>
        </mc:AlternateContent>
      </w:r>
    </w:p>
    <w:p w14:paraId="63F6640B">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67456" behindDoc="0" locked="0" layoutInCell="1" allowOverlap="1">
                <wp:simplePos x="0" y="0"/>
                <wp:positionH relativeFrom="column">
                  <wp:posOffset>2875915</wp:posOffset>
                </wp:positionH>
                <wp:positionV relativeFrom="paragraph">
                  <wp:posOffset>99060</wp:posOffset>
                </wp:positionV>
                <wp:extent cx="885825" cy="285750"/>
                <wp:effectExtent l="4445" t="5080" r="5080" b="13970"/>
                <wp:wrapNone/>
                <wp:docPr id="39" name="矩形 39"/>
                <wp:cNvGraphicFramePr/>
                <a:graphic xmlns:a="http://schemas.openxmlformats.org/drawingml/2006/main">
                  <a:graphicData uri="http://schemas.microsoft.com/office/word/2010/wordprocessingShape">
                    <wps:wsp>
                      <wps:cNvSpPr/>
                      <wps:spPr>
                        <a:xfrm>
                          <a:off x="0" y="0"/>
                          <a:ext cx="885825" cy="285750"/>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23B9BE4C">
                            <w:pPr>
                              <w:jc w:val="center"/>
                              <w:rPr>
                                <w:rFonts w:ascii="Arial" w:hAnsi="Arial" w:cs="Arial"/>
                              </w:rPr>
                            </w:pPr>
                            <w:r>
                              <w:rPr>
                                <w:rFonts w:hint="eastAsia" w:ascii="Arial" w:cs="Arial"/>
                                <w:lang w:eastAsia="zh-CN"/>
                              </w:rPr>
                              <w:t>海螺沟</w:t>
                            </w:r>
                            <w:r>
                              <w:rPr>
                                <w:rFonts w:hint="eastAsia" w:ascii="Arial" w:cs="Arial"/>
                              </w:rPr>
                              <w:t>水库</w:t>
                            </w:r>
                          </w:p>
                        </w:txbxContent>
                      </wps:txbx>
                      <wps:bodyPr upright="1"/>
                    </wps:wsp>
                  </a:graphicData>
                </a:graphic>
              </wp:anchor>
            </w:drawing>
          </mc:Choice>
          <mc:Fallback>
            <w:pict>
              <v:rect id="_x0000_s1026" o:spid="_x0000_s1026" o:spt="1" style="position:absolute;left:0pt;margin-left:226.45pt;margin-top:7.8pt;height:22.5pt;width:69.75pt;z-index:251667456;mso-width-relative:page;mso-height-relative:page;" fillcolor="#92D050" filled="t" stroked="t" coordsize="21600,21600" o:gfxdata="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4S+XZAAAACQEAAA8AAAAAAAAAAQAgAAAAIgAAAGRy&#10;cy9kb3ducmV2LnhtbFBLAQIUABQAAAAIAIdO4kBzJHSBBAIAACoEAAAOAAAAAAAAAAEAIAAAACgB&#10;AABkcnMvZTJvRG9jLnhtbFBLBQYAAAAABgAGAFkBAACeBQAAAAA=&#10;">
                <v:fill on="t" focussize="0,0"/>
                <v:stroke color="#000000" joinstyle="miter"/>
                <v:imagedata o:title=""/>
                <o:lock v:ext="edit" aspectratio="f"/>
                <v:textbox>
                  <w:txbxContent>
                    <w:p w14:paraId="23B9BE4C">
                      <w:pPr>
                        <w:jc w:val="center"/>
                        <w:rPr>
                          <w:rFonts w:ascii="Arial" w:hAnsi="Arial" w:cs="Arial"/>
                        </w:rPr>
                      </w:pPr>
                      <w:r>
                        <w:rPr>
                          <w:rFonts w:hint="eastAsia" w:ascii="Arial" w:cs="Arial"/>
                          <w:lang w:eastAsia="zh-CN"/>
                        </w:rPr>
                        <w:t>海螺沟</w:t>
                      </w:r>
                      <w:r>
                        <w:rPr>
                          <w:rFonts w:hint="eastAsia" w:ascii="Arial" w:cs="Arial"/>
                        </w:rPr>
                        <w:t>水库</w:t>
                      </w:r>
                    </w:p>
                  </w:txbxContent>
                </v:textbox>
              </v:rect>
            </w:pict>
          </mc:Fallback>
        </mc:AlternateContent>
      </w:r>
    </w:p>
    <w:p w14:paraId="5A468879">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68480" behindDoc="0" locked="0" layoutInCell="1" allowOverlap="1">
                <wp:simplePos x="0" y="0"/>
                <wp:positionH relativeFrom="column">
                  <wp:posOffset>3323590</wp:posOffset>
                </wp:positionH>
                <wp:positionV relativeFrom="paragraph">
                  <wp:posOffset>105410</wp:posOffset>
                </wp:positionV>
                <wp:extent cx="0" cy="288290"/>
                <wp:effectExtent l="38100" t="0" r="38100" b="16510"/>
                <wp:wrapNone/>
                <wp:docPr id="48" name="直接箭头连接符 48"/>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1.7pt;margin-top:8.3pt;height:22.7pt;width:0pt;z-index:251668480;mso-width-relative:page;mso-height-relative:page;" filled="f" stroked="t" coordsize="21600,21600" o:gfxdata="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fNkl1wAAAAkBAAAPAAAAAAAAAAEAIAAAACIAAABkcnMv&#10;ZG93bnJldi54bWxQSwECFAAUAAAACACHTuJAUGPhAwQCAADxAwAADgAAAAAAAAABACAAAAAmAQAA&#10;ZHJzL2Uyb0RvYy54bWxQSwUGAAAAAAYABgBZAQAAnAUAAAAA&#10;">
                <v:fill on="f" focussize="0,0"/>
                <v:stroke color="#000000" joinstyle="round" endarrow="block"/>
                <v:imagedata o:title=""/>
                <o:lock v:ext="edit" aspectratio="f"/>
              </v:shape>
            </w:pict>
          </mc:Fallback>
        </mc:AlternateContent>
      </w:r>
    </w:p>
    <w:p w14:paraId="245C10E0">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73600" behindDoc="0" locked="0" layoutInCell="1" allowOverlap="1">
                <wp:simplePos x="0" y="0"/>
                <wp:positionH relativeFrom="column">
                  <wp:posOffset>4763770</wp:posOffset>
                </wp:positionH>
                <wp:positionV relativeFrom="paragraph">
                  <wp:posOffset>138430</wp:posOffset>
                </wp:positionV>
                <wp:extent cx="0" cy="288290"/>
                <wp:effectExtent l="38100" t="0" r="38100" b="16510"/>
                <wp:wrapNone/>
                <wp:docPr id="27" name="直接箭头连接符 27"/>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5.1pt;margin-top:10.9pt;height:22.7pt;width:0pt;z-index:251673600;mso-width-relative:page;mso-height-relative:page;" filled="f" stroked="t" coordsize="21600,21600" o:gfxdata="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QtuTvYAAAACQEAAA8AAAAAAAAAAQAgAAAAIgAAAGRy&#10;cy9kb3ducmV2LnhtbFBLAQIUABQAAAAIAIdO4kAoqwPqBQIAAPEDAAAOAAAAAAAAAAEAIAAAACcB&#10;AABkcnMvZTJvRG9jLnhtbFBLBQYAAAAABgAGAFkBAACeBQAAAAA=&#10;">
                <v:fill on="f" focussize="0,0"/>
                <v:stroke color="#000000" joinstyle="round" endarrow="block"/>
                <v:imagedata o:title=""/>
                <o:lock v:ext="edit" aspectratio="f"/>
              </v:shape>
            </w:pict>
          </mc:Fallback>
        </mc:AlternateContent>
      </w:r>
      <w:r>
        <w:rPr>
          <w:rFonts w:hint="eastAsia" w:ascii="Arial" w:hAnsi="宋体" w:cs="Arial"/>
          <w:sz w:val="26"/>
          <w:szCs w:val="26"/>
        </w:rPr>
        <mc:AlternateContent>
          <mc:Choice Requires="wps">
            <w:drawing>
              <wp:anchor distT="0" distB="0" distL="114300" distR="114300" simplePos="0" relativeHeight="251675648" behindDoc="0" locked="0" layoutInCell="1" allowOverlap="1">
                <wp:simplePos x="0" y="0"/>
                <wp:positionH relativeFrom="column">
                  <wp:posOffset>1266190</wp:posOffset>
                </wp:positionH>
                <wp:positionV relativeFrom="paragraph">
                  <wp:posOffset>128270</wp:posOffset>
                </wp:positionV>
                <wp:extent cx="0" cy="288290"/>
                <wp:effectExtent l="38100" t="0" r="38100" b="16510"/>
                <wp:wrapNone/>
                <wp:docPr id="25" name="直接箭头连接符 25"/>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9.7pt;margin-top:10.1pt;height:22.7pt;width:0pt;z-index:251675648;mso-width-relative:page;mso-height-relative:page;" filled="f" stroked="t" coordsize="21600,21600" o:gfxdata="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6XclrXAAAACQEAAA8AAAAAAAAAAQAgAAAAIgAAAGRycy9k&#10;b3ducmV2LnhtbFBLAQIUABQAAAAIAIdO4kDM2EOMAwIAAPEDAAAOAAAAAAAAAAEAIAAAACYBAABk&#10;cnMvZTJvRG9jLnhtbFBLBQYAAAAABgAGAFkBAACbBQAAAAA=&#10;">
                <v:fill on="f" focussize="0,0"/>
                <v:stroke color="#000000" joinstyle="round" endarrow="block"/>
                <v:imagedata o:title=""/>
                <o:lock v:ext="edit" aspectratio="f"/>
              </v:shape>
            </w:pict>
          </mc:Fallback>
        </mc:AlternateContent>
      </w:r>
      <w:r>
        <w:rPr>
          <w:rFonts w:hint="eastAsia" w:ascii="Arial" w:hAnsi="宋体" w:cs="Arial"/>
          <w:sz w:val="26"/>
          <w:szCs w:val="26"/>
        </w:rPr>
        <mc:AlternateContent>
          <mc:Choice Requires="wps">
            <w:drawing>
              <wp:anchor distT="0" distB="0" distL="114300" distR="114300" simplePos="0" relativeHeight="251672576" behindDoc="0" locked="0" layoutInCell="1" allowOverlap="1">
                <wp:simplePos x="0" y="0"/>
                <wp:positionH relativeFrom="column">
                  <wp:posOffset>3308985</wp:posOffset>
                </wp:positionH>
                <wp:positionV relativeFrom="paragraph">
                  <wp:posOffset>138430</wp:posOffset>
                </wp:positionV>
                <wp:extent cx="0" cy="288290"/>
                <wp:effectExtent l="38100" t="0" r="38100" b="16510"/>
                <wp:wrapNone/>
                <wp:docPr id="31" name="直接箭头连接符 31"/>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0.55pt;margin-top:10.9pt;height:22.7pt;width:0pt;z-index:251672576;mso-width-relative:page;mso-height-relative:page;" filled="f" stroked="t" coordsize="21600,21600" o:gfxdata="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4AuqNcAAAAJAQAADwAAAAAAAAABACAAAAAiAAAAZHJz&#10;L2Rvd25yZXYueG1sUEsBAhQAFAAAAAgAh07iQA2MQxMFAgAA8QMAAA4AAAAAAAAAAQAgAAAAJgEA&#10;AGRycy9lMm9Eb2MueG1sUEsFBgAAAAAGAAYAWQEAAJ0FAAAAAA==&#10;">
                <v:fill on="f" focussize="0,0"/>
                <v:stroke color="#000000" joinstyle="round" endarrow="block"/>
                <v:imagedata o:title=""/>
                <o:lock v:ext="edit" aspectratio="f"/>
              </v:shape>
            </w:pict>
          </mc:Fallback>
        </mc:AlternateContent>
      </w:r>
      <w:r>
        <w:rPr>
          <w:rFonts w:hint="eastAsia" w:ascii="Arial" w:hAnsi="宋体" w:cs="Arial"/>
          <w:sz w:val="26"/>
          <w:szCs w:val="26"/>
        </w:rPr>
        <mc:AlternateContent>
          <mc:Choice Requires="wps">
            <w:drawing>
              <wp:anchor distT="0" distB="0" distL="114300" distR="114300" simplePos="0" relativeHeight="251669504" behindDoc="0" locked="0" layoutInCell="1" allowOverlap="1">
                <wp:simplePos x="0" y="0"/>
                <wp:positionH relativeFrom="column">
                  <wp:posOffset>1266190</wp:posOffset>
                </wp:positionH>
                <wp:positionV relativeFrom="paragraph">
                  <wp:posOffset>128270</wp:posOffset>
                </wp:positionV>
                <wp:extent cx="3491865" cy="0"/>
                <wp:effectExtent l="0" t="5080" r="0" b="4445"/>
                <wp:wrapNone/>
                <wp:docPr id="19" name="直接箭头连接符 19"/>
                <wp:cNvGraphicFramePr/>
                <a:graphic xmlns:a="http://schemas.openxmlformats.org/drawingml/2006/main">
                  <a:graphicData uri="http://schemas.microsoft.com/office/word/2010/wordprocessingShape">
                    <wps:wsp>
                      <wps:cNvCnPr/>
                      <wps:spPr>
                        <a:xfrm>
                          <a:off x="0" y="0"/>
                          <a:ext cx="34918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9.7pt;margin-top:10.1pt;height:0pt;width:274.95pt;z-index:251669504;mso-width-relative:page;mso-height-relative:page;" filled="f" stroked="t" coordsize="21600,21600" o:gfxdata="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l0KU1gAAAAkBAAAPAAAAAAAAAAEAIAAAACIAAABkcnMvZG93bnJl&#10;di54bWxQSwECFAAUAAAACACHTuJAJfQzGP8BAADuAwAADgAAAAAAAAABACAAAAAlAQAAZHJzL2Uy&#10;b0RvYy54bWxQSwUGAAAAAAYABgBZAQAAlgUAAAAA&#10;">
                <v:fill on="f" focussize="0,0"/>
                <v:stroke color="#000000" joinstyle="round"/>
                <v:imagedata o:title=""/>
                <o:lock v:ext="edit" aspectratio="f"/>
              </v:shape>
            </w:pict>
          </mc:Fallback>
        </mc:AlternateContent>
      </w:r>
      <w:r>
        <w:rPr>
          <w:rFonts w:hint="eastAsia" w:ascii="Arial" w:hAnsi="宋体" w:cs="Arial"/>
          <w:sz w:val="26"/>
          <w:szCs w:val="26"/>
        </w:rPr>
        <mc:AlternateContent>
          <mc:Choice Requires="wps">
            <w:drawing>
              <wp:anchor distT="0" distB="0" distL="114300" distR="114300" simplePos="0" relativeHeight="251670528" behindDoc="0" locked="0" layoutInCell="1" allowOverlap="1">
                <wp:simplePos x="0" y="0"/>
                <wp:positionH relativeFrom="column">
                  <wp:posOffset>2468880</wp:posOffset>
                </wp:positionH>
                <wp:positionV relativeFrom="paragraph">
                  <wp:posOffset>128270</wp:posOffset>
                </wp:positionV>
                <wp:extent cx="0" cy="288290"/>
                <wp:effectExtent l="38100" t="0" r="38100" b="16510"/>
                <wp:wrapNone/>
                <wp:docPr id="24" name="直接箭头连接符 24"/>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4.4pt;margin-top:10.1pt;height:22.7pt;width:0pt;z-index:251670528;mso-width-relative:page;mso-height-relative:page;" filled="f" stroked="t" coordsize="21600,21600" o:gfxdata="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n/z9gAAAAJAQAADwAAAAAAAAABACAAAAAiAAAAZHJz&#10;L2Rvd25yZXYueG1sUEsBAhQAFAAAAAgAh07iQD7hY78EAgAA8QMAAA4AAAAAAAAAAQAgAAAAJwEA&#10;AGRycy9lMm9Eb2MueG1sUEsFBgAAAAAGAAYAWQEAAJ0FAAAAAA==&#10;">
                <v:fill on="f" focussize="0,0"/>
                <v:stroke color="#000000" joinstyle="round" endarrow="block"/>
                <v:imagedata o:title=""/>
                <o:lock v:ext="edit" aspectratio="f"/>
              </v:shape>
            </w:pict>
          </mc:Fallback>
        </mc:AlternateContent>
      </w:r>
    </w:p>
    <w:p w14:paraId="2B8850A9">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77696" behindDoc="0" locked="0" layoutInCell="1" allowOverlap="1">
                <wp:simplePos x="0" y="0"/>
                <wp:positionH relativeFrom="column">
                  <wp:posOffset>4216400</wp:posOffset>
                </wp:positionH>
                <wp:positionV relativeFrom="paragraph">
                  <wp:posOffset>137160</wp:posOffset>
                </wp:positionV>
                <wp:extent cx="885825" cy="483235"/>
                <wp:effectExtent l="4445" t="5080" r="5080" b="6985"/>
                <wp:wrapNone/>
                <wp:docPr id="49" name="矩形 49"/>
                <wp:cNvGraphicFramePr/>
                <a:graphic xmlns:a="http://schemas.openxmlformats.org/drawingml/2006/main">
                  <a:graphicData uri="http://schemas.microsoft.com/office/word/2010/wordprocessingShape">
                    <wps:wsp>
                      <wps:cNvSpPr/>
                      <wps:spPr>
                        <a:xfrm>
                          <a:off x="0" y="0"/>
                          <a:ext cx="885825" cy="483235"/>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35C03B2A">
                            <w:pPr>
                              <w:jc w:val="center"/>
                              <w:rPr>
                                <w:rFonts w:hint="eastAsia" w:ascii="Arial" w:cs="Arial"/>
                              </w:rPr>
                            </w:pPr>
                            <w:r>
                              <w:rPr>
                                <w:rFonts w:hint="eastAsia" w:ascii="Arial" w:cs="Arial"/>
                              </w:rPr>
                              <w:t>生态放水</w:t>
                            </w:r>
                          </w:p>
                          <w:p w14:paraId="61E1ADD8">
                            <w:pPr>
                              <w:jc w:val="center"/>
                              <w:rPr>
                                <w:rFonts w:ascii="Arial" w:hAnsi="Arial" w:cs="Arial"/>
                              </w:rPr>
                            </w:pPr>
                            <w:r>
                              <w:rPr>
                                <w:rFonts w:hint="eastAsia" w:ascii="Arial" w:cs="Arial"/>
                                <w:lang w:val="en-US" w:eastAsia="zh-CN"/>
                              </w:rPr>
                              <w:t>15.75</w:t>
                            </w:r>
                            <w:r>
                              <w:rPr>
                                <w:rFonts w:hint="eastAsia" w:ascii="Arial" w:cs="Arial"/>
                              </w:rPr>
                              <w:t>万m</w:t>
                            </w:r>
                            <w:r>
                              <w:rPr>
                                <w:rFonts w:hint="eastAsia" w:ascii="Arial" w:cs="Arial"/>
                                <w:vertAlign w:val="superscript"/>
                              </w:rPr>
                              <w:t>3</w:t>
                            </w:r>
                          </w:p>
                        </w:txbxContent>
                      </wps:txbx>
                      <wps:bodyPr upright="1"/>
                    </wps:wsp>
                  </a:graphicData>
                </a:graphic>
              </wp:anchor>
            </w:drawing>
          </mc:Choice>
          <mc:Fallback>
            <w:pict>
              <v:rect id="_x0000_s1026" o:spid="_x0000_s1026" o:spt="1" style="position:absolute;left:0pt;margin-left:332pt;margin-top:10.8pt;height:38.05pt;width:69.75pt;z-index:251677696;mso-width-relative:page;mso-height-relative:page;" fillcolor="#92D050" filled="t" stroked="t" coordsize="21600,21600" o:gfxdata="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LYSZtkAAAAJAQAADwAAAAAAAAABACAAAAAiAAAA&#10;ZHJzL2Rvd25yZXYueG1sUEsBAhQAFAAAAAgAh07iQDMbz1YGAgAAKgQAAA4AAAAAAAAAAQAgAAAA&#10;KAEAAGRycy9lMm9Eb2MueG1sUEsFBgAAAAAGAAYAWQEAAKAFAAAAAA==&#10;">
                <v:fill on="t" focussize="0,0"/>
                <v:stroke color="#000000" joinstyle="miter"/>
                <v:imagedata o:title=""/>
                <o:lock v:ext="edit" aspectratio="f"/>
                <v:textbox>
                  <w:txbxContent>
                    <w:p w14:paraId="35C03B2A">
                      <w:pPr>
                        <w:jc w:val="center"/>
                        <w:rPr>
                          <w:rFonts w:hint="eastAsia" w:ascii="Arial" w:cs="Arial"/>
                        </w:rPr>
                      </w:pPr>
                      <w:r>
                        <w:rPr>
                          <w:rFonts w:hint="eastAsia" w:ascii="Arial" w:cs="Arial"/>
                        </w:rPr>
                        <w:t>生态放水</w:t>
                      </w:r>
                    </w:p>
                    <w:p w14:paraId="61E1ADD8">
                      <w:pPr>
                        <w:jc w:val="center"/>
                        <w:rPr>
                          <w:rFonts w:ascii="Arial" w:hAnsi="Arial" w:cs="Arial"/>
                        </w:rPr>
                      </w:pPr>
                      <w:r>
                        <w:rPr>
                          <w:rFonts w:hint="eastAsia" w:ascii="Arial" w:cs="Arial"/>
                          <w:lang w:val="en-US" w:eastAsia="zh-CN"/>
                        </w:rPr>
                        <w:t>15.75</w:t>
                      </w:r>
                      <w:r>
                        <w:rPr>
                          <w:rFonts w:hint="eastAsia" w:ascii="Arial" w:cs="Arial"/>
                        </w:rPr>
                        <w:t>万m</w:t>
                      </w:r>
                      <w:r>
                        <w:rPr>
                          <w:rFonts w:hint="eastAsia" w:ascii="Arial" w:cs="Arial"/>
                          <w:vertAlign w:val="superscript"/>
                        </w:rPr>
                        <w:t>3</w:t>
                      </w:r>
                    </w:p>
                  </w:txbxContent>
                </v:textbox>
              </v:rect>
            </w:pict>
          </mc:Fallback>
        </mc:AlternateContent>
      </w:r>
      <w:r>
        <w:rPr>
          <w:rFonts w:hint="eastAsia" w:ascii="Arial" w:hAnsi="宋体" w:cs="Arial"/>
          <w:sz w:val="26"/>
          <w:szCs w:val="26"/>
        </w:rPr>
        <mc:AlternateContent>
          <mc:Choice Requires="wps">
            <w:drawing>
              <wp:anchor distT="0" distB="0" distL="114300" distR="114300" simplePos="0" relativeHeight="251674624" behindDoc="0" locked="0" layoutInCell="1" allowOverlap="1">
                <wp:simplePos x="0" y="0"/>
                <wp:positionH relativeFrom="column">
                  <wp:posOffset>3001010</wp:posOffset>
                </wp:positionH>
                <wp:positionV relativeFrom="paragraph">
                  <wp:posOffset>137795</wp:posOffset>
                </wp:positionV>
                <wp:extent cx="904875" cy="483235"/>
                <wp:effectExtent l="4445" t="4445" r="5080" b="7620"/>
                <wp:wrapNone/>
                <wp:docPr id="34" name="矩形 34"/>
                <wp:cNvGraphicFramePr/>
                <a:graphic xmlns:a="http://schemas.openxmlformats.org/drawingml/2006/main">
                  <a:graphicData uri="http://schemas.microsoft.com/office/word/2010/wordprocessingShape">
                    <wps:wsp>
                      <wps:cNvSpPr/>
                      <wps:spPr>
                        <a:xfrm>
                          <a:off x="0" y="0"/>
                          <a:ext cx="904875" cy="483235"/>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4A892FF6">
                            <w:pPr>
                              <w:jc w:val="center"/>
                              <w:rPr>
                                <w:rFonts w:hint="eastAsia" w:ascii="Arial" w:cs="Arial"/>
                              </w:rPr>
                            </w:pPr>
                            <w:r>
                              <w:rPr>
                                <w:rFonts w:hint="eastAsia" w:ascii="Arial" w:cs="Arial"/>
                              </w:rPr>
                              <w:t>人饮供水</w:t>
                            </w:r>
                          </w:p>
                          <w:p w14:paraId="129F2B02">
                            <w:pPr>
                              <w:jc w:val="center"/>
                              <w:rPr>
                                <w:rFonts w:ascii="Arial" w:hAnsi="Arial" w:cs="Arial"/>
                              </w:rPr>
                            </w:pPr>
                            <w:r>
                              <w:rPr>
                                <w:rFonts w:hint="eastAsia" w:ascii="Arial" w:cs="Arial"/>
                                <w:lang w:val="en-US" w:eastAsia="zh-CN"/>
                              </w:rPr>
                              <w:t>18.78</w:t>
                            </w:r>
                            <w:r>
                              <w:rPr>
                                <w:rFonts w:hint="eastAsia" w:ascii="Arial" w:cs="Arial"/>
                              </w:rPr>
                              <w:t>万m</w:t>
                            </w:r>
                            <w:r>
                              <w:rPr>
                                <w:rFonts w:hint="eastAsia" w:ascii="Arial" w:cs="Arial"/>
                                <w:vertAlign w:val="superscript"/>
                              </w:rPr>
                              <w:t>3</w:t>
                            </w:r>
                          </w:p>
                        </w:txbxContent>
                      </wps:txbx>
                      <wps:bodyPr upright="1"/>
                    </wps:wsp>
                  </a:graphicData>
                </a:graphic>
              </wp:anchor>
            </w:drawing>
          </mc:Choice>
          <mc:Fallback>
            <w:pict>
              <v:rect id="_x0000_s1026" o:spid="_x0000_s1026" o:spt="1" style="position:absolute;left:0pt;margin-left:236.3pt;margin-top:10.85pt;height:38.05pt;width:71.25pt;z-index:251674624;mso-width-relative:page;mso-height-relative:page;" fillcolor="#92D050" filled="t" stroked="t" coordsize="21600,21600" o:gfxdata="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v1uKNkAAAAJAQAADwAAAAAAAAABACAAAAAiAAAA&#10;ZHJzL2Rvd25yZXYueG1sUEsBAhQAFAAAAAgAh07iQB0u43wGAgAAKgQAAA4AAAAAAAAAAQAgAAAA&#10;KAEAAGRycy9lMm9Eb2MueG1sUEsFBgAAAAAGAAYAWQEAAKAFAAAAAA==&#10;">
                <v:fill on="t" focussize="0,0"/>
                <v:stroke color="#000000" joinstyle="miter"/>
                <v:imagedata o:title=""/>
                <o:lock v:ext="edit" aspectratio="f"/>
                <v:textbox>
                  <w:txbxContent>
                    <w:p w14:paraId="4A892FF6">
                      <w:pPr>
                        <w:jc w:val="center"/>
                        <w:rPr>
                          <w:rFonts w:hint="eastAsia" w:ascii="Arial" w:cs="Arial"/>
                        </w:rPr>
                      </w:pPr>
                      <w:r>
                        <w:rPr>
                          <w:rFonts w:hint="eastAsia" w:ascii="Arial" w:cs="Arial"/>
                        </w:rPr>
                        <w:t>人饮供水</w:t>
                      </w:r>
                    </w:p>
                    <w:p w14:paraId="129F2B02">
                      <w:pPr>
                        <w:jc w:val="center"/>
                        <w:rPr>
                          <w:rFonts w:ascii="Arial" w:hAnsi="Arial" w:cs="Arial"/>
                        </w:rPr>
                      </w:pPr>
                      <w:r>
                        <w:rPr>
                          <w:rFonts w:hint="eastAsia" w:ascii="Arial" w:cs="Arial"/>
                          <w:lang w:val="en-US" w:eastAsia="zh-CN"/>
                        </w:rPr>
                        <w:t>18.78</w:t>
                      </w:r>
                      <w:r>
                        <w:rPr>
                          <w:rFonts w:hint="eastAsia" w:ascii="Arial" w:cs="Arial"/>
                        </w:rPr>
                        <w:t>万m</w:t>
                      </w:r>
                      <w:r>
                        <w:rPr>
                          <w:rFonts w:hint="eastAsia" w:ascii="Arial" w:cs="Arial"/>
                          <w:vertAlign w:val="superscript"/>
                        </w:rPr>
                        <w:t>3</w:t>
                      </w:r>
                    </w:p>
                  </w:txbxContent>
                </v:textbox>
              </v:rect>
            </w:pict>
          </mc:Fallback>
        </mc:AlternateContent>
      </w:r>
      <w:r>
        <w:rPr>
          <w:rFonts w:hint="eastAsia" w:ascii="Arial" w:hAnsi="宋体" w:cs="Arial"/>
          <w:sz w:val="26"/>
          <w:szCs w:val="26"/>
        </w:rPr>
        <mc:AlternateContent>
          <mc:Choice Requires="wps">
            <w:drawing>
              <wp:anchor distT="0" distB="0" distL="114300" distR="114300" simplePos="0" relativeHeight="251676672" behindDoc="0" locked="0" layoutInCell="1" allowOverlap="1">
                <wp:simplePos x="0" y="0"/>
                <wp:positionH relativeFrom="column">
                  <wp:posOffset>713740</wp:posOffset>
                </wp:positionH>
                <wp:positionV relativeFrom="paragraph">
                  <wp:posOffset>137160</wp:posOffset>
                </wp:positionV>
                <wp:extent cx="885825" cy="483235"/>
                <wp:effectExtent l="4445" t="5080" r="5080" b="6985"/>
                <wp:wrapNone/>
                <wp:docPr id="35" name="矩形 35"/>
                <wp:cNvGraphicFramePr/>
                <a:graphic xmlns:a="http://schemas.openxmlformats.org/drawingml/2006/main">
                  <a:graphicData uri="http://schemas.microsoft.com/office/word/2010/wordprocessingShape">
                    <wps:wsp>
                      <wps:cNvSpPr/>
                      <wps:spPr>
                        <a:xfrm>
                          <a:off x="0" y="0"/>
                          <a:ext cx="885825" cy="483235"/>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3569AB30">
                            <w:pPr>
                              <w:jc w:val="center"/>
                              <w:rPr>
                                <w:rFonts w:hint="eastAsia" w:ascii="Arial" w:cs="Arial"/>
                              </w:rPr>
                            </w:pPr>
                            <w:r>
                              <w:rPr>
                                <w:rFonts w:hint="eastAsia" w:ascii="Arial" w:cs="Arial"/>
                              </w:rPr>
                              <w:t>弃水量</w:t>
                            </w:r>
                          </w:p>
                          <w:p w14:paraId="7046EBBA">
                            <w:pPr>
                              <w:jc w:val="center"/>
                              <w:rPr>
                                <w:rFonts w:ascii="Arial" w:hAnsi="Arial" w:cs="Arial"/>
                              </w:rPr>
                            </w:pPr>
                            <w:r>
                              <w:rPr>
                                <w:rFonts w:hint="eastAsia" w:ascii="Arial" w:cs="Arial"/>
                                <w:lang w:val="en-US" w:eastAsia="zh-CN"/>
                              </w:rPr>
                              <w:t>12.97</w:t>
                            </w:r>
                            <w:r>
                              <w:rPr>
                                <w:rFonts w:hint="eastAsia" w:ascii="Arial" w:cs="Arial"/>
                              </w:rPr>
                              <w:t>万m</w:t>
                            </w:r>
                            <w:r>
                              <w:rPr>
                                <w:rFonts w:hint="eastAsia" w:ascii="Arial" w:cs="Arial"/>
                                <w:vertAlign w:val="superscript"/>
                              </w:rPr>
                              <w:t>3</w:t>
                            </w:r>
                          </w:p>
                        </w:txbxContent>
                      </wps:txbx>
                      <wps:bodyPr upright="1"/>
                    </wps:wsp>
                  </a:graphicData>
                </a:graphic>
              </wp:anchor>
            </w:drawing>
          </mc:Choice>
          <mc:Fallback>
            <w:pict>
              <v:rect id="_x0000_s1026" o:spid="_x0000_s1026" o:spt="1" style="position:absolute;left:0pt;margin-left:56.2pt;margin-top:10.8pt;height:38.05pt;width:69.75pt;z-index:251676672;mso-width-relative:page;mso-height-relative:page;" fillcolor="#92D050" filled="t" stroked="t" coordsize="21600,21600" o:gfxdata="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fEEE2AAAAAkBAAAPAAAAAAAAAAEAIAAAACIAAABkcnMv&#10;ZG93bnJldi54bWxQSwECFAAUAAAACACHTuJAf55nkAMCAAAqBAAADgAAAAAAAAABACAAAAAnAQAA&#10;ZHJzL2Uyb0RvYy54bWxQSwUGAAAAAAYABgBZAQAAnAUAAAAA&#10;">
                <v:fill on="t" focussize="0,0"/>
                <v:stroke color="#000000" joinstyle="miter"/>
                <v:imagedata o:title=""/>
                <o:lock v:ext="edit" aspectratio="f"/>
                <v:textbox>
                  <w:txbxContent>
                    <w:p w14:paraId="3569AB30">
                      <w:pPr>
                        <w:jc w:val="center"/>
                        <w:rPr>
                          <w:rFonts w:hint="eastAsia" w:ascii="Arial" w:cs="Arial"/>
                        </w:rPr>
                      </w:pPr>
                      <w:r>
                        <w:rPr>
                          <w:rFonts w:hint="eastAsia" w:ascii="Arial" w:cs="Arial"/>
                        </w:rPr>
                        <w:t>弃水量</w:t>
                      </w:r>
                    </w:p>
                    <w:p w14:paraId="7046EBBA">
                      <w:pPr>
                        <w:jc w:val="center"/>
                        <w:rPr>
                          <w:rFonts w:ascii="Arial" w:hAnsi="Arial" w:cs="Arial"/>
                        </w:rPr>
                      </w:pPr>
                      <w:r>
                        <w:rPr>
                          <w:rFonts w:hint="eastAsia" w:ascii="Arial" w:cs="Arial"/>
                          <w:lang w:val="en-US" w:eastAsia="zh-CN"/>
                        </w:rPr>
                        <w:t>12.97</w:t>
                      </w:r>
                      <w:r>
                        <w:rPr>
                          <w:rFonts w:hint="eastAsia" w:ascii="Arial" w:cs="Arial"/>
                        </w:rPr>
                        <w:t>万m</w:t>
                      </w:r>
                      <w:r>
                        <w:rPr>
                          <w:rFonts w:hint="eastAsia" w:ascii="Arial" w:cs="Arial"/>
                          <w:vertAlign w:val="superscript"/>
                        </w:rPr>
                        <w:t>3</w:t>
                      </w:r>
                    </w:p>
                  </w:txbxContent>
                </v:textbox>
              </v:rect>
            </w:pict>
          </mc:Fallback>
        </mc:AlternateContent>
      </w:r>
      <w:r>
        <w:rPr>
          <w:rFonts w:hint="eastAsia" w:ascii="Arial" w:hAnsi="宋体" w:cs="Arial"/>
          <w:sz w:val="26"/>
          <w:szCs w:val="26"/>
        </w:rPr>
        <mc:AlternateContent>
          <mc:Choice Requires="wps">
            <w:drawing>
              <wp:anchor distT="0" distB="0" distL="114300" distR="114300" simplePos="0" relativeHeight="251671552" behindDoc="0" locked="0" layoutInCell="1" allowOverlap="1">
                <wp:simplePos x="0" y="0"/>
                <wp:positionH relativeFrom="column">
                  <wp:posOffset>1899920</wp:posOffset>
                </wp:positionH>
                <wp:positionV relativeFrom="paragraph">
                  <wp:posOffset>137160</wp:posOffset>
                </wp:positionV>
                <wp:extent cx="914400" cy="483235"/>
                <wp:effectExtent l="4445" t="4445" r="14605" b="7620"/>
                <wp:wrapNone/>
                <wp:docPr id="30" name="矩形 30"/>
                <wp:cNvGraphicFramePr/>
                <a:graphic xmlns:a="http://schemas.openxmlformats.org/drawingml/2006/main">
                  <a:graphicData uri="http://schemas.microsoft.com/office/word/2010/wordprocessingShape">
                    <wps:wsp>
                      <wps:cNvSpPr/>
                      <wps:spPr>
                        <a:xfrm>
                          <a:off x="0" y="0"/>
                          <a:ext cx="914400" cy="483235"/>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4761FCBD">
                            <w:pPr>
                              <w:jc w:val="center"/>
                              <w:rPr>
                                <w:rFonts w:hint="eastAsia" w:ascii="Arial" w:cs="Arial"/>
                              </w:rPr>
                            </w:pPr>
                            <w:r>
                              <w:rPr>
                                <w:rFonts w:hint="eastAsia" w:ascii="Arial" w:cs="Arial"/>
                              </w:rPr>
                              <w:t>农灌用水</w:t>
                            </w:r>
                          </w:p>
                          <w:p w14:paraId="6E2DAFA0">
                            <w:pPr>
                              <w:jc w:val="center"/>
                              <w:rPr>
                                <w:rFonts w:ascii="Arial" w:hAnsi="Arial" w:cs="Arial"/>
                              </w:rPr>
                            </w:pPr>
                            <w:r>
                              <w:rPr>
                                <w:rFonts w:hint="eastAsia" w:ascii="Arial" w:cs="Arial"/>
                                <w:lang w:val="en-US" w:eastAsia="zh-CN"/>
                              </w:rPr>
                              <w:t>57.5</w:t>
                            </w:r>
                            <w:r>
                              <w:rPr>
                                <w:rFonts w:hint="eastAsia" w:ascii="Arial" w:cs="Arial"/>
                              </w:rPr>
                              <w:t>万m</w:t>
                            </w:r>
                            <w:r>
                              <w:rPr>
                                <w:rFonts w:hint="eastAsia" w:ascii="Arial" w:cs="Arial"/>
                                <w:vertAlign w:val="superscript"/>
                              </w:rPr>
                              <w:t>3</w:t>
                            </w:r>
                          </w:p>
                        </w:txbxContent>
                      </wps:txbx>
                      <wps:bodyPr upright="1"/>
                    </wps:wsp>
                  </a:graphicData>
                </a:graphic>
              </wp:anchor>
            </w:drawing>
          </mc:Choice>
          <mc:Fallback>
            <w:pict>
              <v:rect id="_x0000_s1026" o:spid="_x0000_s1026" o:spt="1" style="position:absolute;left:0pt;margin-left:149.6pt;margin-top:10.8pt;height:38.05pt;width:72pt;z-index:251671552;mso-width-relative:page;mso-height-relative:page;" fillcolor="#92D050" filled="t" stroked="t" coordsize="21600,21600" o:gfxdata="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GdgbDYAAAACQEAAA8AAAAAAAAAAQAgAAAAIgAAAGRy&#10;cy9kb3ducmV2LnhtbFBLAQIUABQAAAAIAIdO4kBCIXBdBQIAACoEAAAOAAAAAAAAAAEAIAAAACcB&#10;AABkcnMvZTJvRG9jLnhtbFBLBQYAAAAABgAGAFkBAACeBQAAAAA=&#10;">
                <v:fill on="t" focussize="0,0"/>
                <v:stroke color="#000000" joinstyle="miter"/>
                <v:imagedata o:title=""/>
                <o:lock v:ext="edit" aspectratio="f"/>
                <v:textbox>
                  <w:txbxContent>
                    <w:p w14:paraId="4761FCBD">
                      <w:pPr>
                        <w:jc w:val="center"/>
                        <w:rPr>
                          <w:rFonts w:hint="eastAsia" w:ascii="Arial" w:cs="Arial"/>
                        </w:rPr>
                      </w:pPr>
                      <w:r>
                        <w:rPr>
                          <w:rFonts w:hint="eastAsia" w:ascii="Arial" w:cs="Arial"/>
                        </w:rPr>
                        <w:t>农灌用水</w:t>
                      </w:r>
                    </w:p>
                    <w:p w14:paraId="6E2DAFA0">
                      <w:pPr>
                        <w:jc w:val="center"/>
                        <w:rPr>
                          <w:rFonts w:ascii="Arial" w:hAnsi="Arial" w:cs="Arial"/>
                        </w:rPr>
                      </w:pPr>
                      <w:r>
                        <w:rPr>
                          <w:rFonts w:hint="eastAsia" w:ascii="Arial" w:cs="Arial"/>
                          <w:lang w:val="en-US" w:eastAsia="zh-CN"/>
                        </w:rPr>
                        <w:t>57.5</w:t>
                      </w:r>
                      <w:r>
                        <w:rPr>
                          <w:rFonts w:hint="eastAsia" w:ascii="Arial" w:cs="Arial"/>
                        </w:rPr>
                        <w:t>万m</w:t>
                      </w:r>
                      <w:r>
                        <w:rPr>
                          <w:rFonts w:hint="eastAsia" w:ascii="Arial" w:cs="Arial"/>
                          <w:vertAlign w:val="superscript"/>
                        </w:rPr>
                        <w:t>3</w:t>
                      </w:r>
                    </w:p>
                  </w:txbxContent>
                </v:textbox>
              </v:rect>
            </w:pict>
          </mc:Fallback>
        </mc:AlternateContent>
      </w:r>
    </w:p>
    <w:p w14:paraId="4AA15D00">
      <w:pPr>
        <w:spacing w:line="440" w:lineRule="exact"/>
        <w:ind w:firstLine="520" w:firstLineChars="200"/>
        <w:rPr>
          <w:rFonts w:hint="eastAsia" w:ascii="Arial" w:hAnsi="宋体" w:cs="Arial"/>
          <w:sz w:val="26"/>
          <w:szCs w:val="26"/>
        </w:rPr>
      </w:pPr>
    </w:p>
    <w:p w14:paraId="25FD4D94">
      <w:pPr>
        <w:spacing w:line="240" w:lineRule="exact"/>
        <w:ind w:firstLine="520" w:firstLineChars="200"/>
        <w:rPr>
          <w:rFonts w:hint="eastAsia" w:ascii="Arial" w:hAnsi="宋体" w:cs="Arial"/>
          <w:sz w:val="26"/>
          <w:szCs w:val="26"/>
        </w:rPr>
      </w:pPr>
    </w:p>
    <w:p w14:paraId="006CD02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宋体" w:cs="Arial"/>
          <w:b/>
          <w:color w:val="auto"/>
          <w:sz w:val="26"/>
          <w:szCs w:val="26"/>
        </w:rPr>
      </w:pPr>
      <w:r>
        <w:rPr>
          <w:rFonts w:hint="eastAsia" w:ascii="Arial" w:hAnsi="宋体" w:cs="Arial"/>
          <w:b/>
          <w:color w:val="auto"/>
          <w:sz w:val="26"/>
          <w:szCs w:val="26"/>
        </w:rPr>
        <w:t>图2.</w:t>
      </w:r>
      <w:r>
        <w:rPr>
          <w:rFonts w:hint="eastAsia" w:ascii="Arial" w:hAnsi="宋体" w:cs="Arial"/>
          <w:b/>
          <w:color w:val="auto"/>
          <w:sz w:val="26"/>
          <w:szCs w:val="26"/>
          <w:lang w:val="en-US" w:eastAsia="zh-CN"/>
        </w:rPr>
        <w:t>2</w:t>
      </w:r>
      <w:r>
        <w:rPr>
          <w:rFonts w:hint="eastAsia" w:ascii="Arial" w:hAnsi="宋体" w:cs="Arial"/>
          <w:b/>
          <w:color w:val="auto"/>
          <w:sz w:val="26"/>
          <w:szCs w:val="26"/>
        </w:rPr>
        <w:t xml:space="preserve">-1 </w:t>
      </w:r>
      <w:r>
        <w:rPr>
          <w:rFonts w:hint="eastAsia" w:ascii="Arial" w:hAnsi="宋体" w:cs="Arial"/>
          <w:b/>
          <w:color w:val="auto"/>
          <w:sz w:val="26"/>
          <w:szCs w:val="26"/>
          <w:lang w:eastAsia="zh-CN"/>
        </w:rPr>
        <w:t>海螺沟</w:t>
      </w:r>
      <w:r>
        <w:rPr>
          <w:rFonts w:hint="eastAsia" w:ascii="Arial" w:hAnsi="宋体" w:cs="Arial"/>
          <w:b/>
          <w:color w:val="auto"/>
          <w:sz w:val="26"/>
          <w:szCs w:val="26"/>
        </w:rPr>
        <w:t>水库运营期水量平衡图</w:t>
      </w:r>
    </w:p>
    <w:p w14:paraId="1372DD78">
      <w:pPr>
        <w:spacing w:line="480" w:lineRule="exact"/>
        <w:ind w:firstLine="392" w:firstLineChars="150"/>
        <w:rPr>
          <w:rFonts w:hint="eastAsia" w:ascii="Arial" w:hAnsi="Arial" w:eastAsia="宋体" w:cs="Arial"/>
          <w:b/>
          <w:sz w:val="26"/>
          <w:szCs w:val="26"/>
          <w:lang w:eastAsia="zh-CN"/>
        </w:rPr>
      </w:pPr>
      <w:r>
        <w:rPr>
          <w:rFonts w:hint="eastAsia" w:ascii="Arial" w:hAnsi="Arial" w:cs="Arial"/>
          <w:b/>
          <w:sz w:val="26"/>
          <w:szCs w:val="26"/>
        </w:rPr>
        <w:t>（</w:t>
      </w:r>
      <w:r>
        <w:rPr>
          <w:rFonts w:hint="eastAsia" w:ascii="Arial" w:hAnsi="Arial" w:cs="Arial"/>
          <w:b/>
          <w:sz w:val="26"/>
          <w:szCs w:val="26"/>
          <w:lang w:val="en-US" w:eastAsia="zh-CN"/>
        </w:rPr>
        <w:t>2</w:t>
      </w:r>
      <w:r>
        <w:rPr>
          <w:rFonts w:hint="eastAsia" w:ascii="Arial" w:hAnsi="Arial" w:cs="Arial"/>
          <w:b/>
          <w:sz w:val="26"/>
          <w:szCs w:val="26"/>
        </w:rPr>
        <w:t>）</w:t>
      </w:r>
      <w:r>
        <w:rPr>
          <w:rFonts w:hint="eastAsia" w:ascii="Arial" w:hAnsi="Arial" w:cs="Arial"/>
          <w:b/>
          <w:sz w:val="26"/>
          <w:szCs w:val="26"/>
          <w:lang w:eastAsia="zh-CN"/>
        </w:rPr>
        <w:t>水库规模</w:t>
      </w:r>
    </w:p>
    <w:p w14:paraId="59EFE7D8">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sz w:val="26"/>
          <w:szCs w:val="26"/>
        </w:rPr>
      </w:pPr>
      <w:r>
        <w:rPr>
          <w:rFonts w:hint="default" w:ascii="Arial" w:hAnsi="Arial" w:cs="Arial"/>
          <w:bCs/>
          <w:sz w:val="26"/>
          <w:szCs w:val="26"/>
          <w:lang w:val="en-US" w:eastAsia="zh-CN"/>
        </w:rPr>
        <w:t>海螺沟水库为小（2）型水库，</w:t>
      </w:r>
      <w:r>
        <w:rPr>
          <w:rFonts w:hint="default" w:ascii="Arial" w:hAnsi="Arial" w:cs="Arial"/>
          <w:sz w:val="26"/>
          <w:szCs w:val="26"/>
        </w:rPr>
        <w:t>正常蓄水位为420.0m，相应库容65.36万m</w:t>
      </w:r>
      <w:r>
        <w:rPr>
          <w:rFonts w:hint="default" w:ascii="Arial" w:hAnsi="Arial" w:cs="Arial"/>
          <w:sz w:val="26"/>
          <w:szCs w:val="26"/>
          <w:vertAlign w:val="superscript"/>
        </w:rPr>
        <w:t>3</w:t>
      </w:r>
      <w:r>
        <w:rPr>
          <w:rFonts w:hint="eastAsia" w:ascii="Arial" w:hAnsi="Arial" w:cs="Arial"/>
          <w:sz w:val="26"/>
          <w:szCs w:val="26"/>
          <w:lang w:eastAsia="zh-CN"/>
        </w:rPr>
        <w:t>；</w:t>
      </w:r>
      <w:r>
        <w:rPr>
          <w:rFonts w:hint="default" w:ascii="Arial" w:hAnsi="Arial" w:cs="Arial"/>
          <w:sz w:val="26"/>
          <w:szCs w:val="26"/>
        </w:rPr>
        <w:t>死水位407.5m，死库容5.62万m</w:t>
      </w:r>
      <w:r>
        <w:rPr>
          <w:rFonts w:hint="default" w:ascii="Arial" w:hAnsi="Arial" w:cs="Arial"/>
          <w:sz w:val="26"/>
          <w:szCs w:val="26"/>
          <w:vertAlign w:val="superscript"/>
        </w:rPr>
        <w:t>3</w:t>
      </w:r>
      <w:r>
        <w:rPr>
          <w:rFonts w:hint="eastAsia" w:ascii="Arial" w:hAnsi="Arial" w:cs="Arial"/>
          <w:sz w:val="26"/>
          <w:szCs w:val="26"/>
          <w:lang w:eastAsia="zh-CN"/>
        </w:rPr>
        <w:t>；</w:t>
      </w:r>
      <w:r>
        <w:rPr>
          <w:rFonts w:hint="default" w:ascii="Arial" w:hAnsi="Arial" w:cs="Arial"/>
          <w:sz w:val="26"/>
          <w:szCs w:val="26"/>
        </w:rPr>
        <w:t>调节库容59.74万m</w:t>
      </w:r>
      <w:r>
        <w:rPr>
          <w:rFonts w:hint="default" w:ascii="Arial" w:hAnsi="Arial" w:cs="Arial"/>
          <w:sz w:val="26"/>
          <w:szCs w:val="26"/>
          <w:vertAlign w:val="superscript"/>
        </w:rPr>
        <w:t>3</w:t>
      </w:r>
      <w:r>
        <w:rPr>
          <w:rFonts w:hint="eastAsia" w:ascii="Arial" w:hAnsi="Arial" w:cs="Arial"/>
          <w:sz w:val="26"/>
          <w:szCs w:val="26"/>
          <w:vertAlign w:val="baseline"/>
          <w:lang w:eastAsia="zh-CN"/>
        </w:rPr>
        <w:t>，水库回水总长</w:t>
      </w:r>
      <w:r>
        <w:rPr>
          <w:rFonts w:hint="eastAsia" w:ascii="Arial" w:hAnsi="Arial" w:cs="Arial"/>
          <w:sz w:val="26"/>
          <w:szCs w:val="26"/>
          <w:vertAlign w:val="baseline"/>
          <w:lang w:val="en-US" w:eastAsia="zh-CN"/>
        </w:rPr>
        <w:t>0.55km</w:t>
      </w:r>
      <w:r>
        <w:rPr>
          <w:rFonts w:hint="eastAsia" w:ascii="Arial" w:hAnsi="Arial" w:cs="Arial"/>
          <w:sz w:val="26"/>
          <w:szCs w:val="26"/>
          <w:lang w:eastAsia="zh-CN"/>
        </w:rPr>
        <w:t>；</w:t>
      </w:r>
      <w:r>
        <w:rPr>
          <w:rFonts w:hint="default" w:ascii="Arial" w:hAnsi="Arial" w:cs="Arial"/>
          <w:sz w:val="26"/>
          <w:szCs w:val="26"/>
        </w:rPr>
        <w:t>校核洪水位421.78m，总库容80.51万m</w:t>
      </w:r>
      <w:r>
        <w:rPr>
          <w:rFonts w:hint="default" w:ascii="Arial" w:hAnsi="Arial" w:cs="Arial"/>
          <w:sz w:val="26"/>
          <w:szCs w:val="26"/>
          <w:vertAlign w:val="superscript"/>
        </w:rPr>
        <w:t>3</w:t>
      </w:r>
      <w:r>
        <w:rPr>
          <w:rFonts w:hint="default" w:ascii="Arial" w:hAnsi="Arial" w:cs="Arial"/>
          <w:sz w:val="26"/>
          <w:szCs w:val="26"/>
        </w:rPr>
        <w:t>。多年平均总供水量76.28万m</w:t>
      </w:r>
      <w:r>
        <w:rPr>
          <w:rFonts w:hint="default" w:ascii="Arial" w:hAnsi="Arial" w:cs="Arial"/>
          <w:sz w:val="26"/>
          <w:szCs w:val="26"/>
          <w:vertAlign w:val="superscript"/>
        </w:rPr>
        <w:t>3</w:t>
      </w:r>
      <w:r>
        <w:rPr>
          <w:rFonts w:hint="default" w:ascii="Arial" w:hAnsi="Arial" w:cs="Arial"/>
          <w:sz w:val="26"/>
          <w:szCs w:val="26"/>
        </w:rPr>
        <w:t>，</w:t>
      </w:r>
      <w:r>
        <w:rPr>
          <w:rFonts w:hint="default" w:ascii="Arial" w:hAnsi="Arial" w:cs="Arial"/>
          <w:kern w:val="0"/>
          <w:sz w:val="26"/>
          <w:szCs w:val="26"/>
        </w:rPr>
        <w:t>渠首设计总流量为</w:t>
      </w:r>
      <w:r>
        <w:rPr>
          <w:rFonts w:hint="default" w:ascii="Arial" w:hAnsi="Arial" w:cs="Arial"/>
          <w:sz w:val="26"/>
          <w:szCs w:val="26"/>
        </w:rPr>
        <w:t>0.1</w:t>
      </w:r>
      <w:r>
        <w:rPr>
          <w:rFonts w:hint="eastAsia" w:ascii="Arial" w:hAnsi="Arial" w:cs="Arial"/>
          <w:sz w:val="26"/>
          <w:szCs w:val="26"/>
          <w:lang w:val="en-US" w:eastAsia="zh-CN"/>
        </w:rPr>
        <w:t>124</w:t>
      </w:r>
      <w:r>
        <w:rPr>
          <w:rFonts w:hint="default" w:ascii="Arial" w:hAnsi="Arial" w:cs="Arial"/>
          <w:sz w:val="26"/>
          <w:szCs w:val="26"/>
        </w:rPr>
        <w:t>m</w:t>
      </w:r>
      <w:r>
        <w:rPr>
          <w:rFonts w:hint="default" w:ascii="Arial" w:hAnsi="Arial" w:cs="Arial"/>
          <w:sz w:val="26"/>
          <w:szCs w:val="26"/>
          <w:vertAlign w:val="superscript"/>
        </w:rPr>
        <w:t>3</w:t>
      </w:r>
      <w:r>
        <w:rPr>
          <w:rFonts w:hint="default" w:ascii="Arial" w:hAnsi="Arial" w:cs="Arial"/>
          <w:sz w:val="26"/>
          <w:szCs w:val="26"/>
        </w:rPr>
        <w:t>/s，其中供水流量0.0087m</w:t>
      </w:r>
      <w:r>
        <w:rPr>
          <w:rFonts w:hint="default" w:ascii="Arial" w:hAnsi="Arial" w:cs="Arial"/>
          <w:sz w:val="26"/>
          <w:szCs w:val="26"/>
          <w:vertAlign w:val="superscript"/>
        </w:rPr>
        <w:t>3</w:t>
      </w:r>
      <w:r>
        <w:rPr>
          <w:rFonts w:hint="default" w:ascii="Arial" w:hAnsi="Arial" w:cs="Arial"/>
          <w:sz w:val="26"/>
          <w:szCs w:val="26"/>
        </w:rPr>
        <w:t>/s，灌溉流量0.0987m</w:t>
      </w:r>
      <w:r>
        <w:rPr>
          <w:rFonts w:hint="default" w:ascii="Arial" w:hAnsi="Arial" w:cs="Arial"/>
          <w:sz w:val="26"/>
          <w:szCs w:val="26"/>
          <w:vertAlign w:val="superscript"/>
        </w:rPr>
        <w:t>3</w:t>
      </w:r>
      <w:r>
        <w:rPr>
          <w:rFonts w:hint="default" w:ascii="Arial" w:hAnsi="Arial" w:cs="Arial"/>
          <w:sz w:val="26"/>
          <w:szCs w:val="26"/>
        </w:rPr>
        <w:t>/s</w:t>
      </w:r>
      <w:r>
        <w:rPr>
          <w:rFonts w:hint="eastAsia" w:ascii="Arial" w:hAnsi="Arial" w:cs="Arial"/>
          <w:sz w:val="26"/>
          <w:szCs w:val="26"/>
          <w:lang w:eastAsia="zh-CN"/>
        </w:rPr>
        <w:t>；</w:t>
      </w:r>
      <w:r>
        <w:rPr>
          <w:rFonts w:hint="default" w:ascii="Arial" w:hAnsi="Arial" w:cs="Arial"/>
          <w:sz w:val="26"/>
          <w:szCs w:val="26"/>
        </w:rPr>
        <w:t>生态放水流量0.00</w:t>
      </w:r>
      <w:r>
        <w:rPr>
          <w:rFonts w:hint="eastAsia" w:ascii="Arial" w:hAnsi="Arial" w:cs="Arial"/>
          <w:sz w:val="26"/>
          <w:szCs w:val="26"/>
          <w:lang w:val="en-US" w:eastAsia="zh-CN"/>
        </w:rPr>
        <w:t>5</w:t>
      </w:r>
      <w:r>
        <w:rPr>
          <w:rFonts w:hint="default" w:ascii="Arial" w:hAnsi="Arial" w:cs="Arial"/>
          <w:sz w:val="26"/>
          <w:szCs w:val="26"/>
        </w:rPr>
        <w:t>m</w:t>
      </w:r>
      <w:r>
        <w:rPr>
          <w:rFonts w:hint="default" w:ascii="Arial" w:hAnsi="Arial" w:cs="Arial"/>
          <w:sz w:val="26"/>
          <w:szCs w:val="26"/>
          <w:vertAlign w:val="superscript"/>
        </w:rPr>
        <w:t>3</w:t>
      </w:r>
      <w:r>
        <w:rPr>
          <w:rFonts w:hint="default" w:ascii="Arial" w:hAnsi="Arial" w:cs="Arial"/>
          <w:sz w:val="26"/>
          <w:szCs w:val="26"/>
        </w:rPr>
        <w:t>/s。</w:t>
      </w:r>
      <w:r>
        <w:rPr>
          <w:rFonts w:hint="eastAsia" w:ascii="Arial" w:hAnsi="Arial" w:cs="Arial"/>
          <w:bCs/>
          <w:sz w:val="26"/>
          <w:szCs w:val="26"/>
        </w:rPr>
        <w:t>水库规模特性详见表2.</w:t>
      </w:r>
      <w:r>
        <w:rPr>
          <w:rFonts w:hint="eastAsia" w:ascii="Arial" w:hAnsi="Arial" w:cs="Arial"/>
          <w:bCs/>
          <w:sz w:val="26"/>
          <w:szCs w:val="26"/>
          <w:lang w:val="en-US" w:eastAsia="zh-CN"/>
        </w:rPr>
        <w:t>2</w:t>
      </w:r>
      <w:r>
        <w:rPr>
          <w:rFonts w:hint="eastAsia" w:ascii="Arial" w:hAnsi="Arial" w:cs="Arial"/>
          <w:bCs/>
          <w:sz w:val="26"/>
          <w:szCs w:val="26"/>
        </w:rPr>
        <w:t>-2所示。</w:t>
      </w:r>
    </w:p>
    <w:p w14:paraId="56144EB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宋体" w:cs="Arial"/>
          <w:b/>
          <w:color w:val="auto"/>
          <w:sz w:val="26"/>
          <w:szCs w:val="26"/>
          <w:lang w:eastAsia="zh-CN"/>
        </w:rPr>
      </w:pPr>
      <w:r>
        <w:rPr>
          <w:rFonts w:hint="eastAsia" w:ascii="Arial" w:hAnsi="宋体" w:cs="Arial"/>
          <w:b/>
          <w:color w:val="auto"/>
          <w:sz w:val="26"/>
          <w:szCs w:val="26"/>
          <w:lang w:eastAsia="zh-CN"/>
        </w:rPr>
        <w:t>表</w:t>
      </w:r>
      <w:r>
        <w:rPr>
          <w:rFonts w:hint="eastAsia" w:ascii="Arial" w:hAnsi="宋体" w:cs="Arial"/>
          <w:b/>
          <w:color w:val="auto"/>
          <w:sz w:val="26"/>
          <w:szCs w:val="26"/>
        </w:rPr>
        <w:t>2.</w:t>
      </w:r>
      <w:r>
        <w:rPr>
          <w:rFonts w:hint="eastAsia" w:ascii="Arial" w:hAnsi="宋体" w:cs="Arial"/>
          <w:b/>
          <w:color w:val="auto"/>
          <w:sz w:val="26"/>
          <w:szCs w:val="26"/>
          <w:lang w:val="en-US" w:eastAsia="zh-CN"/>
        </w:rPr>
        <w:t>2</w:t>
      </w:r>
      <w:r>
        <w:rPr>
          <w:rFonts w:hint="eastAsia" w:ascii="Arial" w:hAnsi="宋体" w:cs="Arial"/>
          <w:b/>
          <w:color w:val="auto"/>
          <w:sz w:val="26"/>
          <w:szCs w:val="26"/>
        </w:rPr>
        <w:t>-</w:t>
      </w:r>
      <w:r>
        <w:rPr>
          <w:rFonts w:hint="eastAsia" w:ascii="Arial" w:hAnsi="宋体" w:cs="Arial"/>
          <w:b/>
          <w:color w:val="auto"/>
          <w:sz w:val="26"/>
          <w:szCs w:val="26"/>
          <w:lang w:val="en-US" w:eastAsia="zh-CN"/>
        </w:rPr>
        <w:t>2</w:t>
      </w:r>
      <w:r>
        <w:rPr>
          <w:rFonts w:hint="eastAsia" w:ascii="Arial" w:hAnsi="宋体" w:cs="Arial"/>
          <w:b/>
          <w:color w:val="auto"/>
          <w:sz w:val="26"/>
          <w:szCs w:val="26"/>
        </w:rPr>
        <w:t xml:space="preserve"> </w:t>
      </w:r>
      <w:r>
        <w:rPr>
          <w:rFonts w:hint="eastAsia" w:ascii="Arial" w:hAnsi="宋体" w:cs="Arial"/>
          <w:b/>
          <w:color w:val="auto"/>
          <w:sz w:val="26"/>
          <w:szCs w:val="26"/>
          <w:lang w:eastAsia="zh-CN"/>
        </w:rPr>
        <w:t>海螺沟</w:t>
      </w:r>
      <w:r>
        <w:rPr>
          <w:rFonts w:hint="eastAsia" w:ascii="Arial" w:hAnsi="宋体" w:cs="Arial"/>
          <w:b/>
          <w:color w:val="auto"/>
          <w:sz w:val="26"/>
          <w:szCs w:val="26"/>
        </w:rPr>
        <w:t>水库</w:t>
      </w:r>
      <w:r>
        <w:rPr>
          <w:rFonts w:hint="eastAsia" w:ascii="Arial" w:hAnsi="宋体" w:cs="Arial"/>
          <w:b/>
          <w:color w:val="auto"/>
          <w:sz w:val="26"/>
          <w:szCs w:val="26"/>
          <w:lang w:eastAsia="zh-CN"/>
        </w:rPr>
        <w:t>规模特性表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2"/>
        <w:gridCol w:w="1756"/>
        <w:gridCol w:w="1680"/>
        <w:gridCol w:w="2321"/>
      </w:tblGrid>
      <w:tr w14:paraId="0CF50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32" w:type="dxa"/>
            <w:tcBorders>
              <w:bottom w:val="single" w:color="auto" w:sz="4" w:space="0"/>
              <w:right w:val="single" w:color="auto" w:sz="4" w:space="0"/>
            </w:tcBorders>
            <w:noWrap w:val="0"/>
            <w:vAlign w:val="center"/>
          </w:tcPr>
          <w:p w14:paraId="2B7ABD2D">
            <w:pPr>
              <w:spacing w:line="300" w:lineRule="exact"/>
              <w:jc w:val="center"/>
              <w:rPr>
                <w:rFonts w:ascii="Arial" w:hAnsi="Arial" w:cs="Arial"/>
                <w:sz w:val="22"/>
              </w:rPr>
            </w:pPr>
            <w:r>
              <w:rPr>
                <w:rFonts w:ascii="Arial" w:hAnsi="宋体" w:cs="Arial"/>
                <w:sz w:val="22"/>
              </w:rPr>
              <w:t>项目</w:t>
            </w:r>
          </w:p>
        </w:tc>
        <w:tc>
          <w:tcPr>
            <w:tcW w:w="1756" w:type="dxa"/>
            <w:tcBorders>
              <w:left w:val="single" w:color="auto" w:sz="4" w:space="0"/>
              <w:bottom w:val="single" w:color="auto" w:sz="4" w:space="0"/>
              <w:right w:val="single" w:color="auto" w:sz="4" w:space="0"/>
            </w:tcBorders>
            <w:noWrap w:val="0"/>
            <w:vAlign w:val="center"/>
          </w:tcPr>
          <w:p w14:paraId="1EEFE8A4">
            <w:pPr>
              <w:spacing w:line="300" w:lineRule="exact"/>
              <w:jc w:val="center"/>
              <w:rPr>
                <w:rFonts w:ascii="Arial" w:hAnsi="Arial" w:cs="Arial"/>
                <w:sz w:val="22"/>
              </w:rPr>
            </w:pPr>
            <w:r>
              <w:rPr>
                <w:rFonts w:ascii="Arial" w:hAnsi="宋体" w:cs="Arial"/>
                <w:sz w:val="22"/>
              </w:rPr>
              <w:t>水位（</w:t>
            </w:r>
            <w:r>
              <w:rPr>
                <w:rFonts w:ascii="Arial" w:hAnsi="Arial" w:cs="Arial"/>
                <w:sz w:val="22"/>
              </w:rPr>
              <w:t>m</w:t>
            </w:r>
            <w:r>
              <w:rPr>
                <w:rFonts w:ascii="Arial" w:hAnsi="宋体" w:cs="Arial"/>
                <w:sz w:val="22"/>
              </w:rPr>
              <w:t>）</w:t>
            </w:r>
          </w:p>
        </w:tc>
        <w:tc>
          <w:tcPr>
            <w:tcW w:w="1680" w:type="dxa"/>
            <w:tcBorders>
              <w:left w:val="single" w:color="auto" w:sz="4" w:space="0"/>
              <w:bottom w:val="single" w:color="auto" w:sz="4" w:space="0"/>
              <w:right w:val="single" w:color="auto" w:sz="4" w:space="0"/>
            </w:tcBorders>
            <w:noWrap w:val="0"/>
            <w:vAlign w:val="center"/>
          </w:tcPr>
          <w:p w14:paraId="30DB9953">
            <w:pPr>
              <w:spacing w:line="300" w:lineRule="exact"/>
              <w:jc w:val="center"/>
              <w:rPr>
                <w:rFonts w:ascii="Arial" w:hAnsi="Arial" w:cs="Arial"/>
                <w:sz w:val="22"/>
              </w:rPr>
            </w:pPr>
            <w:r>
              <w:rPr>
                <w:rFonts w:hint="eastAsia" w:ascii="Arial" w:hAnsi="宋体" w:cs="Arial"/>
                <w:sz w:val="22"/>
                <w:lang w:eastAsia="zh-CN"/>
              </w:rPr>
              <w:t>库容</w:t>
            </w:r>
            <w:r>
              <w:rPr>
                <w:rFonts w:ascii="Arial" w:hAnsi="宋体" w:cs="Arial"/>
                <w:sz w:val="22"/>
              </w:rPr>
              <w:t>（万</w:t>
            </w:r>
            <w:r>
              <w:rPr>
                <w:rFonts w:ascii="Arial" w:hAnsi="Arial" w:cs="Arial"/>
                <w:sz w:val="22"/>
              </w:rPr>
              <w:t>m</w:t>
            </w:r>
            <w:r>
              <w:rPr>
                <w:rFonts w:ascii="Arial" w:hAnsi="Arial" w:cs="Arial"/>
                <w:sz w:val="22"/>
                <w:vertAlign w:val="superscript"/>
              </w:rPr>
              <w:t>3</w:t>
            </w:r>
            <w:r>
              <w:rPr>
                <w:rFonts w:ascii="Arial" w:hAnsi="宋体" w:cs="Arial"/>
                <w:sz w:val="22"/>
              </w:rPr>
              <w:t>）</w:t>
            </w:r>
          </w:p>
        </w:tc>
        <w:tc>
          <w:tcPr>
            <w:tcW w:w="2321" w:type="dxa"/>
            <w:tcBorders>
              <w:left w:val="single" w:color="auto" w:sz="4" w:space="0"/>
              <w:bottom w:val="single" w:color="auto" w:sz="4" w:space="0"/>
            </w:tcBorders>
            <w:noWrap w:val="0"/>
            <w:vAlign w:val="center"/>
          </w:tcPr>
          <w:p w14:paraId="52109DE7">
            <w:pPr>
              <w:spacing w:line="300" w:lineRule="exact"/>
              <w:jc w:val="center"/>
              <w:rPr>
                <w:rFonts w:ascii="Arial" w:hAnsi="Arial" w:cs="Arial"/>
                <w:sz w:val="22"/>
              </w:rPr>
            </w:pPr>
            <w:r>
              <w:rPr>
                <w:rFonts w:ascii="Arial" w:hAnsi="宋体" w:cs="Arial"/>
                <w:sz w:val="22"/>
              </w:rPr>
              <w:t>备注</w:t>
            </w:r>
          </w:p>
        </w:tc>
      </w:tr>
      <w:tr w14:paraId="6E61B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32" w:type="dxa"/>
            <w:tcBorders>
              <w:top w:val="single" w:color="auto" w:sz="4" w:space="0"/>
              <w:bottom w:val="single" w:color="auto" w:sz="4" w:space="0"/>
              <w:right w:val="single" w:color="auto" w:sz="4" w:space="0"/>
            </w:tcBorders>
            <w:noWrap w:val="0"/>
            <w:vAlign w:val="center"/>
          </w:tcPr>
          <w:p w14:paraId="7A3B5E61">
            <w:pPr>
              <w:spacing w:line="300" w:lineRule="exact"/>
              <w:jc w:val="center"/>
              <w:rPr>
                <w:rFonts w:hint="eastAsia" w:ascii="Arial" w:hAnsi="Arial" w:cs="Arial"/>
                <w:sz w:val="22"/>
              </w:rPr>
            </w:pPr>
            <w:r>
              <w:rPr>
                <w:rFonts w:hint="eastAsia" w:ascii="Arial" w:hAnsi="Arial" w:cs="Arial"/>
                <w:sz w:val="22"/>
              </w:rPr>
              <w:t>正常蓄水位</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198E8488">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420</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514E2B65">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65.36</w:t>
            </w:r>
          </w:p>
        </w:tc>
        <w:tc>
          <w:tcPr>
            <w:tcW w:w="2321" w:type="dxa"/>
            <w:tcBorders>
              <w:top w:val="single" w:color="auto" w:sz="4" w:space="0"/>
              <w:left w:val="single" w:color="auto" w:sz="4" w:space="0"/>
              <w:bottom w:val="single" w:color="auto" w:sz="4" w:space="0"/>
            </w:tcBorders>
            <w:noWrap w:val="0"/>
            <w:vAlign w:val="center"/>
          </w:tcPr>
          <w:p w14:paraId="72D3D108">
            <w:pPr>
              <w:spacing w:line="300" w:lineRule="exact"/>
              <w:jc w:val="center"/>
              <w:rPr>
                <w:rFonts w:ascii="Arial" w:hAnsi="Arial" w:cs="Arial"/>
                <w:sz w:val="22"/>
              </w:rPr>
            </w:pPr>
          </w:p>
        </w:tc>
      </w:tr>
      <w:tr w14:paraId="32DB4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2132" w:type="dxa"/>
            <w:tcBorders>
              <w:top w:val="single" w:color="auto" w:sz="4" w:space="0"/>
              <w:bottom w:val="single" w:color="auto" w:sz="4" w:space="0"/>
              <w:right w:val="single" w:color="auto" w:sz="4" w:space="0"/>
            </w:tcBorders>
            <w:noWrap w:val="0"/>
            <w:vAlign w:val="center"/>
          </w:tcPr>
          <w:p w14:paraId="298BD632">
            <w:pPr>
              <w:spacing w:line="300" w:lineRule="exact"/>
              <w:jc w:val="center"/>
              <w:rPr>
                <w:rFonts w:hint="eastAsia" w:ascii="Arial" w:hAnsi="Arial" w:cs="Arial"/>
                <w:sz w:val="22"/>
              </w:rPr>
            </w:pPr>
            <w:r>
              <w:rPr>
                <w:rFonts w:hint="eastAsia" w:ascii="Arial" w:hAnsi="Arial" w:cs="Arial"/>
                <w:sz w:val="22"/>
              </w:rPr>
              <w:t>死水位</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1F52C973">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407.5</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7CC6F218">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5.62</w:t>
            </w:r>
          </w:p>
        </w:tc>
        <w:tc>
          <w:tcPr>
            <w:tcW w:w="2321" w:type="dxa"/>
            <w:tcBorders>
              <w:top w:val="single" w:color="auto" w:sz="4" w:space="0"/>
              <w:left w:val="single" w:color="auto" w:sz="4" w:space="0"/>
              <w:bottom w:val="single" w:color="auto" w:sz="4" w:space="0"/>
            </w:tcBorders>
            <w:noWrap w:val="0"/>
            <w:vAlign w:val="center"/>
          </w:tcPr>
          <w:p w14:paraId="3ADC93FA">
            <w:pPr>
              <w:spacing w:line="300" w:lineRule="exact"/>
              <w:jc w:val="center"/>
              <w:rPr>
                <w:rFonts w:ascii="Arial" w:hAnsi="Arial" w:cs="Arial"/>
                <w:sz w:val="22"/>
              </w:rPr>
            </w:pPr>
          </w:p>
        </w:tc>
      </w:tr>
      <w:tr w14:paraId="66F52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32" w:type="dxa"/>
            <w:tcBorders>
              <w:top w:val="single" w:color="auto" w:sz="4" w:space="0"/>
              <w:bottom w:val="single" w:color="auto" w:sz="4" w:space="0"/>
              <w:right w:val="single" w:color="auto" w:sz="4" w:space="0"/>
            </w:tcBorders>
            <w:noWrap w:val="0"/>
            <w:vAlign w:val="center"/>
          </w:tcPr>
          <w:p w14:paraId="421D491B">
            <w:pPr>
              <w:spacing w:line="300" w:lineRule="exact"/>
              <w:jc w:val="center"/>
              <w:rPr>
                <w:rFonts w:hint="eastAsia" w:ascii="Arial" w:hAnsi="Arial" w:cs="Arial"/>
                <w:sz w:val="22"/>
              </w:rPr>
            </w:pPr>
            <w:r>
              <w:rPr>
                <w:rFonts w:hint="eastAsia" w:ascii="Arial" w:hAnsi="Arial" w:cs="Arial"/>
                <w:sz w:val="22"/>
              </w:rPr>
              <w:t>调节库容</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570839B4">
            <w:pPr>
              <w:spacing w:line="300" w:lineRule="exact"/>
              <w:jc w:val="center"/>
              <w:rPr>
                <w:rFonts w:hint="eastAsia" w:ascii="Arial" w:hAnsi="Arial" w:cs="Arial"/>
                <w:sz w:val="22"/>
              </w:rPr>
            </w:pPr>
            <w:r>
              <w:rPr>
                <w:rFonts w:hint="eastAsia" w:ascii="Arial" w:hAnsi="Arial" w:cs="Arial"/>
                <w:sz w:val="22"/>
              </w:rPr>
              <w:t>/</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64553B89">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59.74</w:t>
            </w:r>
          </w:p>
        </w:tc>
        <w:tc>
          <w:tcPr>
            <w:tcW w:w="2321" w:type="dxa"/>
            <w:tcBorders>
              <w:top w:val="single" w:color="auto" w:sz="4" w:space="0"/>
              <w:left w:val="single" w:color="auto" w:sz="4" w:space="0"/>
              <w:bottom w:val="single" w:color="auto" w:sz="4" w:space="0"/>
            </w:tcBorders>
            <w:noWrap w:val="0"/>
            <w:vAlign w:val="center"/>
          </w:tcPr>
          <w:p w14:paraId="3B90B8AF">
            <w:pPr>
              <w:spacing w:line="300" w:lineRule="exact"/>
              <w:jc w:val="center"/>
              <w:rPr>
                <w:rFonts w:ascii="Arial" w:hAnsi="Arial" w:cs="Arial"/>
                <w:sz w:val="22"/>
              </w:rPr>
            </w:pPr>
          </w:p>
        </w:tc>
      </w:tr>
      <w:tr w14:paraId="77024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32" w:type="dxa"/>
            <w:tcBorders>
              <w:top w:val="single" w:color="auto" w:sz="4" w:space="0"/>
              <w:right w:val="single" w:color="auto" w:sz="4" w:space="0"/>
            </w:tcBorders>
            <w:noWrap w:val="0"/>
            <w:vAlign w:val="center"/>
          </w:tcPr>
          <w:p w14:paraId="7FC49E61">
            <w:pPr>
              <w:spacing w:line="300" w:lineRule="exact"/>
              <w:jc w:val="center"/>
              <w:rPr>
                <w:rFonts w:hint="eastAsia" w:ascii="Arial" w:hAnsi="Arial" w:cs="Arial"/>
                <w:sz w:val="22"/>
              </w:rPr>
            </w:pPr>
            <w:r>
              <w:rPr>
                <w:rFonts w:hint="eastAsia" w:ascii="Arial" w:hAnsi="Arial" w:cs="Arial"/>
                <w:sz w:val="22"/>
                <w:lang w:eastAsia="zh-CN"/>
              </w:rPr>
              <w:t>校核</w:t>
            </w:r>
            <w:r>
              <w:rPr>
                <w:rFonts w:hint="eastAsia" w:ascii="Arial" w:hAnsi="Arial" w:cs="Arial"/>
                <w:sz w:val="22"/>
              </w:rPr>
              <w:t>洪水位</w:t>
            </w:r>
          </w:p>
        </w:tc>
        <w:tc>
          <w:tcPr>
            <w:tcW w:w="1756" w:type="dxa"/>
            <w:tcBorders>
              <w:top w:val="single" w:color="auto" w:sz="4" w:space="0"/>
              <w:left w:val="single" w:color="auto" w:sz="4" w:space="0"/>
              <w:right w:val="single" w:color="auto" w:sz="4" w:space="0"/>
            </w:tcBorders>
            <w:noWrap w:val="0"/>
            <w:vAlign w:val="center"/>
          </w:tcPr>
          <w:p w14:paraId="4B1F9A59">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421.78</w:t>
            </w:r>
          </w:p>
        </w:tc>
        <w:tc>
          <w:tcPr>
            <w:tcW w:w="1680" w:type="dxa"/>
            <w:tcBorders>
              <w:top w:val="single" w:color="auto" w:sz="4" w:space="0"/>
              <w:left w:val="single" w:color="auto" w:sz="4" w:space="0"/>
              <w:right w:val="single" w:color="auto" w:sz="4" w:space="0"/>
            </w:tcBorders>
            <w:noWrap w:val="0"/>
            <w:vAlign w:val="center"/>
          </w:tcPr>
          <w:p w14:paraId="2E95E0CD">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80.51</w:t>
            </w:r>
          </w:p>
        </w:tc>
        <w:tc>
          <w:tcPr>
            <w:tcW w:w="2321" w:type="dxa"/>
            <w:tcBorders>
              <w:top w:val="single" w:color="auto" w:sz="4" w:space="0"/>
              <w:left w:val="single" w:color="auto" w:sz="4" w:space="0"/>
            </w:tcBorders>
            <w:noWrap w:val="0"/>
            <w:vAlign w:val="center"/>
          </w:tcPr>
          <w:p w14:paraId="7F710066">
            <w:pPr>
              <w:spacing w:line="300" w:lineRule="exact"/>
              <w:jc w:val="center"/>
              <w:rPr>
                <w:rFonts w:ascii="Arial" w:hAnsi="Arial" w:cs="Arial"/>
                <w:sz w:val="22"/>
              </w:rPr>
            </w:pPr>
            <w:r>
              <w:rPr>
                <w:rFonts w:ascii="Arial" w:hAnsi="Arial" w:cs="Arial"/>
                <w:sz w:val="22"/>
              </w:rPr>
              <w:t>P=</w:t>
            </w:r>
            <w:r>
              <w:rPr>
                <w:rFonts w:hint="eastAsia" w:ascii="Arial" w:hAnsi="Arial" w:cs="Arial"/>
                <w:sz w:val="22"/>
                <w:lang w:val="en-US" w:eastAsia="zh-CN"/>
              </w:rPr>
              <w:t>0.</w:t>
            </w:r>
            <w:r>
              <w:rPr>
                <w:rFonts w:ascii="Arial" w:hAnsi="Arial" w:cs="Arial"/>
                <w:sz w:val="22"/>
              </w:rPr>
              <w:t xml:space="preserve">5% </w:t>
            </w:r>
          </w:p>
        </w:tc>
      </w:tr>
    </w:tbl>
    <w:p w14:paraId="10AF274F">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eastAsia="zh-CN"/>
        </w:rPr>
      </w:pPr>
    </w:p>
    <w:p w14:paraId="61A772CD">
      <w:pPr>
        <w:spacing w:line="480" w:lineRule="exact"/>
        <w:ind w:firstLine="392" w:firstLineChars="150"/>
        <w:rPr>
          <w:rFonts w:hint="eastAsia" w:ascii="Arial" w:hAnsi="Arial" w:eastAsia="宋体" w:cs="Arial"/>
          <w:b/>
          <w:sz w:val="26"/>
          <w:szCs w:val="26"/>
          <w:lang w:eastAsia="zh-CN"/>
        </w:rPr>
      </w:pPr>
      <w:r>
        <w:rPr>
          <w:rFonts w:hint="eastAsia" w:ascii="Arial" w:hAnsi="Arial" w:cs="Arial"/>
          <w:b/>
          <w:sz w:val="26"/>
          <w:szCs w:val="26"/>
        </w:rPr>
        <w:t>（</w:t>
      </w:r>
      <w:r>
        <w:rPr>
          <w:rFonts w:hint="eastAsia" w:ascii="Arial" w:hAnsi="Arial" w:cs="Arial"/>
          <w:b/>
          <w:sz w:val="26"/>
          <w:szCs w:val="26"/>
          <w:lang w:val="en-US" w:eastAsia="zh-CN"/>
        </w:rPr>
        <w:t>3</w:t>
      </w:r>
      <w:r>
        <w:rPr>
          <w:rFonts w:hint="eastAsia" w:ascii="Arial" w:hAnsi="Arial" w:cs="Arial"/>
          <w:b/>
          <w:sz w:val="26"/>
          <w:szCs w:val="26"/>
        </w:rPr>
        <w:t>）</w:t>
      </w:r>
      <w:r>
        <w:rPr>
          <w:rFonts w:hint="eastAsia" w:ascii="Arial" w:hAnsi="Arial" w:cs="Arial"/>
          <w:b/>
          <w:sz w:val="26"/>
          <w:szCs w:val="26"/>
          <w:lang w:eastAsia="zh-CN"/>
        </w:rPr>
        <w:t>工程等级和设计标准</w:t>
      </w:r>
    </w:p>
    <w:p w14:paraId="470A134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cs="Arial"/>
          <w:sz w:val="26"/>
          <w:szCs w:val="26"/>
          <w:lang w:eastAsia="zh-CN"/>
        </w:rPr>
        <w:t>海螺沟</w:t>
      </w:r>
      <w:r>
        <w:rPr>
          <w:rFonts w:hint="eastAsia" w:ascii="Arial" w:cs="Arial"/>
          <w:sz w:val="26"/>
          <w:szCs w:val="26"/>
        </w:rPr>
        <w:t>水库总库容</w:t>
      </w:r>
      <w:r>
        <w:rPr>
          <w:rFonts w:hint="eastAsia" w:ascii="Arial" w:cs="Arial"/>
          <w:sz w:val="26"/>
          <w:szCs w:val="26"/>
          <w:lang w:val="en-US" w:eastAsia="zh-CN"/>
        </w:rPr>
        <w:t>80.51</w:t>
      </w:r>
      <w:r>
        <w:rPr>
          <w:rFonts w:hint="eastAsia" w:ascii="Arial" w:cs="Arial"/>
          <w:sz w:val="26"/>
          <w:szCs w:val="26"/>
        </w:rPr>
        <w:t>万m</w:t>
      </w:r>
      <w:r>
        <w:rPr>
          <w:rFonts w:hint="eastAsia" w:ascii="Arial" w:cs="Arial"/>
          <w:sz w:val="26"/>
          <w:szCs w:val="26"/>
          <w:vertAlign w:val="superscript"/>
        </w:rPr>
        <w:t>3</w:t>
      </w:r>
      <w:r>
        <w:rPr>
          <w:rFonts w:hint="eastAsia" w:ascii="Arial" w:cs="Arial"/>
          <w:sz w:val="26"/>
          <w:szCs w:val="26"/>
        </w:rPr>
        <w:t>，设计控灌面积</w:t>
      </w:r>
      <w:r>
        <w:rPr>
          <w:rFonts w:hint="eastAsia" w:ascii="Arial" w:cs="Arial"/>
          <w:sz w:val="26"/>
          <w:szCs w:val="26"/>
          <w:lang w:val="en-US" w:eastAsia="zh-CN"/>
        </w:rPr>
        <w:t>2000</w:t>
      </w:r>
      <w:r>
        <w:rPr>
          <w:rFonts w:hint="eastAsia" w:ascii="Arial" w:cs="Arial"/>
          <w:sz w:val="26"/>
          <w:szCs w:val="26"/>
        </w:rPr>
        <w:t>亩，根据</w:t>
      </w:r>
      <w:r>
        <w:rPr>
          <w:rFonts w:hint="eastAsia" w:ascii="Arial" w:cs="Arial"/>
          <w:sz w:val="26"/>
          <w:szCs w:val="26"/>
          <w:lang w:eastAsia="zh-CN"/>
        </w:rPr>
        <w:t>《水利水电工程合理使用年限及耐久性设计规范》（SL654-2014）</w:t>
      </w:r>
      <w:r>
        <w:rPr>
          <w:rFonts w:hint="eastAsia" w:ascii="Arial" w:cs="Arial"/>
          <w:sz w:val="26"/>
          <w:szCs w:val="26"/>
        </w:rPr>
        <w:t>的规定，</w:t>
      </w:r>
      <w:r>
        <w:rPr>
          <w:rFonts w:hint="eastAsia" w:ascii="Arial" w:cs="Arial"/>
          <w:sz w:val="26"/>
          <w:szCs w:val="26"/>
          <w:lang w:eastAsia="zh-CN"/>
        </w:rPr>
        <w:t>海螺沟</w:t>
      </w:r>
      <w:r>
        <w:rPr>
          <w:rFonts w:hint="eastAsia" w:ascii="Arial" w:cs="Arial"/>
          <w:sz w:val="26"/>
          <w:szCs w:val="26"/>
        </w:rPr>
        <w:t>水库属</w:t>
      </w:r>
      <w:r>
        <w:rPr>
          <w:rFonts w:hint="default" w:ascii="Arial" w:hAnsi="Arial" w:eastAsia="微软雅黑" w:cs="Arial"/>
          <w:sz w:val="26"/>
          <w:szCs w:val="26"/>
        </w:rPr>
        <w:t>Ⅴ</w:t>
      </w:r>
      <w:r>
        <w:rPr>
          <w:rFonts w:hint="eastAsia" w:ascii="Arial" w:cs="Arial"/>
          <w:sz w:val="26"/>
          <w:szCs w:val="26"/>
        </w:rPr>
        <w:t>等小（</w:t>
      </w:r>
      <w:r>
        <w:rPr>
          <w:rFonts w:hint="eastAsia" w:ascii="Arial" w:cs="Arial"/>
          <w:sz w:val="26"/>
          <w:szCs w:val="26"/>
          <w:lang w:val="en-US" w:eastAsia="zh-CN"/>
        </w:rPr>
        <w:t>2</w:t>
      </w:r>
      <w:r>
        <w:rPr>
          <w:rFonts w:hint="eastAsia" w:ascii="Arial" w:cs="Arial"/>
          <w:sz w:val="26"/>
          <w:szCs w:val="26"/>
        </w:rPr>
        <w:t>）型工程，</w:t>
      </w:r>
      <w:r>
        <w:rPr>
          <w:rFonts w:hint="eastAsia" w:ascii="Arial" w:cs="Arial"/>
          <w:sz w:val="26"/>
          <w:szCs w:val="26"/>
          <w:lang w:eastAsia="zh-CN"/>
        </w:rPr>
        <w:t>枢纽工程建筑物级别为</w:t>
      </w:r>
      <w:r>
        <w:rPr>
          <w:rFonts w:hint="eastAsia" w:ascii="Arial" w:cs="Arial"/>
          <w:sz w:val="26"/>
          <w:szCs w:val="26"/>
          <w:lang w:val="en-US" w:eastAsia="zh-CN"/>
        </w:rPr>
        <w:t>5级，输水工程建筑物级别为4级，</w:t>
      </w:r>
      <w:r>
        <w:rPr>
          <w:rFonts w:hint="eastAsia" w:ascii="Arial" w:cs="Arial"/>
          <w:sz w:val="26"/>
          <w:szCs w:val="26"/>
        </w:rPr>
        <w:t>临时建筑物级别为5级。</w:t>
      </w:r>
    </w:p>
    <w:p w14:paraId="778C027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cs="Arial"/>
          <w:sz w:val="26"/>
          <w:szCs w:val="26"/>
        </w:rPr>
        <w:t>根据《防洪标准》（</w:t>
      </w:r>
      <w:r>
        <w:rPr>
          <w:rFonts w:ascii="Arial" w:cs="Arial"/>
          <w:sz w:val="26"/>
          <w:szCs w:val="26"/>
        </w:rPr>
        <w:t>GB50201-2014</w:t>
      </w:r>
      <w:r>
        <w:rPr>
          <w:rFonts w:hint="eastAsia" w:ascii="Arial" w:cs="Arial"/>
          <w:sz w:val="26"/>
          <w:szCs w:val="26"/>
        </w:rPr>
        <w:t>）、《水利水电工程等级划分及洪水标准》（</w:t>
      </w:r>
      <w:r>
        <w:rPr>
          <w:rFonts w:ascii="Arial" w:cs="Arial"/>
          <w:sz w:val="26"/>
          <w:szCs w:val="26"/>
        </w:rPr>
        <w:t>SL252-2017</w:t>
      </w:r>
      <w:r>
        <w:rPr>
          <w:rFonts w:hint="eastAsia" w:ascii="Arial" w:cs="Arial"/>
          <w:sz w:val="26"/>
          <w:szCs w:val="26"/>
        </w:rPr>
        <w:t>）和《灌溉与排水工程设计规范》（</w:t>
      </w:r>
      <w:r>
        <w:rPr>
          <w:rFonts w:ascii="Arial" w:cs="Arial"/>
          <w:sz w:val="26"/>
          <w:szCs w:val="26"/>
        </w:rPr>
        <w:t>GB50288-99</w:t>
      </w:r>
      <w:r>
        <w:rPr>
          <w:rFonts w:hint="eastAsia" w:ascii="Arial" w:cs="Arial"/>
          <w:sz w:val="26"/>
          <w:szCs w:val="26"/>
        </w:rPr>
        <w:t>）中采用洪水标准，应根据建筑物级别并结合规定确定。本工程各建筑物采用的洪水标准见表2.</w:t>
      </w:r>
      <w:r>
        <w:rPr>
          <w:rFonts w:hint="eastAsia" w:ascii="Arial" w:cs="Arial"/>
          <w:sz w:val="26"/>
          <w:szCs w:val="26"/>
          <w:lang w:val="en-US" w:eastAsia="zh-CN"/>
        </w:rPr>
        <w:t>2</w:t>
      </w:r>
      <w:r>
        <w:rPr>
          <w:rFonts w:hint="eastAsia" w:ascii="Arial" w:cs="Arial"/>
          <w:sz w:val="26"/>
          <w:szCs w:val="26"/>
        </w:rPr>
        <w:t>-</w:t>
      </w:r>
      <w:r>
        <w:rPr>
          <w:rFonts w:hint="eastAsia" w:ascii="Arial" w:cs="Arial"/>
          <w:sz w:val="26"/>
          <w:szCs w:val="26"/>
          <w:lang w:val="en-US" w:eastAsia="zh-CN"/>
        </w:rPr>
        <w:t>3</w:t>
      </w:r>
      <w:r>
        <w:rPr>
          <w:rFonts w:hint="eastAsia" w:ascii="Arial" w:cs="Arial"/>
          <w:sz w:val="26"/>
          <w:szCs w:val="26"/>
        </w:rPr>
        <w:t>。</w:t>
      </w:r>
    </w:p>
    <w:p w14:paraId="16276AE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cs="Arial"/>
          <w:b/>
          <w:sz w:val="26"/>
          <w:szCs w:val="26"/>
        </w:rPr>
      </w:pPr>
      <w:r>
        <w:rPr>
          <w:rFonts w:hint="eastAsia" w:ascii="Arial" w:hAnsi="Arial" w:cs="Arial"/>
          <w:b/>
          <w:bCs/>
          <w:sz w:val="26"/>
          <w:szCs w:val="26"/>
        </w:rPr>
        <w:t>表2</w:t>
      </w:r>
      <w:r>
        <w:rPr>
          <w:rFonts w:hint="eastAsia" w:ascii="Arial" w:hAnsi="Arial" w:cs="Arial"/>
          <w:b/>
          <w:bCs/>
          <w:sz w:val="26"/>
          <w:szCs w:val="26"/>
          <w:lang w:val="en-US" w:eastAsia="zh-CN"/>
        </w:rPr>
        <w:t>.2</w:t>
      </w:r>
      <w:r>
        <w:rPr>
          <w:rFonts w:hint="eastAsia" w:ascii="Arial" w:hAnsi="Arial" w:cs="Arial"/>
          <w:b/>
          <w:bCs/>
          <w:sz w:val="26"/>
          <w:szCs w:val="26"/>
        </w:rPr>
        <w:t>-</w:t>
      </w:r>
      <w:r>
        <w:rPr>
          <w:rFonts w:hint="eastAsia" w:ascii="Arial" w:hAnsi="Arial" w:cs="Arial"/>
          <w:b/>
          <w:bCs/>
          <w:sz w:val="26"/>
          <w:szCs w:val="26"/>
          <w:lang w:val="en-US" w:eastAsia="zh-CN"/>
        </w:rPr>
        <w:t>3</w:t>
      </w:r>
      <w:r>
        <w:rPr>
          <w:rFonts w:hint="eastAsia" w:ascii="Arial" w:hAnsi="Arial" w:cs="Arial"/>
          <w:b/>
          <w:bCs/>
          <w:sz w:val="26"/>
          <w:szCs w:val="26"/>
        </w:rPr>
        <w:t xml:space="preserve"> </w:t>
      </w:r>
      <w:r>
        <w:rPr>
          <w:rFonts w:hint="eastAsia" w:ascii="Arial" w:hAnsi="Arial" w:cs="Arial"/>
          <w:b/>
          <w:bCs/>
          <w:sz w:val="26"/>
          <w:szCs w:val="26"/>
          <w:lang w:eastAsia="zh-CN"/>
        </w:rPr>
        <w:t>海螺沟</w:t>
      </w:r>
      <w:r>
        <w:rPr>
          <w:rFonts w:hint="eastAsia" w:ascii="Arial" w:hAnsi="Arial" w:cs="Arial"/>
          <w:b/>
          <w:bCs/>
          <w:sz w:val="26"/>
          <w:szCs w:val="26"/>
        </w:rPr>
        <w:t>水库工程水工建筑物洪水标准</w:t>
      </w:r>
    </w:p>
    <w:tbl>
      <w:tblPr>
        <w:tblStyle w:val="77"/>
        <w:tblW w:w="89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8"/>
        <w:gridCol w:w="630"/>
        <w:gridCol w:w="1871"/>
        <w:gridCol w:w="1433"/>
        <w:gridCol w:w="2156"/>
        <w:gridCol w:w="1900"/>
      </w:tblGrid>
      <w:tr w14:paraId="36CE9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39" w:type="dxa"/>
            <w:gridSpan w:val="3"/>
            <w:noWrap w:val="0"/>
            <w:vAlign w:val="center"/>
          </w:tcPr>
          <w:p w14:paraId="55DDEA2A">
            <w:pPr>
              <w:spacing w:line="300" w:lineRule="exact"/>
              <w:jc w:val="center"/>
              <w:rPr>
                <w:rFonts w:hint="eastAsia" w:ascii="宋体" w:hAnsi="宋体" w:cs="Arial"/>
                <w:sz w:val="22"/>
                <w:szCs w:val="22"/>
              </w:rPr>
            </w:pPr>
            <w:r>
              <w:rPr>
                <w:rFonts w:hint="eastAsia" w:ascii="宋体" w:hAnsi="宋体" w:cs="Arial"/>
                <w:sz w:val="22"/>
                <w:szCs w:val="22"/>
              </w:rPr>
              <w:t>建筑物名称</w:t>
            </w:r>
          </w:p>
        </w:tc>
        <w:tc>
          <w:tcPr>
            <w:tcW w:w="1433" w:type="dxa"/>
            <w:noWrap w:val="0"/>
            <w:vAlign w:val="center"/>
          </w:tcPr>
          <w:p w14:paraId="2515AB66">
            <w:pPr>
              <w:spacing w:line="300" w:lineRule="exact"/>
              <w:jc w:val="center"/>
              <w:rPr>
                <w:rFonts w:hint="eastAsia" w:ascii="宋体" w:hAnsi="宋体" w:cs="Arial"/>
                <w:sz w:val="22"/>
                <w:szCs w:val="22"/>
              </w:rPr>
            </w:pPr>
            <w:r>
              <w:rPr>
                <w:rFonts w:hint="eastAsia" w:ascii="宋体" w:hAnsi="宋体" w:cs="Arial"/>
                <w:sz w:val="22"/>
                <w:szCs w:val="22"/>
              </w:rPr>
              <w:t>建筑物级别</w:t>
            </w:r>
          </w:p>
        </w:tc>
        <w:tc>
          <w:tcPr>
            <w:tcW w:w="2156" w:type="dxa"/>
            <w:noWrap w:val="0"/>
            <w:vAlign w:val="center"/>
          </w:tcPr>
          <w:p w14:paraId="4B00C5DA">
            <w:pPr>
              <w:spacing w:line="300" w:lineRule="exact"/>
              <w:jc w:val="center"/>
              <w:rPr>
                <w:rFonts w:hint="eastAsia" w:ascii="宋体" w:hAnsi="宋体" w:cs="Arial"/>
                <w:sz w:val="22"/>
                <w:szCs w:val="22"/>
              </w:rPr>
            </w:pPr>
            <w:r>
              <w:rPr>
                <w:rFonts w:hint="eastAsia" w:ascii="宋体" w:hAnsi="宋体" w:cs="Arial"/>
                <w:sz w:val="22"/>
                <w:szCs w:val="22"/>
              </w:rPr>
              <w:t>设计洪水标准重现期（年）</w:t>
            </w:r>
          </w:p>
        </w:tc>
        <w:tc>
          <w:tcPr>
            <w:tcW w:w="1900" w:type="dxa"/>
            <w:noWrap w:val="0"/>
            <w:vAlign w:val="center"/>
          </w:tcPr>
          <w:p w14:paraId="0202D58F">
            <w:pPr>
              <w:spacing w:line="300" w:lineRule="exact"/>
              <w:jc w:val="center"/>
              <w:rPr>
                <w:rFonts w:hint="eastAsia" w:ascii="宋体" w:hAnsi="宋体" w:cs="Arial"/>
                <w:sz w:val="22"/>
                <w:szCs w:val="22"/>
              </w:rPr>
            </w:pPr>
            <w:r>
              <w:rPr>
                <w:rFonts w:hint="eastAsia" w:ascii="宋体" w:hAnsi="宋体" w:cs="Arial"/>
                <w:sz w:val="22"/>
                <w:szCs w:val="22"/>
              </w:rPr>
              <w:t>校核洪水标准重现期（年）</w:t>
            </w:r>
          </w:p>
        </w:tc>
      </w:tr>
      <w:tr w14:paraId="39D0F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restart"/>
            <w:noWrap w:val="0"/>
            <w:vAlign w:val="center"/>
          </w:tcPr>
          <w:p w14:paraId="5FF27007">
            <w:pPr>
              <w:spacing w:line="300" w:lineRule="exact"/>
              <w:jc w:val="center"/>
              <w:rPr>
                <w:rFonts w:hint="eastAsia" w:ascii="宋体" w:hAnsi="宋体" w:cs="Arial"/>
                <w:sz w:val="22"/>
                <w:szCs w:val="22"/>
              </w:rPr>
            </w:pPr>
            <w:r>
              <w:rPr>
                <w:rFonts w:hint="eastAsia" w:ascii="宋体" w:hAnsi="宋体" w:cs="Arial"/>
                <w:sz w:val="22"/>
                <w:szCs w:val="22"/>
              </w:rPr>
              <w:t>永久性水工建筑物</w:t>
            </w:r>
          </w:p>
        </w:tc>
        <w:tc>
          <w:tcPr>
            <w:tcW w:w="630" w:type="dxa"/>
            <w:vMerge w:val="restart"/>
            <w:noWrap w:val="0"/>
            <w:vAlign w:val="center"/>
          </w:tcPr>
          <w:p w14:paraId="5F21D6B9">
            <w:pPr>
              <w:spacing w:line="300" w:lineRule="exact"/>
              <w:jc w:val="center"/>
              <w:rPr>
                <w:rFonts w:hint="eastAsia" w:ascii="宋体" w:hAnsi="宋体" w:cs="Arial"/>
                <w:sz w:val="22"/>
                <w:szCs w:val="22"/>
              </w:rPr>
            </w:pPr>
            <w:r>
              <w:rPr>
                <w:rFonts w:hint="eastAsia" w:ascii="宋体" w:hAnsi="宋体" w:cs="Arial"/>
                <w:sz w:val="22"/>
                <w:szCs w:val="22"/>
              </w:rPr>
              <w:t>主要建筑物</w:t>
            </w:r>
          </w:p>
        </w:tc>
        <w:tc>
          <w:tcPr>
            <w:tcW w:w="1871" w:type="dxa"/>
            <w:noWrap w:val="0"/>
            <w:vAlign w:val="center"/>
          </w:tcPr>
          <w:p w14:paraId="6F97D6A4">
            <w:pPr>
              <w:spacing w:line="300" w:lineRule="exact"/>
              <w:jc w:val="center"/>
              <w:rPr>
                <w:rFonts w:hint="eastAsia" w:ascii="宋体" w:hAnsi="宋体" w:eastAsia="宋体" w:cs="Arial"/>
                <w:sz w:val="22"/>
                <w:szCs w:val="22"/>
                <w:lang w:eastAsia="zh-CN"/>
              </w:rPr>
            </w:pPr>
            <w:r>
              <w:rPr>
                <w:rFonts w:hint="eastAsia" w:ascii="宋体" w:hAnsi="宋体" w:cs="Arial"/>
                <w:sz w:val="22"/>
                <w:szCs w:val="22"/>
                <w:lang w:eastAsia="zh-CN"/>
              </w:rPr>
              <w:t>挡水建筑物</w:t>
            </w:r>
          </w:p>
        </w:tc>
        <w:tc>
          <w:tcPr>
            <w:tcW w:w="1433" w:type="dxa"/>
            <w:noWrap w:val="0"/>
            <w:vAlign w:val="center"/>
          </w:tcPr>
          <w:p w14:paraId="18616AF5">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noWrap w:val="0"/>
            <w:vAlign w:val="center"/>
          </w:tcPr>
          <w:p w14:paraId="5F6897E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20</w:t>
            </w:r>
          </w:p>
        </w:tc>
        <w:tc>
          <w:tcPr>
            <w:tcW w:w="1900" w:type="dxa"/>
            <w:noWrap w:val="0"/>
            <w:vAlign w:val="center"/>
          </w:tcPr>
          <w:p w14:paraId="3DAF66E3">
            <w:pPr>
              <w:spacing w:line="300" w:lineRule="exact"/>
              <w:jc w:val="center"/>
              <w:rPr>
                <w:rFonts w:hint="eastAsia" w:ascii="Arial" w:hAnsi="Arial" w:cs="Arial"/>
                <w:sz w:val="22"/>
                <w:szCs w:val="22"/>
              </w:rPr>
            </w:pPr>
            <w:r>
              <w:rPr>
                <w:rFonts w:hint="eastAsia" w:ascii="Arial" w:hAnsi="Arial" w:cs="Arial"/>
                <w:sz w:val="22"/>
                <w:szCs w:val="22"/>
              </w:rPr>
              <w:t>200</w:t>
            </w:r>
          </w:p>
        </w:tc>
      </w:tr>
      <w:tr w14:paraId="7FF36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7E67F63B">
            <w:pPr>
              <w:spacing w:line="300" w:lineRule="exact"/>
              <w:jc w:val="center"/>
              <w:rPr>
                <w:rFonts w:hint="eastAsia" w:ascii="宋体" w:hAnsi="宋体" w:cs="Arial"/>
                <w:sz w:val="22"/>
                <w:szCs w:val="22"/>
              </w:rPr>
            </w:pPr>
          </w:p>
        </w:tc>
        <w:tc>
          <w:tcPr>
            <w:tcW w:w="630" w:type="dxa"/>
            <w:vMerge w:val="continue"/>
            <w:noWrap w:val="0"/>
            <w:vAlign w:val="center"/>
          </w:tcPr>
          <w:p w14:paraId="555D7B9F">
            <w:pPr>
              <w:spacing w:line="300" w:lineRule="exact"/>
              <w:jc w:val="center"/>
              <w:rPr>
                <w:rFonts w:hint="eastAsia" w:ascii="宋体" w:hAnsi="宋体" w:cs="Arial"/>
                <w:sz w:val="22"/>
                <w:szCs w:val="22"/>
              </w:rPr>
            </w:pPr>
          </w:p>
        </w:tc>
        <w:tc>
          <w:tcPr>
            <w:tcW w:w="1871" w:type="dxa"/>
            <w:noWrap w:val="0"/>
            <w:vAlign w:val="center"/>
          </w:tcPr>
          <w:p w14:paraId="0A4E4F50">
            <w:pPr>
              <w:spacing w:line="300" w:lineRule="exact"/>
              <w:jc w:val="center"/>
              <w:rPr>
                <w:rFonts w:hint="eastAsia" w:ascii="宋体" w:hAnsi="宋体" w:eastAsia="宋体" w:cs="Arial"/>
                <w:sz w:val="22"/>
                <w:szCs w:val="22"/>
                <w:lang w:eastAsia="zh-CN"/>
              </w:rPr>
            </w:pPr>
            <w:r>
              <w:rPr>
                <w:rFonts w:hint="eastAsia" w:ascii="宋体" w:hAnsi="宋体" w:cs="Arial"/>
                <w:sz w:val="22"/>
                <w:szCs w:val="22"/>
                <w:lang w:eastAsia="zh-CN"/>
              </w:rPr>
              <w:t>泄水建筑物</w:t>
            </w:r>
          </w:p>
        </w:tc>
        <w:tc>
          <w:tcPr>
            <w:tcW w:w="1433" w:type="dxa"/>
            <w:noWrap w:val="0"/>
            <w:vAlign w:val="center"/>
          </w:tcPr>
          <w:p w14:paraId="349EABEF">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noWrap w:val="0"/>
            <w:vAlign w:val="center"/>
          </w:tcPr>
          <w:p w14:paraId="2B4A46C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10</w:t>
            </w:r>
          </w:p>
        </w:tc>
        <w:tc>
          <w:tcPr>
            <w:tcW w:w="1900" w:type="dxa"/>
            <w:noWrap w:val="0"/>
            <w:vAlign w:val="center"/>
          </w:tcPr>
          <w:p w14:paraId="645C946A">
            <w:pPr>
              <w:spacing w:line="300" w:lineRule="exact"/>
              <w:jc w:val="center"/>
              <w:rPr>
                <w:rFonts w:hint="eastAsia" w:ascii="Arial" w:hAnsi="Arial" w:cs="Arial"/>
                <w:sz w:val="22"/>
                <w:szCs w:val="22"/>
              </w:rPr>
            </w:pPr>
            <w:r>
              <w:rPr>
                <w:rFonts w:hint="eastAsia" w:ascii="Arial" w:hAnsi="Arial" w:cs="Arial"/>
                <w:sz w:val="22"/>
                <w:szCs w:val="22"/>
              </w:rPr>
              <w:t>300</w:t>
            </w:r>
          </w:p>
        </w:tc>
      </w:tr>
      <w:tr w14:paraId="0FC7F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791F2B4F">
            <w:pPr>
              <w:spacing w:line="300" w:lineRule="exact"/>
              <w:jc w:val="center"/>
              <w:rPr>
                <w:rFonts w:hint="eastAsia" w:ascii="宋体" w:hAnsi="宋体" w:cs="Arial"/>
                <w:sz w:val="22"/>
                <w:szCs w:val="22"/>
              </w:rPr>
            </w:pPr>
          </w:p>
        </w:tc>
        <w:tc>
          <w:tcPr>
            <w:tcW w:w="630" w:type="dxa"/>
            <w:vMerge w:val="continue"/>
            <w:noWrap w:val="0"/>
            <w:vAlign w:val="center"/>
          </w:tcPr>
          <w:p w14:paraId="0022B456">
            <w:pPr>
              <w:spacing w:line="300" w:lineRule="exact"/>
              <w:jc w:val="center"/>
              <w:rPr>
                <w:rFonts w:hint="eastAsia" w:ascii="宋体" w:hAnsi="宋体" w:cs="Arial"/>
                <w:sz w:val="22"/>
                <w:szCs w:val="22"/>
              </w:rPr>
            </w:pPr>
          </w:p>
        </w:tc>
        <w:tc>
          <w:tcPr>
            <w:tcW w:w="1871" w:type="dxa"/>
            <w:noWrap w:val="0"/>
            <w:vAlign w:val="center"/>
          </w:tcPr>
          <w:p w14:paraId="7B2D5432">
            <w:pPr>
              <w:spacing w:line="300" w:lineRule="exact"/>
              <w:jc w:val="center"/>
              <w:rPr>
                <w:rFonts w:hint="default" w:ascii="宋体" w:hAnsi="宋体" w:eastAsia="宋体" w:cs="Arial"/>
                <w:sz w:val="22"/>
                <w:szCs w:val="22"/>
                <w:lang w:val="en-US" w:eastAsia="zh-CN"/>
              </w:rPr>
            </w:pPr>
            <w:r>
              <w:rPr>
                <w:rFonts w:hint="eastAsia" w:ascii="宋体" w:hAnsi="宋体" w:cs="Arial"/>
                <w:sz w:val="22"/>
                <w:szCs w:val="22"/>
                <w:lang w:eastAsia="zh-CN"/>
              </w:rPr>
              <w:t>取水建筑物</w:t>
            </w:r>
          </w:p>
        </w:tc>
        <w:tc>
          <w:tcPr>
            <w:tcW w:w="1433" w:type="dxa"/>
            <w:noWrap w:val="0"/>
            <w:vAlign w:val="center"/>
          </w:tcPr>
          <w:p w14:paraId="2028636E">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shd w:val="clear" w:color="auto" w:fill="auto"/>
            <w:noWrap w:val="0"/>
            <w:vAlign w:val="center"/>
          </w:tcPr>
          <w:p w14:paraId="69CF5E79">
            <w:pPr>
              <w:spacing w:line="300" w:lineRule="exact"/>
              <w:jc w:val="center"/>
              <w:rPr>
                <w:rFonts w:hint="default" w:ascii="Arial" w:hAnsi="Arial" w:eastAsia="宋体" w:cs="Arial"/>
                <w:kern w:val="2"/>
                <w:sz w:val="22"/>
                <w:szCs w:val="22"/>
                <w:lang w:val="en-US" w:eastAsia="zh-CN" w:bidi="ar-SA"/>
              </w:rPr>
            </w:pPr>
            <w:r>
              <w:rPr>
                <w:rFonts w:hint="eastAsia" w:ascii="Arial" w:hAnsi="Arial" w:cs="Arial"/>
                <w:sz w:val="22"/>
                <w:szCs w:val="22"/>
                <w:lang w:val="en-US" w:eastAsia="zh-CN"/>
              </w:rPr>
              <w:t>20</w:t>
            </w:r>
          </w:p>
        </w:tc>
        <w:tc>
          <w:tcPr>
            <w:tcW w:w="1900" w:type="dxa"/>
            <w:shd w:val="clear" w:color="auto" w:fill="auto"/>
            <w:noWrap w:val="0"/>
            <w:vAlign w:val="center"/>
          </w:tcPr>
          <w:p w14:paraId="08C8B43C">
            <w:pPr>
              <w:spacing w:line="300" w:lineRule="exact"/>
              <w:jc w:val="center"/>
              <w:rPr>
                <w:rFonts w:hint="eastAsia" w:ascii="Arial" w:hAnsi="Arial" w:eastAsia="宋体" w:cs="Arial"/>
                <w:kern w:val="2"/>
                <w:sz w:val="22"/>
                <w:szCs w:val="22"/>
                <w:lang w:val="en-US" w:eastAsia="zh-CN" w:bidi="ar-SA"/>
              </w:rPr>
            </w:pPr>
            <w:r>
              <w:rPr>
                <w:rFonts w:hint="eastAsia" w:ascii="Arial" w:hAnsi="Arial" w:cs="Arial"/>
                <w:sz w:val="22"/>
                <w:szCs w:val="22"/>
              </w:rPr>
              <w:t>200</w:t>
            </w:r>
          </w:p>
        </w:tc>
      </w:tr>
      <w:tr w14:paraId="485CB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7F878A8D">
            <w:pPr>
              <w:spacing w:line="300" w:lineRule="exact"/>
              <w:jc w:val="center"/>
              <w:rPr>
                <w:rFonts w:hint="eastAsia" w:ascii="宋体" w:hAnsi="宋体" w:cs="Arial"/>
                <w:sz w:val="22"/>
                <w:szCs w:val="22"/>
              </w:rPr>
            </w:pPr>
          </w:p>
        </w:tc>
        <w:tc>
          <w:tcPr>
            <w:tcW w:w="630" w:type="dxa"/>
            <w:vMerge w:val="continue"/>
            <w:noWrap w:val="0"/>
            <w:vAlign w:val="center"/>
          </w:tcPr>
          <w:p w14:paraId="6D4931AB">
            <w:pPr>
              <w:spacing w:line="300" w:lineRule="exact"/>
              <w:jc w:val="center"/>
              <w:rPr>
                <w:rFonts w:hint="eastAsia" w:ascii="宋体" w:hAnsi="宋体" w:cs="Arial"/>
                <w:sz w:val="22"/>
                <w:szCs w:val="22"/>
              </w:rPr>
            </w:pPr>
          </w:p>
        </w:tc>
        <w:tc>
          <w:tcPr>
            <w:tcW w:w="1871" w:type="dxa"/>
            <w:noWrap w:val="0"/>
            <w:vAlign w:val="center"/>
          </w:tcPr>
          <w:p w14:paraId="68F471BD">
            <w:pPr>
              <w:spacing w:line="300" w:lineRule="exact"/>
              <w:jc w:val="center"/>
              <w:rPr>
                <w:rFonts w:hint="eastAsia" w:eastAsia="宋体"/>
                <w:sz w:val="22"/>
                <w:szCs w:val="22"/>
                <w:lang w:eastAsia="zh-CN"/>
              </w:rPr>
            </w:pPr>
            <w:r>
              <w:rPr>
                <w:rFonts w:hint="eastAsia"/>
                <w:sz w:val="22"/>
                <w:szCs w:val="22"/>
                <w:lang w:eastAsia="zh-CN"/>
              </w:rPr>
              <w:t>边坡工程</w:t>
            </w:r>
          </w:p>
        </w:tc>
        <w:tc>
          <w:tcPr>
            <w:tcW w:w="1433" w:type="dxa"/>
            <w:noWrap w:val="0"/>
            <w:vAlign w:val="center"/>
          </w:tcPr>
          <w:p w14:paraId="056394E0">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shd w:val="clear" w:color="auto" w:fill="auto"/>
            <w:noWrap w:val="0"/>
            <w:vAlign w:val="center"/>
          </w:tcPr>
          <w:p w14:paraId="12684CCE">
            <w:pPr>
              <w:spacing w:line="300" w:lineRule="exact"/>
              <w:jc w:val="center"/>
              <w:rPr>
                <w:rFonts w:hint="default" w:ascii="Arial" w:hAnsi="Arial" w:eastAsia="宋体" w:cs="Arial"/>
                <w:kern w:val="2"/>
                <w:sz w:val="22"/>
                <w:szCs w:val="22"/>
                <w:lang w:val="en-US" w:eastAsia="zh-CN" w:bidi="ar-SA"/>
              </w:rPr>
            </w:pPr>
            <w:r>
              <w:rPr>
                <w:rFonts w:hint="eastAsia" w:ascii="Arial" w:hAnsi="Arial" w:cs="Arial"/>
                <w:sz w:val="22"/>
                <w:szCs w:val="22"/>
                <w:lang w:val="en-US" w:eastAsia="zh-CN"/>
              </w:rPr>
              <w:t>20</w:t>
            </w:r>
          </w:p>
        </w:tc>
        <w:tc>
          <w:tcPr>
            <w:tcW w:w="1900" w:type="dxa"/>
            <w:shd w:val="clear" w:color="auto" w:fill="auto"/>
            <w:noWrap w:val="0"/>
            <w:vAlign w:val="center"/>
          </w:tcPr>
          <w:p w14:paraId="4C936C36">
            <w:pPr>
              <w:spacing w:line="300" w:lineRule="exact"/>
              <w:jc w:val="center"/>
              <w:rPr>
                <w:rFonts w:hint="eastAsia" w:ascii="Arial" w:hAnsi="Arial" w:eastAsia="宋体" w:cs="Arial"/>
                <w:kern w:val="2"/>
                <w:sz w:val="22"/>
                <w:szCs w:val="22"/>
                <w:lang w:val="en-US" w:eastAsia="zh-CN" w:bidi="ar-SA"/>
              </w:rPr>
            </w:pPr>
            <w:r>
              <w:rPr>
                <w:rFonts w:hint="eastAsia" w:ascii="Arial" w:hAnsi="Arial" w:cs="Arial"/>
                <w:sz w:val="22"/>
                <w:szCs w:val="22"/>
              </w:rPr>
              <w:t>200</w:t>
            </w:r>
          </w:p>
        </w:tc>
      </w:tr>
      <w:tr w14:paraId="63CEC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068EF64E">
            <w:pPr>
              <w:spacing w:line="300" w:lineRule="exact"/>
              <w:jc w:val="center"/>
              <w:rPr>
                <w:rFonts w:hint="eastAsia" w:ascii="宋体" w:hAnsi="宋体" w:cs="Arial"/>
                <w:sz w:val="22"/>
                <w:szCs w:val="22"/>
              </w:rPr>
            </w:pPr>
          </w:p>
        </w:tc>
        <w:tc>
          <w:tcPr>
            <w:tcW w:w="630" w:type="dxa"/>
            <w:vMerge w:val="continue"/>
            <w:noWrap w:val="0"/>
            <w:vAlign w:val="center"/>
          </w:tcPr>
          <w:p w14:paraId="436A9FB2">
            <w:pPr>
              <w:spacing w:line="300" w:lineRule="exact"/>
              <w:jc w:val="center"/>
              <w:rPr>
                <w:rFonts w:hint="eastAsia" w:ascii="宋体" w:hAnsi="宋体" w:cs="Arial"/>
                <w:sz w:val="22"/>
                <w:szCs w:val="22"/>
              </w:rPr>
            </w:pPr>
          </w:p>
        </w:tc>
        <w:tc>
          <w:tcPr>
            <w:tcW w:w="1871" w:type="dxa"/>
            <w:noWrap w:val="0"/>
            <w:vAlign w:val="center"/>
          </w:tcPr>
          <w:p w14:paraId="32C2CD7C">
            <w:pPr>
              <w:spacing w:line="300" w:lineRule="exact"/>
              <w:jc w:val="center"/>
              <w:rPr>
                <w:rFonts w:hint="eastAsia"/>
                <w:sz w:val="22"/>
                <w:szCs w:val="22"/>
                <w:lang w:eastAsia="zh-CN"/>
              </w:rPr>
            </w:pPr>
            <w:r>
              <w:rPr>
                <w:rFonts w:hint="eastAsia" w:ascii="宋体" w:hAnsi="宋体" w:cs="Arial"/>
                <w:sz w:val="22"/>
                <w:szCs w:val="22"/>
                <w:lang w:eastAsia="zh-CN"/>
              </w:rPr>
              <w:t>供水建筑物</w:t>
            </w:r>
          </w:p>
        </w:tc>
        <w:tc>
          <w:tcPr>
            <w:tcW w:w="1433" w:type="dxa"/>
            <w:noWrap w:val="0"/>
            <w:vAlign w:val="center"/>
          </w:tcPr>
          <w:p w14:paraId="661FAA34">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4</w:t>
            </w:r>
          </w:p>
        </w:tc>
        <w:tc>
          <w:tcPr>
            <w:tcW w:w="2156" w:type="dxa"/>
            <w:noWrap w:val="0"/>
            <w:vAlign w:val="center"/>
          </w:tcPr>
          <w:p w14:paraId="590506F9">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10</w:t>
            </w:r>
          </w:p>
        </w:tc>
        <w:tc>
          <w:tcPr>
            <w:tcW w:w="1900" w:type="dxa"/>
            <w:noWrap w:val="0"/>
            <w:vAlign w:val="center"/>
          </w:tcPr>
          <w:p w14:paraId="6617FBF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30</w:t>
            </w:r>
          </w:p>
        </w:tc>
      </w:tr>
      <w:tr w14:paraId="35E09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77248DF0">
            <w:pPr>
              <w:spacing w:line="300" w:lineRule="exact"/>
              <w:jc w:val="center"/>
              <w:rPr>
                <w:rFonts w:hint="eastAsia" w:ascii="宋体" w:hAnsi="宋体" w:cs="Arial"/>
                <w:sz w:val="22"/>
                <w:szCs w:val="22"/>
              </w:rPr>
            </w:pPr>
          </w:p>
        </w:tc>
        <w:tc>
          <w:tcPr>
            <w:tcW w:w="630" w:type="dxa"/>
            <w:vMerge w:val="continue"/>
            <w:noWrap w:val="0"/>
            <w:vAlign w:val="center"/>
          </w:tcPr>
          <w:p w14:paraId="7BB7AC0E">
            <w:pPr>
              <w:spacing w:line="300" w:lineRule="exact"/>
              <w:jc w:val="center"/>
              <w:rPr>
                <w:rFonts w:hint="eastAsia" w:ascii="宋体" w:hAnsi="宋体" w:cs="Arial"/>
                <w:sz w:val="22"/>
                <w:szCs w:val="22"/>
              </w:rPr>
            </w:pPr>
          </w:p>
        </w:tc>
        <w:tc>
          <w:tcPr>
            <w:tcW w:w="1871" w:type="dxa"/>
            <w:noWrap w:val="0"/>
            <w:vAlign w:val="center"/>
          </w:tcPr>
          <w:p w14:paraId="791E1A03">
            <w:pPr>
              <w:spacing w:line="300" w:lineRule="exact"/>
              <w:jc w:val="center"/>
              <w:rPr>
                <w:rFonts w:hint="eastAsia" w:ascii="宋体" w:hAnsi="宋体" w:eastAsia="宋体" w:cs="Arial"/>
                <w:sz w:val="22"/>
                <w:szCs w:val="22"/>
                <w:lang w:eastAsia="zh-CN"/>
              </w:rPr>
            </w:pPr>
            <w:r>
              <w:rPr>
                <w:rFonts w:hint="eastAsia" w:ascii="宋体" w:hAnsi="宋体" w:cs="Arial"/>
                <w:sz w:val="22"/>
                <w:szCs w:val="22"/>
                <w:lang w:eastAsia="zh-CN"/>
              </w:rPr>
              <w:t>渠系建筑物</w:t>
            </w:r>
          </w:p>
        </w:tc>
        <w:tc>
          <w:tcPr>
            <w:tcW w:w="1433" w:type="dxa"/>
            <w:noWrap w:val="0"/>
            <w:vAlign w:val="center"/>
          </w:tcPr>
          <w:p w14:paraId="538171EF">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4</w:t>
            </w:r>
          </w:p>
        </w:tc>
        <w:tc>
          <w:tcPr>
            <w:tcW w:w="2156" w:type="dxa"/>
            <w:noWrap w:val="0"/>
            <w:vAlign w:val="center"/>
          </w:tcPr>
          <w:p w14:paraId="6E4C362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10</w:t>
            </w:r>
          </w:p>
        </w:tc>
        <w:tc>
          <w:tcPr>
            <w:tcW w:w="1900" w:type="dxa"/>
            <w:noWrap w:val="0"/>
            <w:vAlign w:val="center"/>
          </w:tcPr>
          <w:p w14:paraId="77ADF96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30</w:t>
            </w:r>
          </w:p>
        </w:tc>
      </w:tr>
      <w:tr w14:paraId="4522D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38" w:type="dxa"/>
            <w:noWrap w:val="0"/>
            <w:vAlign w:val="center"/>
          </w:tcPr>
          <w:p w14:paraId="50991A1B">
            <w:pPr>
              <w:spacing w:line="300" w:lineRule="exact"/>
              <w:jc w:val="center"/>
              <w:rPr>
                <w:rFonts w:hint="eastAsia" w:ascii="宋体" w:hAnsi="宋体" w:cs="Arial"/>
                <w:sz w:val="22"/>
                <w:szCs w:val="22"/>
              </w:rPr>
            </w:pPr>
            <w:r>
              <w:rPr>
                <w:rFonts w:hint="eastAsia" w:ascii="宋体" w:hAnsi="宋体" w:cs="Arial"/>
                <w:sz w:val="22"/>
                <w:szCs w:val="22"/>
              </w:rPr>
              <w:t>临时建筑物</w:t>
            </w:r>
          </w:p>
        </w:tc>
        <w:tc>
          <w:tcPr>
            <w:tcW w:w="2501" w:type="dxa"/>
            <w:gridSpan w:val="2"/>
            <w:noWrap w:val="0"/>
            <w:vAlign w:val="center"/>
          </w:tcPr>
          <w:p w14:paraId="2DB99103">
            <w:pPr>
              <w:spacing w:line="300" w:lineRule="exact"/>
              <w:jc w:val="center"/>
              <w:rPr>
                <w:rFonts w:hint="eastAsia" w:ascii="宋体" w:hAnsi="宋体" w:cs="Arial"/>
                <w:sz w:val="22"/>
                <w:szCs w:val="22"/>
              </w:rPr>
            </w:pPr>
            <w:r>
              <w:rPr>
                <w:rFonts w:hint="eastAsia" w:ascii="宋体" w:hAnsi="宋体" w:cs="Arial"/>
                <w:sz w:val="22"/>
                <w:szCs w:val="22"/>
              </w:rPr>
              <w:t>导流</w:t>
            </w:r>
            <w:r>
              <w:rPr>
                <w:rFonts w:hint="eastAsia" w:ascii="宋体" w:hAnsi="宋体" w:cs="Arial"/>
                <w:sz w:val="22"/>
                <w:szCs w:val="22"/>
                <w:lang w:eastAsia="zh-CN"/>
              </w:rPr>
              <w:t>围堰等临时</w:t>
            </w:r>
            <w:r>
              <w:rPr>
                <w:rFonts w:hint="eastAsia" w:ascii="宋体" w:hAnsi="宋体" w:cs="Arial"/>
                <w:sz w:val="22"/>
                <w:szCs w:val="22"/>
              </w:rPr>
              <w:t>建筑物</w:t>
            </w:r>
          </w:p>
        </w:tc>
        <w:tc>
          <w:tcPr>
            <w:tcW w:w="1433" w:type="dxa"/>
            <w:noWrap w:val="0"/>
            <w:vAlign w:val="center"/>
          </w:tcPr>
          <w:p w14:paraId="651DE417">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noWrap w:val="0"/>
            <w:vAlign w:val="center"/>
          </w:tcPr>
          <w:p w14:paraId="1F9A6A80">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1900" w:type="dxa"/>
            <w:noWrap w:val="0"/>
            <w:vAlign w:val="center"/>
          </w:tcPr>
          <w:p w14:paraId="739DF9AB">
            <w:pPr>
              <w:spacing w:line="300" w:lineRule="exact"/>
              <w:jc w:val="center"/>
              <w:rPr>
                <w:rFonts w:hint="eastAsia" w:ascii="Arial" w:hAnsi="Arial" w:cs="Arial"/>
                <w:sz w:val="22"/>
                <w:szCs w:val="22"/>
              </w:rPr>
            </w:pPr>
            <w:r>
              <w:rPr>
                <w:rFonts w:hint="eastAsia" w:ascii="Arial" w:hAnsi="Arial" w:cs="Arial"/>
                <w:sz w:val="22"/>
                <w:szCs w:val="22"/>
              </w:rPr>
              <w:t>/</w:t>
            </w:r>
          </w:p>
        </w:tc>
      </w:tr>
    </w:tbl>
    <w:p w14:paraId="6F79C88E">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eastAsia="zh-CN"/>
        </w:rPr>
      </w:pPr>
    </w:p>
    <w:p w14:paraId="56FD37CD">
      <w:pPr>
        <w:spacing w:line="480" w:lineRule="exact"/>
        <w:ind w:firstLine="392" w:firstLineChars="150"/>
        <w:rPr>
          <w:rFonts w:hint="eastAsia" w:ascii="Arial" w:hAnsi="Arial" w:eastAsia="宋体" w:cs="Arial"/>
          <w:b/>
          <w:sz w:val="26"/>
          <w:szCs w:val="26"/>
          <w:lang w:eastAsia="zh-CN"/>
        </w:rPr>
      </w:pPr>
      <w:r>
        <w:rPr>
          <w:rFonts w:hint="eastAsia" w:ascii="Arial" w:hAnsi="Arial" w:cs="Arial"/>
          <w:b/>
          <w:sz w:val="26"/>
          <w:szCs w:val="26"/>
        </w:rPr>
        <w:t>（</w:t>
      </w:r>
      <w:r>
        <w:rPr>
          <w:rFonts w:hint="eastAsia" w:ascii="Arial" w:hAnsi="Arial" w:cs="Arial"/>
          <w:b/>
          <w:sz w:val="26"/>
          <w:szCs w:val="26"/>
          <w:lang w:val="en-US" w:eastAsia="zh-CN"/>
        </w:rPr>
        <w:t>4</w:t>
      </w:r>
      <w:r>
        <w:rPr>
          <w:rFonts w:hint="eastAsia" w:ascii="Arial" w:hAnsi="Arial" w:cs="Arial"/>
          <w:b/>
          <w:sz w:val="26"/>
          <w:szCs w:val="26"/>
        </w:rPr>
        <w:t>）</w:t>
      </w:r>
      <w:r>
        <w:rPr>
          <w:rFonts w:hint="eastAsia" w:ascii="Arial" w:hAnsi="Arial" w:cs="Arial"/>
          <w:b/>
          <w:sz w:val="26"/>
          <w:szCs w:val="26"/>
          <w:lang w:eastAsia="zh-CN"/>
        </w:rPr>
        <w:t>工程运行调度</w:t>
      </w:r>
    </w:p>
    <w:p w14:paraId="4A1D0661">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海螺沟水库正常蓄水位420.0m，正常库容65.36万m</w:t>
      </w:r>
      <w:r>
        <w:rPr>
          <w:rFonts w:hint="default" w:ascii="Arial" w:hAnsi="Arial" w:cs="Arial"/>
          <w:sz w:val="26"/>
          <w:szCs w:val="26"/>
          <w:vertAlign w:val="superscript"/>
        </w:rPr>
        <w:t>3</w:t>
      </w:r>
      <w:r>
        <w:rPr>
          <w:rFonts w:hint="default" w:ascii="Arial" w:hAnsi="Arial" w:cs="Arial"/>
          <w:sz w:val="26"/>
          <w:szCs w:val="26"/>
        </w:rPr>
        <w:t>，死水位407.5m，死库容5.62万m</w:t>
      </w:r>
      <w:r>
        <w:rPr>
          <w:rFonts w:hint="default" w:ascii="Arial" w:hAnsi="Arial" w:cs="Arial"/>
          <w:sz w:val="26"/>
          <w:szCs w:val="26"/>
          <w:vertAlign w:val="superscript"/>
        </w:rPr>
        <w:t>3</w:t>
      </w:r>
      <w:r>
        <w:rPr>
          <w:rFonts w:hint="default" w:ascii="Arial" w:hAnsi="Arial" w:cs="Arial"/>
          <w:sz w:val="26"/>
          <w:szCs w:val="26"/>
        </w:rPr>
        <w:t>，调节库容59.74万m</w:t>
      </w:r>
      <w:r>
        <w:rPr>
          <w:rFonts w:hint="default" w:ascii="Arial" w:hAnsi="Arial" w:cs="Arial"/>
          <w:sz w:val="26"/>
          <w:szCs w:val="26"/>
          <w:vertAlign w:val="superscript"/>
        </w:rPr>
        <w:t>3</w:t>
      </w:r>
      <w:r>
        <w:rPr>
          <w:rFonts w:hint="default" w:ascii="Arial" w:hAnsi="Arial" w:cs="Arial"/>
          <w:sz w:val="26"/>
          <w:szCs w:val="26"/>
        </w:rPr>
        <w:t>，水库总库容80.51万m</w:t>
      </w:r>
      <w:r>
        <w:rPr>
          <w:rFonts w:hint="default" w:ascii="Arial" w:hAnsi="Arial" w:cs="Arial"/>
          <w:sz w:val="26"/>
          <w:szCs w:val="26"/>
          <w:vertAlign w:val="superscript"/>
        </w:rPr>
        <w:t>3</w:t>
      </w:r>
      <w:r>
        <w:rPr>
          <w:rFonts w:hint="default" w:ascii="Arial" w:hAnsi="Arial" w:cs="Arial"/>
          <w:sz w:val="26"/>
          <w:szCs w:val="26"/>
        </w:rPr>
        <w:t>。为多年调节水库，为使水库不在枯水年时提前放空，使供水遭到破坏，或丰水年时水库长期蓄满水形成大量弃水，充分发挥水库的调节功能，最大程度地利用水库的综合效益，拟定水库调度原则如下：</w:t>
      </w:r>
    </w:p>
    <w:p w14:paraId="31699BDA">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eastAsia" w:ascii="Arial" w:hAnsi="Arial" w:cs="Arial"/>
          <w:sz w:val="26"/>
          <w:szCs w:val="26"/>
        </w:rPr>
        <w:t>①</w:t>
      </w:r>
      <w:r>
        <w:rPr>
          <w:rFonts w:hint="default" w:ascii="Arial" w:hAnsi="Arial" w:cs="Arial"/>
          <w:sz w:val="26"/>
          <w:szCs w:val="26"/>
        </w:rPr>
        <w:t>水库水位在保证供水区范围时，按正常需要供水；</w:t>
      </w:r>
    </w:p>
    <w:p w14:paraId="2B3D2B08">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②水库运行方式是：针对供水对象，在保证生态流量的前提下，优先保证场镇及农村生活用水，其次是灌溉用水；</w:t>
      </w:r>
    </w:p>
    <w:p w14:paraId="3E399F55">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eastAsia" w:ascii="Arial" w:hAnsi="Arial" w:cs="Arial"/>
          <w:sz w:val="26"/>
          <w:szCs w:val="26"/>
        </w:rPr>
        <w:t>③</w:t>
      </w:r>
      <w:r>
        <w:rPr>
          <w:rFonts w:hint="default" w:ascii="Arial" w:hAnsi="Arial" w:cs="Arial"/>
          <w:sz w:val="26"/>
          <w:szCs w:val="26"/>
        </w:rPr>
        <w:t>水库供水遭到破坏年份时，须限制供水，在满足下泄最小生态用水前提下，供水顺序应优先满足场镇及农村生活饮水，然后是灌溉用水；</w:t>
      </w:r>
    </w:p>
    <w:p w14:paraId="40DD823D">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eastAsia" w:ascii="Arial" w:hAnsi="Arial" w:cs="Arial"/>
          <w:sz w:val="26"/>
          <w:szCs w:val="26"/>
        </w:rPr>
        <w:t>④</w:t>
      </w:r>
      <w:r>
        <w:rPr>
          <w:rFonts w:hint="default" w:ascii="Arial" w:hAnsi="Arial" w:cs="Arial"/>
          <w:sz w:val="26"/>
          <w:szCs w:val="26"/>
        </w:rPr>
        <w:t>水库水位超过正常蓄水位时，可加大放水流量，尽可能减少弃水；</w:t>
      </w:r>
    </w:p>
    <w:p w14:paraId="7789B8E3">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eastAsia" w:ascii="Arial" w:hAnsi="Arial" w:cs="Arial"/>
          <w:sz w:val="26"/>
          <w:szCs w:val="26"/>
        </w:rPr>
        <w:t>⑤</w:t>
      </w:r>
      <w:r>
        <w:rPr>
          <w:rFonts w:hint="default" w:ascii="Arial" w:hAnsi="Arial" w:cs="Arial"/>
          <w:sz w:val="26"/>
          <w:szCs w:val="26"/>
        </w:rPr>
        <w:t>水库水位消落至死水位时，应停止供水，不能随意动用死库容，防止下一年供水遭破坏。</w:t>
      </w:r>
    </w:p>
    <w:p w14:paraId="7F69138D">
      <w:pPr>
        <w:spacing w:line="480" w:lineRule="exact"/>
        <w:ind w:firstLine="392" w:firstLineChars="150"/>
        <w:rPr>
          <w:rFonts w:hint="eastAsia" w:ascii="Arial" w:hAnsi="Arial" w:eastAsia="宋体" w:cs="Arial"/>
          <w:b/>
          <w:sz w:val="26"/>
          <w:szCs w:val="26"/>
          <w:lang w:eastAsia="zh-CN"/>
        </w:rPr>
      </w:pPr>
      <w:r>
        <w:rPr>
          <w:rFonts w:hint="eastAsia" w:ascii="Arial" w:hAnsi="Arial" w:cs="Arial"/>
          <w:b/>
          <w:sz w:val="26"/>
          <w:szCs w:val="26"/>
        </w:rPr>
        <w:t>（</w:t>
      </w:r>
      <w:r>
        <w:rPr>
          <w:rFonts w:hint="eastAsia" w:ascii="Arial" w:hAnsi="Arial" w:cs="Arial"/>
          <w:b/>
          <w:sz w:val="26"/>
          <w:szCs w:val="26"/>
          <w:lang w:val="en-US" w:eastAsia="zh-CN"/>
        </w:rPr>
        <w:t>5</w:t>
      </w:r>
      <w:r>
        <w:rPr>
          <w:rFonts w:hint="eastAsia" w:ascii="Arial" w:hAnsi="Arial" w:cs="Arial"/>
          <w:b/>
          <w:sz w:val="26"/>
          <w:szCs w:val="26"/>
        </w:rPr>
        <w:t>）</w:t>
      </w:r>
      <w:r>
        <w:rPr>
          <w:rFonts w:hint="eastAsia" w:ascii="Arial" w:hAnsi="Arial" w:cs="Arial"/>
          <w:b/>
          <w:sz w:val="26"/>
          <w:szCs w:val="26"/>
          <w:lang w:eastAsia="zh-CN"/>
        </w:rPr>
        <w:t>初期蓄水</w:t>
      </w:r>
    </w:p>
    <w:p w14:paraId="08093B44">
      <w:pPr>
        <w:spacing w:line="460" w:lineRule="exact"/>
        <w:ind w:firstLine="520" w:firstLineChars="200"/>
        <w:rPr>
          <w:rFonts w:ascii="Arial" w:hAnsi="Arial" w:cs="Arial"/>
          <w:bCs/>
          <w:sz w:val="26"/>
          <w:szCs w:val="26"/>
        </w:rPr>
      </w:pPr>
      <w:r>
        <w:rPr>
          <w:rFonts w:hint="eastAsia" w:ascii="Arial" w:hAnsi="Arial" w:cs="Arial"/>
          <w:bCs/>
          <w:sz w:val="26"/>
          <w:szCs w:val="26"/>
        </w:rPr>
        <w:t>在</w:t>
      </w:r>
      <w:r>
        <w:rPr>
          <w:rFonts w:hint="eastAsia" w:ascii="Arial" w:hAnsi="Arial" w:cs="Arial"/>
          <w:bCs/>
          <w:sz w:val="26"/>
          <w:szCs w:val="26"/>
          <w:lang w:eastAsia="zh-CN"/>
        </w:rPr>
        <w:t>海螺沟</w:t>
      </w:r>
      <w:r>
        <w:rPr>
          <w:rFonts w:hint="eastAsia" w:ascii="Arial" w:hAnsi="Arial" w:cs="Arial"/>
          <w:bCs/>
          <w:sz w:val="26"/>
          <w:szCs w:val="26"/>
        </w:rPr>
        <w:t>水库建成后，经检验具备投入正常运行条件的情况下，进行初期蓄水，具体方案由业主单位根据实际情况制定。一般需要经过</w:t>
      </w:r>
      <w:r>
        <w:rPr>
          <w:rFonts w:ascii="Arial" w:hAnsi="Arial" w:cs="Arial"/>
          <w:bCs/>
          <w:sz w:val="26"/>
          <w:szCs w:val="26"/>
        </w:rPr>
        <w:t>3</w:t>
      </w:r>
      <w:r>
        <w:rPr>
          <w:rFonts w:hint="eastAsia" w:ascii="Arial" w:hAnsi="Arial" w:cs="Arial"/>
          <w:bCs/>
          <w:sz w:val="26"/>
          <w:szCs w:val="26"/>
        </w:rPr>
        <w:t>次蓄水，其中：第一阶段为封堵导流设施，蓄水至死水位</w:t>
      </w:r>
      <w:r>
        <w:rPr>
          <w:rFonts w:hint="eastAsia" w:ascii="Arial" w:hAnsi="Arial" w:cs="Arial"/>
          <w:bCs/>
          <w:sz w:val="26"/>
          <w:szCs w:val="26"/>
          <w:lang w:val="en-US" w:eastAsia="zh-CN"/>
        </w:rPr>
        <w:t>407.5</w:t>
      </w:r>
      <w:r>
        <w:rPr>
          <w:rFonts w:ascii="Arial" w:hAnsi="Arial" w:cs="Arial"/>
          <w:bCs/>
          <w:sz w:val="26"/>
          <w:szCs w:val="26"/>
        </w:rPr>
        <w:t>m</w:t>
      </w:r>
      <w:r>
        <w:rPr>
          <w:rFonts w:hint="eastAsia" w:ascii="Arial" w:hAnsi="Arial" w:cs="Arial"/>
          <w:bCs/>
          <w:sz w:val="26"/>
          <w:szCs w:val="26"/>
        </w:rPr>
        <w:t>，该阶段生态流量采用抽水泵站供给，以后阶段均采用生态流量下放设施放水；第二阶段由死水位蓄水至</w:t>
      </w:r>
      <w:r>
        <w:rPr>
          <w:rFonts w:hint="eastAsia" w:ascii="Arial" w:hAnsi="Arial" w:cs="Arial"/>
          <w:bCs/>
          <w:sz w:val="26"/>
          <w:szCs w:val="26"/>
          <w:lang w:val="en-US" w:eastAsia="zh-CN"/>
        </w:rPr>
        <w:t>415.0</w:t>
      </w:r>
      <w:r>
        <w:rPr>
          <w:rFonts w:hint="eastAsia" w:ascii="Arial" w:hAnsi="Arial" w:cs="Arial"/>
          <w:bCs/>
          <w:sz w:val="26"/>
          <w:szCs w:val="26"/>
        </w:rPr>
        <w:t>m高程；第三阶段蓄水至4</w:t>
      </w:r>
      <w:r>
        <w:rPr>
          <w:rFonts w:hint="eastAsia" w:ascii="Arial" w:hAnsi="Arial" w:cs="Arial"/>
          <w:bCs/>
          <w:sz w:val="26"/>
          <w:szCs w:val="26"/>
          <w:lang w:val="en-US" w:eastAsia="zh-CN"/>
        </w:rPr>
        <w:t>20.0</w:t>
      </w:r>
      <w:r>
        <w:rPr>
          <w:rFonts w:ascii="Arial" w:hAnsi="Arial" w:cs="Arial"/>
          <w:bCs/>
          <w:sz w:val="26"/>
          <w:szCs w:val="26"/>
        </w:rPr>
        <w:t>m</w:t>
      </w:r>
      <w:r>
        <w:rPr>
          <w:rFonts w:hint="eastAsia" w:ascii="Arial" w:hAnsi="Arial" w:cs="Arial"/>
          <w:bCs/>
          <w:sz w:val="26"/>
          <w:szCs w:val="26"/>
        </w:rPr>
        <w:t>正常蓄水位。</w:t>
      </w:r>
    </w:p>
    <w:p w14:paraId="5660391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hAnsi="Arial" w:cs="Arial"/>
          <w:bCs/>
          <w:sz w:val="26"/>
          <w:szCs w:val="26"/>
        </w:rPr>
        <w:t>各个阶段之间间隔</w:t>
      </w:r>
      <w:r>
        <w:rPr>
          <w:rFonts w:ascii="Arial" w:hAnsi="Arial" w:cs="Arial"/>
          <w:bCs/>
          <w:sz w:val="26"/>
          <w:szCs w:val="26"/>
        </w:rPr>
        <w:t>15d</w:t>
      </w:r>
      <w:r>
        <w:rPr>
          <w:rFonts w:hint="eastAsia" w:ascii="Arial" w:hAnsi="Arial" w:cs="Arial"/>
          <w:bCs/>
          <w:sz w:val="26"/>
          <w:szCs w:val="26"/>
        </w:rPr>
        <w:t>观测时间。操作中严格按批准的初期蓄水方案，有序组织进行蓄水；坚决杜绝未验收及蓄水，超设计标准蓄水行为发生。</w:t>
      </w:r>
    </w:p>
    <w:p w14:paraId="18D5E291">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2.2.5工程布置及主要建筑物</w:t>
      </w:r>
    </w:p>
    <w:p w14:paraId="2D5C2897">
      <w:pPr>
        <w:spacing w:line="440" w:lineRule="exact"/>
        <w:ind w:firstLine="520" w:firstLineChars="200"/>
        <w:rPr>
          <w:rFonts w:hint="eastAsia" w:ascii="Arial" w:cs="Arial"/>
          <w:sz w:val="26"/>
          <w:szCs w:val="26"/>
        </w:rPr>
      </w:pPr>
      <w:r>
        <w:rPr>
          <w:rFonts w:hint="eastAsia" w:ascii="Arial" w:cs="Arial"/>
          <w:sz w:val="26"/>
          <w:szCs w:val="26"/>
        </w:rPr>
        <w:t>本项目由大坝枢纽工程、输水工程</w:t>
      </w:r>
      <w:r>
        <w:rPr>
          <w:rFonts w:hint="eastAsia" w:ascii="Arial" w:cs="Arial"/>
          <w:sz w:val="26"/>
          <w:szCs w:val="26"/>
          <w:lang w:eastAsia="zh-CN"/>
        </w:rPr>
        <w:t>和附属设施工程三</w:t>
      </w:r>
      <w:r>
        <w:rPr>
          <w:rFonts w:hint="eastAsia" w:ascii="Arial" w:cs="Arial"/>
          <w:sz w:val="26"/>
          <w:szCs w:val="26"/>
        </w:rPr>
        <w:t>部分组成。</w:t>
      </w:r>
    </w:p>
    <w:p w14:paraId="0729934F">
      <w:pPr>
        <w:spacing w:line="440" w:lineRule="exact"/>
        <w:ind w:firstLine="392" w:firstLineChars="150"/>
        <w:rPr>
          <w:rFonts w:hint="eastAsia" w:ascii="Arial" w:hAnsi="Arial" w:cs="Arial"/>
          <w:b/>
          <w:sz w:val="26"/>
          <w:szCs w:val="26"/>
        </w:rPr>
      </w:pPr>
      <w:r>
        <w:rPr>
          <w:rFonts w:hint="eastAsia" w:ascii="Arial" w:hAnsi="Arial" w:cs="Arial"/>
          <w:b/>
          <w:sz w:val="26"/>
          <w:szCs w:val="26"/>
        </w:rPr>
        <w:t>（1）大坝枢纽工程</w:t>
      </w:r>
    </w:p>
    <w:p w14:paraId="1702824A">
      <w:pPr>
        <w:spacing w:line="440" w:lineRule="exact"/>
        <w:ind w:firstLine="522" w:firstLineChars="200"/>
        <w:rPr>
          <w:rFonts w:ascii="Arial" w:hAnsi="Arial" w:cs="Arial"/>
          <w:b/>
          <w:bCs/>
          <w:sz w:val="26"/>
        </w:rPr>
      </w:pPr>
      <w:r>
        <w:rPr>
          <w:rFonts w:hint="eastAsia" w:ascii="Arial" w:hAnsi="Arial" w:cs="Arial"/>
          <w:b/>
          <w:bCs/>
          <w:sz w:val="26"/>
        </w:rPr>
        <w:t>① 挡水</w:t>
      </w:r>
      <w:r>
        <w:rPr>
          <w:rFonts w:hint="eastAsia" w:ascii="Arial" w:hAnsi="Arial" w:cs="Arial"/>
          <w:b/>
          <w:bCs/>
          <w:sz w:val="26"/>
          <w:lang w:eastAsia="zh-CN"/>
        </w:rPr>
        <w:t>、泄水</w:t>
      </w:r>
      <w:r>
        <w:rPr>
          <w:rFonts w:hint="eastAsia" w:ascii="Arial" w:hAnsi="Arial" w:cs="Arial"/>
          <w:b/>
          <w:bCs/>
          <w:sz w:val="26"/>
        </w:rPr>
        <w:t>建筑物</w:t>
      </w:r>
    </w:p>
    <w:p w14:paraId="551453F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挡水建筑物为C20埋石砼重力坝，埋石率20%，坝轴线长112.0m，坝顶宽度8.0m，坝顶高程424.0m，坝顶上下游侧设防撞设施栏杆，建议购买或者防撞设施替代，高1.2m。坝体由左岸非溢流坝段、溢流坝段、右岸非溢流坝段组成。</w:t>
      </w:r>
    </w:p>
    <w:p w14:paraId="37D1309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溢流坝段位于河床中部，溢流坝段长12.0m，堰顶高程420.0m，桥墩顶部高程423.7m，溢流坝段最低建基面高程393.5m，最大坝高30.5m。堰顶采用宽顶堰，溢流净宽9.0m，2孔布置，中墩厚1.0m，中墩及边墩的墩头采用半圆形，墩尾采用矩形。桥墩上设板梁式交通桥，交通桥顶高程与坝顶齐平为424.0m，梁底高程为423.3m。溢流堰堰顶曲线后设置消能阶梯，每阶宽0.4m，高0.5m，阶梯整体坡比为1：0.8，首尾顺接上下游结构，溢流斜坡宽度保持10.0m不变，消能阶梯下游接消力池，消力池池长19.5m，池深2.0m，池宽10.0m；消力池底板厚1.0m，采用C30钢筋砼结构，垂直设置直径d=110mm的PVC排水管，梅花型布置，排间距2</w:t>
      </w:r>
      <w:r>
        <w:rPr>
          <w:rFonts w:hint="eastAsia" w:ascii="Arial" w:hAnsi="Arial" w:cs="Arial"/>
          <w:sz w:val="26"/>
          <w:szCs w:val="26"/>
          <w:lang w:val="en-US" w:eastAsia="zh-CN"/>
        </w:rPr>
        <w:t>.0</w:t>
      </w:r>
      <w:r>
        <w:rPr>
          <w:rFonts w:hint="default" w:ascii="Arial" w:hAnsi="Arial" w:cs="Arial"/>
          <w:sz w:val="26"/>
          <w:szCs w:val="26"/>
        </w:rPr>
        <w:t>m，伸入基岩内3</w:t>
      </w:r>
      <w:r>
        <w:rPr>
          <w:rFonts w:hint="eastAsia" w:ascii="Arial" w:hAnsi="Arial" w:cs="Arial"/>
          <w:sz w:val="26"/>
          <w:szCs w:val="26"/>
          <w:lang w:val="en-US" w:eastAsia="zh-CN"/>
        </w:rPr>
        <w:t>.0</w:t>
      </w:r>
      <w:r>
        <w:rPr>
          <w:rFonts w:hint="default" w:ascii="Arial" w:hAnsi="Arial" w:cs="Arial"/>
          <w:sz w:val="26"/>
          <w:szCs w:val="26"/>
        </w:rPr>
        <w:t>m；消力池边墙高5.5m，埋深1.5m，墙身高4.0m，采用C25埋石砼衡重式挡墙，墙顶宽0.7m，墙底宽1.94m，在最大墙高1/2处设置0.7m宽平台，边墙临水侧坡比为1：0.1，背水坡坡比为1：0.3，墙身预埋φ50PVC排水管，间距2.0m，呈梅花形布置，孔后布置0.5m×0.5m土工布，土工布后设置0.4m×0.4m×0.4m反滤堆囊。尾水渠长64.74m，其中桩号坝纵0+047.84~坝纵0+057.84，宽度由10.0m收缩至7.0m，桩号坝纵0+057.84~坝纵0+112.58，宽度为7</w:t>
      </w:r>
      <w:r>
        <w:rPr>
          <w:rFonts w:hint="eastAsia" w:ascii="Arial" w:hAnsi="Arial" w:cs="Arial"/>
          <w:sz w:val="26"/>
          <w:szCs w:val="26"/>
          <w:lang w:val="en-US" w:eastAsia="zh-CN"/>
        </w:rPr>
        <w:t>.0</w:t>
      </w:r>
      <w:r>
        <w:rPr>
          <w:rFonts w:hint="default" w:ascii="Arial" w:hAnsi="Arial" w:cs="Arial"/>
          <w:sz w:val="26"/>
          <w:szCs w:val="26"/>
        </w:rPr>
        <w:t>m，采用浆砌块石铺砌，厚0.5m，边墙高2</w:t>
      </w:r>
      <w:r>
        <w:rPr>
          <w:rFonts w:hint="eastAsia" w:ascii="Arial" w:hAnsi="Arial" w:cs="Arial"/>
          <w:sz w:val="26"/>
          <w:szCs w:val="26"/>
          <w:lang w:val="en-US" w:eastAsia="zh-CN"/>
        </w:rPr>
        <w:t>.0</w:t>
      </w:r>
      <w:r>
        <w:rPr>
          <w:rFonts w:hint="default" w:ascii="Arial" w:hAnsi="Arial" w:cs="Arial"/>
          <w:sz w:val="26"/>
          <w:szCs w:val="26"/>
        </w:rPr>
        <w:t>m，采用C25埋石砼重力式挡墙，墙顶宽0.6m，底宽1.1m，边墙临水侧直立，背水坡坡比为1：0.3，墙身预埋φ50PVC排水管，间距2.0m，呈梅花形布置，孔后布置0.5m×0.5m土工布，土工布后设置0.4m×0.4m×0.4m反滤堆囊。桩号坝纵0+057.84处布置人行桥1座，桥面尺寸（L×b×h）8.0×2.0×0.3m，C30钢筋砼板式结构。</w:t>
      </w:r>
    </w:p>
    <w:p w14:paraId="5FF7925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非溢流坝段布置于左、右两岸。左岸非溢流坝段长54.0m，坝顶宽8.0m。坝顶高程424.0m，上游坝面410.5m高程以上铅直，以下1：0.3，下游坝坡418.12m高程以上铅直，以下1：0.8。右岸非溢流坝段长46.0m，坝顶宽8.0m，坝体基本剖面与左岸非溢流坝相同。</w:t>
      </w:r>
    </w:p>
    <w:p w14:paraId="09D3FEF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坝基基岩采用单排帷幕防渗，帷幕灌浆及防渗墙均伸入相对不透水层（≤5Lu）以下5m。</w:t>
      </w:r>
    </w:p>
    <w:p w14:paraId="2B896F2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大坝下游坝坡至尾水渠两侧与原地面线交接处布置1.5m宽步道，步道采用C20砼现浇，步道临自然边坡侧设置C20砼排水沟，排水沟净空宽×高为0.3m×0.3m，底板及边墙厚0.2m。</w:t>
      </w:r>
    </w:p>
    <w:p w14:paraId="5E751233">
      <w:pPr>
        <w:spacing w:line="440" w:lineRule="exact"/>
        <w:ind w:firstLine="522" w:firstLineChars="200"/>
        <w:rPr>
          <w:rFonts w:hint="eastAsia" w:ascii="Arial" w:hAnsi="Arial" w:cs="Arial"/>
          <w:b/>
          <w:bCs/>
          <w:sz w:val="26"/>
          <w:lang w:eastAsia="zh-CN"/>
        </w:rPr>
      </w:pPr>
      <w:r>
        <w:rPr>
          <w:rFonts w:hint="default" w:ascii="Arial" w:hAnsi="Arial" w:cs="Arial"/>
          <w:b/>
          <w:bCs/>
          <w:sz w:val="26"/>
        </w:rPr>
        <w:t>②</w:t>
      </w:r>
      <w:r>
        <w:rPr>
          <w:rFonts w:hint="eastAsia" w:ascii="Arial" w:hAnsi="Arial" w:cs="Arial"/>
          <w:b/>
          <w:bCs/>
          <w:sz w:val="26"/>
          <w:lang w:val="en-US" w:eastAsia="zh-CN"/>
        </w:rPr>
        <w:t xml:space="preserve"> 放空建筑物及生态放水管</w:t>
      </w:r>
    </w:p>
    <w:p w14:paraId="5F6C8BB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default" w:ascii="Arial" w:hAnsi="Arial" w:cs="Arial"/>
          <w:sz w:val="26"/>
          <w:szCs w:val="26"/>
        </w:rPr>
        <w:t>水库放空管采用永临结合的方式，利用导流管穿大坝段，采用内径D1000×8mm钢管，利用管道长89m，设控制阀1个，检修阀1个，在</w:t>
      </w:r>
      <w:r>
        <w:rPr>
          <w:rFonts w:hint="eastAsia" w:ascii="Arial" w:hAnsi="Arial" w:cs="Arial"/>
          <w:sz w:val="26"/>
          <w:szCs w:val="26"/>
        </w:rPr>
        <w:t>尾水渠</w:t>
      </w:r>
      <w:r>
        <w:rPr>
          <w:rFonts w:hint="default" w:ascii="Arial" w:hAnsi="Arial" w:cs="Arial"/>
          <w:sz w:val="26"/>
          <w:szCs w:val="26"/>
        </w:rPr>
        <w:t>左侧边墙左侧设面积为20m²的</w:t>
      </w:r>
      <w:r>
        <w:rPr>
          <w:rFonts w:hint="default" w:ascii="Arial" w:hAnsi="Arial" w:cs="Arial"/>
          <w:sz w:val="26"/>
          <w:szCs w:val="26"/>
          <w:lang w:val="zh-CN"/>
        </w:rPr>
        <w:t>闸阀房安装控制设备</w:t>
      </w:r>
      <w:r>
        <w:rPr>
          <w:rFonts w:hint="eastAsia" w:ascii="Arial" w:hAnsi="Arial" w:cs="Arial"/>
          <w:sz w:val="26"/>
          <w:szCs w:val="26"/>
          <w:lang w:val="zh-CN"/>
        </w:rPr>
        <w:t>，</w:t>
      </w:r>
      <w:r>
        <w:rPr>
          <w:rFonts w:hint="default" w:ascii="Arial" w:hAnsi="Arial" w:cs="Arial"/>
          <w:sz w:val="26"/>
          <w:szCs w:val="26"/>
        </w:rPr>
        <w:t>采用C25钢筋砼框架结构，预留灌区、供水、生态放水等接水处，设控制阀3个。</w:t>
      </w:r>
    </w:p>
    <w:p w14:paraId="000BC93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本工程放水设施（兼做放生态流量功能）采用管道穿坝输水的型式。共设</w:t>
      </w:r>
      <w:r>
        <w:rPr>
          <w:rFonts w:hint="eastAsia" w:ascii="Arial" w:hAnsi="Arial" w:cs="Arial"/>
          <w:sz w:val="26"/>
          <w:szCs w:val="26"/>
        </w:rPr>
        <w:t>五</w:t>
      </w:r>
      <w:r>
        <w:rPr>
          <w:rFonts w:hint="default" w:ascii="Arial" w:hAnsi="Arial" w:cs="Arial"/>
          <w:sz w:val="26"/>
          <w:szCs w:val="26"/>
        </w:rPr>
        <w:t>层取水口，从上至下依次为1~5#取水口，1#、2#、3#</w:t>
      </w:r>
      <w:r>
        <w:rPr>
          <w:rFonts w:hint="eastAsia" w:ascii="Arial" w:hAnsi="Arial" w:cs="Arial"/>
          <w:sz w:val="26"/>
          <w:szCs w:val="26"/>
        </w:rPr>
        <w:t>、4</w:t>
      </w:r>
      <w:r>
        <w:rPr>
          <w:rFonts w:hint="default" w:ascii="Arial" w:hAnsi="Arial" w:cs="Arial"/>
          <w:sz w:val="26"/>
          <w:szCs w:val="26"/>
        </w:rPr>
        <w:t>#取水管采用D400×8mm钢管取水，最下层取水口利用导流管，内径D1000×8mm钢管取水，取水口高程（管顶高程）为418.0m、415.0m、412.0m</w:t>
      </w:r>
      <w:r>
        <w:rPr>
          <w:rFonts w:hint="eastAsia" w:ascii="Arial" w:hAnsi="Arial" w:cs="Arial"/>
          <w:sz w:val="26"/>
          <w:szCs w:val="26"/>
        </w:rPr>
        <w:t>、</w:t>
      </w:r>
      <w:r>
        <w:rPr>
          <w:rFonts w:hint="default" w:ascii="Arial" w:hAnsi="Arial" w:cs="Arial"/>
          <w:sz w:val="26"/>
          <w:szCs w:val="26"/>
        </w:rPr>
        <w:t>409.0m</w:t>
      </w:r>
      <w:r>
        <w:rPr>
          <w:rFonts w:hint="eastAsia" w:ascii="Arial" w:hAnsi="Arial" w:cs="Arial"/>
          <w:sz w:val="26"/>
          <w:szCs w:val="26"/>
        </w:rPr>
        <w:t>、</w:t>
      </w:r>
      <w:r>
        <w:rPr>
          <w:rFonts w:hint="default" w:ascii="Arial" w:hAnsi="Arial" w:cs="Arial"/>
          <w:sz w:val="26"/>
          <w:szCs w:val="26"/>
        </w:rPr>
        <w:t>405.5m，管道中心线分别位于桩号坝横0+036.0、坝横0+040.0、坝横0+044.0、坝横0+048.5、坝横0+052.28，出口中心线高程分别为415.0m、412.0m、409.0m、406.0m、400.94m。每根取水管进口处设置</w:t>
      </w:r>
      <w:r>
        <w:rPr>
          <w:rFonts w:hint="eastAsia" w:ascii="Arial" w:hAnsi="Arial" w:cs="Arial"/>
          <w:sz w:val="26"/>
          <w:szCs w:val="26"/>
        </w:rPr>
        <w:t>两道钢板</w:t>
      </w:r>
      <w:r>
        <w:rPr>
          <w:rFonts w:hint="default" w:ascii="Arial" w:hAnsi="Arial" w:cs="Arial"/>
          <w:sz w:val="26"/>
          <w:szCs w:val="26"/>
        </w:rPr>
        <w:t>截流环，上</w:t>
      </w:r>
      <w:r>
        <w:rPr>
          <w:rFonts w:hint="eastAsia" w:ascii="Arial" w:hAnsi="Arial" w:cs="Arial"/>
          <w:sz w:val="26"/>
          <w:szCs w:val="26"/>
        </w:rPr>
        <w:t>四</w:t>
      </w:r>
      <w:r>
        <w:rPr>
          <w:rFonts w:hint="default" w:ascii="Arial" w:hAnsi="Arial" w:cs="Arial"/>
          <w:sz w:val="26"/>
          <w:szCs w:val="26"/>
        </w:rPr>
        <w:t>层截流环为直径2.60m的圆环，最下层截流环为直径3.0m的圆环，包裹取水管道，厚10mm。坝内取水管分别设置控制阀和电磁流量，位于下游坝坡穿出处。</w:t>
      </w:r>
      <w:r>
        <w:rPr>
          <w:rFonts w:hint="eastAsia" w:ascii="Arial" w:hAnsi="Arial" w:cs="Arial"/>
          <w:sz w:val="26"/>
          <w:szCs w:val="26"/>
        </w:rPr>
        <w:t>五</w:t>
      </w:r>
      <w:r>
        <w:rPr>
          <w:rFonts w:hint="default" w:ascii="Arial" w:hAnsi="Arial" w:cs="Arial"/>
          <w:sz w:val="26"/>
          <w:szCs w:val="26"/>
        </w:rPr>
        <w:t>层取水管（1#、2#、3#、4#</w:t>
      </w:r>
      <w:r>
        <w:rPr>
          <w:rFonts w:hint="eastAsia" w:ascii="Arial" w:hAnsi="Arial" w:cs="Arial"/>
          <w:sz w:val="26"/>
          <w:szCs w:val="26"/>
        </w:rPr>
        <w:t>、5</w:t>
      </w:r>
      <w:r>
        <w:rPr>
          <w:rFonts w:hint="default" w:ascii="Arial" w:hAnsi="Arial" w:cs="Arial"/>
          <w:sz w:val="26"/>
          <w:szCs w:val="26"/>
        </w:rPr>
        <w:t>#取水管）位于坝体内共长110</w:t>
      </w:r>
      <w:r>
        <w:rPr>
          <w:rFonts w:hint="eastAsia" w:ascii="Arial" w:hAnsi="Arial" w:cs="Arial"/>
          <w:sz w:val="26"/>
          <w:szCs w:val="26"/>
          <w:lang w:val="en-US" w:eastAsia="zh-CN"/>
        </w:rPr>
        <w:t>.0</w:t>
      </w:r>
      <w:r>
        <w:rPr>
          <w:rFonts w:hint="default" w:ascii="Arial" w:hAnsi="Arial" w:cs="Arial"/>
          <w:sz w:val="26"/>
          <w:szCs w:val="26"/>
        </w:rPr>
        <w:t>m，</w:t>
      </w:r>
      <w:r>
        <w:rPr>
          <w:rFonts w:hint="eastAsia" w:ascii="Arial" w:hAnsi="Arial" w:cs="Arial"/>
          <w:sz w:val="26"/>
          <w:szCs w:val="26"/>
        </w:rPr>
        <w:t>五</w:t>
      </w:r>
      <w:r>
        <w:rPr>
          <w:rFonts w:hint="default" w:ascii="Arial" w:hAnsi="Arial" w:cs="Arial"/>
          <w:sz w:val="26"/>
          <w:szCs w:val="26"/>
        </w:rPr>
        <w:t>层取水管从坝体下游坝坡穿出后汇合成一根引水管，引水管沿大坝下游坝坡左侧坝脚布置，汇合后管长62</w:t>
      </w:r>
      <w:r>
        <w:rPr>
          <w:rFonts w:hint="eastAsia" w:ascii="Arial" w:hAnsi="Arial" w:cs="Arial"/>
          <w:sz w:val="26"/>
          <w:szCs w:val="26"/>
          <w:lang w:val="en-US" w:eastAsia="zh-CN"/>
        </w:rPr>
        <w:t>.0</w:t>
      </w:r>
      <w:r>
        <w:rPr>
          <w:rFonts w:hint="default" w:ascii="Arial" w:hAnsi="Arial" w:cs="Arial"/>
          <w:sz w:val="26"/>
          <w:szCs w:val="26"/>
        </w:rPr>
        <w:t>m，采用内径D1000×8mm钢管，取水管、引水管全管段采用C20砼外包，砼外包厚0.2m。</w:t>
      </w:r>
    </w:p>
    <w:p w14:paraId="1E29D1A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default" w:ascii="Arial" w:hAnsi="Arial" w:cs="Arial"/>
          <w:sz w:val="26"/>
          <w:szCs w:val="26"/>
        </w:rPr>
        <w:t>水库生态放水采用内径D100×8mm钢管，管道长15.0m，从取水闸阀房中控制分水，沿消力池左边墙外侧埋地铺设，出口置于护坦上放水。</w:t>
      </w:r>
    </w:p>
    <w:p w14:paraId="02B9101B">
      <w:pPr>
        <w:spacing w:line="440" w:lineRule="exact"/>
        <w:ind w:firstLine="392" w:firstLineChars="150"/>
        <w:rPr>
          <w:rFonts w:hint="eastAsia" w:ascii="Arial" w:hAnsi="Arial" w:cs="Arial"/>
          <w:b/>
          <w:sz w:val="26"/>
          <w:szCs w:val="26"/>
        </w:rPr>
      </w:pPr>
      <w:r>
        <w:rPr>
          <w:rFonts w:hint="eastAsia" w:ascii="Arial" w:hAnsi="Arial" w:cs="Arial"/>
          <w:b/>
          <w:sz w:val="26"/>
          <w:szCs w:val="26"/>
        </w:rPr>
        <w:t>（</w:t>
      </w:r>
      <w:r>
        <w:rPr>
          <w:rFonts w:hint="eastAsia" w:ascii="Arial" w:hAnsi="Arial" w:cs="Arial"/>
          <w:b/>
          <w:sz w:val="26"/>
          <w:szCs w:val="26"/>
          <w:lang w:val="en-US" w:eastAsia="zh-CN"/>
        </w:rPr>
        <w:t>2</w:t>
      </w:r>
      <w:r>
        <w:rPr>
          <w:rFonts w:hint="eastAsia" w:ascii="Arial" w:hAnsi="Arial" w:cs="Arial"/>
          <w:b/>
          <w:sz w:val="26"/>
          <w:szCs w:val="26"/>
        </w:rPr>
        <w:t>）</w:t>
      </w:r>
      <w:r>
        <w:rPr>
          <w:rFonts w:hint="eastAsia" w:ascii="Arial" w:hAnsi="Arial" w:cs="Arial"/>
          <w:b/>
          <w:sz w:val="26"/>
          <w:szCs w:val="26"/>
          <w:lang w:eastAsia="zh-CN"/>
        </w:rPr>
        <w:t>输水</w:t>
      </w:r>
      <w:r>
        <w:rPr>
          <w:rFonts w:hint="eastAsia" w:ascii="Arial" w:hAnsi="Arial" w:cs="Arial"/>
          <w:b/>
          <w:sz w:val="26"/>
          <w:szCs w:val="26"/>
        </w:rPr>
        <w:t>工程</w:t>
      </w:r>
    </w:p>
    <w:p w14:paraId="2BD1049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海螺沟水库主要解决双龙镇双龙社区、回龙场村2000亩农田灌溉，供水量57.5万m</w:t>
      </w:r>
      <w:r>
        <w:rPr>
          <w:rFonts w:hint="eastAsia" w:ascii="Arial" w:hAnsi="Arial" w:cs="Arial"/>
          <w:sz w:val="26"/>
          <w:szCs w:val="26"/>
          <w:vertAlign w:val="superscript"/>
        </w:rPr>
        <w:t>3</w:t>
      </w:r>
      <w:r>
        <w:rPr>
          <w:rFonts w:hint="eastAsia" w:ascii="Arial" w:hAnsi="Arial" w:cs="Arial"/>
          <w:sz w:val="26"/>
          <w:szCs w:val="26"/>
          <w:vertAlign w:val="baseline"/>
          <w:lang w:eastAsia="zh-CN"/>
        </w:rPr>
        <w:t>；</w:t>
      </w:r>
      <w:r>
        <w:rPr>
          <w:rFonts w:hint="eastAsia" w:ascii="Arial" w:hAnsi="Arial" w:cs="Arial"/>
          <w:sz w:val="26"/>
          <w:szCs w:val="26"/>
        </w:rPr>
        <w:t>和7000人农村人饮用水，供水量18.</w:t>
      </w:r>
      <w:r>
        <w:rPr>
          <w:rFonts w:hint="eastAsia" w:ascii="Arial" w:hAnsi="Arial" w:cs="Arial"/>
          <w:sz w:val="26"/>
          <w:szCs w:val="26"/>
          <w:lang w:val="en-US" w:eastAsia="zh-CN"/>
        </w:rPr>
        <w:t>78</w:t>
      </w:r>
      <w:r>
        <w:rPr>
          <w:rFonts w:hint="eastAsia" w:ascii="Arial" w:hAnsi="Arial" w:cs="Arial"/>
          <w:sz w:val="26"/>
          <w:szCs w:val="26"/>
        </w:rPr>
        <w:t>万m</w:t>
      </w:r>
      <w:r>
        <w:rPr>
          <w:rFonts w:hint="eastAsia" w:ascii="Arial" w:hAnsi="Arial" w:cs="Arial"/>
          <w:sz w:val="26"/>
          <w:szCs w:val="26"/>
          <w:vertAlign w:val="superscript"/>
        </w:rPr>
        <w:t>3</w:t>
      </w:r>
      <w:r>
        <w:rPr>
          <w:rFonts w:hint="eastAsia" w:ascii="Arial" w:hAnsi="Arial" w:cs="Arial"/>
          <w:sz w:val="26"/>
          <w:szCs w:val="26"/>
        </w:rPr>
        <w:t>。输水工程管线总长8.9km，设计引用总流量为0.</w:t>
      </w:r>
      <w:r>
        <w:rPr>
          <w:rFonts w:hint="eastAsia" w:ascii="Arial" w:hAnsi="Arial" w:cs="Arial"/>
          <w:sz w:val="26"/>
          <w:szCs w:val="26"/>
          <w:lang w:val="en-US" w:eastAsia="zh-CN"/>
        </w:rPr>
        <w:t>107</w:t>
      </w:r>
      <w:r>
        <w:rPr>
          <w:rFonts w:hint="eastAsia" w:ascii="Arial" w:hAnsi="Arial" w:cs="Arial"/>
          <w:sz w:val="26"/>
          <w:szCs w:val="26"/>
        </w:rPr>
        <w:t>4m</w:t>
      </w:r>
      <w:r>
        <w:rPr>
          <w:rFonts w:hint="eastAsia" w:ascii="Arial" w:hAnsi="Arial" w:cs="Arial"/>
          <w:sz w:val="26"/>
          <w:szCs w:val="26"/>
          <w:vertAlign w:val="superscript"/>
        </w:rPr>
        <w:t>3</w:t>
      </w:r>
      <w:r>
        <w:rPr>
          <w:rFonts w:hint="eastAsia" w:ascii="Arial" w:hAnsi="Arial" w:cs="Arial"/>
          <w:sz w:val="26"/>
          <w:szCs w:val="26"/>
        </w:rPr>
        <w:t>/s。</w:t>
      </w:r>
    </w:p>
    <w:p w14:paraId="3369BD0E">
      <w:pPr>
        <w:spacing w:line="440" w:lineRule="exact"/>
        <w:ind w:firstLine="522" w:firstLineChars="200"/>
        <w:rPr>
          <w:rFonts w:hint="eastAsia" w:ascii="Arial" w:hAnsi="Arial" w:cs="Arial"/>
          <w:b/>
          <w:bCs/>
          <w:sz w:val="26"/>
        </w:rPr>
      </w:pPr>
      <w:r>
        <w:rPr>
          <w:rFonts w:hint="eastAsia" w:ascii="Arial" w:hAnsi="Arial" w:cs="Arial"/>
          <w:b/>
          <w:bCs/>
          <w:sz w:val="26"/>
        </w:rPr>
        <w:t>①</w:t>
      </w:r>
      <w:r>
        <w:rPr>
          <w:rFonts w:hint="eastAsia" w:ascii="Arial" w:hAnsi="Arial" w:cs="Arial"/>
          <w:b/>
          <w:bCs/>
          <w:sz w:val="26"/>
          <w:lang w:val="en-US" w:eastAsia="zh-CN"/>
        </w:rPr>
        <w:t xml:space="preserve"> </w:t>
      </w:r>
      <w:r>
        <w:rPr>
          <w:rFonts w:hint="eastAsia" w:ascii="Arial" w:hAnsi="Arial" w:cs="Arial"/>
          <w:b/>
          <w:bCs/>
          <w:sz w:val="26"/>
        </w:rPr>
        <w:t>双龙干管</w:t>
      </w:r>
    </w:p>
    <w:p w14:paraId="18B264F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双龙干管设计线路为：海螺沟水库坝体取水管→双龙干管→双龙水厂。</w:t>
      </w:r>
    </w:p>
    <w:p w14:paraId="35A897E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双龙干管长5270.51m，</w:t>
      </w:r>
      <w:r>
        <w:rPr>
          <w:rFonts w:hint="eastAsia" w:ascii="Arial" w:hAnsi="Arial" w:cs="Arial"/>
          <w:sz w:val="26"/>
          <w:szCs w:val="26"/>
          <w:lang w:eastAsia="zh-CN"/>
        </w:rPr>
        <w:t>桩号为</w:t>
      </w:r>
      <w:r>
        <w:rPr>
          <w:rFonts w:hint="eastAsia" w:ascii="Arial" w:hAnsi="Arial" w:cs="Arial"/>
          <w:sz w:val="26"/>
          <w:szCs w:val="26"/>
          <w:lang w:val="en-US" w:eastAsia="zh-CN"/>
        </w:rPr>
        <w:t>K0+000~K5+270，</w:t>
      </w:r>
      <w:r>
        <w:rPr>
          <w:rFonts w:hint="eastAsia" w:ascii="Arial" w:hAnsi="Arial" w:cs="Arial"/>
          <w:sz w:val="26"/>
          <w:szCs w:val="26"/>
        </w:rPr>
        <w:t>管首设计流量0.1074m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322215B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双龙干管管首配套流量计（</w:t>
      </w:r>
      <w:r>
        <w:rPr>
          <w:rFonts w:hint="eastAsia" w:ascii="Arial" w:hAnsi="Arial" w:cs="Arial"/>
          <w:sz w:val="26"/>
          <w:szCs w:val="26"/>
          <w:lang w:val="en-US" w:eastAsia="zh-CN"/>
        </w:rPr>
        <w:t>DN</w:t>
      </w:r>
      <w:r>
        <w:rPr>
          <w:rFonts w:hint="eastAsia" w:ascii="Arial" w:hAnsi="Arial" w:cs="Arial"/>
          <w:sz w:val="26"/>
          <w:szCs w:val="26"/>
        </w:rPr>
        <w:t>400）1个，控制阀（</w:t>
      </w:r>
      <w:r>
        <w:rPr>
          <w:rFonts w:hint="eastAsia" w:ascii="Arial" w:hAnsi="Arial" w:cs="Arial"/>
          <w:sz w:val="26"/>
          <w:szCs w:val="26"/>
          <w:lang w:val="en-US" w:eastAsia="zh-CN"/>
        </w:rPr>
        <w:t>DN</w:t>
      </w:r>
      <w:r>
        <w:rPr>
          <w:rFonts w:hint="eastAsia" w:ascii="Arial" w:hAnsi="Arial" w:cs="Arial"/>
          <w:sz w:val="26"/>
          <w:szCs w:val="26"/>
        </w:rPr>
        <w:t>400，2.0Mpa）1套和（</w:t>
      </w:r>
      <w:r>
        <w:rPr>
          <w:rFonts w:hint="eastAsia" w:ascii="Arial" w:hAnsi="Arial" w:cs="Arial"/>
          <w:sz w:val="26"/>
          <w:szCs w:val="26"/>
          <w:lang w:val="en-US" w:eastAsia="zh-CN"/>
        </w:rPr>
        <w:t>DN</w:t>
      </w:r>
      <w:r>
        <w:rPr>
          <w:rFonts w:hint="eastAsia" w:ascii="Arial" w:hAnsi="Arial" w:cs="Arial"/>
          <w:sz w:val="26"/>
          <w:szCs w:val="26"/>
        </w:rPr>
        <w:t>100，2.0Mpa）1套，分水阀（</w:t>
      </w:r>
      <w:r>
        <w:rPr>
          <w:rFonts w:hint="eastAsia" w:ascii="Arial" w:hAnsi="Arial" w:cs="Arial"/>
          <w:sz w:val="26"/>
          <w:szCs w:val="26"/>
          <w:lang w:val="en-US" w:eastAsia="zh-CN"/>
        </w:rPr>
        <w:t>DN</w:t>
      </w:r>
      <w:r>
        <w:rPr>
          <w:rFonts w:hint="eastAsia" w:ascii="Arial" w:hAnsi="Arial" w:cs="Arial"/>
          <w:sz w:val="26"/>
          <w:szCs w:val="26"/>
        </w:rPr>
        <w:t>300，2.0Mpa）4套，检修阀（</w:t>
      </w:r>
      <w:r>
        <w:rPr>
          <w:rFonts w:hint="eastAsia" w:ascii="Arial" w:hAnsi="Arial" w:cs="Arial"/>
          <w:sz w:val="26"/>
          <w:szCs w:val="26"/>
          <w:lang w:val="en-US" w:eastAsia="zh-CN"/>
        </w:rPr>
        <w:t>DN</w:t>
      </w:r>
      <w:r>
        <w:rPr>
          <w:rFonts w:hint="eastAsia" w:ascii="Arial" w:hAnsi="Arial" w:cs="Arial"/>
          <w:sz w:val="26"/>
          <w:szCs w:val="26"/>
        </w:rPr>
        <w:t>300，2.0Mpa）3套和（</w:t>
      </w:r>
      <w:r>
        <w:rPr>
          <w:rFonts w:hint="eastAsia" w:ascii="Arial" w:hAnsi="Arial" w:cs="Arial"/>
          <w:sz w:val="26"/>
          <w:szCs w:val="26"/>
          <w:lang w:val="en-US" w:eastAsia="zh-CN"/>
        </w:rPr>
        <w:t>DN</w:t>
      </w:r>
      <w:r>
        <w:rPr>
          <w:rFonts w:hint="eastAsia" w:ascii="Arial" w:hAnsi="Arial" w:cs="Arial"/>
          <w:sz w:val="26"/>
          <w:szCs w:val="26"/>
        </w:rPr>
        <w:t>100，2.0Mpa）1套；沿线凸起处增设排气阀（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500）共计9个，管道沿线低洼处增设排泥阀（</w:t>
      </w:r>
      <w:r>
        <w:rPr>
          <w:rFonts w:hint="eastAsia" w:ascii="Arial" w:hAnsi="Arial" w:cs="Arial"/>
          <w:sz w:val="26"/>
          <w:szCs w:val="26"/>
          <w:lang w:val="en-US" w:eastAsia="zh-CN"/>
        </w:rPr>
        <w:t>DN</w:t>
      </w:r>
      <w:r>
        <w:rPr>
          <w:rFonts w:hint="eastAsia" w:ascii="Arial" w:hAnsi="Arial" w:cs="Arial"/>
          <w:sz w:val="26"/>
          <w:szCs w:val="26"/>
        </w:rPr>
        <w:t>50）共计9个。</w:t>
      </w:r>
    </w:p>
    <w:p w14:paraId="1736D6A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双龙干管桩号</w:t>
      </w:r>
      <w:r>
        <w:rPr>
          <w:rFonts w:hint="eastAsia" w:ascii="Arial" w:hAnsi="Arial" w:cs="Arial"/>
          <w:sz w:val="26"/>
          <w:szCs w:val="26"/>
          <w:lang w:val="en-US" w:eastAsia="zh-CN"/>
        </w:rPr>
        <w:t>K</w:t>
      </w:r>
      <w:r>
        <w:rPr>
          <w:rFonts w:hint="eastAsia" w:ascii="Arial" w:hAnsi="Arial" w:cs="Arial"/>
          <w:sz w:val="26"/>
          <w:szCs w:val="26"/>
        </w:rPr>
        <w:t>0+000.0</w:t>
      </w:r>
      <w:r>
        <w:rPr>
          <w:rFonts w:hint="eastAsia" w:ascii="Arial" w:hAnsi="Arial" w:cs="Arial"/>
          <w:sz w:val="26"/>
          <w:szCs w:val="26"/>
          <w:lang w:val="en-US" w:eastAsia="zh-CN"/>
        </w:rPr>
        <w:t>~K</w:t>
      </w:r>
      <w:r>
        <w:rPr>
          <w:rFonts w:hint="eastAsia" w:ascii="Arial" w:hAnsi="Arial" w:cs="Arial"/>
          <w:sz w:val="26"/>
          <w:szCs w:val="26"/>
        </w:rPr>
        <w:t>1+098.32段直径为400mm，管材采用1.6Mpa的100级PE管，长1109.71m；桩号</w:t>
      </w:r>
      <w:r>
        <w:rPr>
          <w:rFonts w:hint="eastAsia" w:ascii="Arial" w:hAnsi="Arial" w:cs="Arial"/>
          <w:sz w:val="26"/>
          <w:szCs w:val="26"/>
          <w:lang w:val="en-US" w:eastAsia="zh-CN"/>
        </w:rPr>
        <w:t>K</w:t>
      </w:r>
      <w:r>
        <w:rPr>
          <w:rFonts w:hint="eastAsia" w:ascii="Arial" w:hAnsi="Arial" w:cs="Arial"/>
          <w:sz w:val="26"/>
          <w:szCs w:val="26"/>
        </w:rPr>
        <w:t>1+098.32</w:t>
      </w:r>
      <w:r>
        <w:rPr>
          <w:rFonts w:hint="eastAsia" w:ascii="Arial" w:hAnsi="Arial" w:cs="Arial"/>
          <w:sz w:val="26"/>
          <w:szCs w:val="26"/>
          <w:lang w:val="en-US" w:eastAsia="zh-CN"/>
        </w:rPr>
        <w:t>~K</w:t>
      </w:r>
      <w:r>
        <w:rPr>
          <w:rFonts w:hint="eastAsia" w:ascii="Arial" w:hAnsi="Arial" w:cs="Arial"/>
          <w:sz w:val="26"/>
          <w:szCs w:val="26"/>
        </w:rPr>
        <w:t>1+567.51段直径为325mm，长476.48m，管材采用涂塑钢管；桩号</w:t>
      </w:r>
      <w:r>
        <w:rPr>
          <w:rFonts w:hint="eastAsia" w:ascii="Arial" w:hAnsi="Arial" w:cs="Arial"/>
          <w:sz w:val="26"/>
          <w:szCs w:val="26"/>
          <w:lang w:val="en-US" w:eastAsia="zh-CN"/>
        </w:rPr>
        <w:t>K</w:t>
      </w:r>
      <w:r>
        <w:rPr>
          <w:rFonts w:hint="eastAsia" w:ascii="Arial" w:hAnsi="Arial" w:cs="Arial"/>
          <w:sz w:val="26"/>
          <w:szCs w:val="26"/>
        </w:rPr>
        <w:t>1+567.51</w:t>
      </w:r>
      <w:r>
        <w:rPr>
          <w:rFonts w:hint="eastAsia" w:ascii="Arial" w:hAnsi="Arial" w:cs="Arial"/>
          <w:sz w:val="26"/>
          <w:szCs w:val="26"/>
          <w:lang w:val="en-US" w:eastAsia="zh-CN"/>
        </w:rPr>
        <w:t>~K</w:t>
      </w:r>
      <w:r>
        <w:rPr>
          <w:rFonts w:hint="eastAsia" w:ascii="Arial" w:hAnsi="Arial" w:cs="Arial"/>
          <w:sz w:val="26"/>
          <w:szCs w:val="26"/>
        </w:rPr>
        <w:t>4+042.97段直径为273mm，长2481.18m，管材采用涂塑钢管；桩号</w:t>
      </w:r>
      <w:r>
        <w:rPr>
          <w:rFonts w:hint="eastAsia" w:ascii="Arial" w:hAnsi="Arial" w:cs="Arial"/>
          <w:sz w:val="26"/>
          <w:szCs w:val="26"/>
          <w:lang w:val="en-US" w:eastAsia="zh-CN"/>
        </w:rPr>
        <w:t>K</w:t>
      </w:r>
      <w:r>
        <w:rPr>
          <w:rFonts w:hint="eastAsia" w:ascii="Arial" w:hAnsi="Arial" w:cs="Arial"/>
          <w:sz w:val="26"/>
          <w:szCs w:val="26"/>
        </w:rPr>
        <w:t>4+042.97</w:t>
      </w:r>
      <w:r>
        <w:rPr>
          <w:rFonts w:hint="eastAsia" w:ascii="Arial" w:hAnsi="Arial" w:cs="Arial"/>
          <w:sz w:val="26"/>
          <w:szCs w:val="26"/>
          <w:lang w:val="en-US" w:eastAsia="zh-CN"/>
        </w:rPr>
        <w:t>~K</w:t>
      </w:r>
      <w:r>
        <w:rPr>
          <w:rFonts w:hint="eastAsia" w:ascii="Arial" w:hAnsi="Arial" w:cs="Arial"/>
          <w:sz w:val="26"/>
          <w:szCs w:val="26"/>
        </w:rPr>
        <w:t>5+221.9段直径为108mm，长1203.14m，管材采用涂塑钢管。</w:t>
      </w:r>
    </w:p>
    <w:p w14:paraId="7320E48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双龙干管DN400、DN325、DN273管段平面和剖面转弯处均设置C20砼镇墩，管道进出口和管段间距</w:t>
      </w:r>
      <w:r>
        <w:rPr>
          <w:rFonts w:hint="eastAsia" w:ascii="Arial" w:hAnsi="Arial" w:cs="Arial"/>
          <w:sz w:val="26"/>
          <w:szCs w:val="26"/>
          <w:lang w:eastAsia="zh-CN"/>
        </w:rPr>
        <w:t>≥</w:t>
      </w:r>
      <w:r>
        <w:rPr>
          <w:rFonts w:hint="eastAsia" w:ascii="Arial" w:hAnsi="Arial" w:cs="Arial"/>
          <w:sz w:val="26"/>
          <w:szCs w:val="26"/>
        </w:rPr>
        <w:t>150m处均设置C20砼镇墩。</w:t>
      </w:r>
    </w:p>
    <w:p w14:paraId="5DED0A4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为满足灌区的灌溉以及供水需求，本次设计时在双龙干管上设置有4处分水阀，分别为1#分水阀（</w:t>
      </w:r>
      <w:r>
        <w:rPr>
          <w:rFonts w:hint="eastAsia" w:ascii="Arial" w:hAnsi="Arial" w:cs="Arial"/>
          <w:sz w:val="26"/>
          <w:szCs w:val="26"/>
          <w:lang w:val="en-US" w:eastAsia="zh-CN"/>
        </w:rPr>
        <w:t>K</w:t>
      </w:r>
      <w:r>
        <w:rPr>
          <w:rFonts w:hint="eastAsia" w:ascii="Arial" w:hAnsi="Arial" w:cs="Arial"/>
          <w:sz w:val="26"/>
          <w:szCs w:val="26"/>
        </w:rPr>
        <w:t>1+360.04），2#分水阀（</w:t>
      </w:r>
      <w:r>
        <w:rPr>
          <w:rFonts w:hint="eastAsia" w:ascii="Arial" w:hAnsi="Arial" w:cs="Arial"/>
          <w:sz w:val="26"/>
          <w:szCs w:val="26"/>
          <w:lang w:val="en-US" w:eastAsia="zh-CN"/>
        </w:rPr>
        <w:t>K</w:t>
      </w:r>
      <w:r>
        <w:rPr>
          <w:rFonts w:hint="eastAsia" w:ascii="Arial" w:hAnsi="Arial" w:cs="Arial"/>
          <w:sz w:val="26"/>
          <w:szCs w:val="26"/>
        </w:rPr>
        <w:t>1+567.51），3#分水阀（</w:t>
      </w:r>
      <w:r>
        <w:rPr>
          <w:rFonts w:hint="eastAsia" w:ascii="Arial" w:hAnsi="Arial" w:cs="Arial"/>
          <w:sz w:val="26"/>
          <w:szCs w:val="26"/>
          <w:lang w:val="en-US" w:eastAsia="zh-CN"/>
        </w:rPr>
        <w:t>K</w:t>
      </w:r>
      <w:r>
        <w:rPr>
          <w:rFonts w:hint="eastAsia" w:ascii="Arial" w:hAnsi="Arial" w:cs="Arial"/>
          <w:sz w:val="26"/>
          <w:szCs w:val="26"/>
        </w:rPr>
        <w:t>2+138.81），4#分水阀（</w:t>
      </w:r>
      <w:r>
        <w:rPr>
          <w:rFonts w:hint="eastAsia" w:ascii="Arial" w:hAnsi="Arial" w:cs="Arial"/>
          <w:sz w:val="26"/>
          <w:szCs w:val="26"/>
          <w:lang w:val="en-US" w:eastAsia="zh-CN"/>
        </w:rPr>
        <w:t>K</w:t>
      </w:r>
      <w:r>
        <w:rPr>
          <w:rFonts w:hint="eastAsia" w:ascii="Arial" w:hAnsi="Arial" w:cs="Arial"/>
          <w:sz w:val="26"/>
          <w:szCs w:val="26"/>
        </w:rPr>
        <w:t>4+042.97）。</w:t>
      </w:r>
    </w:p>
    <w:p w14:paraId="3B3E6622">
      <w:pPr>
        <w:spacing w:line="440" w:lineRule="exact"/>
        <w:ind w:firstLine="522" w:firstLineChars="200"/>
        <w:rPr>
          <w:rFonts w:hint="eastAsia" w:ascii="Arial" w:hAnsi="Arial" w:cs="Arial"/>
          <w:b/>
          <w:bCs/>
          <w:sz w:val="26"/>
        </w:rPr>
      </w:pPr>
      <w:r>
        <w:rPr>
          <w:rFonts w:hint="default" w:ascii="Arial" w:hAnsi="Arial" w:cs="Arial"/>
          <w:b/>
          <w:bCs/>
          <w:sz w:val="26"/>
        </w:rPr>
        <w:t>②</w:t>
      </w:r>
      <w:r>
        <w:rPr>
          <w:rFonts w:hint="eastAsia" w:ascii="Arial" w:hAnsi="Arial" w:cs="Arial"/>
          <w:b/>
          <w:bCs/>
          <w:sz w:val="26"/>
          <w:lang w:val="en-US" w:eastAsia="zh-CN"/>
        </w:rPr>
        <w:t xml:space="preserve"> </w:t>
      </w:r>
      <w:r>
        <w:rPr>
          <w:rFonts w:hint="eastAsia" w:ascii="Arial" w:hAnsi="Arial" w:cs="Arial"/>
          <w:b/>
          <w:bCs/>
          <w:sz w:val="26"/>
        </w:rPr>
        <w:t>新华支管</w:t>
      </w:r>
    </w:p>
    <w:p w14:paraId="308958E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新华支管设计线路为：双龙干管1#分水口→新华支管→新华</w:t>
      </w:r>
      <w:r>
        <w:rPr>
          <w:rFonts w:hint="eastAsia" w:ascii="Arial" w:hAnsi="Arial" w:cs="Arial"/>
          <w:sz w:val="26"/>
          <w:szCs w:val="26"/>
          <w:lang w:eastAsia="zh-CN"/>
        </w:rPr>
        <w:t>水池</w:t>
      </w:r>
      <w:r>
        <w:rPr>
          <w:rFonts w:hint="eastAsia" w:ascii="Arial" w:hAnsi="Arial" w:cs="Arial"/>
          <w:sz w:val="26"/>
          <w:szCs w:val="26"/>
        </w:rPr>
        <w:t>。</w:t>
      </w:r>
    </w:p>
    <w:p w14:paraId="4D0BCEF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新华支管长</w:t>
      </w:r>
      <w:r>
        <w:rPr>
          <w:rFonts w:hint="eastAsia" w:ascii="Arial" w:hAnsi="Arial" w:cs="Arial"/>
          <w:sz w:val="26"/>
          <w:szCs w:val="26"/>
          <w:lang w:val="en-US" w:eastAsia="zh-CN"/>
        </w:rPr>
        <w:t>160</w:t>
      </w:r>
      <w:r>
        <w:rPr>
          <w:rFonts w:hint="eastAsia" w:ascii="Arial" w:hAnsi="Arial" w:cs="Arial"/>
          <w:sz w:val="26"/>
          <w:szCs w:val="26"/>
        </w:rPr>
        <w:t>m，</w:t>
      </w:r>
      <w:r>
        <w:rPr>
          <w:rFonts w:hint="eastAsia" w:ascii="Arial" w:hAnsi="Arial" w:cs="Arial"/>
          <w:sz w:val="26"/>
          <w:szCs w:val="26"/>
          <w:lang w:eastAsia="zh-CN"/>
        </w:rPr>
        <w:t>桩号为</w:t>
      </w:r>
      <w:r>
        <w:rPr>
          <w:rFonts w:hint="eastAsia" w:ascii="Arial" w:hAnsi="Arial" w:cs="Arial"/>
          <w:sz w:val="26"/>
          <w:szCs w:val="26"/>
          <w:lang w:val="en-US" w:eastAsia="zh-CN"/>
        </w:rPr>
        <w:t>XZ0+000~XZ0+160，</w:t>
      </w:r>
      <w:r>
        <w:rPr>
          <w:rFonts w:hint="eastAsia" w:ascii="Arial" w:hAnsi="Arial" w:cs="Arial"/>
          <w:sz w:val="26"/>
          <w:szCs w:val="26"/>
        </w:rPr>
        <w:t>管首设计流量0.0005m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6099DDD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新华支管管首配套流量计（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100，2.0Mpa）2套，检修阀（</w:t>
      </w:r>
      <w:r>
        <w:rPr>
          <w:rFonts w:hint="eastAsia" w:ascii="Arial" w:hAnsi="Arial" w:cs="Arial"/>
          <w:sz w:val="26"/>
          <w:szCs w:val="26"/>
          <w:lang w:val="en-US" w:eastAsia="zh-CN"/>
        </w:rPr>
        <w:t>DN1</w:t>
      </w:r>
      <w:r>
        <w:rPr>
          <w:rFonts w:hint="eastAsia" w:ascii="Arial" w:hAnsi="Arial" w:cs="Arial"/>
          <w:sz w:val="26"/>
          <w:szCs w:val="26"/>
        </w:rPr>
        <w:t>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500）共计2个，管道沿线低洼处增设排泥阀（</w:t>
      </w:r>
      <w:r>
        <w:rPr>
          <w:rFonts w:hint="eastAsia" w:ascii="Arial" w:hAnsi="Arial" w:cs="Arial"/>
          <w:sz w:val="26"/>
          <w:szCs w:val="26"/>
          <w:lang w:val="en-US" w:eastAsia="zh-CN"/>
        </w:rPr>
        <w:t>DN</w:t>
      </w:r>
      <w:r>
        <w:rPr>
          <w:rFonts w:hint="eastAsia" w:ascii="Arial" w:hAnsi="Arial" w:cs="Arial"/>
          <w:sz w:val="26"/>
          <w:szCs w:val="26"/>
        </w:rPr>
        <w:t>50）共计2个。</w:t>
      </w:r>
    </w:p>
    <w:p w14:paraId="604D8C5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新华支管管材采用DN32涂塑钢管，长</w:t>
      </w:r>
      <w:r>
        <w:rPr>
          <w:rFonts w:hint="eastAsia" w:ascii="Arial" w:hAnsi="Arial" w:cs="Arial"/>
          <w:sz w:val="26"/>
          <w:szCs w:val="26"/>
          <w:lang w:val="en-US" w:eastAsia="zh-CN"/>
        </w:rPr>
        <w:t>160</w:t>
      </w:r>
      <w:r>
        <w:rPr>
          <w:rFonts w:hint="eastAsia" w:ascii="Arial" w:hAnsi="Arial" w:cs="Arial"/>
          <w:sz w:val="26"/>
          <w:szCs w:val="26"/>
        </w:rPr>
        <w:t>m。进出口和管段间距</w:t>
      </w:r>
      <w:r>
        <w:rPr>
          <w:rFonts w:hint="eastAsia" w:ascii="Arial" w:hAnsi="Arial" w:cs="Arial"/>
          <w:sz w:val="26"/>
          <w:szCs w:val="26"/>
          <w:lang w:val="en-US" w:eastAsia="zh-CN"/>
        </w:rPr>
        <w:t>≥</w:t>
      </w:r>
      <w:r>
        <w:rPr>
          <w:rFonts w:hint="eastAsia" w:ascii="Arial" w:hAnsi="Arial" w:cs="Arial"/>
          <w:sz w:val="26"/>
          <w:szCs w:val="26"/>
        </w:rPr>
        <w:t>150m处均设置C20砼镇墩。</w:t>
      </w:r>
    </w:p>
    <w:p w14:paraId="79452D0C">
      <w:pPr>
        <w:spacing w:line="440" w:lineRule="exact"/>
        <w:ind w:firstLine="522" w:firstLineChars="200"/>
        <w:rPr>
          <w:rFonts w:hint="eastAsia" w:ascii="Arial" w:hAnsi="Arial" w:cs="Arial"/>
          <w:b/>
          <w:bCs/>
          <w:sz w:val="26"/>
        </w:rPr>
      </w:pPr>
      <w:r>
        <w:rPr>
          <w:rFonts w:hint="eastAsia" w:ascii="Arial" w:hAnsi="Arial" w:cs="Arial"/>
          <w:b/>
          <w:bCs/>
          <w:sz w:val="26"/>
        </w:rPr>
        <w:t>③</w:t>
      </w:r>
      <w:r>
        <w:rPr>
          <w:rFonts w:hint="eastAsia" w:ascii="Arial" w:hAnsi="Arial" w:cs="Arial"/>
          <w:b/>
          <w:bCs/>
          <w:sz w:val="26"/>
          <w:lang w:val="en-US" w:eastAsia="zh-CN"/>
        </w:rPr>
        <w:t xml:space="preserve"> </w:t>
      </w:r>
      <w:r>
        <w:rPr>
          <w:rFonts w:hint="eastAsia" w:ascii="Arial" w:hAnsi="Arial" w:cs="Arial"/>
          <w:b/>
          <w:bCs/>
          <w:sz w:val="26"/>
        </w:rPr>
        <w:t>范家湾支管</w:t>
      </w:r>
    </w:p>
    <w:p w14:paraId="649C47D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范家湾支管设计线路为：双龙干管2#分水口→范家湾支管→</w:t>
      </w:r>
      <w:r>
        <w:rPr>
          <w:rFonts w:hint="eastAsia" w:ascii="Arial" w:hAnsi="Arial" w:cs="Arial"/>
          <w:sz w:val="26"/>
          <w:szCs w:val="26"/>
          <w:lang w:eastAsia="zh-CN"/>
        </w:rPr>
        <w:t>范家湾水池</w:t>
      </w:r>
      <w:r>
        <w:rPr>
          <w:rFonts w:hint="eastAsia" w:ascii="Arial" w:hAnsi="Arial" w:cs="Arial"/>
          <w:sz w:val="26"/>
          <w:szCs w:val="26"/>
        </w:rPr>
        <w:t>。</w:t>
      </w:r>
    </w:p>
    <w:p w14:paraId="7D91154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范家湾支管长18</w:t>
      </w:r>
      <w:r>
        <w:rPr>
          <w:rFonts w:hint="eastAsia" w:ascii="Arial" w:hAnsi="Arial" w:cs="Arial"/>
          <w:sz w:val="26"/>
          <w:szCs w:val="26"/>
          <w:lang w:val="en-US" w:eastAsia="zh-CN"/>
        </w:rPr>
        <w:t>50</w:t>
      </w:r>
      <w:r>
        <w:rPr>
          <w:rFonts w:hint="eastAsia" w:ascii="Arial" w:hAnsi="Arial" w:cs="Arial"/>
          <w:sz w:val="26"/>
          <w:szCs w:val="26"/>
        </w:rPr>
        <w:t>m，</w:t>
      </w:r>
      <w:r>
        <w:rPr>
          <w:rFonts w:hint="eastAsia" w:ascii="Arial" w:hAnsi="Arial" w:cs="Arial"/>
          <w:sz w:val="26"/>
          <w:szCs w:val="26"/>
          <w:lang w:eastAsia="zh-CN"/>
        </w:rPr>
        <w:t>桩号为</w:t>
      </w:r>
      <w:r>
        <w:rPr>
          <w:rFonts w:hint="eastAsia" w:ascii="Arial" w:hAnsi="Arial" w:cs="Arial"/>
          <w:sz w:val="26"/>
          <w:szCs w:val="26"/>
          <w:lang w:val="en-US" w:eastAsia="zh-CN"/>
        </w:rPr>
        <w:t>FZ0+000~FZ1+850，</w:t>
      </w:r>
      <w:r>
        <w:rPr>
          <w:rFonts w:hint="eastAsia" w:ascii="Arial" w:hAnsi="Arial" w:cs="Arial"/>
          <w:sz w:val="26"/>
          <w:szCs w:val="26"/>
        </w:rPr>
        <w:t>管首设计流量0.0005m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7C0D2AC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100，2.0Mpa）2套，检修阀（</w:t>
      </w:r>
      <w:r>
        <w:rPr>
          <w:rFonts w:hint="eastAsia" w:ascii="Arial" w:hAnsi="Arial" w:cs="Arial"/>
          <w:sz w:val="26"/>
          <w:szCs w:val="26"/>
          <w:lang w:val="en-US" w:eastAsia="zh-CN"/>
        </w:rPr>
        <w:t>DN</w:t>
      </w:r>
      <w:r>
        <w:rPr>
          <w:rFonts w:hint="eastAsia" w:ascii="Arial" w:hAnsi="Arial" w:cs="Arial"/>
          <w:sz w:val="26"/>
          <w:szCs w:val="26"/>
        </w:rPr>
        <w:t>100，2.0Mpa）1套；沿线凸起处增设排气阀（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500）共计6个，管道沿线低洼处增设排泥阀（</w:t>
      </w:r>
      <w:r>
        <w:rPr>
          <w:rFonts w:hint="eastAsia" w:ascii="Arial" w:hAnsi="Arial" w:cs="Arial"/>
          <w:sz w:val="26"/>
          <w:szCs w:val="26"/>
          <w:lang w:val="en-US" w:eastAsia="zh-CN"/>
        </w:rPr>
        <w:t>DN</w:t>
      </w:r>
      <w:r>
        <w:rPr>
          <w:rFonts w:hint="eastAsia" w:ascii="Arial" w:hAnsi="Arial" w:cs="Arial"/>
          <w:sz w:val="26"/>
          <w:szCs w:val="26"/>
        </w:rPr>
        <w:t>50）共计6个。</w:t>
      </w:r>
    </w:p>
    <w:p w14:paraId="2F14D7E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w:t>
      </w:r>
      <w:r>
        <w:rPr>
          <w:rFonts w:hint="eastAsia" w:ascii="Arial" w:hAnsi="Arial" w:cs="Arial"/>
          <w:sz w:val="26"/>
          <w:szCs w:val="26"/>
          <w:lang w:val="en-US" w:eastAsia="zh-CN"/>
        </w:rPr>
        <w:t>FZ</w:t>
      </w:r>
      <w:r>
        <w:rPr>
          <w:rFonts w:hint="eastAsia" w:ascii="Arial" w:hAnsi="Arial" w:cs="Arial"/>
          <w:sz w:val="26"/>
          <w:szCs w:val="26"/>
        </w:rPr>
        <w:t>0+000.0</w:t>
      </w:r>
      <w:r>
        <w:rPr>
          <w:rFonts w:hint="eastAsia" w:ascii="Arial" w:hAnsi="Arial" w:cs="Arial"/>
          <w:sz w:val="26"/>
          <w:szCs w:val="26"/>
          <w:lang w:val="en-US" w:eastAsia="zh-CN"/>
        </w:rPr>
        <w:t>~FZ</w:t>
      </w:r>
      <w:r>
        <w:rPr>
          <w:rFonts w:hint="eastAsia" w:ascii="Arial" w:hAnsi="Arial" w:cs="Arial"/>
          <w:sz w:val="26"/>
          <w:szCs w:val="26"/>
        </w:rPr>
        <w:t>1+567.46段管材采用DN48涂塑钢管，长1581.23m；</w:t>
      </w:r>
      <w:r>
        <w:rPr>
          <w:rFonts w:hint="eastAsia" w:ascii="Arial" w:hAnsi="Arial" w:cs="Arial"/>
          <w:sz w:val="26"/>
          <w:szCs w:val="26"/>
          <w:lang w:val="en-US" w:eastAsia="zh-CN"/>
        </w:rPr>
        <w:t>FZ</w:t>
      </w:r>
      <w:r>
        <w:rPr>
          <w:rFonts w:hint="eastAsia" w:ascii="Arial" w:hAnsi="Arial" w:cs="Arial"/>
          <w:sz w:val="26"/>
          <w:szCs w:val="26"/>
        </w:rPr>
        <w:t>1+567.46</w:t>
      </w:r>
      <w:r>
        <w:rPr>
          <w:rFonts w:hint="eastAsia" w:ascii="Arial" w:hAnsi="Arial" w:cs="Arial"/>
          <w:sz w:val="26"/>
          <w:szCs w:val="26"/>
          <w:lang w:val="en-US" w:eastAsia="zh-CN"/>
        </w:rPr>
        <w:t>~FZ</w:t>
      </w:r>
      <w:r>
        <w:rPr>
          <w:rFonts w:hint="eastAsia" w:ascii="Arial" w:hAnsi="Arial" w:cs="Arial"/>
          <w:sz w:val="26"/>
          <w:szCs w:val="26"/>
        </w:rPr>
        <w:t>1+8</w:t>
      </w:r>
      <w:r>
        <w:rPr>
          <w:rFonts w:hint="eastAsia" w:ascii="Arial" w:hAnsi="Arial" w:cs="Arial"/>
          <w:sz w:val="26"/>
          <w:szCs w:val="26"/>
          <w:lang w:val="en-US" w:eastAsia="zh-CN"/>
        </w:rPr>
        <w:t>50</w:t>
      </w:r>
      <w:r>
        <w:rPr>
          <w:rFonts w:hint="eastAsia" w:ascii="Arial" w:hAnsi="Arial" w:cs="Arial"/>
          <w:sz w:val="26"/>
          <w:szCs w:val="26"/>
        </w:rPr>
        <w:t>段管材采用1.6Mpa的100级DN32PE管，长266.6m。</w:t>
      </w:r>
    </w:p>
    <w:p w14:paraId="480E766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范家湾支管进出口和管段间距</w:t>
      </w:r>
      <w:r>
        <w:rPr>
          <w:rFonts w:hint="eastAsia" w:ascii="Arial" w:hAnsi="Arial" w:cs="Arial"/>
          <w:sz w:val="26"/>
          <w:szCs w:val="26"/>
          <w:lang w:eastAsia="zh-CN"/>
        </w:rPr>
        <w:t>≥</w:t>
      </w:r>
      <w:r>
        <w:rPr>
          <w:rFonts w:hint="eastAsia" w:ascii="Arial" w:hAnsi="Arial" w:cs="Arial"/>
          <w:sz w:val="26"/>
          <w:szCs w:val="26"/>
        </w:rPr>
        <w:t>150m处均设置C20砼镇墩。</w:t>
      </w:r>
    </w:p>
    <w:p w14:paraId="6E263BEE">
      <w:pPr>
        <w:spacing w:line="440" w:lineRule="exact"/>
        <w:ind w:firstLine="522" w:firstLineChars="200"/>
        <w:rPr>
          <w:rFonts w:hint="eastAsia" w:ascii="Arial" w:hAnsi="Arial" w:cs="Arial"/>
          <w:b/>
          <w:bCs/>
          <w:sz w:val="26"/>
        </w:rPr>
      </w:pPr>
      <w:r>
        <w:rPr>
          <w:rFonts w:hint="eastAsia" w:ascii="Arial" w:hAnsi="Arial" w:cs="Arial"/>
          <w:b/>
          <w:bCs/>
          <w:sz w:val="26"/>
        </w:rPr>
        <w:t>④</w:t>
      </w:r>
      <w:r>
        <w:rPr>
          <w:rFonts w:hint="eastAsia" w:ascii="Arial" w:hAnsi="Arial" w:cs="Arial"/>
          <w:b/>
          <w:bCs/>
          <w:sz w:val="26"/>
          <w:lang w:val="en-US" w:eastAsia="zh-CN"/>
        </w:rPr>
        <w:t xml:space="preserve"> </w:t>
      </w:r>
      <w:r>
        <w:rPr>
          <w:rFonts w:hint="eastAsia" w:ascii="Arial" w:hAnsi="Arial" w:cs="Arial"/>
          <w:b/>
          <w:bCs/>
          <w:sz w:val="26"/>
        </w:rPr>
        <w:t>樊家湾支管</w:t>
      </w:r>
    </w:p>
    <w:p w14:paraId="29F42F7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樊家湾支管设计线路为：双龙干管3#分水口→樊家湾支管→樊家湾</w:t>
      </w:r>
      <w:r>
        <w:rPr>
          <w:rFonts w:hint="eastAsia" w:ascii="Arial" w:hAnsi="Arial" w:cs="Arial"/>
          <w:sz w:val="26"/>
          <w:szCs w:val="26"/>
          <w:lang w:eastAsia="zh-CN"/>
        </w:rPr>
        <w:t>水池</w:t>
      </w:r>
      <w:r>
        <w:rPr>
          <w:rFonts w:hint="eastAsia" w:ascii="Arial" w:hAnsi="Arial" w:cs="Arial"/>
          <w:sz w:val="26"/>
          <w:szCs w:val="26"/>
        </w:rPr>
        <w:t>。</w:t>
      </w:r>
    </w:p>
    <w:p w14:paraId="168AC6A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樊家湾支管长7</w:t>
      </w:r>
      <w:r>
        <w:rPr>
          <w:rFonts w:hint="eastAsia" w:ascii="Arial" w:hAnsi="Arial" w:cs="Arial"/>
          <w:sz w:val="26"/>
          <w:szCs w:val="26"/>
          <w:lang w:val="en-US" w:eastAsia="zh-CN"/>
        </w:rPr>
        <w:t>10</w:t>
      </w:r>
      <w:r>
        <w:rPr>
          <w:rFonts w:hint="eastAsia" w:ascii="Arial" w:hAnsi="Arial" w:cs="Arial"/>
          <w:sz w:val="26"/>
          <w:szCs w:val="26"/>
        </w:rPr>
        <w:t>m，</w:t>
      </w:r>
      <w:r>
        <w:rPr>
          <w:rFonts w:hint="eastAsia" w:ascii="Arial" w:hAnsi="Arial" w:cs="Arial"/>
          <w:sz w:val="26"/>
          <w:szCs w:val="26"/>
          <w:lang w:eastAsia="zh-CN"/>
        </w:rPr>
        <w:t>桩号为</w:t>
      </w:r>
      <w:r>
        <w:rPr>
          <w:rFonts w:hint="eastAsia" w:ascii="Arial" w:hAnsi="Arial" w:cs="Arial"/>
          <w:sz w:val="26"/>
          <w:szCs w:val="26"/>
          <w:lang w:val="en-US" w:eastAsia="zh-CN"/>
        </w:rPr>
        <w:t>FZ0+000~FZ0+710，</w:t>
      </w:r>
      <w:r>
        <w:rPr>
          <w:rFonts w:hint="eastAsia" w:ascii="Arial" w:hAnsi="Arial" w:cs="Arial"/>
          <w:sz w:val="26"/>
          <w:szCs w:val="26"/>
        </w:rPr>
        <w:t>管首设计流量0.0005m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24B1499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100，2.0Mpa）2套，分水阀（</w:t>
      </w:r>
      <w:r>
        <w:rPr>
          <w:rFonts w:hint="eastAsia" w:ascii="Arial" w:hAnsi="Arial" w:cs="Arial"/>
          <w:sz w:val="26"/>
          <w:szCs w:val="26"/>
          <w:lang w:val="en-US" w:eastAsia="zh-CN"/>
        </w:rPr>
        <w:t>DN</w:t>
      </w:r>
      <w:r>
        <w:rPr>
          <w:rFonts w:hint="eastAsia" w:ascii="Arial" w:hAnsi="Arial" w:cs="Arial"/>
          <w:sz w:val="26"/>
          <w:szCs w:val="26"/>
        </w:rPr>
        <w:t>100，2.0Mpa）1套，检修阀（</w:t>
      </w:r>
      <w:r>
        <w:rPr>
          <w:rFonts w:hint="eastAsia" w:ascii="Arial" w:hAnsi="Arial" w:cs="Arial"/>
          <w:sz w:val="26"/>
          <w:szCs w:val="26"/>
          <w:lang w:val="en-US" w:eastAsia="zh-CN"/>
        </w:rPr>
        <w:t>DN</w:t>
      </w:r>
      <w:r>
        <w:rPr>
          <w:rFonts w:hint="eastAsia" w:ascii="Arial" w:hAnsi="Arial" w:cs="Arial"/>
          <w:sz w:val="26"/>
          <w:szCs w:val="26"/>
        </w:rPr>
        <w:t>100，2.0Mpa）2套；沿线凸起处增设排气阀（</w:t>
      </w:r>
      <w:r>
        <w:rPr>
          <w:rFonts w:hint="eastAsia" w:ascii="Arial" w:hAnsi="Arial" w:cs="Arial"/>
          <w:sz w:val="26"/>
          <w:szCs w:val="26"/>
          <w:lang w:val="en-US" w:eastAsia="zh-CN"/>
        </w:rPr>
        <w:t>DN</w:t>
      </w:r>
      <w:r>
        <w:rPr>
          <w:rFonts w:hint="eastAsia" w:ascii="Arial" w:hAnsi="Arial" w:cs="Arial"/>
          <w:sz w:val="26"/>
          <w:szCs w:val="26"/>
        </w:rPr>
        <w:t>500）共计2个，管道沿线低洼处增设排泥阀（</w:t>
      </w:r>
      <w:r>
        <w:rPr>
          <w:rFonts w:hint="eastAsia" w:ascii="Arial" w:hAnsi="Arial" w:cs="Arial"/>
          <w:sz w:val="26"/>
          <w:szCs w:val="26"/>
          <w:lang w:val="en-US" w:eastAsia="zh-CN"/>
        </w:rPr>
        <w:t>DN</w:t>
      </w:r>
      <w:r>
        <w:rPr>
          <w:rFonts w:hint="eastAsia" w:ascii="Arial" w:hAnsi="Arial" w:cs="Arial"/>
          <w:sz w:val="26"/>
          <w:szCs w:val="26"/>
        </w:rPr>
        <w:t>50）共计2个。</w:t>
      </w:r>
    </w:p>
    <w:p w14:paraId="55696BF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w:t>
      </w:r>
      <w:r>
        <w:rPr>
          <w:rFonts w:hint="eastAsia" w:ascii="Arial" w:hAnsi="Arial" w:cs="Arial"/>
          <w:sz w:val="26"/>
          <w:szCs w:val="26"/>
          <w:lang w:val="en-US" w:eastAsia="zh-CN"/>
        </w:rPr>
        <w:t>FZ</w:t>
      </w:r>
      <w:r>
        <w:rPr>
          <w:rFonts w:hint="eastAsia" w:ascii="Arial" w:hAnsi="Arial" w:cs="Arial"/>
          <w:sz w:val="26"/>
          <w:szCs w:val="26"/>
        </w:rPr>
        <w:t>0+000.0</w:t>
      </w:r>
      <w:r>
        <w:rPr>
          <w:rFonts w:hint="eastAsia" w:ascii="Arial" w:hAnsi="Arial" w:cs="Arial"/>
          <w:sz w:val="26"/>
          <w:szCs w:val="26"/>
          <w:lang w:val="en-US" w:eastAsia="zh-CN"/>
        </w:rPr>
        <w:t>~FZ</w:t>
      </w:r>
      <w:r>
        <w:rPr>
          <w:rFonts w:hint="eastAsia" w:ascii="Arial" w:hAnsi="Arial" w:cs="Arial"/>
          <w:sz w:val="26"/>
          <w:szCs w:val="26"/>
        </w:rPr>
        <w:t>0+524.54段管材采用DN48涂塑钢管，长534.71m；</w:t>
      </w:r>
      <w:r>
        <w:rPr>
          <w:rFonts w:hint="eastAsia" w:ascii="Arial" w:hAnsi="Arial" w:cs="Arial"/>
          <w:sz w:val="26"/>
          <w:szCs w:val="26"/>
          <w:lang w:val="en-US" w:eastAsia="zh-CN"/>
        </w:rPr>
        <w:t>FZ</w:t>
      </w:r>
      <w:r>
        <w:rPr>
          <w:rFonts w:hint="eastAsia" w:ascii="Arial" w:hAnsi="Arial" w:cs="Arial"/>
          <w:sz w:val="26"/>
          <w:szCs w:val="26"/>
        </w:rPr>
        <w:t>0+524.54</w:t>
      </w:r>
      <w:r>
        <w:rPr>
          <w:rFonts w:hint="eastAsia" w:ascii="Arial" w:hAnsi="Arial" w:cs="Arial"/>
          <w:sz w:val="26"/>
          <w:szCs w:val="26"/>
          <w:lang w:val="en-US" w:eastAsia="zh-CN"/>
        </w:rPr>
        <w:t>~FZ</w:t>
      </w:r>
      <w:r>
        <w:rPr>
          <w:rFonts w:hint="eastAsia" w:ascii="Arial" w:hAnsi="Arial" w:cs="Arial"/>
          <w:sz w:val="26"/>
          <w:szCs w:val="26"/>
        </w:rPr>
        <w:t>0+</w:t>
      </w:r>
      <w:r>
        <w:rPr>
          <w:rFonts w:hint="eastAsia" w:ascii="Arial" w:hAnsi="Arial" w:cs="Arial"/>
          <w:sz w:val="26"/>
          <w:szCs w:val="26"/>
          <w:lang w:val="en-US" w:eastAsia="zh-CN"/>
        </w:rPr>
        <w:t>710</w:t>
      </w:r>
      <w:r>
        <w:rPr>
          <w:rFonts w:hint="eastAsia" w:ascii="Arial" w:hAnsi="Arial" w:cs="Arial"/>
          <w:sz w:val="26"/>
          <w:szCs w:val="26"/>
        </w:rPr>
        <w:t>段管材采用1.6Mpa的100级DN32PE管，长173.65m。</w:t>
      </w:r>
    </w:p>
    <w:p w14:paraId="1284263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樊家湾支管进出口和管段间距</w:t>
      </w:r>
      <w:r>
        <w:rPr>
          <w:rFonts w:hint="eastAsia" w:ascii="Arial" w:hAnsi="Arial" w:cs="Arial"/>
          <w:sz w:val="26"/>
          <w:szCs w:val="26"/>
          <w:lang w:eastAsia="zh-CN"/>
        </w:rPr>
        <w:t>≥</w:t>
      </w:r>
      <w:r>
        <w:rPr>
          <w:rFonts w:hint="eastAsia" w:ascii="Arial" w:hAnsi="Arial" w:cs="Arial"/>
          <w:sz w:val="26"/>
          <w:szCs w:val="26"/>
        </w:rPr>
        <w:t>150m处均设置C20砼镇墩。</w:t>
      </w:r>
    </w:p>
    <w:p w14:paraId="00F8051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为满足灌区的灌溉以及供水需求，本次设计时在樊家湾支管</w:t>
      </w:r>
      <w:r>
        <w:rPr>
          <w:rFonts w:hint="eastAsia" w:ascii="Arial" w:hAnsi="Arial" w:cs="Arial"/>
          <w:sz w:val="26"/>
          <w:szCs w:val="26"/>
          <w:lang w:val="en-US" w:eastAsia="zh-CN"/>
        </w:rPr>
        <w:t>FZ</w:t>
      </w:r>
      <w:r>
        <w:rPr>
          <w:rFonts w:hint="eastAsia" w:ascii="Arial" w:hAnsi="Arial" w:cs="Arial"/>
          <w:sz w:val="26"/>
          <w:szCs w:val="26"/>
        </w:rPr>
        <w:t>0+685.54</w:t>
      </w:r>
      <w:r>
        <w:rPr>
          <w:rFonts w:hint="eastAsia" w:ascii="Arial" w:hAnsi="Arial" w:cs="Arial"/>
          <w:sz w:val="26"/>
          <w:szCs w:val="26"/>
          <w:lang w:eastAsia="zh-CN"/>
        </w:rPr>
        <w:t>处</w:t>
      </w:r>
      <w:r>
        <w:rPr>
          <w:rFonts w:hint="eastAsia" w:ascii="Arial" w:hAnsi="Arial" w:cs="Arial"/>
          <w:sz w:val="26"/>
          <w:szCs w:val="26"/>
        </w:rPr>
        <w:t>设置有1</w:t>
      </w:r>
      <w:r>
        <w:rPr>
          <w:rFonts w:hint="eastAsia" w:ascii="Arial" w:hAnsi="Arial" w:cs="Arial"/>
          <w:sz w:val="26"/>
          <w:szCs w:val="26"/>
          <w:lang w:eastAsia="zh-CN"/>
        </w:rPr>
        <w:t>个</w:t>
      </w:r>
      <w:r>
        <w:rPr>
          <w:rFonts w:hint="eastAsia" w:ascii="Arial" w:hAnsi="Arial" w:cs="Arial"/>
          <w:sz w:val="26"/>
          <w:szCs w:val="26"/>
        </w:rPr>
        <w:t>分水阀。</w:t>
      </w:r>
    </w:p>
    <w:p w14:paraId="48A69E3A">
      <w:pPr>
        <w:spacing w:line="440" w:lineRule="exact"/>
        <w:ind w:firstLine="522" w:firstLineChars="200"/>
        <w:rPr>
          <w:rFonts w:hint="eastAsia" w:ascii="Arial" w:hAnsi="Arial" w:cs="Arial"/>
          <w:b/>
          <w:bCs/>
          <w:sz w:val="26"/>
        </w:rPr>
      </w:pPr>
      <w:r>
        <w:rPr>
          <w:rFonts w:hint="eastAsia" w:ascii="Arial" w:hAnsi="Arial" w:cs="Arial"/>
          <w:b/>
          <w:bCs/>
          <w:sz w:val="26"/>
        </w:rPr>
        <w:t>⑤</w:t>
      </w:r>
      <w:r>
        <w:rPr>
          <w:rFonts w:hint="eastAsia" w:ascii="Arial" w:hAnsi="Arial" w:cs="Arial"/>
          <w:b/>
          <w:bCs/>
          <w:sz w:val="26"/>
          <w:lang w:val="en-US" w:eastAsia="zh-CN"/>
        </w:rPr>
        <w:t xml:space="preserve"> </w:t>
      </w:r>
      <w:r>
        <w:rPr>
          <w:rFonts w:hint="eastAsia" w:ascii="Arial" w:hAnsi="Arial" w:cs="Arial"/>
          <w:b/>
          <w:bCs/>
          <w:sz w:val="26"/>
        </w:rPr>
        <w:t>鸦雀湾支管</w:t>
      </w:r>
    </w:p>
    <w:p w14:paraId="027ED29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鸦雀湾支管设计线路为：双龙干管4#分水口→鸦雀湾支管→鸦雀湾</w:t>
      </w:r>
      <w:r>
        <w:rPr>
          <w:rFonts w:hint="eastAsia" w:ascii="Arial" w:hAnsi="Arial" w:cs="Arial"/>
          <w:sz w:val="26"/>
          <w:szCs w:val="26"/>
          <w:lang w:eastAsia="zh-CN"/>
        </w:rPr>
        <w:t>水池</w:t>
      </w:r>
      <w:r>
        <w:rPr>
          <w:rFonts w:hint="eastAsia" w:ascii="Arial" w:hAnsi="Arial" w:cs="Arial"/>
          <w:sz w:val="26"/>
          <w:szCs w:val="26"/>
        </w:rPr>
        <w:t>。</w:t>
      </w:r>
    </w:p>
    <w:p w14:paraId="2E6B173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鸦雀湾支管长610m，</w:t>
      </w:r>
      <w:r>
        <w:rPr>
          <w:rFonts w:hint="eastAsia" w:ascii="Arial" w:hAnsi="Arial" w:cs="Arial"/>
          <w:sz w:val="26"/>
          <w:szCs w:val="26"/>
          <w:lang w:eastAsia="zh-CN"/>
        </w:rPr>
        <w:t>桩号为</w:t>
      </w:r>
      <w:r>
        <w:rPr>
          <w:rFonts w:hint="eastAsia" w:ascii="Arial" w:hAnsi="Arial" w:cs="Arial"/>
          <w:sz w:val="26"/>
          <w:szCs w:val="26"/>
          <w:lang w:val="en-US" w:eastAsia="zh-CN"/>
        </w:rPr>
        <w:t>YZ0+000~YZ0+610，</w:t>
      </w:r>
      <w:r>
        <w:rPr>
          <w:rFonts w:hint="eastAsia" w:ascii="Arial" w:hAnsi="Arial" w:cs="Arial"/>
          <w:sz w:val="26"/>
          <w:szCs w:val="26"/>
        </w:rPr>
        <w:t>管首设计流量0.0002m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3485EFE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100，2.0Mpa）2套，检修阀（</w:t>
      </w:r>
      <w:r>
        <w:rPr>
          <w:rFonts w:hint="eastAsia" w:ascii="Arial" w:hAnsi="Arial" w:cs="Arial"/>
          <w:sz w:val="26"/>
          <w:szCs w:val="26"/>
          <w:lang w:val="en-US" w:eastAsia="zh-CN"/>
        </w:rPr>
        <w:t>DN</w:t>
      </w:r>
      <w:r>
        <w:rPr>
          <w:rFonts w:hint="eastAsia" w:ascii="Arial" w:hAnsi="Arial" w:cs="Arial"/>
          <w:sz w:val="26"/>
          <w:szCs w:val="26"/>
        </w:rPr>
        <w:t>100，2.0Mpa）1套；沿线凸起处增设排气阀（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500）共计2个，管道沿线低洼处增设排泥阀（</w:t>
      </w:r>
      <w:r>
        <w:rPr>
          <w:rFonts w:hint="eastAsia" w:ascii="Arial" w:hAnsi="Arial" w:cs="Arial"/>
          <w:sz w:val="26"/>
          <w:szCs w:val="26"/>
          <w:lang w:val="en-US" w:eastAsia="zh-CN"/>
        </w:rPr>
        <w:t>DN</w:t>
      </w:r>
      <w:r>
        <w:rPr>
          <w:rFonts w:hint="eastAsia" w:ascii="Arial" w:hAnsi="Arial" w:cs="Arial"/>
          <w:sz w:val="26"/>
          <w:szCs w:val="26"/>
        </w:rPr>
        <w:t>50）共计2个。</w:t>
      </w:r>
    </w:p>
    <w:p w14:paraId="507AD60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w:t>
      </w:r>
      <w:r>
        <w:rPr>
          <w:rFonts w:hint="eastAsia" w:ascii="Arial" w:hAnsi="Arial" w:cs="Arial"/>
          <w:sz w:val="26"/>
          <w:szCs w:val="26"/>
          <w:lang w:val="en-US" w:eastAsia="zh-CN"/>
        </w:rPr>
        <w:t>YZ</w:t>
      </w:r>
      <w:r>
        <w:rPr>
          <w:rFonts w:hint="eastAsia" w:ascii="Arial" w:hAnsi="Arial" w:cs="Arial"/>
          <w:sz w:val="26"/>
          <w:szCs w:val="26"/>
        </w:rPr>
        <w:t>0+000.0</w:t>
      </w:r>
      <w:r>
        <w:rPr>
          <w:rFonts w:hint="eastAsia" w:ascii="Arial" w:hAnsi="Arial" w:cs="Arial"/>
          <w:sz w:val="26"/>
          <w:szCs w:val="26"/>
          <w:lang w:val="en-US" w:eastAsia="zh-CN"/>
        </w:rPr>
        <w:t>~YZ</w:t>
      </w:r>
      <w:r>
        <w:rPr>
          <w:rFonts w:hint="eastAsia" w:ascii="Arial" w:hAnsi="Arial" w:cs="Arial"/>
          <w:sz w:val="26"/>
          <w:szCs w:val="26"/>
        </w:rPr>
        <w:t>0+</w:t>
      </w:r>
      <w:r>
        <w:rPr>
          <w:rFonts w:hint="eastAsia" w:ascii="Arial" w:hAnsi="Arial" w:cs="Arial"/>
          <w:sz w:val="26"/>
          <w:szCs w:val="26"/>
          <w:lang w:val="en-US" w:eastAsia="zh-CN"/>
        </w:rPr>
        <w:t>610</w:t>
      </w:r>
      <w:r>
        <w:rPr>
          <w:rFonts w:hint="eastAsia" w:ascii="Arial" w:hAnsi="Arial" w:cs="Arial"/>
          <w:sz w:val="26"/>
          <w:szCs w:val="26"/>
        </w:rPr>
        <w:t>段管材采用DN32涂塑钢管，长610m。</w:t>
      </w:r>
    </w:p>
    <w:p w14:paraId="5A022AD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鸦雀湾支管进出口和管段间距</w:t>
      </w:r>
      <w:r>
        <w:rPr>
          <w:rFonts w:hint="eastAsia" w:ascii="Arial" w:hAnsi="Arial" w:cs="Arial"/>
          <w:sz w:val="26"/>
          <w:szCs w:val="26"/>
          <w:lang w:eastAsia="zh-CN"/>
        </w:rPr>
        <w:t>≥</w:t>
      </w:r>
      <w:r>
        <w:rPr>
          <w:rFonts w:hint="eastAsia" w:ascii="Arial" w:hAnsi="Arial" w:cs="Arial"/>
          <w:sz w:val="26"/>
          <w:szCs w:val="26"/>
        </w:rPr>
        <w:t>150m处均设置C20砼镇墩。</w:t>
      </w:r>
    </w:p>
    <w:p w14:paraId="16E51AF7">
      <w:pPr>
        <w:spacing w:line="440" w:lineRule="exact"/>
        <w:ind w:firstLine="522" w:firstLineChars="200"/>
        <w:rPr>
          <w:rFonts w:hint="eastAsia" w:ascii="Arial" w:hAnsi="Arial" w:cs="Arial"/>
          <w:b/>
          <w:bCs/>
          <w:sz w:val="26"/>
        </w:rPr>
      </w:pPr>
      <w:r>
        <w:rPr>
          <w:rFonts w:hint="eastAsia" w:ascii="Arial" w:hAnsi="Arial" w:cs="Arial"/>
          <w:b/>
          <w:bCs/>
          <w:sz w:val="26"/>
        </w:rPr>
        <w:t>⑥</w:t>
      </w:r>
      <w:r>
        <w:rPr>
          <w:rFonts w:hint="eastAsia" w:ascii="Arial" w:hAnsi="Arial" w:cs="Arial"/>
          <w:b/>
          <w:bCs/>
          <w:sz w:val="26"/>
          <w:lang w:val="en-US" w:eastAsia="zh-CN"/>
        </w:rPr>
        <w:t xml:space="preserve"> </w:t>
      </w:r>
      <w:r>
        <w:rPr>
          <w:rFonts w:hint="eastAsia" w:ascii="Arial" w:hAnsi="Arial" w:cs="Arial"/>
          <w:b/>
          <w:bCs/>
          <w:sz w:val="26"/>
        </w:rPr>
        <w:t>三角冲支管</w:t>
      </w:r>
    </w:p>
    <w:p w14:paraId="1CB0257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三角冲支管设计线路为：樊家湾支管分水口→三角冲支管→三角冲</w:t>
      </w:r>
      <w:r>
        <w:rPr>
          <w:rFonts w:hint="eastAsia" w:ascii="Arial" w:hAnsi="Arial" w:cs="Arial"/>
          <w:sz w:val="26"/>
          <w:szCs w:val="26"/>
          <w:lang w:eastAsia="zh-CN"/>
        </w:rPr>
        <w:t>水池</w:t>
      </w:r>
      <w:r>
        <w:rPr>
          <w:rFonts w:hint="eastAsia" w:ascii="Arial" w:hAnsi="Arial" w:cs="Arial"/>
          <w:sz w:val="26"/>
          <w:szCs w:val="26"/>
        </w:rPr>
        <w:t>。</w:t>
      </w:r>
    </w:p>
    <w:p w14:paraId="10B27F3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三角冲支管长3</w:t>
      </w:r>
      <w:r>
        <w:rPr>
          <w:rFonts w:hint="eastAsia" w:ascii="Arial" w:hAnsi="Arial" w:cs="Arial"/>
          <w:sz w:val="26"/>
          <w:szCs w:val="26"/>
          <w:lang w:val="en-US" w:eastAsia="zh-CN"/>
        </w:rPr>
        <w:t>10</w:t>
      </w:r>
      <w:r>
        <w:rPr>
          <w:rFonts w:hint="eastAsia" w:ascii="Arial" w:hAnsi="Arial" w:cs="Arial"/>
          <w:sz w:val="26"/>
          <w:szCs w:val="26"/>
        </w:rPr>
        <w:t>m，</w:t>
      </w:r>
      <w:r>
        <w:rPr>
          <w:rFonts w:hint="eastAsia" w:ascii="Arial" w:hAnsi="Arial" w:cs="Arial"/>
          <w:sz w:val="26"/>
          <w:szCs w:val="26"/>
          <w:lang w:eastAsia="zh-CN"/>
        </w:rPr>
        <w:t>桩号为</w:t>
      </w:r>
      <w:r>
        <w:rPr>
          <w:rFonts w:hint="eastAsia" w:ascii="Arial" w:hAnsi="Arial" w:cs="Arial"/>
          <w:sz w:val="26"/>
          <w:szCs w:val="26"/>
          <w:lang w:val="en-US" w:eastAsia="zh-CN"/>
        </w:rPr>
        <w:t>SZ0+000~SZ0+310，</w:t>
      </w:r>
      <w:r>
        <w:rPr>
          <w:rFonts w:hint="eastAsia" w:ascii="Arial" w:hAnsi="Arial" w:cs="Arial"/>
          <w:sz w:val="26"/>
          <w:szCs w:val="26"/>
        </w:rPr>
        <w:t>管首设计流量0.0002m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0266384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三角冲支管管首配套流量计（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100，2.0Mpa）1套，检修阀（</w:t>
      </w:r>
      <w:r>
        <w:rPr>
          <w:rFonts w:hint="eastAsia" w:ascii="Arial" w:hAnsi="Arial" w:cs="Arial"/>
          <w:sz w:val="26"/>
          <w:szCs w:val="26"/>
          <w:lang w:val="en-US" w:eastAsia="zh-CN"/>
        </w:rPr>
        <w:t>DN</w:t>
      </w:r>
      <w:r>
        <w:rPr>
          <w:rFonts w:hint="eastAsia" w:ascii="Arial" w:hAnsi="Arial" w:cs="Arial"/>
          <w:sz w:val="26"/>
          <w:szCs w:val="26"/>
        </w:rPr>
        <w:t>100，2.0Mpa）1套；沿线凸起处增设排气阀（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500）共计4个，管道沿线低洼处增设排泥阀（</w:t>
      </w:r>
      <w:r>
        <w:rPr>
          <w:rFonts w:hint="eastAsia" w:ascii="Arial" w:hAnsi="Arial" w:cs="Arial"/>
          <w:sz w:val="26"/>
          <w:szCs w:val="26"/>
          <w:lang w:val="en-US" w:eastAsia="zh-CN"/>
        </w:rPr>
        <w:t>ND</w:t>
      </w:r>
      <w:r>
        <w:rPr>
          <w:rFonts w:hint="eastAsia" w:ascii="Arial" w:hAnsi="Arial" w:cs="Arial"/>
          <w:sz w:val="26"/>
          <w:szCs w:val="26"/>
        </w:rPr>
        <w:t>50）共计4个。</w:t>
      </w:r>
    </w:p>
    <w:p w14:paraId="3E72F91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三角冲支管管材采用1.6Mpa的100级DN32PE管，长3</w:t>
      </w:r>
      <w:r>
        <w:rPr>
          <w:rFonts w:hint="eastAsia" w:ascii="Arial" w:hAnsi="Arial" w:cs="Arial"/>
          <w:sz w:val="26"/>
          <w:szCs w:val="26"/>
          <w:lang w:val="en-US" w:eastAsia="zh-CN"/>
        </w:rPr>
        <w:t>10</w:t>
      </w:r>
      <w:r>
        <w:rPr>
          <w:rFonts w:hint="eastAsia" w:ascii="Arial" w:hAnsi="Arial" w:cs="Arial"/>
          <w:sz w:val="26"/>
          <w:szCs w:val="26"/>
        </w:rPr>
        <w:t>m。</w:t>
      </w:r>
    </w:p>
    <w:p w14:paraId="25CBB25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zh-CN"/>
        </w:rPr>
      </w:pPr>
      <w:r>
        <w:rPr>
          <w:rFonts w:hint="eastAsia" w:ascii="Arial" w:hAnsi="Arial" w:cs="Arial"/>
          <w:sz w:val="26"/>
          <w:szCs w:val="26"/>
        </w:rPr>
        <w:t>三角冲支管进出口和管段间距</w:t>
      </w:r>
      <w:r>
        <w:rPr>
          <w:rFonts w:hint="eastAsia" w:ascii="Arial" w:hAnsi="Arial" w:cs="Arial"/>
          <w:sz w:val="26"/>
          <w:szCs w:val="26"/>
          <w:lang w:eastAsia="zh-CN"/>
        </w:rPr>
        <w:t>≥</w:t>
      </w:r>
      <w:r>
        <w:rPr>
          <w:rFonts w:hint="eastAsia" w:ascii="Arial" w:hAnsi="Arial" w:cs="Arial"/>
          <w:sz w:val="26"/>
          <w:szCs w:val="26"/>
        </w:rPr>
        <w:t>150m处均设置C20砼镇墩</w:t>
      </w:r>
      <w:r>
        <w:rPr>
          <w:rFonts w:hint="default" w:ascii="Arial" w:hAnsi="Arial" w:cs="Arial"/>
          <w:sz w:val="26"/>
          <w:szCs w:val="26"/>
          <w:lang w:val="zh-CN"/>
        </w:rPr>
        <w:t>。</w:t>
      </w:r>
    </w:p>
    <w:p w14:paraId="3F2B9C5A">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lang w:val="zh-CN"/>
        </w:rPr>
      </w:pPr>
      <w:r>
        <w:rPr>
          <w:rFonts w:hint="eastAsia" w:ascii="Arial" w:hAnsi="Arial" w:cs="Arial"/>
          <w:b/>
          <w:bCs/>
          <w:sz w:val="26"/>
          <w:lang w:val="zh-CN"/>
        </w:rPr>
        <w:t>⑦</w:t>
      </w:r>
      <w:r>
        <w:rPr>
          <w:rFonts w:hint="eastAsia" w:ascii="Arial" w:hAnsi="Arial" w:cs="Arial"/>
          <w:b/>
          <w:bCs/>
          <w:sz w:val="26"/>
          <w:lang w:val="en-US" w:eastAsia="zh-CN"/>
        </w:rPr>
        <w:t xml:space="preserve"> </w:t>
      </w:r>
      <w:r>
        <w:rPr>
          <w:rFonts w:hint="eastAsia" w:ascii="Arial" w:hAnsi="Arial" w:cs="Arial"/>
          <w:b/>
          <w:bCs/>
          <w:sz w:val="26"/>
          <w:lang w:val="zh-CN"/>
        </w:rPr>
        <w:t>小结</w:t>
      </w:r>
    </w:p>
    <w:p w14:paraId="72695E7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eastAsia="zh-CN"/>
        </w:rPr>
        <w:t>结合各输水管线走向，共有</w:t>
      </w:r>
      <w:r>
        <w:rPr>
          <w:rFonts w:hint="eastAsia" w:ascii="Arial" w:hAnsi="Arial" w:cs="Arial"/>
          <w:sz w:val="26"/>
          <w:szCs w:val="26"/>
          <w:lang w:val="en-US" w:eastAsia="zh-CN"/>
        </w:rPr>
        <w:t>5处穿越现状河道，其中1次穿越海螺沟、3次穿越高洞桥河、1次穿越双龙河，采用顶管、定向钻等不涉水施工工艺。</w:t>
      </w:r>
    </w:p>
    <w:p w14:paraId="19E26C0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eastAsia="宋体" w:cs="Arial"/>
          <w:b/>
          <w:sz w:val="26"/>
          <w:szCs w:val="26"/>
          <w:lang w:eastAsia="zh-CN"/>
        </w:rPr>
      </w:pPr>
      <w:r>
        <w:rPr>
          <w:rFonts w:hint="eastAsia" w:ascii="Arial" w:hAnsi="Arial" w:cs="Arial"/>
          <w:b/>
          <w:bCs/>
          <w:sz w:val="26"/>
          <w:szCs w:val="26"/>
        </w:rPr>
        <w:t>表2</w:t>
      </w:r>
      <w:r>
        <w:rPr>
          <w:rFonts w:hint="eastAsia" w:ascii="Arial" w:hAnsi="Arial" w:cs="Arial"/>
          <w:b/>
          <w:bCs/>
          <w:sz w:val="26"/>
          <w:szCs w:val="26"/>
          <w:lang w:val="en-US" w:eastAsia="zh-CN"/>
        </w:rPr>
        <w:t>.2</w:t>
      </w:r>
      <w:r>
        <w:rPr>
          <w:rFonts w:hint="eastAsia" w:ascii="Arial" w:hAnsi="Arial" w:cs="Arial"/>
          <w:b/>
          <w:bCs/>
          <w:sz w:val="26"/>
          <w:szCs w:val="26"/>
        </w:rPr>
        <w:t>-</w:t>
      </w:r>
      <w:r>
        <w:rPr>
          <w:rFonts w:hint="eastAsia" w:ascii="Arial" w:hAnsi="Arial" w:cs="Arial"/>
          <w:b/>
          <w:bCs/>
          <w:sz w:val="26"/>
          <w:szCs w:val="26"/>
          <w:lang w:val="en-US" w:eastAsia="zh-CN"/>
        </w:rPr>
        <w:t>4</w:t>
      </w:r>
      <w:r>
        <w:rPr>
          <w:rFonts w:hint="eastAsia" w:ascii="Arial" w:hAnsi="Arial" w:cs="Arial"/>
          <w:b/>
          <w:bCs/>
          <w:sz w:val="26"/>
          <w:szCs w:val="26"/>
        </w:rPr>
        <w:t xml:space="preserve"> </w:t>
      </w:r>
      <w:r>
        <w:rPr>
          <w:rFonts w:hint="eastAsia" w:ascii="Arial" w:hAnsi="Arial" w:cs="Arial"/>
          <w:b/>
          <w:bCs/>
          <w:sz w:val="26"/>
          <w:szCs w:val="26"/>
          <w:lang w:eastAsia="zh-CN"/>
        </w:rPr>
        <w:t>海螺沟</w:t>
      </w:r>
      <w:r>
        <w:rPr>
          <w:rFonts w:hint="eastAsia" w:ascii="Arial" w:hAnsi="Arial" w:cs="Arial"/>
          <w:b/>
          <w:bCs/>
          <w:sz w:val="26"/>
          <w:szCs w:val="26"/>
        </w:rPr>
        <w:t>水库</w:t>
      </w:r>
      <w:r>
        <w:rPr>
          <w:rFonts w:hint="eastAsia" w:ascii="Arial" w:hAnsi="Arial" w:cs="Arial"/>
          <w:b/>
          <w:bCs/>
          <w:sz w:val="26"/>
          <w:szCs w:val="26"/>
          <w:lang w:eastAsia="zh-CN"/>
        </w:rPr>
        <w:t>输送管线跨越河流情况一览表</w:t>
      </w:r>
    </w:p>
    <w:tbl>
      <w:tblPr>
        <w:tblStyle w:val="77"/>
        <w:tblW w:w="91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6"/>
        <w:gridCol w:w="1398"/>
        <w:gridCol w:w="1198"/>
        <w:gridCol w:w="2812"/>
        <w:gridCol w:w="2883"/>
      </w:tblGrid>
      <w:tr w14:paraId="230EE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866" w:type="dxa"/>
            <w:noWrap w:val="0"/>
            <w:vAlign w:val="center"/>
          </w:tcPr>
          <w:p w14:paraId="41E3A378">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序号</w:t>
            </w:r>
          </w:p>
        </w:tc>
        <w:tc>
          <w:tcPr>
            <w:tcW w:w="1398" w:type="dxa"/>
            <w:noWrap w:val="0"/>
            <w:vAlign w:val="center"/>
          </w:tcPr>
          <w:p w14:paraId="31D547FC">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宋体" w:cs="Arial"/>
                <w:color w:val="auto"/>
                <w:spacing w:val="-4"/>
                <w:sz w:val="22"/>
                <w:szCs w:val="22"/>
                <w:lang w:eastAsia="zh-CN"/>
              </w:rPr>
              <w:t>管线名称</w:t>
            </w:r>
          </w:p>
        </w:tc>
        <w:tc>
          <w:tcPr>
            <w:tcW w:w="1198" w:type="dxa"/>
            <w:noWrap w:val="0"/>
            <w:vAlign w:val="center"/>
          </w:tcPr>
          <w:p w14:paraId="1FC9AE83">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跨越河流</w:t>
            </w:r>
          </w:p>
        </w:tc>
        <w:tc>
          <w:tcPr>
            <w:tcW w:w="2812" w:type="dxa"/>
            <w:noWrap w:val="0"/>
            <w:vAlign w:val="center"/>
          </w:tcPr>
          <w:p w14:paraId="11141823">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管线桩号</w:t>
            </w:r>
          </w:p>
        </w:tc>
        <w:tc>
          <w:tcPr>
            <w:tcW w:w="2883" w:type="dxa"/>
            <w:noWrap w:val="0"/>
            <w:vAlign w:val="center"/>
          </w:tcPr>
          <w:p w14:paraId="3DEA2FFB">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备注</w:t>
            </w:r>
          </w:p>
        </w:tc>
      </w:tr>
      <w:tr w14:paraId="268A1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66" w:type="dxa"/>
            <w:noWrap w:val="0"/>
            <w:vAlign w:val="center"/>
          </w:tcPr>
          <w:p w14:paraId="229B217A">
            <w:pPr>
              <w:adjustRightInd w:val="0"/>
              <w:snapToGrid w:val="0"/>
              <w:spacing w:line="300" w:lineRule="exact"/>
              <w:jc w:val="center"/>
              <w:rPr>
                <w:rFonts w:ascii="Arial" w:hAnsi="Arial" w:cs="Arial"/>
                <w:color w:val="auto"/>
                <w:spacing w:val="-4"/>
                <w:sz w:val="22"/>
                <w:szCs w:val="22"/>
              </w:rPr>
            </w:pPr>
            <w:r>
              <w:rPr>
                <w:rFonts w:hint="eastAsia" w:ascii="Arial" w:hAnsi="Arial" w:cs="Arial"/>
                <w:color w:val="auto"/>
                <w:spacing w:val="-4"/>
                <w:sz w:val="22"/>
                <w:szCs w:val="22"/>
              </w:rPr>
              <w:t>1</w:t>
            </w:r>
          </w:p>
        </w:tc>
        <w:tc>
          <w:tcPr>
            <w:tcW w:w="1398" w:type="dxa"/>
            <w:vMerge w:val="restart"/>
            <w:noWrap w:val="0"/>
            <w:vAlign w:val="center"/>
          </w:tcPr>
          <w:p w14:paraId="0E19F2DE">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范家湾支管</w:t>
            </w:r>
          </w:p>
        </w:tc>
        <w:tc>
          <w:tcPr>
            <w:tcW w:w="1198" w:type="dxa"/>
            <w:noWrap w:val="0"/>
            <w:vAlign w:val="center"/>
          </w:tcPr>
          <w:p w14:paraId="160A0857">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海螺沟</w:t>
            </w:r>
          </w:p>
        </w:tc>
        <w:tc>
          <w:tcPr>
            <w:tcW w:w="2812" w:type="dxa"/>
            <w:noWrap w:val="0"/>
            <w:vAlign w:val="center"/>
          </w:tcPr>
          <w:p w14:paraId="137E3D01">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FZ0+000</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FZ0+014</w:t>
            </w:r>
          </w:p>
        </w:tc>
        <w:tc>
          <w:tcPr>
            <w:tcW w:w="2883" w:type="dxa"/>
            <w:vMerge w:val="restart"/>
            <w:noWrap w:val="0"/>
            <w:vAlign w:val="center"/>
          </w:tcPr>
          <w:p w14:paraId="4F5D8CC8">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均为</w:t>
            </w:r>
            <w:r>
              <w:rPr>
                <w:rFonts w:hint="eastAsia" w:ascii="Arial" w:hAnsi="Arial" w:cs="Arial"/>
                <w:color w:val="auto"/>
                <w:spacing w:val="-4"/>
                <w:sz w:val="22"/>
                <w:szCs w:val="22"/>
              </w:rPr>
              <w:t>Ⅲ类水域，</w:t>
            </w:r>
            <w:r>
              <w:rPr>
                <w:rFonts w:hint="eastAsia" w:ascii="Arial" w:hAnsi="Arial" w:cs="Arial"/>
                <w:color w:val="auto"/>
                <w:spacing w:val="-4"/>
                <w:sz w:val="22"/>
                <w:szCs w:val="22"/>
                <w:lang w:eastAsia="zh-CN"/>
              </w:rPr>
              <w:t>下游无饮用水取水点</w:t>
            </w:r>
          </w:p>
        </w:tc>
      </w:tr>
      <w:tr w14:paraId="54176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66" w:type="dxa"/>
            <w:noWrap w:val="0"/>
            <w:vAlign w:val="center"/>
          </w:tcPr>
          <w:p w14:paraId="002E5159">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2</w:t>
            </w:r>
          </w:p>
        </w:tc>
        <w:tc>
          <w:tcPr>
            <w:tcW w:w="1398" w:type="dxa"/>
            <w:vMerge w:val="continue"/>
            <w:noWrap w:val="0"/>
            <w:vAlign w:val="center"/>
          </w:tcPr>
          <w:p w14:paraId="4BA42D9B">
            <w:pPr>
              <w:adjustRightInd w:val="0"/>
              <w:snapToGrid w:val="0"/>
              <w:spacing w:line="300" w:lineRule="exact"/>
              <w:jc w:val="center"/>
              <w:rPr>
                <w:rFonts w:hint="eastAsia" w:ascii="Arial" w:hAnsi="Arial" w:cs="Arial"/>
                <w:color w:val="auto"/>
                <w:spacing w:val="-4"/>
                <w:sz w:val="22"/>
                <w:szCs w:val="22"/>
                <w:lang w:eastAsia="zh-CN"/>
              </w:rPr>
            </w:pPr>
          </w:p>
        </w:tc>
        <w:tc>
          <w:tcPr>
            <w:tcW w:w="1198" w:type="dxa"/>
            <w:noWrap w:val="0"/>
            <w:vAlign w:val="center"/>
          </w:tcPr>
          <w:p w14:paraId="58DA3015">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高洞桥河</w:t>
            </w:r>
          </w:p>
        </w:tc>
        <w:tc>
          <w:tcPr>
            <w:tcW w:w="2812" w:type="dxa"/>
            <w:noWrap w:val="0"/>
            <w:vAlign w:val="center"/>
          </w:tcPr>
          <w:p w14:paraId="38F6D81C">
            <w:pPr>
              <w:adjustRightInd w:val="0"/>
              <w:snapToGrid w:val="0"/>
              <w:spacing w:line="300" w:lineRule="exact"/>
              <w:jc w:val="center"/>
              <w:rPr>
                <w:rFonts w:hint="default" w:ascii="Arial" w:hAnsi="Arial" w:cs="Arial"/>
                <w:color w:val="auto"/>
                <w:spacing w:val="-4"/>
                <w:sz w:val="22"/>
                <w:szCs w:val="22"/>
                <w:lang w:val="en-US"/>
              </w:rPr>
            </w:pPr>
            <w:r>
              <w:rPr>
                <w:rFonts w:hint="eastAsia" w:ascii="Arial" w:hAnsi="Arial" w:cs="Arial"/>
                <w:color w:val="auto"/>
                <w:spacing w:val="-4"/>
                <w:sz w:val="22"/>
                <w:szCs w:val="22"/>
                <w:lang w:val="en-US" w:eastAsia="zh-CN"/>
              </w:rPr>
              <w:t>FZ1+289</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FZ1+297</w:t>
            </w:r>
          </w:p>
        </w:tc>
        <w:tc>
          <w:tcPr>
            <w:tcW w:w="2883" w:type="dxa"/>
            <w:vMerge w:val="continue"/>
            <w:noWrap w:val="0"/>
            <w:vAlign w:val="center"/>
          </w:tcPr>
          <w:p w14:paraId="59329C20">
            <w:pPr>
              <w:adjustRightInd w:val="0"/>
              <w:snapToGrid w:val="0"/>
              <w:spacing w:line="300" w:lineRule="exact"/>
              <w:jc w:val="center"/>
              <w:rPr>
                <w:rFonts w:ascii="Arial" w:hAnsi="Arial" w:cs="Arial"/>
                <w:color w:val="auto"/>
                <w:spacing w:val="-4"/>
                <w:sz w:val="22"/>
                <w:szCs w:val="22"/>
              </w:rPr>
            </w:pPr>
          </w:p>
        </w:tc>
      </w:tr>
      <w:tr w14:paraId="5B11B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66" w:type="dxa"/>
            <w:noWrap w:val="0"/>
            <w:vAlign w:val="center"/>
          </w:tcPr>
          <w:p w14:paraId="1B23B201">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3</w:t>
            </w:r>
          </w:p>
        </w:tc>
        <w:tc>
          <w:tcPr>
            <w:tcW w:w="1398" w:type="dxa"/>
            <w:noWrap w:val="0"/>
            <w:vAlign w:val="center"/>
          </w:tcPr>
          <w:p w14:paraId="389700AF">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樊家湾支管</w:t>
            </w:r>
          </w:p>
        </w:tc>
        <w:tc>
          <w:tcPr>
            <w:tcW w:w="1198" w:type="dxa"/>
            <w:noWrap w:val="0"/>
            <w:vAlign w:val="center"/>
          </w:tcPr>
          <w:p w14:paraId="6D272958">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高洞桥河</w:t>
            </w:r>
          </w:p>
        </w:tc>
        <w:tc>
          <w:tcPr>
            <w:tcW w:w="2812" w:type="dxa"/>
            <w:noWrap w:val="0"/>
            <w:vAlign w:val="center"/>
          </w:tcPr>
          <w:p w14:paraId="153B3797">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FZ0+258</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FZ0+293</w:t>
            </w:r>
          </w:p>
        </w:tc>
        <w:tc>
          <w:tcPr>
            <w:tcW w:w="2883" w:type="dxa"/>
            <w:vMerge w:val="continue"/>
            <w:noWrap w:val="0"/>
            <w:vAlign w:val="center"/>
          </w:tcPr>
          <w:p w14:paraId="6E2A93DA">
            <w:pPr>
              <w:adjustRightInd w:val="0"/>
              <w:snapToGrid w:val="0"/>
              <w:spacing w:line="300" w:lineRule="exact"/>
              <w:jc w:val="center"/>
              <w:rPr>
                <w:rFonts w:ascii="Arial" w:hAnsi="Arial" w:cs="Arial"/>
                <w:color w:val="auto"/>
                <w:spacing w:val="-4"/>
                <w:sz w:val="22"/>
                <w:szCs w:val="22"/>
              </w:rPr>
            </w:pPr>
          </w:p>
        </w:tc>
      </w:tr>
      <w:tr w14:paraId="4CF58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66" w:type="dxa"/>
            <w:noWrap w:val="0"/>
            <w:vAlign w:val="center"/>
          </w:tcPr>
          <w:p w14:paraId="6579C11D">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398" w:type="dxa"/>
            <w:noWrap w:val="0"/>
            <w:vAlign w:val="center"/>
          </w:tcPr>
          <w:p w14:paraId="0CEA3896">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鸦雀湾支管</w:t>
            </w:r>
          </w:p>
        </w:tc>
        <w:tc>
          <w:tcPr>
            <w:tcW w:w="1198" w:type="dxa"/>
            <w:noWrap w:val="0"/>
            <w:vAlign w:val="center"/>
          </w:tcPr>
          <w:p w14:paraId="02B35B54">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高洞桥河</w:t>
            </w:r>
          </w:p>
        </w:tc>
        <w:tc>
          <w:tcPr>
            <w:tcW w:w="2812" w:type="dxa"/>
            <w:noWrap w:val="0"/>
            <w:vAlign w:val="center"/>
          </w:tcPr>
          <w:p w14:paraId="795C3B75">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YZ0+272~YZ0+291</w:t>
            </w:r>
          </w:p>
        </w:tc>
        <w:tc>
          <w:tcPr>
            <w:tcW w:w="2883" w:type="dxa"/>
            <w:vMerge w:val="continue"/>
            <w:noWrap w:val="0"/>
            <w:vAlign w:val="center"/>
          </w:tcPr>
          <w:p w14:paraId="76734F12">
            <w:pPr>
              <w:adjustRightInd w:val="0"/>
              <w:snapToGrid w:val="0"/>
              <w:spacing w:line="300" w:lineRule="exact"/>
              <w:jc w:val="center"/>
              <w:rPr>
                <w:rFonts w:ascii="Arial" w:hAnsi="Arial" w:cs="Arial"/>
                <w:color w:val="auto"/>
                <w:spacing w:val="-4"/>
                <w:sz w:val="22"/>
                <w:szCs w:val="22"/>
              </w:rPr>
            </w:pPr>
          </w:p>
        </w:tc>
      </w:tr>
      <w:tr w14:paraId="29C6B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866" w:type="dxa"/>
            <w:noWrap w:val="0"/>
            <w:vAlign w:val="center"/>
          </w:tcPr>
          <w:p w14:paraId="3DAEB230">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5</w:t>
            </w:r>
          </w:p>
        </w:tc>
        <w:tc>
          <w:tcPr>
            <w:tcW w:w="1398" w:type="dxa"/>
            <w:noWrap w:val="0"/>
            <w:vAlign w:val="center"/>
          </w:tcPr>
          <w:p w14:paraId="3D93D6B0">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双龙干管</w:t>
            </w:r>
          </w:p>
        </w:tc>
        <w:tc>
          <w:tcPr>
            <w:tcW w:w="1198" w:type="dxa"/>
            <w:noWrap w:val="0"/>
            <w:vAlign w:val="center"/>
          </w:tcPr>
          <w:p w14:paraId="76D5885A">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双龙河</w:t>
            </w:r>
          </w:p>
        </w:tc>
        <w:tc>
          <w:tcPr>
            <w:tcW w:w="2812" w:type="dxa"/>
            <w:noWrap w:val="0"/>
            <w:vAlign w:val="center"/>
          </w:tcPr>
          <w:p w14:paraId="58599AF4">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K4+973~K5+006</w:t>
            </w:r>
          </w:p>
        </w:tc>
        <w:tc>
          <w:tcPr>
            <w:tcW w:w="2883" w:type="dxa"/>
            <w:vMerge w:val="continue"/>
            <w:noWrap w:val="0"/>
            <w:vAlign w:val="center"/>
          </w:tcPr>
          <w:p w14:paraId="7096BCD4">
            <w:pPr>
              <w:adjustRightInd w:val="0"/>
              <w:snapToGrid w:val="0"/>
              <w:spacing w:line="300" w:lineRule="exact"/>
              <w:jc w:val="center"/>
              <w:rPr>
                <w:rFonts w:ascii="Arial" w:hAnsi="Arial" w:cs="Arial"/>
                <w:color w:val="auto"/>
                <w:spacing w:val="-4"/>
                <w:sz w:val="22"/>
                <w:szCs w:val="22"/>
              </w:rPr>
            </w:pPr>
          </w:p>
        </w:tc>
      </w:tr>
    </w:tbl>
    <w:p w14:paraId="670B7AD2">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cs="Arial"/>
          <w:sz w:val="26"/>
          <w:szCs w:val="26"/>
          <w:lang w:val="zh-CN"/>
        </w:rPr>
      </w:pPr>
    </w:p>
    <w:p w14:paraId="5A2B7BAD">
      <w:pPr>
        <w:spacing w:line="460" w:lineRule="exact"/>
        <w:ind w:firstLine="520" w:firstLineChars="200"/>
        <w:rPr>
          <w:rFonts w:hint="eastAsia" w:ascii="Arial" w:hAnsi="Arial" w:cs="Arial"/>
          <w:sz w:val="26"/>
          <w:szCs w:val="26"/>
          <w:lang w:eastAsia="zh-CN"/>
        </w:rPr>
      </w:pPr>
      <w:r>
        <w:rPr>
          <w:rFonts w:hint="eastAsia" w:ascii="Arial" w:hAnsi="Arial" w:cs="Arial"/>
          <w:sz w:val="26"/>
          <w:szCs w:val="26"/>
          <w:lang w:val="zh-CN"/>
        </w:rPr>
        <w:t>环评反馈：为满足重力直流，本项目拟建输水管线不可避免将穿越河道，本评价建议建设单</w:t>
      </w:r>
      <w:r>
        <w:rPr>
          <w:rFonts w:hint="eastAsia" w:ascii="Arial" w:hAnsi="Arial" w:cs="Arial"/>
          <w:color w:val="auto"/>
          <w:sz w:val="26"/>
          <w:szCs w:val="26"/>
          <w:lang w:val="zh-CN"/>
        </w:rPr>
        <w:t>位在</w:t>
      </w:r>
      <w:r>
        <w:rPr>
          <w:rFonts w:hint="eastAsia" w:ascii="Arial" w:hAnsi="宋体" w:cs="Arial"/>
          <w:color w:val="auto"/>
          <w:spacing w:val="-4"/>
          <w:sz w:val="26"/>
          <w:szCs w:val="26"/>
        </w:rPr>
        <w:t>施工图设计阶段进一步优化调减跨越次数，确实无法避免时，应选择枯水期分段作业，</w:t>
      </w:r>
      <w:r>
        <w:rPr>
          <w:rFonts w:hint="eastAsia" w:ascii="Arial" w:hAnsi="宋体" w:cs="Arial"/>
          <w:color w:val="auto"/>
          <w:spacing w:val="-4"/>
          <w:sz w:val="26"/>
          <w:szCs w:val="26"/>
          <w:lang w:eastAsia="zh-CN"/>
        </w:rPr>
        <w:t>优先</w:t>
      </w:r>
      <w:r>
        <w:rPr>
          <w:rFonts w:hint="eastAsia" w:ascii="Arial" w:hAnsi="Arial" w:cs="Arial"/>
          <w:sz w:val="26"/>
          <w:szCs w:val="26"/>
          <w:lang w:eastAsia="zh-CN"/>
        </w:rPr>
        <w:t>采取顶管、定向钻等不涉水的施工工艺，</w:t>
      </w:r>
      <w:r>
        <w:rPr>
          <w:rFonts w:hint="eastAsia" w:ascii="Arial" w:hAnsi="宋体" w:cs="Arial"/>
          <w:color w:val="auto"/>
          <w:sz w:val="26"/>
          <w:szCs w:val="26"/>
          <w:lang w:val="en-US" w:eastAsia="zh-CN"/>
        </w:rPr>
        <w:t>需做好施工导流、围堰等工作，</w:t>
      </w:r>
      <w:r>
        <w:rPr>
          <w:rFonts w:hint="eastAsia" w:ascii="Arial" w:hAnsi="宋体" w:cs="Arial"/>
          <w:color w:val="auto"/>
          <w:spacing w:val="-4"/>
          <w:sz w:val="26"/>
          <w:szCs w:val="26"/>
        </w:rPr>
        <w:t>选择枯水期分段作业，严格控制施工开挖面，并尽可能将处理后的基坑废水回用于施工抑尘洒水，</w:t>
      </w:r>
      <w:r>
        <w:rPr>
          <w:rFonts w:hint="eastAsia" w:ascii="Arial" w:hAnsi="宋体" w:cs="Arial"/>
          <w:bCs/>
          <w:color w:val="auto"/>
          <w:sz w:val="26"/>
          <w:szCs w:val="26"/>
        </w:rPr>
        <w:t>多余部分需经沉淀处理</w:t>
      </w:r>
      <w:r>
        <w:rPr>
          <w:rFonts w:hint="eastAsia" w:ascii="Arial" w:hAnsi="宋体" w:cs="Arial"/>
          <w:bCs/>
          <w:color w:val="auto"/>
          <w:sz w:val="26"/>
          <w:szCs w:val="26"/>
          <w:lang w:eastAsia="zh-CN"/>
        </w:rPr>
        <w:t>后引至下游河道排放。</w:t>
      </w:r>
      <w:r>
        <w:rPr>
          <w:rFonts w:hint="eastAsia" w:ascii="Arial" w:cs="Arial"/>
          <w:bCs/>
          <w:color w:val="auto"/>
          <w:sz w:val="26"/>
        </w:rPr>
        <w:t>同时，输水管线施工段应设置临时围挡，严格控制施工活动，做好废弃土石方的暂存、清运工作，严禁向河道内倾倒废渣，减轻对</w:t>
      </w:r>
      <w:r>
        <w:rPr>
          <w:rFonts w:hint="eastAsia" w:ascii="Arial" w:cs="Arial"/>
          <w:bCs/>
          <w:color w:val="auto"/>
          <w:sz w:val="26"/>
          <w:lang w:eastAsia="zh-CN"/>
        </w:rPr>
        <w:t>河道水质、水生生态的</w:t>
      </w:r>
      <w:r>
        <w:rPr>
          <w:rFonts w:hint="eastAsia" w:ascii="Arial" w:cs="Arial"/>
          <w:bCs/>
          <w:color w:val="auto"/>
          <w:sz w:val="26"/>
        </w:rPr>
        <w:t>影响。</w:t>
      </w:r>
    </w:p>
    <w:p w14:paraId="7E34034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zh-CN" w:eastAsia="zh-CN"/>
        </w:rPr>
        <w:t>结合各输水管线走向，共有</w:t>
      </w:r>
      <w:r>
        <w:rPr>
          <w:rFonts w:hint="eastAsia" w:ascii="Arial" w:hAnsi="Arial" w:cs="Arial"/>
          <w:sz w:val="26"/>
          <w:szCs w:val="26"/>
          <w:lang w:val="en-US" w:eastAsia="zh-CN"/>
        </w:rPr>
        <w:t>11处</w:t>
      </w:r>
      <w:r>
        <w:rPr>
          <w:rFonts w:hint="eastAsia" w:ascii="Arial" w:hAnsi="Arial" w:cs="Arial"/>
          <w:sz w:val="26"/>
          <w:szCs w:val="26"/>
          <w:lang w:val="zh-CN" w:eastAsia="zh-CN"/>
        </w:rPr>
        <w:t>穿越现状道路，其中穿越县道</w:t>
      </w:r>
      <w:r>
        <w:rPr>
          <w:rFonts w:hint="eastAsia" w:ascii="Arial" w:hAnsi="Arial" w:cs="Arial"/>
          <w:sz w:val="26"/>
          <w:szCs w:val="26"/>
          <w:lang w:val="en-US" w:eastAsia="zh-CN"/>
        </w:rPr>
        <w:t>3处，穿越乡村道路8处。</w:t>
      </w:r>
      <w:r>
        <w:rPr>
          <w:rFonts w:hint="eastAsia" w:ascii="Arial" w:hAnsi="Arial" w:cs="Arial"/>
          <w:sz w:val="26"/>
          <w:szCs w:val="26"/>
          <w:lang w:val="zh-CN"/>
        </w:rPr>
        <w:t>管道穿越已建道路均为埋管型式</w:t>
      </w:r>
      <w:r>
        <w:rPr>
          <w:rFonts w:hint="eastAsia" w:ascii="Arial" w:hAnsi="Arial" w:cs="Arial"/>
          <w:sz w:val="26"/>
          <w:szCs w:val="26"/>
          <w:lang w:val="zh-CN" w:eastAsia="zh-CN"/>
        </w:rPr>
        <w:t>，穿越省道时</w:t>
      </w:r>
      <w:r>
        <w:rPr>
          <w:rFonts w:hint="eastAsia" w:ascii="Arial" w:hAnsi="Arial" w:cs="Arial"/>
          <w:sz w:val="26"/>
          <w:szCs w:val="26"/>
          <w:lang w:val="zh-CN"/>
        </w:rPr>
        <w:t>采用半幅施工，</w:t>
      </w:r>
      <w:r>
        <w:rPr>
          <w:rFonts w:hint="eastAsia" w:ascii="Arial" w:hAnsi="Arial" w:cs="Arial"/>
          <w:sz w:val="26"/>
          <w:szCs w:val="26"/>
          <w:lang w:val="zh-CN" w:eastAsia="zh-CN"/>
        </w:rPr>
        <w:t>穿越乡村道路时</w:t>
      </w:r>
      <w:r>
        <w:rPr>
          <w:rFonts w:hint="eastAsia" w:ascii="Arial" w:hAnsi="Arial" w:cs="Arial"/>
          <w:sz w:val="26"/>
          <w:szCs w:val="26"/>
          <w:lang w:val="zh-CN"/>
        </w:rPr>
        <w:t>在开挖基坑上铺设临时钢板桥的方式 保证车辆通行，钢板桥可重复利用</w:t>
      </w:r>
      <w:r>
        <w:rPr>
          <w:rFonts w:hint="eastAsia" w:ascii="Arial" w:hAnsi="Arial" w:cs="Arial"/>
          <w:sz w:val="26"/>
          <w:szCs w:val="26"/>
          <w:lang w:val="zh-CN" w:eastAsia="zh-CN"/>
        </w:rPr>
        <w:t>。施工结束后，</w:t>
      </w:r>
      <w:r>
        <w:rPr>
          <w:rFonts w:hint="eastAsia" w:ascii="Arial" w:hAnsi="Arial" w:cs="Arial"/>
          <w:sz w:val="26"/>
          <w:szCs w:val="26"/>
          <w:lang w:val="zh-CN"/>
        </w:rPr>
        <w:t>先原土回填，再按同等级公路 标准恢复。</w:t>
      </w:r>
    </w:p>
    <w:p w14:paraId="089668B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eastAsia="宋体" w:cs="Arial"/>
          <w:b/>
          <w:sz w:val="26"/>
          <w:szCs w:val="26"/>
          <w:lang w:eastAsia="zh-CN"/>
        </w:rPr>
      </w:pPr>
      <w:r>
        <w:rPr>
          <w:rFonts w:hint="eastAsia" w:ascii="Arial" w:hAnsi="Arial" w:cs="Arial"/>
          <w:b/>
          <w:bCs/>
          <w:sz w:val="26"/>
          <w:szCs w:val="26"/>
        </w:rPr>
        <w:t>表2</w:t>
      </w:r>
      <w:r>
        <w:rPr>
          <w:rFonts w:hint="eastAsia" w:ascii="Arial" w:hAnsi="Arial" w:cs="Arial"/>
          <w:b/>
          <w:bCs/>
          <w:sz w:val="26"/>
          <w:szCs w:val="26"/>
          <w:lang w:val="en-US" w:eastAsia="zh-CN"/>
        </w:rPr>
        <w:t>.2</w:t>
      </w:r>
      <w:r>
        <w:rPr>
          <w:rFonts w:hint="eastAsia" w:ascii="Arial" w:hAnsi="Arial" w:cs="Arial"/>
          <w:b/>
          <w:bCs/>
          <w:sz w:val="26"/>
          <w:szCs w:val="26"/>
        </w:rPr>
        <w:t>-</w:t>
      </w:r>
      <w:r>
        <w:rPr>
          <w:rFonts w:hint="eastAsia" w:ascii="Arial" w:hAnsi="Arial" w:cs="Arial"/>
          <w:b/>
          <w:bCs/>
          <w:sz w:val="26"/>
          <w:szCs w:val="26"/>
          <w:lang w:val="en-US" w:eastAsia="zh-CN"/>
        </w:rPr>
        <w:t>5</w:t>
      </w:r>
      <w:r>
        <w:rPr>
          <w:rFonts w:hint="eastAsia" w:ascii="Arial" w:hAnsi="Arial" w:cs="Arial"/>
          <w:b/>
          <w:bCs/>
          <w:sz w:val="26"/>
          <w:szCs w:val="26"/>
        </w:rPr>
        <w:t xml:space="preserve"> </w:t>
      </w:r>
      <w:r>
        <w:rPr>
          <w:rFonts w:hint="eastAsia" w:ascii="Arial" w:hAnsi="Arial" w:cs="Arial"/>
          <w:b/>
          <w:bCs/>
          <w:sz w:val="26"/>
          <w:szCs w:val="26"/>
          <w:lang w:eastAsia="zh-CN"/>
        </w:rPr>
        <w:t>海螺沟</w:t>
      </w:r>
      <w:r>
        <w:rPr>
          <w:rFonts w:hint="eastAsia" w:ascii="Arial" w:hAnsi="Arial" w:cs="Arial"/>
          <w:b/>
          <w:bCs/>
          <w:sz w:val="26"/>
          <w:szCs w:val="26"/>
        </w:rPr>
        <w:t>水库</w:t>
      </w:r>
      <w:r>
        <w:rPr>
          <w:rFonts w:hint="eastAsia" w:ascii="Arial" w:hAnsi="Arial" w:cs="Arial"/>
          <w:b/>
          <w:bCs/>
          <w:sz w:val="26"/>
          <w:szCs w:val="26"/>
          <w:lang w:eastAsia="zh-CN"/>
        </w:rPr>
        <w:t>输送管线跨越河流情况一览表</w:t>
      </w:r>
    </w:p>
    <w:tbl>
      <w:tblPr>
        <w:tblStyle w:val="77"/>
        <w:tblW w:w="89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1403"/>
        <w:gridCol w:w="1203"/>
        <w:gridCol w:w="2413"/>
        <w:gridCol w:w="1334"/>
        <w:gridCol w:w="1695"/>
      </w:tblGrid>
      <w:tr w14:paraId="1C221E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74" w:hRule="atLeast"/>
          <w:jc w:val="center"/>
        </w:trPr>
        <w:tc>
          <w:tcPr>
            <w:tcW w:w="869" w:type="dxa"/>
            <w:noWrap w:val="0"/>
            <w:vAlign w:val="center"/>
          </w:tcPr>
          <w:p w14:paraId="2A492DAB">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序号</w:t>
            </w:r>
          </w:p>
        </w:tc>
        <w:tc>
          <w:tcPr>
            <w:tcW w:w="1403" w:type="dxa"/>
            <w:noWrap w:val="0"/>
            <w:vAlign w:val="center"/>
          </w:tcPr>
          <w:p w14:paraId="7A20C2D3">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宋体" w:cs="Arial"/>
                <w:color w:val="auto"/>
                <w:spacing w:val="-4"/>
                <w:sz w:val="22"/>
                <w:szCs w:val="22"/>
                <w:lang w:eastAsia="zh-CN"/>
              </w:rPr>
              <w:t>管线名称</w:t>
            </w:r>
          </w:p>
        </w:tc>
        <w:tc>
          <w:tcPr>
            <w:tcW w:w="1203" w:type="dxa"/>
            <w:noWrap w:val="0"/>
            <w:vAlign w:val="center"/>
          </w:tcPr>
          <w:p w14:paraId="40E77042">
            <w:pPr>
              <w:adjustRightInd w:val="0"/>
              <w:snapToGrid w:val="0"/>
              <w:spacing w:line="300" w:lineRule="exact"/>
              <w:jc w:val="center"/>
              <w:rPr>
                <w:rFonts w:hint="eastAsia" w:ascii="Arial" w:hAnsi="Arial" w:eastAsia="宋体" w:cs="Arial"/>
                <w:color w:val="auto"/>
                <w:spacing w:val="-4"/>
                <w:sz w:val="22"/>
                <w:szCs w:val="22"/>
                <w:lang w:eastAsia="zh-CN"/>
              </w:rPr>
            </w:pPr>
            <w:r>
              <w:rPr>
                <w:rFonts w:ascii="Arial" w:hAnsi="宋体" w:cs="Arial"/>
                <w:color w:val="auto"/>
                <w:spacing w:val="-4"/>
                <w:sz w:val="22"/>
                <w:szCs w:val="22"/>
              </w:rPr>
              <w:t>跨越</w:t>
            </w:r>
            <w:r>
              <w:rPr>
                <w:rFonts w:hint="eastAsia" w:ascii="Arial" w:hAnsi="宋体" w:cs="Arial"/>
                <w:color w:val="auto"/>
                <w:spacing w:val="-4"/>
                <w:sz w:val="22"/>
                <w:szCs w:val="22"/>
                <w:lang w:eastAsia="zh-CN"/>
              </w:rPr>
              <w:t>道路</w:t>
            </w:r>
          </w:p>
        </w:tc>
        <w:tc>
          <w:tcPr>
            <w:tcW w:w="2413" w:type="dxa"/>
            <w:noWrap w:val="0"/>
            <w:vAlign w:val="center"/>
          </w:tcPr>
          <w:p w14:paraId="708AA3D3">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管线桩号</w:t>
            </w:r>
          </w:p>
        </w:tc>
        <w:tc>
          <w:tcPr>
            <w:tcW w:w="1334" w:type="dxa"/>
            <w:noWrap w:val="0"/>
            <w:vAlign w:val="center"/>
          </w:tcPr>
          <w:p w14:paraId="69CBBC2E">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路面宽度</w:t>
            </w:r>
          </w:p>
        </w:tc>
        <w:tc>
          <w:tcPr>
            <w:tcW w:w="1695" w:type="dxa"/>
            <w:noWrap w:val="0"/>
            <w:vAlign w:val="center"/>
          </w:tcPr>
          <w:p w14:paraId="72015656">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施工措施</w:t>
            </w:r>
          </w:p>
        </w:tc>
      </w:tr>
      <w:tr w14:paraId="5A4E2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noWrap w:val="0"/>
            <w:vAlign w:val="center"/>
          </w:tcPr>
          <w:p w14:paraId="65FC3E2A">
            <w:pPr>
              <w:adjustRightInd w:val="0"/>
              <w:snapToGrid w:val="0"/>
              <w:spacing w:line="300" w:lineRule="exact"/>
              <w:jc w:val="center"/>
              <w:rPr>
                <w:rFonts w:ascii="Arial" w:hAnsi="Arial" w:cs="Arial"/>
                <w:color w:val="auto"/>
                <w:spacing w:val="-4"/>
                <w:sz w:val="22"/>
                <w:szCs w:val="22"/>
              </w:rPr>
            </w:pPr>
            <w:r>
              <w:rPr>
                <w:rFonts w:hint="eastAsia" w:ascii="Arial" w:hAnsi="Arial" w:cs="Arial"/>
                <w:color w:val="auto"/>
                <w:spacing w:val="-4"/>
                <w:sz w:val="22"/>
                <w:szCs w:val="22"/>
              </w:rPr>
              <w:t>1</w:t>
            </w:r>
          </w:p>
        </w:tc>
        <w:tc>
          <w:tcPr>
            <w:tcW w:w="1403" w:type="dxa"/>
            <w:vMerge w:val="restart"/>
            <w:noWrap w:val="0"/>
            <w:vAlign w:val="center"/>
          </w:tcPr>
          <w:p w14:paraId="511FDF7D">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范家湾支管</w:t>
            </w:r>
          </w:p>
        </w:tc>
        <w:tc>
          <w:tcPr>
            <w:tcW w:w="1203" w:type="dxa"/>
            <w:noWrap w:val="0"/>
            <w:vAlign w:val="center"/>
          </w:tcPr>
          <w:p w14:paraId="3CE8B39C">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3F0AF0FD">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FZ1+942</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FZ0+946</w:t>
            </w:r>
          </w:p>
        </w:tc>
        <w:tc>
          <w:tcPr>
            <w:tcW w:w="1334" w:type="dxa"/>
            <w:noWrap w:val="0"/>
            <w:vAlign w:val="center"/>
          </w:tcPr>
          <w:p w14:paraId="5E7022AB">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noWrap w:val="0"/>
            <w:vAlign w:val="center"/>
          </w:tcPr>
          <w:p w14:paraId="65832E49">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sz w:val="22"/>
                <w:szCs w:val="22"/>
                <w:lang w:val="zh-CN"/>
              </w:rPr>
              <w:t>设临时钢板桥</w:t>
            </w:r>
          </w:p>
        </w:tc>
      </w:tr>
      <w:tr w14:paraId="7DF0A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noWrap w:val="0"/>
            <w:vAlign w:val="center"/>
          </w:tcPr>
          <w:p w14:paraId="7ED30144">
            <w:pPr>
              <w:adjustRightInd w:val="0"/>
              <w:snapToGrid w:val="0"/>
              <w:spacing w:line="300" w:lineRule="exact"/>
              <w:jc w:val="center"/>
              <w:rPr>
                <w:rFonts w:hint="eastAsia" w:ascii="Arial" w:hAnsi="Arial" w:cs="Arial"/>
                <w:color w:val="auto"/>
                <w:spacing w:val="-4"/>
                <w:sz w:val="22"/>
                <w:szCs w:val="22"/>
              </w:rPr>
            </w:pPr>
            <w:r>
              <w:rPr>
                <w:rFonts w:hint="eastAsia" w:ascii="Arial" w:hAnsi="Arial" w:cs="Arial"/>
                <w:color w:val="auto"/>
                <w:spacing w:val="-4"/>
                <w:sz w:val="22"/>
                <w:szCs w:val="22"/>
                <w:lang w:val="en-US" w:eastAsia="zh-CN"/>
              </w:rPr>
              <w:t>2</w:t>
            </w:r>
          </w:p>
        </w:tc>
        <w:tc>
          <w:tcPr>
            <w:tcW w:w="1403" w:type="dxa"/>
            <w:vMerge w:val="continue"/>
            <w:noWrap w:val="0"/>
            <w:vAlign w:val="center"/>
          </w:tcPr>
          <w:p w14:paraId="58F1EC15">
            <w:pPr>
              <w:adjustRightInd w:val="0"/>
              <w:snapToGrid w:val="0"/>
              <w:spacing w:line="300" w:lineRule="exact"/>
              <w:jc w:val="center"/>
              <w:rPr>
                <w:rFonts w:hint="eastAsia" w:ascii="Arial" w:hAnsi="Arial" w:cs="Arial"/>
                <w:color w:val="auto"/>
                <w:spacing w:val="-4"/>
                <w:sz w:val="22"/>
                <w:szCs w:val="22"/>
                <w:lang w:eastAsia="zh-CN"/>
              </w:rPr>
            </w:pPr>
          </w:p>
        </w:tc>
        <w:tc>
          <w:tcPr>
            <w:tcW w:w="1203" w:type="dxa"/>
            <w:shd w:val="clear" w:color="auto" w:fill="auto"/>
            <w:noWrap w:val="0"/>
            <w:vAlign w:val="center"/>
          </w:tcPr>
          <w:p w14:paraId="3C312A5A">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eastAsia="zh-CN"/>
              </w:rPr>
              <w:t>梯青路</w:t>
            </w:r>
          </w:p>
        </w:tc>
        <w:tc>
          <w:tcPr>
            <w:tcW w:w="2413" w:type="dxa"/>
            <w:shd w:val="clear" w:color="auto" w:fill="auto"/>
            <w:noWrap w:val="0"/>
            <w:vAlign w:val="center"/>
          </w:tcPr>
          <w:p w14:paraId="7A7BE903">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FZ1+004</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FZ1+012</w:t>
            </w:r>
          </w:p>
        </w:tc>
        <w:tc>
          <w:tcPr>
            <w:tcW w:w="1334" w:type="dxa"/>
            <w:noWrap w:val="0"/>
            <w:vAlign w:val="center"/>
          </w:tcPr>
          <w:p w14:paraId="5532D2CA">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8</w:t>
            </w:r>
          </w:p>
        </w:tc>
        <w:tc>
          <w:tcPr>
            <w:tcW w:w="1695" w:type="dxa"/>
            <w:noWrap w:val="0"/>
            <w:vAlign w:val="center"/>
          </w:tcPr>
          <w:p w14:paraId="31AC6929">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sz w:val="22"/>
                <w:szCs w:val="22"/>
                <w:lang w:val="zh-CN"/>
              </w:rPr>
              <w:t>半幅施工</w:t>
            </w:r>
          </w:p>
        </w:tc>
      </w:tr>
      <w:tr w14:paraId="03F1B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noWrap w:val="0"/>
            <w:vAlign w:val="center"/>
          </w:tcPr>
          <w:p w14:paraId="2ED7A3F1">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3</w:t>
            </w:r>
          </w:p>
        </w:tc>
        <w:tc>
          <w:tcPr>
            <w:tcW w:w="1403" w:type="dxa"/>
            <w:vMerge w:val="continue"/>
            <w:noWrap w:val="0"/>
            <w:vAlign w:val="center"/>
          </w:tcPr>
          <w:p w14:paraId="22D9355E">
            <w:pPr>
              <w:adjustRightInd w:val="0"/>
              <w:snapToGrid w:val="0"/>
              <w:spacing w:line="300" w:lineRule="exact"/>
              <w:jc w:val="center"/>
              <w:rPr>
                <w:rFonts w:hint="eastAsia" w:ascii="Arial" w:hAnsi="Arial" w:cs="Arial"/>
                <w:color w:val="auto"/>
                <w:spacing w:val="-4"/>
                <w:sz w:val="22"/>
                <w:szCs w:val="22"/>
                <w:lang w:eastAsia="zh-CN"/>
              </w:rPr>
            </w:pPr>
          </w:p>
        </w:tc>
        <w:tc>
          <w:tcPr>
            <w:tcW w:w="1203" w:type="dxa"/>
            <w:noWrap w:val="0"/>
            <w:vAlign w:val="center"/>
          </w:tcPr>
          <w:p w14:paraId="25EE476D">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5B3B2BAD">
            <w:pPr>
              <w:adjustRightInd w:val="0"/>
              <w:snapToGrid w:val="0"/>
              <w:spacing w:line="300" w:lineRule="exact"/>
              <w:jc w:val="center"/>
              <w:rPr>
                <w:rFonts w:hint="default" w:ascii="Arial" w:hAnsi="Arial" w:cs="Arial"/>
                <w:color w:val="auto"/>
                <w:spacing w:val="-4"/>
                <w:sz w:val="22"/>
                <w:szCs w:val="22"/>
                <w:lang w:val="en-US"/>
              </w:rPr>
            </w:pPr>
            <w:r>
              <w:rPr>
                <w:rFonts w:hint="eastAsia" w:ascii="Arial" w:hAnsi="Arial" w:cs="Arial"/>
                <w:color w:val="auto"/>
                <w:spacing w:val="-4"/>
                <w:sz w:val="22"/>
                <w:szCs w:val="22"/>
                <w:lang w:val="en-US" w:eastAsia="zh-CN"/>
              </w:rPr>
              <w:t>FZ1+400</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FZ1+404</w:t>
            </w:r>
          </w:p>
        </w:tc>
        <w:tc>
          <w:tcPr>
            <w:tcW w:w="1334" w:type="dxa"/>
            <w:noWrap w:val="0"/>
            <w:vAlign w:val="center"/>
          </w:tcPr>
          <w:p w14:paraId="56E2009D">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vMerge w:val="restart"/>
            <w:noWrap w:val="0"/>
            <w:vAlign w:val="center"/>
          </w:tcPr>
          <w:p w14:paraId="592E1705">
            <w:pPr>
              <w:adjustRightInd w:val="0"/>
              <w:snapToGrid w:val="0"/>
              <w:spacing w:line="300" w:lineRule="exact"/>
              <w:jc w:val="center"/>
              <w:rPr>
                <w:rFonts w:ascii="Arial" w:hAnsi="Arial" w:cs="Arial"/>
                <w:color w:val="auto"/>
                <w:spacing w:val="-4"/>
                <w:sz w:val="22"/>
                <w:szCs w:val="22"/>
              </w:rPr>
            </w:pPr>
            <w:r>
              <w:rPr>
                <w:rFonts w:hint="eastAsia" w:ascii="Arial" w:hAnsi="Arial" w:cs="Arial"/>
                <w:sz w:val="22"/>
                <w:szCs w:val="22"/>
                <w:lang w:val="zh-CN"/>
              </w:rPr>
              <w:t>设临时钢板桥</w:t>
            </w:r>
          </w:p>
        </w:tc>
      </w:tr>
      <w:tr w14:paraId="548FE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622E8D89">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4</w:t>
            </w:r>
          </w:p>
        </w:tc>
        <w:tc>
          <w:tcPr>
            <w:tcW w:w="1403" w:type="dxa"/>
            <w:vMerge w:val="continue"/>
            <w:noWrap w:val="0"/>
            <w:vAlign w:val="center"/>
          </w:tcPr>
          <w:p w14:paraId="5B79EAC3">
            <w:pPr>
              <w:adjustRightInd w:val="0"/>
              <w:snapToGrid w:val="0"/>
              <w:spacing w:line="300" w:lineRule="exact"/>
              <w:jc w:val="center"/>
              <w:rPr>
                <w:rFonts w:hint="eastAsia" w:ascii="Arial" w:hAnsi="Arial" w:cs="Arial"/>
                <w:color w:val="auto"/>
                <w:spacing w:val="-4"/>
                <w:sz w:val="22"/>
                <w:szCs w:val="22"/>
                <w:lang w:eastAsia="zh-CN"/>
              </w:rPr>
            </w:pPr>
          </w:p>
        </w:tc>
        <w:tc>
          <w:tcPr>
            <w:tcW w:w="1203" w:type="dxa"/>
            <w:noWrap w:val="0"/>
            <w:vAlign w:val="center"/>
          </w:tcPr>
          <w:p w14:paraId="12F4AB97">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069F9ECA">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FZ1+548</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FZ1+552</w:t>
            </w:r>
          </w:p>
        </w:tc>
        <w:tc>
          <w:tcPr>
            <w:tcW w:w="1334" w:type="dxa"/>
            <w:noWrap w:val="0"/>
            <w:vAlign w:val="center"/>
          </w:tcPr>
          <w:p w14:paraId="5E35F6AF">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vMerge w:val="continue"/>
            <w:noWrap w:val="0"/>
            <w:vAlign w:val="center"/>
          </w:tcPr>
          <w:p w14:paraId="6188E2C9">
            <w:pPr>
              <w:adjustRightInd w:val="0"/>
              <w:snapToGrid w:val="0"/>
              <w:spacing w:line="300" w:lineRule="exact"/>
              <w:jc w:val="center"/>
              <w:rPr>
                <w:rFonts w:ascii="Arial" w:hAnsi="Arial" w:cs="Arial"/>
                <w:color w:val="auto"/>
                <w:spacing w:val="-4"/>
                <w:sz w:val="22"/>
                <w:szCs w:val="22"/>
              </w:rPr>
            </w:pPr>
          </w:p>
        </w:tc>
      </w:tr>
      <w:tr w14:paraId="2078A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4BEB8C76">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5</w:t>
            </w:r>
          </w:p>
        </w:tc>
        <w:tc>
          <w:tcPr>
            <w:tcW w:w="1403" w:type="dxa"/>
            <w:vMerge w:val="restart"/>
            <w:noWrap w:val="0"/>
            <w:vAlign w:val="center"/>
          </w:tcPr>
          <w:p w14:paraId="64FB3D56">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双龙干管</w:t>
            </w:r>
          </w:p>
        </w:tc>
        <w:tc>
          <w:tcPr>
            <w:tcW w:w="1203" w:type="dxa"/>
            <w:noWrap w:val="0"/>
            <w:vAlign w:val="center"/>
          </w:tcPr>
          <w:p w14:paraId="4CB565B4">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07A9EC4F">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K0+926~K0+930</w:t>
            </w:r>
          </w:p>
        </w:tc>
        <w:tc>
          <w:tcPr>
            <w:tcW w:w="1334" w:type="dxa"/>
            <w:noWrap w:val="0"/>
            <w:vAlign w:val="center"/>
          </w:tcPr>
          <w:p w14:paraId="37B64A7D">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vMerge w:val="continue"/>
            <w:noWrap w:val="0"/>
            <w:vAlign w:val="center"/>
          </w:tcPr>
          <w:p w14:paraId="1AC005EE">
            <w:pPr>
              <w:adjustRightInd w:val="0"/>
              <w:snapToGrid w:val="0"/>
              <w:spacing w:line="300" w:lineRule="exact"/>
              <w:jc w:val="center"/>
              <w:rPr>
                <w:rFonts w:ascii="Arial" w:hAnsi="Arial" w:cs="Arial"/>
                <w:color w:val="auto"/>
                <w:spacing w:val="-4"/>
                <w:sz w:val="22"/>
                <w:szCs w:val="22"/>
              </w:rPr>
            </w:pPr>
          </w:p>
        </w:tc>
      </w:tr>
      <w:tr w14:paraId="01714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3CE76990">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6</w:t>
            </w:r>
          </w:p>
        </w:tc>
        <w:tc>
          <w:tcPr>
            <w:tcW w:w="1403" w:type="dxa"/>
            <w:vMerge w:val="continue"/>
            <w:noWrap w:val="0"/>
            <w:vAlign w:val="center"/>
          </w:tcPr>
          <w:p w14:paraId="4B924478">
            <w:pPr>
              <w:adjustRightInd w:val="0"/>
              <w:snapToGrid w:val="0"/>
              <w:spacing w:line="300" w:lineRule="exact"/>
              <w:jc w:val="center"/>
              <w:rPr>
                <w:rFonts w:hint="eastAsia" w:ascii="Arial" w:hAnsi="Arial" w:cs="Arial"/>
                <w:color w:val="auto"/>
                <w:spacing w:val="-4"/>
                <w:sz w:val="22"/>
                <w:szCs w:val="22"/>
                <w:lang w:eastAsia="zh-CN"/>
              </w:rPr>
            </w:pPr>
          </w:p>
        </w:tc>
        <w:tc>
          <w:tcPr>
            <w:tcW w:w="1203" w:type="dxa"/>
            <w:shd w:val="clear" w:color="auto" w:fill="auto"/>
            <w:noWrap w:val="0"/>
            <w:vAlign w:val="center"/>
          </w:tcPr>
          <w:p w14:paraId="45464604">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eastAsia="zh-CN"/>
              </w:rPr>
              <w:t>农村公路</w:t>
            </w:r>
          </w:p>
        </w:tc>
        <w:tc>
          <w:tcPr>
            <w:tcW w:w="2413" w:type="dxa"/>
            <w:shd w:val="clear" w:color="auto" w:fill="auto"/>
            <w:noWrap w:val="0"/>
            <w:vAlign w:val="center"/>
          </w:tcPr>
          <w:p w14:paraId="01CFFCB3">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K4+097~K4+101</w:t>
            </w:r>
          </w:p>
        </w:tc>
        <w:tc>
          <w:tcPr>
            <w:tcW w:w="1334" w:type="dxa"/>
            <w:shd w:val="clear" w:color="auto" w:fill="auto"/>
            <w:noWrap w:val="0"/>
            <w:vAlign w:val="center"/>
          </w:tcPr>
          <w:p w14:paraId="1FF5F3D4">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kern w:val="2"/>
                <w:sz w:val="22"/>
                <w:szCs w:val="22"/>
                <w:lang w:val="en-US" w:eastAsia="zh-CN" w:bidi="ar-SA"/>
              </w:rPr>
              <w:t>4</w:t>
            </w:r>
          </w:p>
        </w:tc>
        <w:tc>
          <w:tcPr>
            <w:tcW w:w="1695" w:type="dxa"/>
            <w:vMerge w:val="continue"/>
            <w:noWrap w:val="0"/>
            <w:vAlign w:val="center"/>
          </w:tcPr>
          <w:p w14:paraId="138907AD">
            <w:pPr>
              <w:adjustRightInd w:val="0"/>
              <w:snapToGrid w:val="0"/>
              <w:spacing w:line="300" w:lineRule="exact"/>
              <w:jc w:val="center"/>
              <w:rPr>
                <w:rFonts w:ascii="Arial" w:hAnsi="Arial" w:cs="Arial"/>
                <w:color w:val="auto"/>
                <w:spacing w:val="-4"/>
                <w:sz w:val="22"/>
                <w:szCs w:val="22"/>
              </w:rPr>
            </w:pPr>
          </w:p>
        </w:tc>
      </w:tr>
      <w:tr w14:paraId="6D86A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0" w:hRule="atLeast"/>
          <w:jc w:val="center"/>
        </w:trPr>
        <w:tc>
          <w:tcPr>
            <w:tcW w:w="869" w:type="dxa"/>
            <w:shd w:val="clear" w:color="auto" w:fill="auto"/>
            <w:noWrap w:val="0"/>
            <w:vAlign w:val="center"/>
          </w:tcPr>
          <w:p w14:paraId="7526917D">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7</w:t>
            </w:r>
          </w:p>
        </w:tc>
        <w:tc>
          <w:tcPr>
            <w:tcW w:w="1403" w:type="dxa"/>
            <w:vMerge w:val="continue"/>
            <w:noWrap w:val="0"/>
            <w:vAlign w:val="center"/>
          </w:tcPr>
          <w:p w14:paraId="30E15C18">
            <w:pPr>
              <w:adjustRightInd w:val="0"/>
              <w:snapToGrid w:val="0"/>
              <w:spacing w:line="300" w:lineRule="exact"/>
              <w:jc w:val="center"/>
              <w:rPr>
                <w:rFonts w:hint="eastAsia" w:ascii="Arial" w:hAnsi="Arial" w:cs="Arial"/>
                <w:color w:val="auto"/>
                <w:spacing w:val="-4"/>
                <w:sz w:val="22"/>
                <w:szCs w:val="22"/>
                <w:lang w:eastAsia="zh-CN"/>
              </w:rPr>
            </w:pPr>
          </w:p>
        </w:tc>
        <w:tc>
          <w:tcPr>
            <w:tcW w:w="1203" w:type="dxa"/>
            <w:noWrap w:val="0"/>
            <w:vAlign w:val="center"/>
          </w:tcPr>
          <w:p w14:paraId="58A24BB5">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shd w:val="clear" w:color="auto" w:fill="auto"/>
            <w:noWrap w:val="0"/>
            <w:vAlign w:val="center"/>
          </w:tcPr>
          <w:p w14:paraId="71E1D46A">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K5+028~K0+032</w:t>
            </w:r>
          </w:p>
        </w:tc>
        <w:tc>
          <w:tcPr>
            <w:tcW w:w="1334" w:type="dxa"/>
            <w:shd w:val="clear" w:color="auto" w:fill="auto"/>
            <w:noWrap w:val="0"/>
            <w:vAlign w:val="center"/>
          </w:tcPr>
          <w:p w14:paraId="5B58C856">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4</w:t>
            </w:r>
          </w:p>
        </w:tc>
        <w:tc>
          <w:tcPr>
            <w:tcW w:w="1695" w:type="dxa"/>
            <w:vMerge w:val="continue"/>
            <w:noWrap w:val="0"/>
            <w:vAlign w:val="center"/>
          </w:tcPr>
          <w:p w14:paraId="2EA121DC">
            <w:pPr>
              <w:adjustRightInd w:val="0"/>
              <w:snapToGrid w:val="0"/>
              <w:spacing w:line="300" w:lineRule="exact"/>
              <w:jc w:val="center"/>
              <w:rPr>
                <w:rFonts w:ascii="Arial" w:hAnsi="Arial" w:cs="Arial"/>
                <w:color w:val="auto"/>
                <w:spacing w:val="-4"/>
                <w:sz w:val="22"/>
                <w:szCs w:val="22"/>
              </w:rPr>
            </w:pPr>
          </w:p>
        </w:tc>
      </w:tr>
      <w:tr w14:paraId="0FD1A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0" w:hRule="atLeast"/>
          <w:jc w:val="center"/>
        </w:trPr>
        <w:tc>
          <w:tcPr>
            <w:tcW w:w="869" w:type="dxa"/>
            <w:shd w:val="clear" w:color="auto" w:fill="auto"/>
            <w:noWrap w:val="0"/>
            <w:vAlign w:val="center"/>
          </w:tcPr>
          <w:p w14:paraId="7CCF9B1F">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8</w:t>
            </w:r>
          </w:p>
        </w:tc>
        <w:tc>
          <w:tcPr>
            <w:tcW w:w="1403" w:type="dxa"/>
            <w:vMerge w:val="restart"/>
            <w:noWrap w:val="0"/>
            <w:vAlign w:val="center"/>
          </w:tcPr>
          <w:p w14:paraId="11504678">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樊家湾支管</w:t>
            </w:r>
          </w:p>
        </w:tc>
        <w:tc>
          <w:tcPr>
            <w:tcW w:w="1203" w:type="dxa"/>
            <w:noWrap w:val="0"/>
            <w:vAlign w:val="center"/>
          </w:tcPr>
          <w:p w14:paraId="5C9253C3">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11CB02A1">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FZ0+515</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FZ0+519</w:t>
            </w:r>
          </w:p>
        </w:tc>
        <w:tc>
          <w:tcPr>
            <w:tcW w:w="1334" w:type="dxa"/>
            <w:noWrap w:val="0"/>
            <w:vAlign w:val="center"/>
          </w:tcPr>
          <w:p w14:paraId="350184F4">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vMerge w:val="continue"/>
            <w:noWrap w:val="0"/>
            <w:vAlign w:val="center"/>
          </w:tcPr>
          <w:p w14:paraId="4BD4C84E">
            <w:pPr>
              <w:adjustRightInd w:val="0"/>
              <w:snapToGrid w:val="0"/>
              <w:spacing w:line="300" w:lineRule="exact"/>
              <w:jc w:val="center"/>
              <w:rPr>
                <w:rFonts w:ascii="Arial" w:hAnsi="Arial" w:cs="Arial"/>
                <w:color w:val="auto"/>
                <w:spacing w:val="-4"/>
                <w:sz w:val="22"/>
                <w:szCs w:val="22"/>
              </w:rPr>
            </w:pPr>
          </w:p>
        </w:tc>
      </w:tr>
      <w:tr w14:paraId="62D4C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0" w:hRule="atLeast"/>
          <w:jc w:val="center"/>
        </w:trPr>
        <w:tc>
          <w:tcPr>
            <w:tcW w:w="869" w:type="dxa"/>
            <w:shd w:val="clear" w:color="auto" w:fill="auto"/>
            <w:noWrap w:val="0"/>
            <w:vAlign w:val="center"/>
          </w:tcPr>
          <w:p w14:paraId="0CDB94A7">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9</w:t>
            </w:r>
          </w:p>
        </w:tc>
        <w:tc>
          <w:tcPr>
            <w:tcW w:w="1403" w:type="dxa"/>
            <w:vMerge w:val="continue"/>
            <w:noWrap w:val="0"/>
            <w:vAlign w:val="center"/>
          </w:tcPr>
          <w:p w14:paraId="003C25F3">
            <w:pPr>
              <w:adjustRightInd w:val="0"/>
              <w:snapToGrid w:val="0"/>
              <w:spacing w:line="300" w:lineRule="exact"/>
              <w:jc w:val="center"/>
              <w:rPr>
                <w:rFonts w:hint="eastAsia" w:ascii="Arial" w:hAnsi="Arial" w:cs="Arial"/>
                <w:color w:val="auto"/>
                <w:spacing w:val="-4"/>
                <w:sz w:val="22"/>
                <w:szCs w:val="22"/>
                <w:lang w:eastAsia="zh-CN"/>
              </w:rPr>
            </w:pPr>
          </w:p>
        </w:tc>
        <w:tc>
          <w:tcPr>
            <w:tcW w:w="1203" w:type="dxa"/>
            <w:noWrap w:val="0"/>
            <w:vAlign w:val="center"/>
          </w:tcPr>
          <w:p w14:paraId="1990D9C5">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梯青路</w:t>
            </w:r>
          </w:p>
        </w:tc>
        <w:tc>
          <w:tcPr>
            <w:tcW w:w="2413" w:type="dxa"/>
            <w:noWrap w:val="0"/>
            <w:vAlign w:val="center"/>
          </w:tcPr>
          <w:p w14:paraId="35166159">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FZ0+549</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FZ0+557</w:t>
            </w:r>
          </w:p>
        </w:tc>
        <w:tc>
          <w:tcPr>
            <w:tcW w:w="1334" w:type="dxa"/>
            <w:noWrap w:val="0"/>
            <w:vAlign w:val="center"/>
          </w:tcPr>
          <w:p w14:paraId="335FBF9F">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8</w:t>
            </w:r>
          </w:p>
        </w:tc>
        <w:tc>
          <w:tcPr>
            <w:tcW w:w="1695" w:type="dxa"/>
            <w:noWrap w:val="0"/>
            <w:vAlign w:val="center"/>
          </w:tcPr>
          <w:p w14:paraId="7E802EC9">
            <w:pPr>
              <w:adjustRightInd w:val="0"/>
              <w:snapToGrid w:val="0"/>
              <w:spacing w:line="300" w:lineRule="exact"/>
              <w:jc w:val="center"/>
              <w:rPr>
                <w:rFonts w:ascii="Arial" w:hAnsi="Arial" w:cs="Arial"/>
                <w:color w:val="auto"/>
                <w:spacing w:val="-4"/>
                <w:sz w:val="22"/>
                <w:szCs w:val="22"/>
              </w:rPr>
            </w:pPr>
            <w:r>
              <w:rPr>
                <w:rFonts w:hint="eastAsia" w:ascii="Arial" w:hAnsi="Arial" w:cs="Arial"/>
                <w:sz w:val="22"/>
                <w:szCs w:val="22"/>
                <w:lang w:val="zh-CN"/>
              </w:rPr>
              <w:t>半幅施工</w:t>
            </w:r>
          </w:p>
        </w:tc>
      </w:tr>
      <w:tr w14:paraId="1A0F7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7165421F">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10</w:t>
            </w:r>
          </w:p>
        </w:tc>
        <w:tc>
          <w:tcPr>
            <w:tcW w:w="1403" w:type="dxa"/>
            <w:noWrap w:val="0"/>
            <w:vAlign w:val="center"/>
          </w:tcPr>
          <w:p w14:paraId="1993F882">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三角冲支管</w:t>
            </w:r>
          </w:p>
        </w:tc>
        <w:tc>
          <w:tcPr>
            <w:tcW w:w="1203" w:type="dxa"/>
            <w:noWrap w:val="0"/>
            <w:vAlign w:val="center"/>
          </w:tcPr>
          <w:p w14:paraId="41F19B81">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65306EF5">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SZ0+080~SZ0+084</w:t>
            </w:r>
          </w:p>
        </w:tc>
        <w:tc>
          <w:tcPr>
            <w:tcW w:w="1334" w:type="dxa"/>
            <w:noWrap w:val="0"/>
            <w:vAlign w:val="center"/>
          </w:tcPr>
          <w:p w14:paraId="4E582F4D">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noWrap w:val="0"/>
            <w:vAlign w:val="center"/>
          </w:tcPr>
          <w:p w14:paraId="28709EE7">
            <w:pPr>
              <w:adjustRightInd w:val="0"/>
              <w:snapToGrid w:val="0"/>
              <w:spacing w:line="300" w:lineRule="exact"/>
              <w:jc w:val="center"/>
              <w:rPr>
                <w:rFonts w:ascii="Arial" w:hAnsi="Arial" w:cs="Arial"/>
                <w:color w:val="auto"/>
                <w:spacing w:val="-4"/>
                <w:sz w:val="22"/>
                <w:szCs w:val="22"/>
              </w:rPr>
            </w:pPr>
            <w:r>
              <w:rPr>
                <w:rFonts w:hint="eastAsia" w:ascii="Arial" w:hAnsi="Arial" w:cs="Arial"/>
                <w:sz w:val="22"/>
                <w:szCs w:val="22"/>
                <w:lang w:val="zh-CN"/>
              </w:rPr>
              <w:t>设临时钢板桥</w:t>
            </w:r>
          </w:p>
        </w:tc>
      </w:tr>
      <w:tr w14:paraId="036B9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869" w:type="dxa"/>
            <w:shd w:val="clear" w:color="auto" w:fill="auto"/>
            <w:noWrap w:val="0"/>
            <w:vAlign w:val="center"/>
          </w:tcPr>
          <w:p w14:paraId="1562EC17">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11</w:t>
            </w:r>
          </w:p>
        </w:tc>
        <w:tc>
          <w:tcPr>
            <w:tcW w:w="1403" w:type="dxa"/>
            <w:noWrap w:val="0"/>
            <w:vAlign w:val="center"/>
          </w:tcPr>
          <w:p w14:paraId="03D81191">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鸦雀湾支管</w:t>
            </w:r>
          </w:p>
        </w:tc>
        <w:tc>
          <w:tcPr>
            <w:tcW w:w="1203" w:type="dxa"/>
            <w:noWrap w:val="0"/>
            <w:vAlign w:val="center"/>
          </w:tcPr>
          <w:p w14:paraId="383F3012">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梯青路</w:t>
            </w:r>
          </w:p>
        </w:tc>
        <w:tc>
          <w:tcPr>
            <w:tcW w:w="2413" w:type="dxa"/>
            <w:noWrap w:val="0"/>
            <w:vAlign w:val="center"/>
          </w:tcPr>
          <w:p w14:paraId="28279056">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YZ0+365~YZ0+373</w:t>
            </w:r>
          </w:p>
        </w:tc>
        <w:tc>
          <w:tcPr>
            <w:tcW w:w="1334" w:type="dxa"/>
            <w:noWrap w:val="0"/>
            <w:vAlign w:val="center"/>
          </w:tcPr>
          <w:p w14:paraId="0AC226F8">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8</w:t>
            </w:r>
          </w:p>
        </w:tc>
        <w:tc>
          <w:tcPr>
            <w:tcW w:w="1695" w:type="dxa"/>
            <w:noWrap w:val="0"/>
            <w:vAlign w:val="center"/>
          </w:tcPr>
          <w:p w14:paraId="37003E8E">
            <w:pPr>
              <w:adjustRightInd w:val="0"/>
              <w:snapToGrid w:val="0"/>
              <w:spacing w:line="300" w:lineRule="exact"/>
              <w:jc w:val="center"/>
              <w:rPr>
                <w:rFonts w:ascii="Arial" w:hAnsi="Arial" w:cs="Arial"/>
                <w:color w:val="auto"/>
                <w:spacing w:val="-4"/>
                <w:sz w:val="22"/>
                <w:szCs w:val="22"/>
              </w:rPr>
            </w:pPr>
            <w:r>
              <w:rPr>
                <w:rFonts w:hint="eastAsia" w:ascii="Arial" w:hAnsi="Arial" w:cs="Arial"/>
                <w:sz w:val="22"/>
                <w:szCs w:val="22"/>
                <w:lang w:val="zh-CN"/>
              </w:rPr>
              <w:t>半幅施工</w:t>
            </w:r>
          </w:p>
        </w:tc>
      </w:tr>
    </w:tbl>
    <w:p w14:paraId="484C21C7">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sz w:val="26"/>
          <w:szCs w:val="26"/>
          <w:lang w:val="zh-CN" w:eastAsia="zh-CN"/>
        </w:rPr>
      </w:pPr>
    </w:p>
    <w:p w14:paraId="2B7FFBF8">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Arial" w:cs="Arial"/>
          <w:b/>
          <w:sz w:val="26"/>
          <w:szCs w:val="26"/>
        </w:rPr>
      </w:pPr>
      <w:r>
        <w:rPr>
          <w:rFonts w:hint="eastAsia" w:ascii="Arial" w:hAnsi="Arial" w:cs="Arial"/>
          <w:b/>
          <w:sz w:val="26"/>
          <w:szCs w:val="26"/>
        </w:rPr>
        <w:t>（</w:t>
      </w:r>
      <w:r>
        <w:rPr>
          <w:rFonts w:hint="eastAsia" w:ascii="Arial" w:hAnsi="Arial" w:cs="Arial"/>
          <w:b/>
          <w:sz w:val="26"/>
          <w:szCs w:val="26"/>
          <w:lang w:val="en-US" w:eastAsia="zh-CN"/>
        </w:rPr>
        <w:t>3</w:t>
      </w:r>
      <w:r>
        <w:rPr>
          <w:rFonts w:hint="eastAsia" w:ascii="Arial" w:hAnsi="Arial" w:cs="Arial"/>
          <w:b/>
          <w:sz w:val="26"/>
          <w:szCs w:val="26"/>
        </w:rPr>
        <w:t>）</w:t>
      </w:r>
      <w:r>
        <w:rPr>
          <w:rFonts w:hint="eastAsia" w:ascii="Arial" w:hAnsi="Arial" w:cs="Arial"/>
          <w:b/>
          <w:sz w:val="26"/>
          <w:szCs w:val="26"/>
          <w:lang w:eastAsia="zh-CN"/>
        </w:rPr>
        <w:t>其他附属</w:t>
      </w:r>
      <w:r>
        <w:rPr>
          <w:rFonts w:hint="eastAsia" w:ascii="Arial" w:hAnsi="Arial" w:cs="Arial"/>
          <w:b/>
          <w:sz w:val="26"/>
          <w:szCs w:val="26"/>
        </w:rPr>
        <w:t>工程</w:t>
      </w:r>
    </w:p>
    <w:p w14:paraId="3399056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lang w:eastAsia="zh-CN"/>
        </w:rPr>
      </w:pPr>
      <w:r>
        <w:rPr>
          <w:rFonts w:hint="eastAsia" w:ascii="Arial" w:hAnsi="Arial" w:cs="Arial"/>
          <w:b/>
          <w:bCs/>
          <w:sz w:val="26"/>
        </w:rPr>
        <w:t>①</w:t>
      </w:r>
      <w:r>
        <w:rPr>
          <w:rFonts w:hint="eastAsia" w:ascii="Arial" w:hAnsi="Arial" w:cs="Arial"/>
          <w:b/>
          <w:bCs/>
          <w:sz w:val="26"/>
          <w:lang w:val="en-US" w:eastAsia="zh-CN"/>
        </w:rPr>
        <w:t xml:space="preserve"> </w:t>
      </w:r>
      <w:r>
        <w:rPr>
          <w:rFonts w:hint="eastAsia" w:ascii="Arial" w:hAnsi="Arial" w:cs="Arial"/>
          <w:b/>
          <w:bCs/>
          <w:sz w:val="26"/>
          <w:lang w:eastAsia="zh-CN"/>
        </w:rPr>
        <w:t>房屋工程</w:t>
      </w:r>
    </w:p>
    <w:p w14:paraId="799D020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水库管理房</w:t>
      </w:r>
      <w:r>
        <w:rPr>
          <w:rFonts w:hint="eastAsia" w:ascii="Arial" w:hAnsi="Arial" w:cs="Arial"/>
          <w:sz w:val="26"/>
          <w:szCs w:val="26"/>
          <w:lang w:val="zh-CN"/>
        </w:rPr>
        <w:t>位于大坝左岸，正负零标高为424.5m，建筑占地面积</w:t>
      </w:r>
      <w:r>
        <w:rPr>
          <w:rFonts w:hint="eastAsia" w:ascii="Arial" w:hAnsi="Arial" w:cs="Arial"/>
          <w:sz w:val="26"/>
          <w:szCs w:val="26"/>
        </w:rPr>
        <w:t>92</w:t>
      </w:r>
      <w:r>
        <w:rPr>
          <w:rFonts w:hint="eastAsia" w:ascii="Arial" w:hAnsi="Arial" w:cs="Arial"/>
          <w:sz w:val="26"/>
          <w:szCs w:val="26"/>
          <w:lang w:val="zh-CN"/>
        </w:rPr>
        <w:t>m</w:t>
      </w:r>
      <w:r>
        <w:rPr>
          <w:rFonts w:hint="eastAsia" w:ascii="Arial" w:hAnsi="Arial" w:cs="Arial"/>
          <w:sz w:val="26"/>
          <w:szCs w:val="26"/>
          <w:vertAlign w:val="superscript"/>
          <w:lang w:val="en-US" w:eastAsia="zh-CN"/>
        </w:rPr>
        <w:t>2</w:t>
      </w:r>
      <w:r>
        <w:rPr>
          <w:rFonts w:hint="eastAsia" w:ascii="Arial" w:hAnsi="Arial" w:cs="Arial"/>
          <w:sz w:val="26"/>
          <w:szCs w:val="26"/>
          <w:lang w:val="zh-CN"/>
        </w:rPr>
        <w:t>，总建筑面积</w:t>
      </w:r>
      <w:r>
        <w:rPr>
          <w:rFonts w:hint="eastAsia" w:ascii="Arial" w:hAnsi="Arial" w:cs="Arial"/>
          <w:sz w:val="26"/>
          <w:szCs w:val="26"/>
        </w:rPr>
        <w:t>184</w:t>
      </w:r>
      <w:r>
        <w:rPr>
          <w:rFonts w:hint="eastAsia" w:ascii="Arial" w:hAnsi="Arial" w:cs="Arial"/>
          <w:sz w:val="26"/>
          <w:szCs w:val="26"/>
          <w:lang w:val="zh-CN"/>
        </w:rPr>
        <w:t>m</w:t>
      </w:r>
      <w:r>
        <w:rPr>
          <w:rFonts w:hint="eastAsia" w:ascii="Arial" w:hAnsi="Arial" w:cs="Arial"/>
          <w:sz w:val="26"/>
          <w:szCs w:val="26"/>
          <w:vertAlign w:val="superscript"/>
          <w:lang w:val="en-US" w:eastAsia="zh-CN"/>
        </w:rPr>
        <w:t>2</w:t>
      </w:r>
      <w:r>
        <w:rPr>
          <w:rFonts w:hint="eastAsia" w:ascii="Arial" w:hAnsi="Arial" w:cs="Arial"/>
          <w:sz w:val="26"/>
          <w:szCs w:val="26"/>
          <w:lang w:val="zh-CN"/>
        </w:rPr>
        <w:t>，采用砼框架砌体两层结构，一层层高3.3m，二层层高3.0m，总高8.06m。管理房平台边缘设1.2m高C25钢筋砼栏杆，总长约79m。</w:t>
      </w:r>
    </w:p>
    <w:p w14:paraId="7BA013A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zh-CN" w:eastAsia="zh-CN"/>
        </w:rPr>
      </w:pPr>
      <w:r>
        <w:rPr>
          <w:rFonts w:hint="eastAsia" w:ascii="Arial" w:hAnsi="Arial" w:cs="Arial"/>
          <w:sz w:val="26"/>
          <w:szCs w:val="26"/>
          <w:lang w:val="zh-CN" w:eastAsia="zh-CN"/>
        </w:rPr>
        <w:t>取水（放空）闸阀房：位于大坝下游尾水渠左边墙外侧，正负零标高为399.7m，总建筑面积20m</w:t>
      </w:r>
      <w:r>
        <w:rPr>
          <w:rFonts w:hint="eastAsia" w:ascii="Arial" w:hAnsi="Arial" w:cs="Arial"/>
          <w:sz w:val="26"/>
          <w:szCs w:val="26"/>
          <w:vertAlign w:val="superscript"/>
          <w:lang w:val="en-US" w:eastAsia="zh-CN"/>
        </w:rPr>
        <w:t>2</w:t>
      </w:r>
      <w:r>
        <w:rPr>
          <w:rFonts w:hint="eastAsia" w:ascii="Arial" w:hAnsi="Arial" w:cs="Arial"/>
          <w:sz w:val="26"/>
          <w:szCs w:val="26"/>
          <w:lang w:val="zh-CN" w:eastAsia="zh-CN"/>
        </w:rPr>
        <w:t>，砼框架砌体结构，层高3.5m。</w:t>
      </w:r>
    </w:p>
    <w:p w14:paraId="2D6A4EF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bCs/>
          <w:sz w:val="26"/>
          <w:lang w:val="en-US" w:eastAsia="zh-CN"/>
        </w:rPr>
      </w:pPr>
      <w:r>
        <w:rPr>
          <w:rFonts w:hint="default" w:ascii="Arial" w:hAnsi="Arial" w:cs="Arial"/>
          <w:b/>
          <w:bCs/>
          <w:sz w:val="26"/>
        </w:rPr>
        <w:t>②</w:t>
      </w:r>
      <w:r>
        <w:rPr>
          <w:rFonts w:hint="eastAsia" w:ascii="Arial" w:hAnsi="Arial" w:cs="Arial"/>
          <w:b/>
          <w:bCs/>
          <w:sz w:val="26"/>
          <w:lang w:val="en-US" w:eastAsia="zh-CN"/>
        </w:rPr>
        <w:t xml:space="preserve"> 上坝道路</w:t>
      </w:r>
    </w:p>
    <w:p w14:paraId="72E2950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eastAsia="宋体" w:cs="Arial"/>
          <w:sz w:val="26"/>
          <w:szCs w:val="26"/>
          <w:lang w:val="en-US" w:eastAsia="zh-CN"/>
        </w:rPr>
      </w:pPr>
      <w:r>
        <w:rPr>
          <w:rFonts w:hint="eastAsia" w:ascii="Arial" w:cs="Arial"/>
          <w:sz w:val="26"/>
          <w:szCs w:val="26"/>
          <w:lang w:eastAsia="zh-CN"/>
        </w:rPr>
        <w:t>因项目所在地基础设施建设较为落后，现状无道路与项目拟建坝址处进行衔接，为满足水库运行管理需求</w:t>
      </w:r>
      <w:r>
        <w:rPr>
          <w:rFonts w:hint="eastAsia" w:ascii="Arial" w:hAnsi="Arial" w:cs="Arial"/>
          <w:sz w:val="26"/>
          <w:szCs w:val="26"/>
          <w:lang w:val="zh-CN" w:eastAsia="zh-CN"/>
        </w:rPr>
        <w:t>，需建设上坝公路总长</w:t>
      </w:r>
      <w:r>
        <w:rPr>
          <w:rFonts w:hint="eastAsia" w:ascii="Arial" w:hAnsi="Arial" w:cs="Arial"/>
          <w:sz w:val="26"/>
          <w:szCs w:val="26"/>
          <w:lang w:val="en-US" w:eastAsia="zh-CN"/>
        </w:rPr>
        <w:t>1762m，</w:t>
      </w:r>
      <w:r>
        <w:rPr>
          <w:rFonts w:hint="eastAsia" w:ascii="Arial" w:cs="Arial"/>
          <w:sz w:val="26"/>
          <w:szCs w:val="26"/>
          <w:lang w:val="zh-CN"/>
        </w:rPr>
        <w:t>其中扩建现状机耕道段长331m，新建段长1431m。起点接已建成农村公路，终点接大坝下游闸阀房，中途经过大坝坝顶，沿等高线往西南方向布置，沿右库岸布置，路路面宽4.5m，起点高程512.48m，终点高程401.0m</w:t>
      </w:r>
      <w:r>
        <w:rPr>
          <w:rFonts w:hint="eastAsia" w:ascii="Arial" w:cs="Arial"/>
          <w:sz w:val="26"/>
          <w:szCs w:val="26"/>
        </w:rPr>
        <w:t>。</w:t>
      </w:r>
    </w:p>
    <w:p w14:paraId="197DCCC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bCs/>
          <w:sz w:val="26"/>
          <w:lang w:val="en-US" w:eastAsia="zh-CN"/>
        </w:rPr>
      </w:pPr>
      <w:r>
        <w:rPr>
          <w:rFonts w:hint="eastAsia" w:ascii="Arial" w:hAnsi="Arial" w:cs="Arial"/>
          <w:b/>
          <w:bCs/>
          <w:sz w:val="26"/>
        </w:rPr>
        <w:t>③</w:t>
      </w:r>
      <w:r>
        <w:rPr>
          <w:rFonts w:hint="eastAsia" w:ascii="Arial" w:hAnsi="Arial" w:cs="Arial"/>
          <w:b/>
          <w:bCs/>
          <w:sz w:val="26"/>
          <w:lang w:val="en-US" w:eastAsia="zh-CN"/>
        </w:rPr>
        <w:t xml:space="preserve"> 环库巡检步道</w:t>
      </w:r>
    </w:p>
    <w:p w14:paraId="451565F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cs="Arial"/>
          <w:sz w:val="26"/>
          <w:szCs w:val="26"/>
          <w:lang w:val="en-US" w:eastAsia="zh-CN"/>
        </w:rPr>
      </w:pPr>
      <w:r>
        <w:rPr>
          <w:rFonts w:hint="eastAsia" w:ascii="Arial" w:cs="Arial"/>
          <w:sz w:val="26"/>
          <w:szCs w:val="26"/>
          <w:lang w:eastAsia="zh-CN"/>
        </w:rPr>
        <w:t>海螺沟水库建成后具有人饮供水功能，为便于管理人员进行日常的巡检，需沿库区新建巡检步道</w:t>
      </w:r>
      <w:r>
        <w:rPr>
          <w:rFonts w:hint="eastAsia" w:ascii="Arial" w:cs="Arial"/>
          <w:sz w:val="26"/>
          <w:szCs w:val="26"/>
          <w:lang w:val="en-US" w:eastAsia="zh-CN"/>
        </w:rPr>
        <w:t>2504m，路面宽1.5m，</w:t>
      </w:r>
      <w:r>
        <w:rPr>
          <w:rFonts w:hint="eastAsia" w:ascii="Arial" w:cs="Arial"/>
          <w:sz w:val="26"/>
          <w:szCs w:val="26"/>
          <w:lang w:val="zh-CN" w:eastAsia="zh-CN"/>
        </w:rPr>
        <w:t>沿等库区四周高线布置，起点接新建上坝公路，高程435.44m，终点接坝顶，高程424.0m。</w:t>
      </w:r>
    </w:p>
    <w:p w14:paraId="4470A8F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lang w:eastAsia="zh-CN"/>
        </w:rPr>
      </w:pPr>
      <w:r>
        <w:rPr>
          <w:rFonts w:hint="eastAsia" w:ascii="Arial" w:hAnsi="Arial" w:cs="Arial"/>
          <w:b/>
          <w:bCs/>
          <w:sz w:val="26"/>
        </w:rPr>
        <w:t>④</w:t>
      </w:r>
      <w:r>
        <w:rPr>
          <w:rFonts w:hint="eastAsia" w:ascii="Arial" w:hAnsi="Arial" w:cs="Arial"/>
          <w:b/>
          <w:bCs/>
          <w:sz w:val="26"/>
          <w:lang w:val="en-US" w:eastAsia="zh-CN"/>
        </w:rPr>
        <w:t xml:space="preserve"> </w:t>
      </w:r>
      <w:r>
        <w:rPr>
          <w:rFonts w:hint="eastAsia" w:ascii="Arial" w:hAnsi="Arial" w:cs="Arial"/>
          <w:b/>
          <w:bCs/>
          <w:sz w:val="26"/>
          <w:lang w:eastAsia="zh-CN"/>
        </w:rPr>
        <w:t>监测设施</w:t>
      </w:r>
    </w:p>
    <w:p w14:paraId="12AACE4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hAnsi="Arial" w:cs="Arial"/>
          <w:color w:val="auto"/>
          <w:kern w:val="0"/>
          <w:sz w:val="26"/>
          <w:szCs w:val="26"/>
          <w:highlight w:val="none"/>
          <w:lang w:val="en-US" w:eastAsia="zh-CN"/>
        </w:rPr>
        <w:t>监测设施包括变形监测桩、渗流监测、量水堰、应力应变监测点、流速仪、水位监测设施、水温监测设施、气温监测系统、降雨量监测系统、水质监测设备等。</w:t>
      </w:r>
    </w:p>
    <w:p w14:paraId="2F87065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lang w:eastAsia="zh-CN"/>
        </w:rPr>
      </w:pPr>
      <w:r>
        <w:rPr>
          <w:rFonts w:hint="eastAsia" w:ascii="Arial" w:hAnsi="Arial" w:cs="Arial"/>
          <w:b/>
          <w:bCs/>
          <w:sz w:val="26"/>
        </w:rPr>
        <w:t>⑤</w:t>
      </w:r>
      <w:r>
        <w:rPr>
          <w:rFonts w:hint="eastAsia" w:ascii="Arial" w:hAnsi="Arial" w:cs="Arial"/>
          <w:b/>
          <w:bCs/>
          <w:sz w:val="26"/>
          <w:lang w:val="en-US" w:eastAsia="zh-CN"/>
        </w:rPr>
        <w:t xml:space="preserve"> </w:t>
      </w:r>
      <w:r>
        <w:rPr>
          <w:rFonts w:hint="eastAsia" w:ascii="Arial" w:hAnsi="Arial" w:cs="Arial"/>
          <w:b/>
          <w:bCs/>
          <w:sz w:val="26"/>
          <w:lang w:eastAsia="zh-CN"/>
        </w:rPr>
        <w:t>其他</w:t>
      </w:r>
    </w:p>
    <w:p w14:paraId="3D26F6D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cs="Arial"/>
          <w:sz w:val="26"/>
          <w:szCs w:val="26"/>
        </w:rPr>
        <w:t>新建大理石竣工碑1座，增设安全警示牌10个。</w:t>
      </w:r>
    </w:p>
    <w:p w14:paraId="560F2C8A">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2.2.6坝址处水文情势概况</w:t>
      </w:r>
    </w:p>
    <w:p w14:paraId="6889BEE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cs="Arial"/>
          <w:b/>
          <w:bCs/>
          <w:sz w:val="26"/>
          <w:lang w:val="en-US" w:eastAsia="zh-CN"/>
        </w:rPr>
      </w:pPr>
      <w:r>
        <w:rPr>
          <w:rFonts w:hint="eastAsia" w:ascii="Arial" w:hAnsi="Arial" w:cs="Arial"/>
          <w:b/>
          <w:bCs/>
          <w:sz w:val="26"/>
          <w:lang w:eastAsia="zh-CN"/>
        </w:rPr>
        <w:t>（</w:t>
      </w:r>
      <w:r>
        <w:rPr>
          <w:rFonts w:hint="eastAsia" w:ascii="Arial" w:hAnsi="Arial" w:cs="Arial"/>
          <w:b/>
          <w:bCs/>
          <w:sz w:val="26"/>
          <w:lang w:val="en-US" w:eastAsia="zh-CN"/>
        </w:rPr>
        <w:t>1）水文站网分布及资料情况</w:t>
      </w:r>
    </w:p>
    <w:p w14:paraId="5145B4E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lang w:eastAsia="zh-CN"/>
        </w:rPr>
      </w:pPr>
      <w:r>
        <w:rPr>
          <w:rFonts w:hint="eastAsia" w:ascii="Arial" w:cs="Arial"/>
          <w:sz w:val="26"/>
          <w:szCs w:val="26"/>
          <w:lang w:eastAsia="zh-CN"/>
        </w:rPr>
        <w:t>海螺沟流域内无水文测站，在渠溪河干流上有两河水文站，渠溪河流域内有永丰、朱光嘴、苏家场雨量站，以及邻近大沙河流域有精华雨量站，观测项目有水位、流量、泥沙、降雨等。各水文、雨量站资料情况见表2.</w:t>
      </w:r>
      <w:r>
        <w:rPr>
          <w:rFonts w:hint="eastAsia" w:ascii="Arial" w:cs="Arial"/>
          <w:sz w:val="26"/>
          <w:szCs w:val="26"/>
          <w:lang w:val="en-US" w:eastAsia="zh-CN"/>
        </w:rPr>
        <w:t>2-6</w:t>
      </w:r>
      <w:r>
        <w:rPr>
          <w:rFonts w:hint="eastAsia" w:ascii="Arial" w:cs="Arial"/>
          <w:sz w:val="26"/>
          <w:szCs w:val="26"/>
          <w:lang w:eastAsia="zh-CN"/>
        </w:rPr>
        <w:t>。</w:t>
      </w:r>
    </w:p>
    <w:p w14:paraId="5D8DC1A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2.2-6 流域临近水文、气象站点基本资料表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3"/>
        <w:gridCol w:w="944"/>
        <w:gridCol w:w="1086"/>
        <w:gridCol w:w="1235"/>
        <w:gridCol w:w="1987"/>
        <w:gridCol w:w="1538"/>
        <w:gridCol w:w="1241"/>
      </w:tblGrid>
      <w:tr w14:paraId="4114D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vMerge w:val="restart"/>
            <w:noWrap w:val="0"/>
            <w:vAlign w:val="center"/>
          </w:tcPr>
          <w:p w14:paraId="5A66AF6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河名</w:t>
            </w:r>
          </w:p>
        </w:tc>
        <w:tc>
          <w:tcPr>
            <w:tcW w:w="944" w:type="dxa"/>
            <w:vMerge w:val="restart"/>
            <w:noWrap w:val="0"/>
            <w:vAlign w:val="center"/>
          </w:tcPr>
          <w:p w14:paraId="75E7D9D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站 名</w:t>
            </w:r>
          </w:p>
        </w:tc>
        <w:tc>
          <w:tcPr>
            <w:tcW w:w="2321" w:type="dxa"/>
            <w:gridSpan w:val="2"/>
            <w:noWrap w:val="0"/>
            <w:vAlign w:val="center"/>
          </w:tcPr>
          <w:p w14:paraId="372A5CE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坐        标</w:t>
            </w:r>
          </w:p>
        </w:tc>
        <w:tc>
          <w:tcPr>
            <w:tcW w:w="1987" w:type="dxa"/>
            <w:vMerge w:val="restart"/>
            <w:noWrap w:val="0"/>
            <w:vAlign w:val="center"/>
          </w:tcPr>
          <w:p w14:paraId="1A27807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站 址 地 点</w:t>
            </w:r>
          </w:p>
        </w:tc>
        <w:tc>
          <w:tcPr>
            <w:tcW w:w="1538" w:type="dxa"/>
            <w:vMerge w:val="restart"/>
            <w:noWrap w:val="0"/>
            <w:vAlign w:val="center"/>
          </w:tcPr>
          <w:p w14:paraId="10EF979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资料起止时间</w:t>
            </w:r>
          </w:p>
        </w:tc>
        <w:tc>
          <w:tcPr>
            <w:tcW w:w="1241" w:type="dxa"/>
            <w:vMerge w:val="restart"/>
            <w:noWrap w:val="0"/>
            <w:vAlign w:val="center"/>
          </w:tcPr>
          <w:p w14:paraId="06C0B58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观测项目</w:t>
            </w:r>
          </w:p>
        </w:tc>
      </w:tr>
      <w:tr w14:paraId="2DB02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vMerge w:val="continue"/>
            <w:noWrap w:val="0"/>
            <w:vAlign w:val="center"/>
          </w:tcPr>
          <w:p w14:paraId="1FE9F9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944" w:type="dxa"/>
            <w:vMerge w:val="continue"/>
            <w:noWrap w:val="0"/>
            <w:vAlign w:val="center"/>
          </w:tcPr>
          <w:p w14:paraId="66EECD9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086" w:type="dxa"/>
            <w:noWrap w:val="0"/>
            <w:vAlign w:val="center"/>
          </w:tcPr>
          <w:p w14:paraId="69D3580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东   经</w:t>
            </w:r>
          </w:p>
        </w:tc>
        <w:tc>
          <w:tcPr>
            <w:tcW w:w="1235" w:type="dxa"/>
            <w:noWrap w:val="0"/>
            <w:vAlign w:val="center"/>
          </w:tcPr>
          <w:p w14:paraId="6AF6594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北  纬</w:t>
            </w:r>
          </w:p>
        </w:tc>
        <w:tc>
          <w:tcPr>
            <w:tcW w:w="1987" w:type="dxa"/>
            <w:vMerge w:val="continue"/>
            <w:noWrap w:val="0"/>
            <w:vAlign w:val="center"/>
          </w:tcPr>
          <w:p w14:paraId="053AC79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538" w:type="dxa"/>
            <w:vMerge w:val="continue"/>
            <w:noWrap w:val="0"/>
            <w:vAlign w:val="center"/>
          </w:tcPr>
          <w:p w14:paraId="2DFF367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241" w:type="dxa"/>
            <w:vMerge w:val="continue"/>
            <w:noWrap w:val="0"/>
            <w:vAlign w:val="center"/>
          </w:tcPr>
          <w:p w14:paraId="13CA624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r>
      <w:tr w14:paraId="1E446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noWrap w:val="0"/>
            <w:vAlign w:val="center"/>
          </w:tcPr>
          <w:p w14:paraId="65452CC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大沙河</w:t>
            </w:r>
          </w:p>
        </w:tc>
        <w:tc>
          <w:tcPr>
            <w:tcW w:w="944" w:type="dxa"/>
            <w:noWrap w:val="0"/>
            <w:vAlign w:val="center"/>
          </w:tcPr>
          <w:p w14:paraId="1169B42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精华</w:t>
            </w:r>
          </w:p>
        </w:tc>
        <w:tc>
          <w:tcPr>
            <w:tcW w:w="1086" w:type="dxa"/>
            <w:noWrap w:val="0"/>
            <w:vAlign w:val="center"/>
          </w:tcPr>
          <w:p w14:paraId="68F3C07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107°38′</w:t>
            </w:r>
          </w:p>
        </w:tc>
        <w:tc>
          <w:tcPr>
            <w:tcW w:w="1235" w:type="dxa"/>
            <w:noWrap w:val="0"/>
            <w:vAlign w:val="center"/>
          </w:tcPr>
          <w:p w14:paraId="387D6A0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30°22′</w:t>
            </w:r>
          </w:p>
        </w:tc>
        <w:tc>
          <w:tcPr>
            <w:tcW w:w="1987" w:type="dxa"/>
            <w:noWrap w:val="0"/>
            <w:vAlign w:val="center"/>
          </w:tcPr>
          <w:p w14:paraId="13A2B2D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忠县精华公社汪家</w:t>
            </w:r>
          </w:p>
        </w:tc>
        <w:tc>
          <w:tcPr>
            <w:tcW w:w="1538" w:type="dxa"/>
            <w:noWrap w:val="0"/>
            <w:vAlign w:val="center"/>
          </w:tcPr>
          <w:p w14:paraId="3BD0FD6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1981-2018</w:t>
            </w:r>
          </w:p>
        </w:tc>
        <w:tc>
          <w:tcPr>
            <w:tcW w:w="1241" w:type="dxa"/>
            <w:noWrap w:val="0"/>
            <w:vAlign w:val="center"/>
          </w:tcPr>
          <w:p w14:paraId="6119F24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雨 量</w:t>
            </w:r>
          </w:p>
        </w:tc>
      </w:tr>
      <w:tr w14:paraId="3A804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exact"/>
          <w:jc w:val="center"/>
        </w:trPr>
        <w:tc>
          <w:tcPr>
            <w:tcW w:w="983" w:type="dxa"/>
            <w:noWrap w:val="0"/>
            <w:vAlign w:val="center"/>
          </w:tcPr>
          <w:p w14:paraId="63B9B8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eastAsia="宋体" w:cs="Arial"/>
                <w:sz w:val="22"/>
                <w:szCs w:val="22"/>
                <w:lang w:eastAsia="zh-CN"/>
              </w:rPr>
            </w:pPr>
            <w:r>
              <w:rPr>
                <w:rFonts w:hint="default" w:ascii="Arial" w:hAnsi="Arial" w:cs="Arial"/>
                <w:sz w:val="22"/>
                <w:szCs w:val="22"/>
                <w:lang w:eastAsia="zh-CN"/>
              </w:rPr>
              <w:t>渠溪河</w:t>
            </w:r>
          </w:p>
        </w:tc>
        <w:tc>
          <w:tcPr>
            <w:tcW w:w="944" w:type="dxa"/>
            <w:noWrap w:val="0"/>
            <w:vAlign w:val="center"/>
          </w:tcPr>
          <w:p w14:paraId="0B4F5C6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eastAsia="宋体" w:cs="Arial"/>
                <w:sz w:val="22"/>
                <w:szCs w:val="22"/>
                <w:lang w:eastAsia="zh-CN"/>
              </w:rPr>
            </w:pPr>
            <w:r>
              <w:rPr>
                <w:rFonts w:hint="default" w:ascii="Arial" w:hAnsi="Arial" w:cs="Arial"/>
                <w:sz w:val="22"/>
                <w:szCs w:val="22"/>
                <w:lang w:eastAsia="zh-CN"/>
              </w:rPr>
              <w:t>两河</w:t>
            </w:r>
          </w:p>
        </w:tc>
        <w:tc>
          <w:tcPr>
            <w:tcW w:w="1086" w:type="dxa"/>
            <w:noWrap w:val="0"/>
            <w:vAlign w:val="center"/>
          </w:tcPr>
          <w:p w14:paraId="4C58860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107°47′</w:t>
            </w:r>
          </w:p>
        </w:tc>
        <w:tc>
          <w:tcPr>
            <w:tcW w:w="1235" w:type="dxa"/>
            <w:noWrap w:val="0"/>
            <w:vAlign w:val="center"/>
          </w:tcPr>
          <w:p w14:paraId="5DFB178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30°15′</w:t>
            </w:r>
          </w:p>
        </w:tc>
        <w:tc>
          <w:tcPr>
            <w:tcW w:w="1987" w:type="dxa"/>
            <w:noWrap w:val="0"/>
            <w:vAlign w:val="center"/>
          </w:tcPr>
          <w:p w14:paraId="50CFFF5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忠县两河乡和平村</w:t>
            </w:r>
          </w:p>
        </w:tc>
        <w:tc>
          <w:tcPr>
            <w:tcW w:w="1538" w:type="dxa"/>
            <w:noWrap w:val="0"/>
            <w:vAlign w:val="center"/>
          </w:tcPr>
          <w:p w14:paraId="5398A71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1959~2018</w:t>
            </w:r>
          </w:p>
        </w:tc>
        <w:tc>
          <w:tcPr>
            <w:tcW w:w="1241" w:type="dxa"/>
            <w:noWrap w:val="0"/>
            <w:vAlign w:val="center"/>
          </w:tcPr>
          <w:p w14:paraId="7C43A3D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eastAsia="宋体" w:cs="Arial"/>
                <w:sz w:val="22"/>
                <w:szCs w:val="22"/>
                <w:lang w:eastAsia="zh-CN"/>
              </w:rPr>
            </w:pPr>
            <w:r>
              <w:rPr>
                <w:rFonts w:hint="default" w:ascii="Arial" w:hAnsi="Arial" w:cs="Arial"/>
                <w:sz w:val="22"/>
                <w:szCs w:val="22"/>
                <w:lang w:eastAsia="zh-CN"/>
              </w:rPr>
              <w:t>雨量、水位、流量</w:t>
            </w:r>
          </w:p>
        </w:tc>
      </w:tr>
      <w:tr w14:paraId="500CF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noWrap w:val="0"/>
            <w:vAlign w:val="center"/>
          </w:tcPr>
          <w:p w14:paraId="75619D4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渠溪河</w:t>
            </w:r>
          </w:p>
        </w:tc>
        <w:tc>
          <w:tcPr>
            <w:tcW w:w="944" w:type="dxa"/>
            <w:noWrap w:val="0"/>
            <w:vAlign w:val="center"/>
          </w:tcPr>
          <w:p w14:paraId="6F4415A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永丰</w:t>
            </w:r>
          </w:p>
        </w:tc>
        <w:tc>
          <w:tcPr>
            <w:tcW w:w="1086" w:type="dxa"/>
            <w:noWrap w:val="0"/>
            <w:vAlign w:val="center"/>
          </w:tcPr>
          <w:p w14:paraId="0ABA6E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107°49′</w:t>
            </w:r>
          </w:p>
        </w:tc>
        <w:tc>
          <w:tcPr>
            <w:tcW w:w="1235" w:type="dxa"/>
            <w:noWrap w:val="0"/>
            <w:vAlign w:val="center"/>
          </w:tcPr>
          <w:p w14:paraId="44E9AD1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30°19′</w:t>
            </w:r>
          </w:p>
        </w:tc>
        <w:tc>
          <w:tcPr>
            <w:tcW w:w="1987" w:type="dxa"/>
            <w:noWrap w:val="0"/>
            <w:vAlign w:val="center"/>
          </w:tcPr>
          <w:p w14:paraId="339A3DF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忠县永丰公社</w:t>
            </w:r>
          </w:p>
        </w:tc>
        <w:tc>
          <w:tcPr>
            <w:tcW w:w="1538" w:type="dxa"/>
            <w:noWrap w:val="0"/>
            <w:vAlign w:val="center"/>
          </w:tcPr>
          <w:p w14:paraId="72C7E46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1980-2018</w:t>
            </w:r>
          </w:p>
        </w:tc>
        <w:tc>
          <w:tcPr>
            <w:tcW w:w="1241" w:type="dxa"/>
            <w:noWrap w:val="0"/>
            <w:vAlign w:val="center"/>
          </w:tcPr>
          <w:p w14:paraId="4A58492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雨 量</w:t>
            </w:r>
          </w:p>
        </w:tc>
      </w:tr>
      <w:tr w14:paraId="04044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noWrap w:val="0"/>
            <w:vAlign w:val="center"/>
          </w:tcPr>
          <w:p w14:paraId="527C4B2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渠溪河</w:t>
            </w:r>
          </w:p>
        </w:tc>
        <w:tc>
          <w:tcPr>
            <w:tcW w:w="944" w:type="dxa"/>
            <w:noWrap w:val="0"/>
            <w:vAlign w:val="center"/>
          </w:tcPr>
          <w:p w14:paraId="02EB43D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朱光嘴</w:t>
            </w:r>
          </w:p>
        </w:tc>
        <w:tc>
          <w:tcPr>
            <w:tcW w:w="1086" w:type="dxa"/>
            <w:noWrap w:val="0"/>
            <w:vAlign w:val="center"/>
          </w:tcPr>
          <w:p w14:paraId="1669B0B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107°53′</w:t>
            </w:r>
          </w:p>
        </w:tc>
        <w:tc>
          <w:tcPr>
            <w:tcW w:w="1235" w:type="dxa"/>
            <w:noWrap w:val="0"/>
            <w:vAlign w:val="center"/>
          </w:tcPr>
          <w:p w14:paraId="7685C50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30°17′</w:t>
            </w:r>
          </w:p>
        </w:tc>
        <w:tc>
          <w:tcPr>
            <w:tcW w:w="1987" w:type="dxa"/>
            <w:noWrap w:val="0"/>
            <w:vAlign w:val="center"/>
          </w:tcPr>
          <w:p w14:paraId="2BB616A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忠县万板公社</w:t>
            </w:r>
          </w:p>
        </w:tc>
        <w:tc>
          <w:tcPr>
            <w:tcW w:w="1538" w:type="dxa"/>
            <w:noWrap w:val="0"/>
            <w:vAlign w:val="center"/>
          </w:tcPr>
          <w:p w14:paraId="567344B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1980-2018</w:t>
            </w:r>
          </w:p>
        </w:tc>
        <w:tc>
          <w:tcPr>
            <w:tcW w:w="1241" w:type="dxa"/>
            <w:noWrap w:val="0"/>
            <w:vAlign w:val="center"/>
          </w:tcPr>
          <w:p w14:paraId="21E507E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雨 量</w:t>
            </w:r>
          </w:p>
        </w:tc>
      </w:tr>
      <w:tr w14:paraId="2CD7A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noWrap w:val="0"/>
            <w:vAlign w:val="center"/>
          </w:tcPr>
          <w:p w14:paraId="3BDF661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渠溪河</w:t>
            </w:r>
          </w:p>
        </w:tc>
        <w:tc>
          <w:tcPr>
            <w:tcW w:w="944" w:type="dxa"/>
            <w:noWrap w:val="0"/>
            <w:vAlign w:val="center"/>
          </w:tcPr>
          <w:p w14:paraId="7EE98C9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苏家场</w:t>
            </w:r>
          </w:p>
        </w:tc>
        <w:tc>
          <w:tcPr>
            <w:tcW w:w="1086" w:type="dxa"/>
            <w:noWrap w:val="0"/>
            <w:vAlign w:val="center"/>
          </w:tcPr>
          <w:p w14:paraId="48C83C9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107°46′</w:t>
            </w:r>
          </w:p>
        </w:tc>
        <w:tc>
          <w:tcPr>
            <w:tcW w:w="1235" w:type="dxa"/>
            <w:noWrap w:val="0"/>
            <w:vAlign w:val="center"/>
          </w:tcPr>
          <w:p w14:paraId="582E9FE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30°20′</w:t>
            </w:r>
          </w:p>
        </w:tc>
        <w:tc>
          <w:tcPr>
            <w:tcW w:w="1987" w:type="dxa"/>
            <w:noWrap w:val="0"/>
            <w:vAlign w:val="center"/>
          </w:tcPr>
          <w:p w14:paraId="2B23D23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忠县八德公社</w:t>
            </w:r>
          </w:p>
        </w:tc>
        <w:tc>
          <w:tcPr>
            <w:tcW w:w="1538" w:type="dxa"/>
            <w:noWrap w:val="0"/>
            <w:vAlign w:val="center"/>
          </w:tcPr>
          <w:p w14:paraId="3ADAD2F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1980-2018</w:t>
            </w:r>
          </w:p>
        </w:tc>
        <w:tc>
          <w:tcPr>
            <w:tcW w:w="1241" w:type="dxa"/>
            <w:noWrap w:val="0"/>
            <w:vAlign w:val="center"/>
          </w:tcPr>
          <w:p w14:paraId="18CCF99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雨 量</w:t>
            </w:r>
          </w:p>
        </w:tc>
      </w:tr>
    </w:tbl>
    <w:p w14:paraId="3C99E8F2">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lang w:val="en-US" w:eastAsia="zh-CN"/>
        </w:rPr>
      </w:pPr>
    </w:p>
    <w:p w14:paraId="0F812EF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
          <w:color w:val="auto"/>
          <w:sz w:val="26"/>
          <w:szCs w:val="26"/>
        </w:rPr>
      </w:pPr>
      <w:r>
        <w:rPr>
          <w:rFonts w:hint="eastAsia" w:ascii="Arial" w:cs="Arial"/>
          <w:b/>
          <w:color w:val="auto"/>
          <w:sz w:val="26"/>
          <w:szCs w:val="26"/>
        </w:rPr>
        <w:t>（2）参证站选址及水文测验情况</w:t>
      </w:r>
    </w:p>
    <w:p w14:paraId="1EEBBC5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eastAsia="zh-CN"/>
        </w:rPr>
      </w:pPr>
      <w:r>
        <w:rPr>
          <w:rFonts w:hint="default" w:ascii="Arial" w:hAnsi="Arial" w:cs="Arial"/>
          <w:sz w:val="26"/>
          <w:szCs w:val="26"/>
          <w:lang w:eastAsia="zh-CN"/>
        </w:rPr>
        <w:t>两河水文站</w:t>
      </w:r>
      <w:r>
        <w:rPr>
          <w:rFonts w:hint="default" w:ascii="Arial" w:hAnsi="Arial" w:cs="Arial"/>
          <w:sz w:val="26"/>
          <w:szCs w:val="26"/>
        </w:rPr>
        <w:t>控制流域面积157km</w:t>
      </w:r>
      <w:r>
        <w:rPr>
          <w:rFonts w:hint="default" w:ascii="Arial" w:hAnsi="Arial" w:cs="Arial"/>
          <w:sz w:val="26"/>
          <w:szCs w:val="26"/>
          <w:vertAlign w:val="superscript"/>
        </w:rPr>
        <w:t>2</w:t>
      </w:r>
      <w:r>
        <w:rPr>
          <w:rFonts w:hint="default" w:ascii="Arial" w:hAnsi="Arial" w:cs="Arial"/>
          <w:sz w:val="26"/>
          <w:szCs w:val="26"/>
          <w:vertAlign w:val="baseline"/>
          <w:lang w:eastAsia="zh-CN"/>
        </w:rPr>
        <w:t>，</w:t>
      </w:r>
      <w:r>
        <w:rPr>
          <w:rFonts w:hint="default" w:ascii="Arial" w:hAnsi="Arial" w:cs="Arial"/>
          <w:sz w:val="26"/>
          <w:szCs w:val="26"/>
          <w:lang w:eastAsia="zh-CN"/>
        </w:rPr>
        <w:t>距本工程较近，直线距离约10.3km，该站控制流域与工程所在流域在自然地理、径流补给来源、下垫面情况及水文特性等方面具有一定的相似性，且两河水文站实测资料系列较长，资料整编规范、合理，可靠性高。因此，本次设计流域选择两河水文站为本工程径流分析计算的参证站。</w:t>
      </w:r>
    </w:p>
    <w:p w14:paraId="3A054E9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eastAsia="宋体" w:cs="Arial"/>
          <w:b/>
          <w:color w:val="auto"/>
          <w:sz w:val="26"/>
          <w:szCs w:val="26"/>
          <w:lang w:eastAsia="zh-CN"/>
        </w:rPr>
      </w:pPr>
      <w:r>
        <w:rPr>
          <w:rFonts w:hint="eastAsia" w:ascii="Arial" w:cs="Arial"/>
          <w:b/>
          <w:color w:val="auto"/>
          <w:sz w:val="26"/>
          <w:szCs w:val="26"/>
        </w:rPr>
        <w:t>（</w:t>
      </w:r>
      <w:r>
        <w:rPr>
          <w:rFonts w:hint="eastAsia" w:ascii="Arial" w:cs="Arial"/>
          <w:b/>
          <w:color w:val="auto"/>
          <w:sz w:val="26"/>
          <w:szCs w:val="26"/>
          <w:lang w:val="en-US" w:eastAsia="zh-CN"/>
        </w:rPr>
        <w:t>3</w:t>
      </w:r>
      <w:r>
        <w:rPr>
          <w:rFonts w:hint="eastAsia" w:ascii="Arial" w:cs="Arial"/>
          <w:b/>
          <w:color w:val="auto"/>
          <w:sz w:val="26"/>
          <w:szCs w:val="26"/>
        </w:rPr>
        <w:t>）</w:t>
      </w:r>
      <w:r>
        <w:rPr>
          <w:rFonts w:hint="eastAsia" w:ascii="Arial" w:cs="Arial"/>
          <w:b/>
          <w:color w:val="auto"/>
          <w:sz w:val="26"/>
          <w:szCs w:val="26"/>
          <w:lang w:eastAsia="zh-CN"/>
        </w:rPr>
        <w:t>径流特征</w:t>
      </w:r>
    </w:p>
    <w:p w14:paraId="605C3F5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eastAsia="zh-CN"/>
        </w:rPr>
        <w:t>项目初设报告</w:t>
      </w:r>
      <w:r>
        <w:rPr>
          <w:rFonts w:hint="default" w:ascii="Arial" w:hAnsi="Arial" w:cs="Arial"/>
          <w:sz w:val="26"/>
          <w:szCs w:val="26"/>
          <w:lang w:eastAsia="zh-CN"/>
        </w:rPr>
        <w:t>根据两河（二）站径流系列，采用面积比并考虑降雨量修正推求海螺沟水库径流。海螺沟水库上坝址集雨面积为2.04km</w:t>
      </w:r>
      <w:r>
        <w:rPr>
          <w:rFonts w:hint="default" w:ascii="Arial" w:hAnsi="Arial" w:cs="Arial"/>
          <w:sz w:val="26"/>
          <w:szCs w:val="26"/>
          <w:vertAlign w:val="superscript"/>
          <w:lang w:eastAsia="zh-CN"/>
        </w:rPr>
        <w:t>2</w:t>
      </w:r>
      <w:r>
        <w:rPr>
          <w:rFonts w:hint="default" w:ascii="Arial" w:hAnsi="Arial" w:cs="Arial"/>
          <w:sz w:val="26"/>
          <w:szCs w:val="26"/>
          <w:lang w:eastAsia="zh-CN"/>
        </w:rPr>
        <w:t>，两河站集雨面积为157km</w:t>
      </w:r>
      <w:r>
        <w:rPr>
          <w:rFonts w:hint="default" w:ascii="Arial" w:hAnsi="Arial" w:cs="Arial"/>
          <w:sz w:val="26"/>
          <w:szCs w:val="26"/>
          <w:vertAlign w:val="superscript"/>
          <w:lang w:eastAsia="zh-CN"/>
        </w:rPr>
        <w:t>2</w:t>
      </w:r>
      <w:r>
        <w:rPr>
          <w:rFonts w:hint="default" w:ascii="Arial" w:hAnsi="Arial" w:cs="Arial"/>
          <w:sz w:val="26"/>
          <w:szCs w:val="26"/>
          <w:lang w:eastAsia="zh-CN"/>
        </w:rPr>
        <w:t>，面积修正系数0.012994</w:t>
      </w:r>
      <w:r>
        <w:rPr>
          <w:rFonts w:hint="eastAsia" w:ascii="Arial" w:hAnsi="Arial" w:cs="Arial"/>
          <w:sz w:val="26"/>
          <w:szCs w:val="26"/>
          <w:lang w:eastAsia="zh-CN"/>
        </w:rPr>
        <w:t>；</w:t>
      </w:r>
      <w:r>
        <w:rPr>
          <w:rFonts w:hint="default" w:ascii="Arial" w:hAnsi="Arial" w:cs="Arial"/>
          <w:sz w:val="26"/>
          <w:szCs w:val="26"/>
          <w:lang w:eastAsia="zh-CN"/>
        </w:rPr>
        <w:t>采用求得的两河站平均面雨量与水库坝址</w:t>
      </w:r>
      <w:r>
        <w:rPr>
          <w:rFonts w:hint="eastAsia" w:ascii="Arial" w:hAnsi="Arial" w:cs="Arial"/>
          <w:sz w:val="26"/>
          <w:szCs w:val="26"/>
          <w:lang w:eastAsia="zh-CN"/>
        </w:rPr>
        <w:t>插值</w:t>
      </w:r>
      <w:r>
        <w:rPr>
          <w:rFonts w:hint="default" w:ascii="Arial" w:hAnsi="Arial" w:cs="Arial"/>
          <w:sz w:val="26"/>
          <w:szCs w:val="26"/>
          <w:lang w:eastAsia="zh-CN"/>
        </w:rPr>
        <w:t>所得的面雨量比</w:t>
      </w:r>
      <w:r>
        <w:rPr>
          <w:rFonts w:hint="eastAsia" w:ascii="Arial" w:hAnsi="Arial" w:cs="Arial"/>
          <w:sz w:val="26"/>
          <w:szCs w:val="26"/>
          <w:lang w:eastAsia="zh-CN"/>
        </w:rPr>
        <w:t>，求得</w:t>
      </w:r>
      <w:r>
        <w:rPr>
          <w:rFonts w:hint="default" w:ascii="Arial" w:hAnsi="Arial" w:cs="Arial"/>
          <w:sz w:val="26"/>
          <w:szCs w:val="26"/>
          <w:lang w:eastAsia="zh-CN"/>
        </w:rPr>
        <w:t>降雨修正系数为0.998634。采用面积和雨量修正后推求的海螺沟水库坝址年径流为105万m</w:t>
      </w:r>
      <w:r>
        <w:rPr>
          <w:rFonts w:hint="default" w:ascii="Arial" w:hAnsi="Arial" w:cs="Arial"/>
          <w:sz w:val="26"/>
          <w:szCs w:val="26"/>
          <w:vertAlign w:val="superscript"/>
          <w:lang w:eastAsia="zh-CN"/>
        </w:rPr>
        <w:t>3</w:t>
      </w:r>
      <w:r>
        <w:rPr>
          <w:rFonts w:hint="default" w:ascii="Arial" w:hAnsi="Arial" w:cs="Arial"/>
          <w:sz w:val="26"/>
          <w:szCs w:val="26"/>
          <w:lang w:eastAsia="zh-CN"/>
        </w:rPr>
        <w:t>，平均流量为0.033m</w:t>
      </w:r>
      <w:r>
        <w:rPr>
          <w:rFonts w:hint="default" w:ascii="Arial" w:hAnsi="Arial" w:cs="Arial"/>
          <w:sz w:val="26"/>
          <w:szCs w:val="26"/>
          <w:vertAlign w:val="superscript"/>
          <w:lang w:eastAsia="zh-CN"/>
        </w:rPr>
        <w:t>3</w:t>
      </w:r>
      <w:r>
        <w:rPr>
          <w:rFonts w:hint="default" w:ascii="Arial" w:hAnsi="Arial" w:cs="Arial"/>
          <w:sz w:val="26"/>
          <w:szCs w:val="26"/>
          <w:lang w:eastAsia="zh-CN"/>
        </w:rPr>
        <w:t>/s</w:t>
      </w:r>
      <w:r>
        <w:rPr>
          <w:rFonts w:hint="eastAsia" w:ascii="Arial" w:hAnsi="Arial" w:cs="Arial"/>
          <w:sz w:val="26"/>
          <w:szCs w:val="26"/>
          <w:lang w:eastAsia="zh-CN"/>
        </w:rPr>
        <w:t>，</w:t>
      </w:r>
      <w:r>
        <w:rPr>
          <w:rFonts w:hint="default" w:ascii="Arial" w:hAnsi="Arial" w:cs="Arial"/>
          <w:sz w:val="26"/>
          <w:szCs w:val="26"/>
          <w:lang w:eastAsia="zh-CN"/>
        </w:rPr>
        <w:t>年径流深为514mm</w:t>
      </w:r>
      <w:r>
        <w:rPr>
          <w:rFonts w:hint="eastAsia" w:ascii="Arial" w:hAnsi="Arial" w:cs="Arial"/>
          <w:sz w:val="26"/>
          <w:szCs w:val="26"/>
          <w:lang w:eastAsia="zh-CN"/>
        </w:rPr>
        <w:t>。海螺沟水库推荐坝址处径流计算成果详见表</w:t>
      </w:r>
      <w:r>
        <w:rPr>
          <w:rFonts w:hint="eastAsia" w:ascii="Arial" w:hAnsi="Arial" w:cs="Arial"/>
          <w:sz w:val="26"/>
          <w:szCs w:val="26"/>
          <w:lang w:val="en-US" w:eastAsia="zh-CN"/>
        </w:rPr>
        <w:t>2.2-7所示。</w:t>
      </w:r>
    </w:p>
    <w:p w14:paraId="4FC1FA1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2.2-7 海螺沟水库径流计算成果一览表</w:t>
      </w:r>
    </w:p>
    <w:tbl>
      <w:tblPr>
        <w:tblStyle w:val="7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165"/>
        <w:gridCol w:w="965"/>
        <w:gridCol w:w="644"/>
        <w:gridCol w:w="678"/>
        <w:gridCol w:w="729"/>
        <w:gridCol w:w="780"/>
        <w:gridCol w:w="780"/>
        <w:gridCol w:w="782"/>
        <w:gridCol w:w="780"/>
        <w:gridCol w:w="780"/>
        <w:gridCol w:w="785"/>
      </w:tblGrid>
      <w:tr w14:paraId="496A5A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tblHeader/>
          <w:jc w:val="center"/>
        </w:trPr>
        <w:tc>
          <w:tcPr>
            <w:tcW w:w="657" w:type="pct"/>
            <w:vMerge w:val="restart"/>
            <w:noWrap w:val="0"/>
            <w:vAlign w:val="center"/>
          </w:tcPr>
          <w:p w14:paraId="156C4A6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项目</w:t>
            </w:r>
          </w:p>
        </w:tc>
        <w:tc>
          <w:tcPr>
            <w:tcW w:w="544" w:type="pct"/>
            <w:vMerge w:val="restart"/>
            <w:noWrap w:val="0"/>
            <w:vAlign w:val="center"/>
          </w:tcPr>
          <w:p w14:paraId="17AFE00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均值</w:t>
            </w:r>
          </w:p>
          <w:p w14:paraId="58315AC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w:t>
            </w:r>
            <w:r>
              <w:rPr>
                <w:rFonts w:hint="eastAsia" w:ascii="Arial" w:hAnsi="Arial" w:cs="Arial"/>
                <w:sz w:val="22"/>
                <w:szCs w:val="22"/>
                <w:lang w:val="en-US" w:eastAsia="zh-CN"/>
              </w:rPr>
              <w:t>m</w:t>
            </w:r>
            <w:r>
              <w:rPr>
                <w:rFonts w:hint="eastAsia" w:ascii="Arial" w:hAnsi="Arial" w:cs="Arial"/>
                <w:sz w:val="22"/>
                <w:szCs w:val="22"/>
                <w:vertAlign w:val="superscript"/>
                <w:lang w:val="en-US" w:eastAsia="zh-CN"/>
              </w:rPr>
              <w:t>3</w:t>
            </w:r>
            <w:r>
              <w:rPr>
                <w:rFonts w:hint="default" w:ascii="Arial" w:hAnsi="Arial" w:cs="Arial"/>
                <w:sz w:val="22"/>
                <w:szCs w:val="22"/>
              </w:rPr>
              <w:t>/s）</w:t>
            </w:r>
          </w:p>
        </w:tc>
        <w:tc>
          <w:tcPr>
            <w:tcW w:w="363" w:type="pct"/>
            <w:vMerge w:val="restart"/>
            <w:noWrap w:val="0"/>
            <w:vAlign w:val="center"/>
          </w:tcPr>
          <w:p w14:paraId="5DD3205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p w14:paraId="0383700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Cv</w:t>
            </w:r>
          </w:p>
        </w:tc>
        <w:tc>
          <w:tcPr>
            <w:tcW w:w="382" w:type="pct"/>
            <w:vMerge w:val="restart"/>
            <w:noWrap w:val="0"/>
            <w:vAlign w:val="center"/>
          </w:tcPr>
          <w:p w14:paraId="1D36AAD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p w14:paraId="71B1422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Cs/Cv</w:t>
            </w:r>
          </w:p>
        </w:tc>
        <w:tc>
          <w:tcPr>
            <w:tcW w:w="3054" w:type="pct"/>
            <w:gridSpan w:val="7"/>
            <w:noWrap w:val="0"/>
            <w:vAlign w:val="center"/>
          </w:tcPr>
          <w:p w14:paraId="4885280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设计径流（</w:t>
            </w:r>
            <w:r>
              <w:rPr>
                <w:rFonts w:hint="eastAsia" w:ascii="Arial" w:hAnsi="Arial" w:cs="Arial"/>
                <w:sz w:val="22"/>
                <w:szCs w:val="22"/>
                <w:lang w:val="en-US" w:eastAsia="zh-CN"/>
              </w:rPr>
              <w:t>m</w:t>
            </w:r>
            <w:r>
              <w:rPr>
                <w:rFonts w:hint="eastAsia" w:ascii="Arial" w:hAnsi="Arial" w:cs="Arial"/>
                <w:sz w:val="22"/>
                <w:szCs w:val="22"/>
                <w:vertAlign w:val="superscript"/>
                <w:lang w:val="en-US" w:eastAsia="zh-CN"/>
              </w:rPr>
              <w:t>3</w:t>
            </w:r>
            <w:r>
              <w:rPr>
                <w:rFonts w:hint="eastAsia" w:ascii="Arial" w:hAnsi="Arial" w:cs="Arial"/>
                <w:sz w:val="22"/>
                <w:szCs w:val="22"/>
                <w:lang w:val="en-US" w:eastAsia="zh-CN"/>
              </w:rPr>
              <w:t>/</w:t>
            </w:r>
            <w:r>
              <w:rPr>
                <w:rFonts w:hint="default" w:ascii="Arial" w:hAnsi="Arial" w:cs="Arial"/>
                <w:sz w:val="22"/>
                <w:szCs w:val="22"/>
              </w:rPr>
              <w:t>s）</w:t>
            </w:r>
          </w:p>
        </w:tc>
      </w:tr>
      <w:tr w14:paraId="6DF60B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tblHeader/>
          <w:jc w:val="center"/>
        </w:trPr>
        <w:tc>
          <w:tcPr>
            <w:tcW w:w="657" w:type="pct"/>
            <w:vMerge w:val="continue"/>
            <w:noWrap w:val="0"/>
            <w:vAlign w:val="center"/>
          </w:tcPr>
          <w:p w14:paraId="2C6A1BB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544" w:type="pct"/>
            <w:vMerge w:val="continue"/>
            <w:noWrap w:val="0"/>
            <w:vAlign w:val="center"/>
          </w:tcPr>
          <w:p w14:paraId="3A6BCF8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363" w:type="pct"/>
            <w:vMerge w:val="continue"/>
            <w:noWrap w:val="0"/>
            <w:vAlign w:val="center"/>
          </w:tcPr>
          <w:p w14:paraId="2CC7520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382" w:type="pct"/>
            <w:vMerge w:val="continue"/>
            <w:noWrap w:val="0"/>
            <w:vAlign w:val="center"/>
          </w:tcPr>
          <w:p w14:paraId="0F19D2C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411" w:type="pct"/>
            <w:noWrap w:val="0"/>
            <w:vAlign w:val="center"/>
          </w:tcPr>
          <w:p w14:paraId="76C6DCF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w:t>
            </w:r>
          </w:p>
        </w:tc>
        <w:tc>
          <w:tcPr>
            <w:tcW w:w="440" w:type="pct"/>
            <w:noWrap w:val="0"/>
            <w:vAlign w:val="center"/>
          </w:tcPr>
          <w:p w14:paraId="5F4ADAA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P=10%</w:t>
            </w:r>
          </w:p>
        </w:tc>
        <w:tc>
          <w:tcPr>
            <w:tcW w:w="440" w:type="pct"/>
            <w:noWrap w:val="0"/>
            <w:vAlign w:val="center"/>
          </w:tcPr>
          <w:p w14:paraId="0DFA17B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P=20%</w:t>
            </w:r>
          </w:p>
        </w:tc>
        <w:tc>
          <w:tcPr>
            <w:tcW w:w="441" w:type="pct"/>
            <w:noWrap w:val="0"/>
            <w:vAlign w:val="center"/>
          </w:tcPr>
          <w:p w14:paraId="045D1D7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P=50%</w:t>
            </w:r>
          </w:p>
        </w:tc>
        <w:tc>
          <w:tcPr>
            <w:tcW w:w="440" w:type="pct"/>
            <w:noWrap w:val="0"/>
            <w:vAlign w:val="center"/>
          </w:tcPr>
          <w:p w14:paraId="06255CF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P=80%</w:t>
            </w:r>
          </w:p>
        </w:tc>
        <w:tc>
          <w:tcPr>
            <w:tcW w:w="440" w:type="pct"/>
            <w:noWrap w:val="0"/>
            <w:vAlign w:val="center"/>
          </w:tcPr>
          <w:p w14:paraId="212C97A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P=90%</w:t>
            </w:r>
          </w:p>
        </w:tc>
        <w:tc>
          <w:tcPr>
            <w:tcW w:w="442" w:type="pct"/>
            <w:noWrap w:val="0"/>
            <w:vAlign w:val="center"/>
          </w:tcPr>
          <w:p w14:paraId="143438A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P=95%</w:t>
            </w:r>
          </w:p>
        </w:tc>
      </w:tr>
      <w:tr w14:paraId="4C79D7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657" w:type="pct"/>
            <w:noWrap w:val="0"/>
            <w:vAlign w:val="center"/>
          </w:tcPr>
          <w:p w14:paraId="707002D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水文年</w:t>
            </w:r>
          </w:p>
        </w:tc>
        <w:tc>
          <w:tcPr>
            <w:tcW w:w="544" w:type="pct"/>
            <w:noWrap w:val="0"/>
            <w:vAlign w:val="center"/>
          </w:tcPr>
          <w:p w14:paraId="3C0E166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 xml:space="preserve">0.033 </w:t>
            </w:r>
          </w:p>
        </w:tc>
        <w:tc>
          <w:tcPr>
            <w:tcW w:w="363" w:type="pct"/>
            <w:noWrap w:val="0"/>
            <w:vAlign w:val="center"/>
          </w:tcPr>
          <w:p w14:paraId="043C156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0.32</w:t>
            </w:r>
          </w:p>
        </w:tc>
        <w:tc>
          <w:tcPr>
            <w:tcW w:w="382" w:type="pct"/>
            <w:noWrap w:val="0"/>
            <w:vAlign w:val="center"/>
          </w:tcPr>
          <w:p w14:paraId="5F5B306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2.5</w:t>
            </w:r>
          </w:p>
        </w:tc>
        <w:tc>
          <w:tcPr>
            <w:tcW w:w="411" w:type="pct"/>
            <w:noWrap w:val="0"/>
            <w:vAlign w:val="center"/>
          </w:tcPr>
          <w:p w14:paraId="66266A2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 xml:space="preserve">0.0528 </w:t>
            </w:r>
          </w:p>
        </w:tc>
        <w:tc>
          <w:tcPr>
            <w:tcW w:w="440" w:type="pct"/>
            <w:noWrap w:val="0"/>
            <w:vAlign w:val="center"/>
          </w:tcPr>
          <w:p w14:paraId="7EED42C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0.0475 </w:t>
            </w:r>
          </w:p>
        </w:tc>
        <w:tc>
          <w:tcPr>
            <w:tcW w:w="440" w:type="pct"/>
            <w:noWrap w:val="0"/>
            <w:vAlign w:val="center"/>
          </w:tcPr>
          <w:p w14:paraId="6379662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0.0415 </w:t>
            </w:r>
          </w:p>
        </w:tc>
        <w:tc>
          <w:tcPr>
            <w:tcW w:w="441" w:type="pct"/>
            <w:noWrap w:val="0"/>
            <w:vAlign w:val="center"/>
          </w:tcPr>
          <w:p w14:paraId="15EAABF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0.0318 </w:t>
            </w:r>
          </w:p>
        </w:tc>
        <w:tc>
          <w:tcPr>
            <w:tcW w:w="440" w:type="pct"/>
            <w:noWrap w:val="0"/>
            <w:vAlign w:val="center"/>
          </w:tcPr>
          <w:p w14:paraId="58AB97C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0.0241 </w:t>
            </w:r>
          </w:p>
        </w:tc>
        <w:tc>
          <w:tcPr>
            <w:tcW w:w="440" w:type="pct"/>
            <w:noWrap w:val="0"/>
            <w:vAlign w:val="center"/>
          </w:tcPr>
          <w:p w14:paraId="7AD4AE9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0.0208 </w:t>
            </w:r>
          </w:p>
        </w:tc>
        <w:tc>
          <w:tcPr>
            <w:tcW w:w="442" w:type="pct"/>
            <w:noWrap w:val="0"/>
            <w:vAlign w:val="center"/>
          </w:tcPr>
          <w:p w14:paraId="2BB3D91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0.0186 </w:t>
            </w:r>
          </w:p>
        </w:tc>
      </w:tr>
      <w:tr w14:paraId="4F0B26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657" w:type="pct"/>
            <w:noWrap w:val="0"/>
            <w:vAlign w:val="center"/>
          </w:tcPr>
          <w:p w14:paraId="5D9A96D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w:t>
            </w:r>
            <w:r>
              <w:rPr>
                <w:rFonts w:hint="eastAsia" w:ascii="Arial" w:hAnsi="Arial" w:cs="Arial"/>
                <w:sz w:val="22"/>
                <w:szCs w:val="22"/>
                <w:lang w:val="en-US" w:eastAsia="zh-CN"/>
              </w:rPr>
              <w:t>~</w:t>
            </w:r>
            <w:r>
              <w:rPr>
                <w:rFonts w:hint="default" w:ascii="Arial" w:hAnsi="Arial" w:cs="Arial"/>
                <w:sz w:val="22"/>
                <w:szCs w:val="22"/>
              </w:rPr>
              <w:t>10月</w:t>
            </w:r>
          </w:p>
        </w:tc>
        <w:tc>
          <w:tcPr>
            <w:tcW w:w="544" w:type="pct"/>
            <w:noWrap w:val="0"/>
            <w:vAlign w:val="center"/>
          </w:tcPr>
          <w:p w14:paraId="3B19E15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0.049 </w:t>
            </w:r>
          </w:p>
        </w:tc>
        <w:tc>
          <w:tcPr>
            <w:tcW w:w="363" w:type="pct"/>
            <w:noWrap w:val="0"/>
            <w:vAlign w:val="center"/>
          </w:tcPr>
          <w:p w14:paraId="47ADB8F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0.40</w:t>
            </w:r>
          </w:p>
        </w:tc>
        <w:tc>
          <w:tcPr>
            <w:tcW w:w="382" w:type="pct"/>
            <w:noWrap w:val="0"/>
            <w:vAlign w:val="center"/>
          </w:tcPr>
          <w:p w14:paraId="7C4E67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2.0</w:t>
            </w:r>
          </w:p>
        </w:tc>
        <w:tc>
          <w:tcPr>
            <w:tcW w:w="411" w:type="pct"/>
            <w:noWrap w:val="0"/>
            <w:vAlign w:val="center"/>
          </w:tcPr>
          <w:p w14:paraId="232753F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0.0847 </w:t>
            </w:r>
          </w:p>
        </w:tc>
        <w:tc>
          <w:tcPr>
            <w:tcW w:w="440" w:type="pct"/>
            <w:noWrap w:val="0"/>
            <w:vAlign w:val="center"/>
          </w:tcPr>
          <w:p w14:paraId="183D3FE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0.0750 </w:t>
            </w:r>
          </w:p>
        </w:tc>
        <w:tc>
          <w:tcPr>
            <w:tcW w:w="440" w:type="pct"/>
            <w:noWrap w:val="0"/>
            <w:vAlign w:val="center"/>
          </w:tcPr>
          <w:p w14:paraId="6F1EC7E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0.0640 </w:t>
            </w:r>
          </w:p>
        </w:tc>
        <w:tc>
          <w:tcPr>
            <w:tcW w:w="441" w:type="pct"/>
            <w:noWrap w:val="0"/>
            <w:vAlign w:val="center"/>
          </w:tcPr>
          <w:p w14:paraId="0248D47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0.0462 </w:t>
            </w:r>
          </w:p>
        </w:tc>
        <w:tc>
          <w:tcPr>
            <w:tcW w:w="440" w:type="pct"/>
            <w:noWrap w:val="0"/>
            <w:vAlign w:val="center"/>
          </w:tcPr>
          <w:p w14:paraId="09A9706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0.0322 </w:t>
            </w:r>
          </w:p>
        </w:tc>
        <w:tc>
          <w:tcPr>
            <w:tcW w:w="440" w:type="pct"/>
            <w:noWrap w:val="0"/>
            <w:vAlign w:val="center"/>
          </w:tcPr>
          <w:p w14:paraId="695E652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0.0260 </w:t>
            </w:r>
          </w:p>
        </w:tc>
        <w:tc>
          <w:tcPr>
            <w:tcW w:w="442" w:type="pct"/>
            <w:noWrap w:val="0"/>
            <w:vAlign w:val="center"/>
          </w:tcPr>
          <w:p w14:paraId="63B3664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0.0218 </w:t>
            </w:r>
          </w:p>
        </w:tc>
      </w:tr>
      <w:tr w14:paraId="2483CC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657" w:type="pct"/>
            <w:noWrap w:val="0"/>
            <w:vAlign w:val="center"/>
          </w:tcPr>
          <w:p w14:paraId="3D53A49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w:t>
            </w:r>
            <w:r>
              <w:rPr>
                <w:rFonts w:hint="eastAsia" w:ascii="Arial" w:hAnsi="Arial" w:cs="Arial"/>
                <w:sz w:val="22"/>
                <w:szCs w:val="22"/>
                <w:lang w:val="en-US" w:eastAsia="zh-CN"/>
              </w:rPr>
              <w:t>~</w:t>
            </w:r>
            <w:r>
              <w:rPr>
                <w:rFonts w:hint="default" w:ascii="Arial" w:hAnsi="Arial" w:cs="Arial"/>
                <w:sz w:val="22"/>
                <w:szCs w:val="22"/>
              </w:rPr>
              <w:t>3月</w:t>
            </w:r>
          </w:p>
        </w:tc>
        <w:tc>
          <w:tcPr>
            <w:tcW w:w="544" w:type="pct"/>
            <w:noWrap w:val="0"/>
            <w:vAlign w:val="center"/>
          </w:tcPr>
          <w:p w14:paraId="597D2E2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0.011 </w:t>
            </w:r>
          </w:p>
        </w:tc>
        <w:tc>
          <w:tcPr>
            <w:tcW w:w="363" w:type="pct"/>
            <w:noWrap w:val="0"/>
            <w:vAlign w:val="center"/>
          </w:tcPr>
          <w:p w14:paraId="41F5642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0.46</w:t>
            </w:r>
          </w:p>
        </w:tc>
        <w:tc>
          <w:tcPr>
            <w:tcW w:w="382" w:type="pct"/>
            <w:noWrap w:val="0"/>
            <w:vAlign w:val="center"/>
          </w:tcPr>
          <w:p w14:paraId="660D838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2.0</w:t>
            </w:r>
          </w:p>
        </w:tc>
        <w:tc>
          <w:tcPr>
            <w:tcW w:w="411" w:type="pct"/>
            <w:noWrap w:val="0"/>
            <w:vAlign w:val="center"/>
          </w:tcPr>
          <w:p w14:paraId="600A09D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0.0209 </w:t>
            </w:r>
          </w:p>
        </w:tc>
        <w:tc>
          <w:tcPr>
            <w:tcW w:w="440" w:type="pct"/>
            <w:noWrap w:val="0"/>
            <w:vAlign w:val="center"/>
          </w:tcPr>
          <w:p w14:paraId="289FD64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0.0182 </w:t>
            </w:r>
          </w:p>
        </w:tc>
        <w:tc>
          <w:tcPr>
            <w:tcW w:w="440" w:type="pct"/>
            <w:noWrap w:val="0"/>
            <w:vAlign w:val="center"/>
          </w:tcPr>
          <w:p w14:paraId="6484238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0.0152 </w:t>
            </w:r>
          </w:p>
        </w:tc>
        <w:tc>
          <w:tcPr>
            <w:tcW w:w="441" w:type="pct"/>
            <w:noWrap w:val="0"/>
            <w:vAlign w:val="center"/>
          </w:tcPr>
          <w:p w14:paraId="0D40FAB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0.0104 </w:t>
            </w:r>
          </w:p>
        </w:tc>
        <w:tc>
          <w:tcPr>
            <w:tcW w:w="440" w:type="pct"/>
            <w:noWrap w:val="0"/>
            <w:vAlign w:val="center"/>
          </w:tcPr>
          <w:p w14:paraId="60467A1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0.0068 </w:t>
            </w:r>
          </w:p>
        </w:tc>
        <w:tc>
          <w:tcPr>
            <w:tcW w:w="440" w:type="pct"/>
            <w:noWrap w:val="0"/>
            <w:vAlign w:val="center"/>
          </w:tcPr>
          <w:p w14:paraId="7329BBB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0.0053 </w:t>
            </w:r>
          </w:p>
        </w:tc>
        <w:tc>
          <w:tcPr>
            <w:tcW w:w="442" w:type="pct"/>
            <w:noWrap w:val="0"/>
            <w:vAlign w:val="center"/>
          </w:tcPr>
          <w:p w14:paraId="788C318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0.0043 </w:t>
            </w:r>
          </w:p>
        </w:tc>
      </w:tr>
    </w:tbl>
    <w:p w14:paraId="6BBF5623">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val="en-US" w:eastAsia="zh-CN"/>
        </w:rPr>
      </w:pPr>
    </w:p>
    <w:p w14:paraId="75A7E0CE">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eastAsia" w:ascii="Arial" w:eastAsia="宋体" w:cs="Arial"/>
          <w:b/>
          <w:color w:val="auto"/>
          <w:sz w:val="26"/>
          <w:szCs w:val="26"/>
          <w:lang w:eastAsia="zh-CN"/>
        </w:rPr>
      </w:pPr>
      <w:r>
        <w:rPr>
          <w:rFonts w:hint="eastAsia" w:ascii="Arial" w:cs="Arial"/>
          <w:b/>
          <w:color w:val="auto"/>
          <w:sz w:val="26"/>
          <w:szCs w:val="26"/>
        </w:rPr>
        <w:t>（</w:t>
      </w:r>
      <w:r>
        <w:rPr>
          <w:rFonts w:hint="eastAsia" w:ascii="Arial" w:cs="Arial"/>
          <w:b/>
          <w:color w:val="auto"/>
          <w:sz w:val="26"/>
          <w:szCs w:val="26"/>
          <w:lang w:val="en-US" w:eastAsia="zh-CN"/>
        </w:rPr>
        <w:t>4</w:t>
      </w:r>
      <w:r>
        <w:rPr>
          <w:rFonts w:hint="eastAsia" w:ascii="Arial" w:cs="Arial"/>
          <w:b/>
          <w:color w:val="auto"/>
          <w:sz w:val="26"/>
          <w:szCs w:val="26"/>
        </w:rPr>
        <w:t>）</w:t>
      </w:r>
      <w:r>
        <w:rPr>
          <w:rFonts w:hint="eastAsia" w:ascii="Arial" w:cs="Arial"/>
          <w:b/>
          <w:color w:val="auto"/>
          <w:sz w:val="26"/>
          <w:szCs w:val="26"/>
          <w:lang w:eastAsia="zh-CN"/>
        </w:rPr>
        <w:t>洪水</w:t>
      </w:r>
    </w:p>
    <w:p w14:paraId="651D364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eastAsia="zh-CN"/>
        </w:rPr>
        <w:t>海螺沟水库坝址所在流域海螺沟属典型的山区性小溪沟，洪水具有汇集快，洪水过程陡涨陡落，峰型尖瘦，峰顶持续时间短的特点。由于两河站控制流域面积较大，本工程集雨面积较小，其面积比指数系经验取值，计算成果与实际情况存在一定差异。故直接采用水库坝址处计算成果，即设计洪水总量采用《四川省中小流域暴雨洪水计算手册》中推理公式法计算洪量的公式Wp＝0.1α•HTp•F＝0.1hF推求，计算成果详见表</w:t>
      </w:r>
      <w:r>
        <w:rPr>
          <w:rFonts w:hint="eastAsia" w:ascii="Arial" w:hAnsi="Arial" w:cs="Arial"/>
          <w:sz w:val="26"/>
          <w:szCs w:val="26"/>
          <w:lang w:val="en-US" w:eastAsia="zh-CN"/>
        </w:rPr>
        <w:t>2.2-8所示。</w:t>
      </w:r>
    </w:p>
    <w:p w14:paraId="760E53A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2.2-8 海螺沟水库各频率洪水成果一览表</w:t>
      </w:r>
    </w:p>
    <w:tbl>
      <w:tblPr>
        <w:tblStyle w:val="7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5"/>
        <w:gridCol w:w="1331"/>
        <w:gridCol w:w="1255"/>
        <w:gridCol w:w="1255"/>
        <w:gridCol w:w="1488"/>
        <w:gridCol w:w="1490"/>
      </w:tblGrid>
      <w:tr w14:paraId="75D8E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vMerge w:val="restart"/>
            <w:noWrap w:val="0"/>
            <w:vAlign w:val="center"/>
          </w:tcPr>
          <w:p w14:paraId="35AD95F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分期</w:t>
            </w:r>
          </w:p>
        </w:tc>
        <w:tc>
          <w:tcPr>
            <w:tcW w:w="3766" w:type="pct"/>
            <w:gridSpan w:val="5"/>
            <w:noWrap w:val="0"/>
            <w:vAlign w:val="center"/>
          </w:tcPr>
          <w:p w14:paraId="37B6DB3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sz w:val="22"/>
                <w:szCs w:val="22"/>
                <w:lang w:eastAsia="zh-CN"/>
              </w:rPr>
            </w:pPr>
            <w:r>
              <w:rPr>
                <w:rFonts w:hint="default" w:ascii="Arial" w:hAnsi="Arial" w:cs="Arial"/>
                <w:sz w:val="22"/>
                <w:szCs w:val="22"/>
              </w:rPr>
              <w:t>各频率设计值</w:t>
            </w:r>
            <w:r>
              <w:rPr>
                <w:rFonts w:hint="eastAsia" w:ascii="Arial" w:hAnsi="Arial" w:cs="Arial"/>
                <w:sz w:val="22"/>
                <w:szCs w:val="22"/>
                <w:lang w:eastAsia="zh-CN"/>
              </w:rPr>
              <w:t>（</w:t>
            </w: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r>
              <w:rPr>
                <w:rFonts w:hint="eastAsia" w:ascii="Arial" w:hAnsi="Arial" w:cs="Arial"/>
                <w:sz w:val="22"/>
                <w:szCs w:val="22"/>
                <w:lang w:eastAsia="zh-CN"/>
              </w:rPr>
              <w:t>）</w:t>
            </w:r>
          </w:p>
        </w:tc>
      </w:tr>
      <w:tr w14:paraId="01FBD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vMerge w:val="continue"/>
            <w:noWrap w:val="0"/>
            <w:vAlign w:val="center"/>
          </w:tcPr>
          <w:p w14:paraId="4FF6C7E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735" w:type="pct"/>
            <w:noWrap w:val="0"/>
            <w:vAlign w:val="center"/>
          </w:tcPr>
          <w:p w14:paraId="17E1038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P=5.0%</w:t>
            </w:r>
          </w:p>
        </w:tc>
        <w:tc>
          <w:tcPr>
            <w:tcW w:w="693" w:type="pct"/>
            <w:noWrap w:val="0"/>
            <w:vAlign w:val="center"/>
          </w:tcPr>
          <w:p w14:paraId="6BE8C77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P=10%</w:t>
            </w:r>
          </w:p>
        </w:tc>
        <w:tc>
          <w:tcPr>
            <w:tcW w:w="693" w:type="pct"/>
            <w:noWrap w:val="0"/>
            <w:vAlign w:val="center"/>
          </w:tcPr>
          <w:p w14:paraId="1C52A28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P=20%</w:t>
            </w:r>
          </w:p>
        </w:tc>
        <w:tc>
          <w:tcPr>
            <w:tcW w:w="822" w:type="pct"/>
            <w:noWrap w:val="0"/>
            <w:vAlign w:val="center"/>
          </w:tcPr>
          <w:p w14:paraId="60C90CC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P=33.3%</w:t>
            </w:r>
          </w:p>
        </w:tc>
        <w:tc>
          <w:tcPr>
            <w:tcW w:w="823" w:type="pct"/>
            <w:noWrap w:val="0"/>
            <w:vAlign w:val="center"/>
          </w:tcPr>
          <w:p w14:paraId="73C8BEB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P=50.0%</w:t>
            </w:r>
          </w:p>
        </w:tc>
      </w:tr>
      <w:tr w14:paraId="43D7D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4C1B48C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2月</w:t>
            </w:r>
          </w:p>
        </w:tc>
        <w:tc>
          <w:tcPr>
            <w:tcW w:w="735" w:type="pct"/>
            <w:noWrap w:val="0"/>
            <w:vAlign w:val="center"/>
          </w:tcPr>
          <w:p w14:paraId="641D5AF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0.36</w:t>
            </w:r>
          </w:p>
        </w:tc>
        <w:tc>
          <w:tcPr>
            <w:tcW w:w="693" w:type="pct"/>
            <w:noWrap w:val="0"/>
            <w:vAlign w:val="center"/>
          </w:tcPr>
          <w:p w14:paraId="533A27B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0.26</w:t>
            </w:r>
          </w:p>
        </w:tc>
        <w:tc>
          <w:tcPr>
            <w:tcW w:w="693" w:type="pct"/>
            <w:noWrap w:val="0"/>
            <w:vAlign w:val="center"/>
          </w:tcPr>
          <w:p w14:paraId="2FEEAF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0.16</w:t>
            </w:r>
          </w:p>
        </w:tc>
        <w:tc>
          <w:tcPr>
            <w:tcW w:w="822" w:type="pct"/>
            <w:noWrap w:val="0"/>
            <w:vAlign w:val="center"/>
          </w:tcPr>
          <w:p w14:paraId="542A45E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0.10</w:t>
            </w:r>
          </w:p>
        </w:tc>
        <w:tc>
          <w:tcPr>
            <w:tcW w:w="823" w:type="pct"/>
            <w:noWrap w:val="0"/>
            <w:vAlign w:val="center"/>
          </w:tcPr>
          <w:p w14:paraId="6EB2663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0.06</w:t>
            </w:r>
          </w:p>
        </w:tc>
      </w:tr>
      <w:tr w14:paraId="11E5C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55214F0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3月</w:t>
            </w:r>
          </w:p>
        </w:tc>
        <w:tc>
          <w:tcPr>
            <w:tcW w:w="735" w:type="pct"/>
            <w:noWrap w:val="0"/>
            <w:vAlign w:val="center"/>
          </w:tcPr>
          <w:p w14:paraId="7B390A0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1.65</w:t>
            </w:r>
          </w:p>
        </w:tc>
        <w:tc>
          <w:tcPr>
            <w:tcW w:w="693" w:type="pct"/>
            <w:noWrap w:val="0"/>
            <w:vAlign w:val="center"/>
          </w:tcPr>
          <w:p w14:paraId="376DA37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1.06</w:t>
            </w:r>
          </w:p>
        </w:tc>
        <w:tc>
          <w:tcPr>
            <w:tcW w:w="693" w:type="pct"/>
            <w:noWrap w:val="0"/>
            <w:vAlign w:val="center"/>
          </w:tcPr>
          <w:p w14:paraId="113BBE2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0.55</w:t>
            </w:r>
          </w:p>
        </w:tc>
        <w:tc>
          <w:tcPr>
            <w:tcW w:w="822" w:type="pct"/>
            <w:noWrap w:val="0"/>
            <w:vAlign w:val="center"/>
          </w:tcPr>
          <w:p w14:paraId="3BEDBC4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0.28</w:t>
            </w:r>
          </w:p>
        </w:tc>
        <w:tc>
          <w:tcPr>
            <w:tcW w:w="823" w:type="pct"/>
            <w:noWrap w:val="0"/>
            <w:vAlign w:val="center"/>
          </w:tcPr>
          <w:p w14:paraId="2F6BA67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0.14</w:t>
            </w:r>
          </w:p>
        </w:tc>
      </w:tr>
      <w:tr w14:paraId="5A85D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79BBCBC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4月</w:t>
            </w:r>
          </w:p>
        </w:tc>
        <w:tc>
          <w:tcPr>
            <w:tcW w:w="735" w:type="pct"/>
            <w:noWrap w:val="0"/>
            <w:vAlign w:val="center"/>
          </w:tcPr>
          <w:p w14:paraId="678DB4F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6.65</w:t>
            </w:r>
          </w:p>
        </w:tc>
        <w:tc>
          <w:tcPr>
            <w:tcW w:w="693" w:type="pct"/>
            <w:noWrap w:val="0"/>
            <w:vAlign w:val="center"/>
          </w:tcPr>
          <w:p w14:paraId="3CB0AE7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5.09</w:t>
            </w:r>
          </w:p>
        </w:tc>
        <w:tc>
          <w:tcPr>
            <w:tcW w:w="693" w:type="pct"/>
            <w:noWrap w:val="0"/>
            <w:vAlign w:val="center"/>
          </w:tcPr>
          <w:p w14:paraId="6238829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3.54</w:t>
            </w:r>
          </w:p>
        </w:tc>
        <w:tc>
          <w:tcPr>
            <w:tcW w:w="822" w:type="pct"/>
            <w:noWrap w:val="0"/>
            <w:vAlign w:val="center"/>
          </w:tcPr>
          <w:p w14:paraId="6EE7DD8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2.39</w:t>
            </w:r>
          </w:p>
        </w:tc>
        <w:tc>
          <w:tcPr>
            <w:tcW w:w="823" w:type="pct"/>
            <w:noWrap w:val="0"/>
            <w:vAlign w:val="center"/>
          </w:tcPr>
          <w:p w14:paraId="7289D9A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1.49</w:t>
            </w:r>
          </w:p>
        </w:tc>
      </w:tr>
      <w:tr w14:paraId="6DDAD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70E47B4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10月</w:t>
            </w:r>
          </w:p>
        </w:tc>
        <w:tc>
          <w:tcPr>
            <w:tcW w:w="735" w:type="pct"/>
            <w:noWrap w:val="0"/>
            <w:vAlign w:val="center"/>
          </w:tcPr>
          <w:p w14:paraId="0EABB72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4.91</w:t>
            </w:r>
          </w:p>
        </w:tc>
        <w:tc>
          <w:tcPr>
            <w:tcW w:w="693" w:type="pct"/>
            <w:noWrap w:val="0"/>
            <w:vAlign w:val="center"/>
          </w:tcPr>
          <w:p w14:paraId="64F50AF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3.67</w:t>
            </w:r>
          </w:p>
        </w:tc>
        <w:tc>
          <w:tcPr>
            <w:tcW w:w="693" w:type="pct"/>
            <w:noWrap w:val="0"/>
            <w:vAlign w:val="center"/>
          </w:tcPr>
          <w:p w14:paraId="0778AED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2.47</w:t>
            </w:r>
          </w:p>
        </w:tc>
        <w:tc>
          <w:tcPr>
            <w:tcW w:w="822" w:type="pct"/>
            <w:noWrap w:val="0"/>
            <w:vAlign w:val="center"/>
          </w:tcPr>
          <w:p w14:paraId="5845B22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1.65</w:t>
            </w:r>
          </w:p>
        </w:tc>
        <w:tc>
          <w:tcPr>
            <w:tcW w:w="823" w:type="pct"/>
            <w:noWrap w:val="0"/>
            <w:vAlign w:val="center"/>
          </w:tcPr>
          <w:p w14:paraId="7ECCC20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1.04</w:t>
            </w:r>
          </w:p>
        </w:tc>
      </w:tr>
      <w:tr w14:paraId="37B99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1670231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11月</w:t>
            </w:r>
          </w:p>
        </w:tc>
        <w:tc>
          <w:tcPr>
            <w:tcW w:w="735" w:type="pct"/>
            <w:noWrap w:val="0"/>
            <w:vAlign w:val="center"/>
          </w:tcPr>
          <w:p w14:paraId="151A449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3.31</w:t>
            </w:r>
          </w:p>
        </w:tc>
        <w:tc>
          <w:tcPr>
            <w:tcW w:w="693" w:type="pct"/>
            <w:noWrap w:val="0"/>
            <w:vAlign w:val="center"/>
          </w:tcPr>
          <w:p w14:paraId="3C44E5E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2.17</w:t>
            </w:r>
          </w:p>
        </w:tc>
        <w:tc>
          <w:tcPr>
            <w:tcW w:w="693" w:type="pct"/>
            <w:noWrap w:val="0"/>
            <w:vAlign w:val="center"/>
          </w:tcPr>
          <w:p w14:paraId="5CABBA5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1.19</w:t>
            </w:r>
          </w:p>
        </w:tc>
        <w:tc>
          <w:tcPr>
            <w:tcW w:w="822" w:type="pct"/>
            <w:noWrap w:val="0"/>
            <w:vAlign w:val="center"/>
          </w:tcPr>
          <w:p w14:paraId="075E99C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0.63</w:t>
            </w:r>
          </w:p>
        </w:tc>
        <w:tc>
          <w:tcPr>
            <w:tcW w:w="823" w:type="pct"/>
            <w:noWrap w:val="0"/>
            <w:vAlign w:val="center"/>
          </w:tcPr>
          <w:p w14:paraId="63AFE27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0.47</w:t>
            </w:r>
          </w:p>
        </w:tc>
      </w:tr>
      <w:tr w14:paraId="154B8D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6FD33DB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11月～次年3月</w:t>
            </w:r>
          </w:p>
        </w:tc>
        <w:tc>
          <w:tcPr>
            <w:tcW w:w="735" w:type="pct"/>
            <w:noWrap w:val="0"/>
            <w:vAlign w:val="center"/>
          </w:tcPr>
          <w:p w14:paraId="14ED0A6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3.66</w:t>
            </w:r>
          </w:p>
        </w:tc>
        <w:tc>
          <w:tcPr>
            <w:tcW w:w="693" w:type="pct"/>
            <w:noWrap w:val="0"/>
            <w:vAlign w:val="center"/>
          </w:tcPr>
          <w:p w14:paraId="38D707F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2.59</w:t>
            </w:r>
          </w:p>
        </w:tc>
        <w:tc>
          <w:tcPr>
            <w:tcW w:w="693" w:type="pct"/>
            <w:noWrap w:val="0"/>
            <w:vAlign w:val="center"/>
          </w:tcPr>
          <w:p w14:paraId="6AB499F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1.61</w:t>
            </w:r>
          </w:p>
        </w:tc>
        <w:tc>
          <w:tcPr>
            <w:tcW w:w="822" w:type="pct"/>
            <w:noWrap w:val="0"/>
            <w:vAlign w:val="center"/>
          </w:tcPr>
          <w:p w14:paraId="1943D80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0.98</w:t>
            </w:r>
          </w:p>
        </w:tc>
        <w:tc>
          <w:tcPr>
            <w:tcW w:w="823" w:type="pct"/>
            <w:noWrap w:val="0"/>
            <w:vAlign w:val="center"/>
          </w:tcPr>
          <w:p w14:paraId="4854DAD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0.56</w:t>
            </w:r>
          </w:p>
        </w:tc>
      </w:tr>
      <w:tr w14:paraId="55D3F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770A576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11月～次年4月</w:t>
            </w:r>
          </w:p>
        </w:tc>
        <w:tc>
          <w:tcPr>
            <w:tcW w:w="735" w:type="pct"/>
            <w:noWrap w:val="0"/>
            <w:vAlign w:val="center"/>
          </w:tcPr>
          <w:p w14:paraId="09091AB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7.84</w:t>
            </w:r>
          </w:p>
        </w:tc>
        <w:tc>
          <w:tcPr>
            <w:tcW w:w="693" w:type="pct"/>
            <w:noWrap w:val="0"/>
            <w:vAlign w:val="center"/>
          </w:tcPr>
          <w:p w14:paraId="16493F7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5.88</w:t>
            </w:r>
          </w:p>
        </w:tc>
        <w:tc>
          <w:tcPr>
            <w:tcW w:w="693" w:type="pct"/>
            <w:noWrap w:val="0"/>
            <w:vAlign w:val="center"/>
          </w:tcPr>
          <w:p w14:paraId="21CC913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3.95</w:t>
            </w:r>
          </w:p>
        </w:tc>
        <w:tc>
          <w:tcPr>
            <w:tcW w:w="822" w:type="pct"/>
            <w:noWrap w:val="0"/>
            <w:vAlign w:val="center"/>
          </w:tcPr>
          <w:p w14:paraId="2152A88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2.63</w:t>
            </w:r>
          </w:p>
        </w:tc>
        <w:tc>
          <w:tcPr>
            <w:tcW w:w="823" w:type="pct"/>
            <w:noWrap w:val="0"/>
            <w:vAlign w:val="center"/>
          </w:tcPr>
          <w:p w14:paraId="3EAFA88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1.67</w:t>
            </w:r>
          </w:p>
        </w:tc>
      </w:tr>
      <w:tr w14:paraId="6079E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56ED624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10月～次年3月</w:t>
            </w:r>
          </w:p>
        </w:tc>
        <w:tc>
          <w:tcPr>
            <w:tcW w:w="735" w:type="pct"/>
            <w:noWrap w:val="0"/>
            <w:vAlign w:val="center"/>
          </w:tcPr>
          <w:p w14:paraId="43F4409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5.38</w:t>
            </w:r>
          </w:p>
        </w:tc>
        <w:tc>
          <w:tcPr>
            <w:tcW w:w="693" w:type="pct"/>
            <w:noWrap w:val="0"/>
            <w:vAlign w:val="center"/>
          </w:tcPr>
          <w:p w14:paraId="5E1AE37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4.23</w:t>
            </w:r>
          </w:p>
        </w:tc>
        <w:tc>
          <w:tcPr>
            <w:tcW w:w="693" w:type="pct"/>
            <w:noWrap w:val="0"/>
            <w:vAlign w:val="center"/>
          </w:tcPr>
          <w:p w14:paraId="0E78635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3.08</w:t>
            </w:r>
          </w:p>
        </w:tc>
        <w:tc>
          <w:tcPr>
            <w:tcW w:w="822" w:type="pct"/>
            <w:noWrap w:val="0"/>
            <w:vAlign w:val="center"/>
          </w:tcPr>
          <w:p w14:paraId="7082C8A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2.23</w:t>
            </w:r>
          </w:p>
        </w:tc>
        <w:tc>
          <w:tcPr>
            <w:tcW w:w="823" w:type="pct"/>
            <w:noWrap w:val="0"/>
            <w:vAlign w:val="center"/>
          </w:tcPr>
          <w:p w14:paraId="13BA2DD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1.56</w:t>
            </w:r>
          </w:p>
        </w:tc>
      </w:tr>
      <w:tr w14:paraId="1A9E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60C3D8B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10月～次年4月</w:t>
            </w:r>
          </w:p>
        </w:tc>
        <w:tc>
          <w:tcPr>
            <w:tcW w:w="735" w:type="pct"/>
            <w:noWrap w:val="0"/>
            <w:vAlign w:val="center"/>
          </w:tcPr>
          <w:p w14:paraId="003EF8A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9.97</w:t>
            </w:r>
          </w:p>
        </w:tc>
        <w:tc>
          <w:tcPr>
            <w:tcW w:w="693" w:type="pct"/>
            <w:noWrap w:val="0"/>
            <w:vAlign w:val="center"/>
          </w:tcPr>
          <w:p w14:paraId="158CA8D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7.46</w:t>
            </w:r>
          </w:p>
        </w:tc>
        <w:tc>
          <w:tcPr>
            <w:tcW w:w="693" w:type="pct"/>
            <w:noWrap w:val="0"/>
            <w:vAlign w:val="center"/>
          </w:tcPr>
          <w:p w14:paraId="2E92A62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5.08</w:t>
            </w:r>
          </w:p>
        </w:tc>
        <w:tc>
          <w:tcPr>
            <w:tcW w:w="822" w:type="pct"/>
            <w:noWrap w:val="0"/>
            <w:vAlign w:val="center"/>
          </w:tcPr>
          <w:p w14:paraId="16110BA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3.48</w:t>
            </w:r>
          </w:p>
        </w:tc>
        <w:tc>
          <w:tcPr>
            <w:tcW w:w="823" w:type="pct"/>
            <w:noWrap w:val="0"/>
            <w:vAlign w:val="center"/>
          </w:tcPr>
          <w:p w14:paraId="3AC18F9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2.35</w:t>
            </w:r>
          </w:p>
        </w:tc>
      </w:tr>
    </w:tbl>
    <w:p w14:paraId="04B3B24D">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val="en-US" w:eastAsia="zh-CN"/>
        </w:rPr>
      </w:pPr>
    </w:p>
    <w:p w14:paraId="486D9984">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eastAsia" w:ascii="Arial" w:eastAsia="宋体" w:cs="Arial"/>
          <w:b/>
          <w:color w:val="auto"/>
          <w:sz w:val="26"/>
          <w:szCs w:val="26"/>
          <w:lang w:eastAsia="zh-CN"/>
        </w:rPr>
      </w:pPr>
      <w:r>
        <w:rPr>
          <w:rFonts w:hint="eastAsia" w:ascii="Arial" w:cs="Arial"/>
          <w:b/>
          <w:color w:val="auto"/>
          <w:sz w:val="26"/>
          <w:szCs w:val="26"/>
        </w:rPr>
        <w:t>（</w:t>
      </w:r>
      <w:r>
        <w:rPr>
          <w:rFonts w:hint="eastAsia" w:ascii="Arial" w:cs="Arial"/>
          <w:b/>
          <w:color w:val="auto"/>
          <w:sz w:val="26"/>
          <w:szCs w:val="26"/>
          <w:lang w:val="en-US" w:eastAsia="zh-CN"/>
        </w:rPr>
        <w:t>5</w:t>
      </w:r>
      <w:r>
        <w:rPr>
          <w:rFonts w:hint="eastAsia" w:ascii="Arial" w:cs="Arial"/>
          <w:b/>
          <w:color w:val="auto"/>
          <w:sz w:val="26"/>
          <w:szCs w:val="26"/>
        </w:rPr>
        <w:t>）</w:t>
      </w:r>
      <w:r>
        <w:rPr>
          <w:rFonts w:hint="eastAsia" w:ascii="Arial" w:cs="Arial"/>
          <w:b/>
          <w:color w:val="auto"/>
          <w:sz w:val="26"/>
          <w:szCs w:val="26"/>
          <w:lang w:eastAsia="zh-CN"/>
        </w:rPr>
        <w:t>泥沙</w:t>
      </w:r>
    </w:p>
    <w:p w14:paraId="17B9958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eastAsia="zh-CN"/>
        </w:rPr>
        <w:t>海螺沟水库所在流域无实测泥沙资料，故采用查图法推求坝址以上悬移质年输沙量，根据《四川省水文手册》（1979年版）查得工程流域所在地多年平均悬移质输沙模数为300t/km</w:t>
      </w:r>
      <w:r>
        <w:rPr>
          <w:rFonts w:hint="eastAsia" w:ascii="Arial" w:hAnsi="Arial" w:cs="Arial"/>
          <w:sz w:val="26"/>
          <w:szCs w:val="26"/>
          <w:vertAlign w:val="superscript"/>
          <w:lang w:eastAsia="zh-CN"/>
        </w:rPr>
        <w:t>2</w:t>
      </w:r>
      <w:r>
        <w:rPr>
          <w:rFonts w:hint="eastAsia" w:ascii="Arial" w:hAnsi="Arial" w:cs="Arial"/>
          <w:sz w:val="26"/>
          <w:szCs w:val="26"/>
          <w:lang w:eastAsia="zh-CN"/>
        </w:rPr>
        <w:t>，水库坝址控制流域面积为2.04km</w:t>
      </w:r>
      <w:r>
        <w:rPr>
          <w:rFonts w:hint="eastAsia" w:ascii="Arial" w:hAnsi="Arial" w:cs="Arial"/>
          <w:sz w:val="26"/>
          <w:szCs w:val="26"/>
          <w:vertAlign w:val="superscript"/>
          <w:lang w:eastAsia="zh-CN"/>
        </w:rPr>
        <w:t>2</w:t>
      </w:r>
      <w:r>
        <w:rPr>
          <w:rFonts w:hint="eastAsia" w:ascii="Arial" w:hAnsi="Arial" w:cs="Arial"/>
          <w:sz w:val="26"/>
          <w:szCs w:val="26"/>
          <w:lang w:eastAsia="zh-CN"/>
        </w:rPr>
        <w:t>，计算得坝址多年平均悬移质输沙量为612t，根据设计流域的地质、地貌等实际情况，推移质来沙量按悬移质输沙量的15</w:t>
      </w:r>
      <w:r>
        <w:rPr>
          <w:rFonts w:hint="eastAsia" w:ascii="Arial" w:hAnsi="Arial" w:cs="Arial"/>
          <w:sz w:val="26"/>
          <w:szCs w:val="26"/>
          <w:lang w:val="en-US" w:eastAsia="zh-CN"/>
        </w:rPr>
        <w:t>%</w:t>
      </w:r>
      <w:r>
        <w:rPr>
          <w:rFonts w:hint="eastAsia" w:ascii="Arial" w:hAnsi="Arial" w:cs="Arial"/>
          <w:sz w:val="26"/>
          <w:szCs w:val="26"/>
          <w:lang w:eastAsia="zh-CN"/>
        </w:rPr>
        <w:t>估算，据此计算坝址多年平均推移质输沙量为91.8t。因此海螺沟水库坝址多年平均输沙总量为703.8t。计算成果详见表</w:t>
      </w:r>
      <w:r>
        <w:rPr>
          <w:rFonts w:hint="eastAsia" w:ascii="Arial" w:hAnsi="Arial" w:cs="Arial"/>
          <w:sz w:val="26"/>
          <w:szCs w:val="26"/>
          <w:lang w:val="en-US" w:eastAsia="zh-CN"/>
        </w:rPr>
        <w:t>2.2-9所示。</w:t>
      </w:r>
    </w:p>
    <w:p w14:paraId="1EA146B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2.2-9 海螺沟水库坝址处多年平均输沙量成果一览表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2"/>
        <w:gridCol w:w="1621"/>
        <w:gridCol w:w="1915"/>
        <w:gridCol w:w="1915"/>
        <w:gridCol w:w="1913"/>
      </w:tblGrid>
      <w:tr w14:paraId="23131E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22" w:type="dxa"/>
            <w:vMerge w:val="restart"/>
            <w:noWrap w:val="0"/>
            <w:vAlign w:val="center"/>
          </w:tcPr>
          <w:p w14:paraId="4E0AC87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控制断面位置</w:t>
            </w:r>
          </w:p>
        </w:tc>
        <w:tc>
          <w:tcPr>
            <w:tcW w:w="1621" w:type="dxa"/>
            <w:vMerge w:val="restart"/>
            <w:noWrap w:val="0"/>
            <w:vAlign w:val="center"/>
          </w:tcPr>
          <w:p w14:paraId="6C3EF2B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集水面积</w:t>
            </w:r>
          </w:p>
          <w:p w14:paraId="349778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（km²）</w:t>
            </w:r>
          </w:p>
        </w:tc>
        <w:tc>
          <w:tcPr>
            <w:tcW w:w="5743" w:type="dxa"/>
            <w:gridSpan w:val="3"/>
            <w:noWrap w:val="0"/>
            <w:vAlign w:val="center"/>
          </w:tcPr>
          <w:p w14:paraId="209D5CE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多年平均输沙量（t）</w:t>
            </w:r>
          </w:p>
        </w:tc>
      </w:tr>
      <w:tr w14:paraId="5D7AC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22" w:type="dxa"/>
            <w:vMerge w:val="continue"/>
            <w:noWrap w:val="0"/>
            <w:vAlign w:val="center"/>
          </w:tcPr>
          <w:p w14:paraId="3BFE4E3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621" w:type="dxa"/>
            <w:vMerge w:val="continue"/>
            <w:noWrap w:val="0"/>
            <w:vAlign w:val="center"/>
          </w:tcPr>
          <w:p w14:paraId="238EAC1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915" w:type="dxa"/>
            <w:noWrap w:val="0"/>
            <w:vAlign w:val="center"/>
          </w:tcPr>
          <w:p w14:paraId="4D9744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悬移质</w:t>
            </w:r>
          </w:p>
        </w:tc>
        <w:tc>
          <w:tcPr>
            <w:tcW w:w="1915" w:type="dxa"/>
            <w:noWrap w:val="0"/>
            <w:vAlign w:val="center"/>
          </w:tcPr>
          <w:p w14:paraId="22E97FE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推移质</w:t>
            </w:r>
          </w:p>
        </w:tc>
        <w:tc>
          <w:tcPr>
            <w:tcW w:w="1913" w:type="dxa"/>
            <w:noWrap w:val="0"/>
            <w:vAlign w:val="center"/>
          </w:tcPr>
          <w:p w14:paraId="482D20E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总沙量</w:t>
            </w:r>
          </w:p>
        </w:tc>
      </w:tr>
      <w:tr w14:paraId="323D7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22" w:type="dxa"/>
            <w:noWrap w:val="0"/>
            <w:vAlign w:val="center"/>
          </w:tcPr>
          <w:p w14:paraId="1EF5921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海螺沟水库坝址</w:t>
            </w:r>
          </w:p>
        </w:tc>
        <w:tc>
          <w:tcPr>
            <w:tcW w:w="1621" w:type="dxa"/>
            <w:noWrap w:val="0"/>
            <w:vAlign w:val="center"/>
          </w:tcPr>
          <w:p w14:paraId="1146832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napToGrid w:val="0"/>
                <w:sz w:val="22"/>
                <w:szCs w:val="22"/>
              </w:rPr>
              <w:t>2.04</w:t>
            </w:r>
          </w:p>
        </w:tc>
        <w:tc>
          <w:tcPr>
            <w:tcW w:w="1915" w:type="dxa"/>
            <w:noWrap w:val="0"/>
            <w:vAlign w:val="center"/>
          </w:tcPr>
          <w:p w14:paraId="509C3D1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612.00</w:t>
            </w:r>
          </w:p>
        </w:tc>
        <w:tc>
          <w:tcPr>
            <w:tcW w:w="1915" w:type="dxa"/>
            <w:noWrap w:val="0"/>
            <w:vAlign w:val="center"/>
          </w:tcPr>
          <w:p w14:paraId="349CB00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91.80</w:t>
            </w:r>
          </w:p>
        </w:tc>
        <w:tc>
          <w:tcPr>
            <w:tcW w:w="1913" w:type="dxa"/>
            <w:noWrap w:val="0"/>
            <w:vAlign w:val="center"/>
          </w:tcPr>
          <w:p w14:paraId="2E671D0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703.80</w:t>
            </w:r>
          </w:p>
        </w:tc>
      </w:tr>
    </w:tbl>
    <w:p w14:paraId="0921CEFE">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sz w:val="26"/>
          <w:szCs w:val="26"/>
          <w:lang w:eastAsia="zh-CN"/>
        </w:rPr>
      </w:pPr>
    </w:p>
    <w:p w14:paraId="2AF6F494">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2.2.8施工组织及布置</w:t>
      </w:r>
    </w:p>
    <w:p w14:paraId="6BE4DAA4">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1）施工工期</w:t>
      </w:r>
    </w:p>
    <w:p w14:paraId="1647D6A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bCs/>
          <w:sz w:val="26"/>
        </w:rPr>
      </w:pPr>
      <w:r>
        <w:rPr>
          <w:rFonts w:hint="eastAsia" w:ascii="Arial" w:hAnsi="Arial" w:cs="Arial"/>
          <w:bCs/>
          <w:sz w:val="26"/>
        </w:rPr>
        <w:t>项目预计</w:t>
      </w:r>
      <w:r>
        <w:rPr>
          <w:rFonts w:ascii="Arial" w:hAnsi="Arial" w:cs="Arial"/>
          <w:bCs/>
          <w:sz w:val="26"/>
        </w:rPr>
        <w:t>20</w:t>
      </w:r>
      <w:r>
        <w:rPr>
          <w:rFonts w:hint="eastAsia" w:ascii="Arial" w:hAnsi="Arial" w:cs="Arial"/>
          <w:bCs/>
          <w:sz w:val="26"/>
          <w:lang w:val="en-US" w:eastAsia="zh-CN"/>
        </w:rPr>
        <w:t>25</w:t>
      </w:r>
      <w:r>
        <w:rPr>
          <w:rFonts w:hint="eastAsia" w:ascii="Arial" w:hAnsi="Arial" w:cs="Arial"/>
          <w:bCs/>
          <w:sz w:val="26"/>
        </w:rPr>
        <w:t>年</w:t>
      </w:r>
      <w:r>
        <w:rPr>
          <w:rFonts w:hint="eastAsia" w:ascii="Arial" w:hAnsi="Arial" w:cs="Arial"/>
          <w:bCs/>
          <w:sz w:val="26"/>
          <w:lang w:val="en-US" w:eastAsia="zh-CN"/>
        </w:rPr>
        <w:t>7</w:t>
      </w:r>
      <w:r>
        <w:rPr>
          <w:rFonts w:hint="eastAsia" w:ascii="Arial" w:hAnsi="Arial" w:cs="Arial"/>
          <w:bCs/>
          <w:sz w:val="26"/>
        </w:rPr>
        <w:t>月份开工建设，总工期2</w:t>
      </w:r>
      <w:r>
        <w:rPr>
          <w:rFonts w:hint="eastAsia" w:ascii="Arial" w:hAnsi="Arial" w:cs="Arial"/>
          <w:bCs/>
          <w:sz w:val="26"/>
          <w:lang w:val="en-US" w:eastAsia="zh-CN"/>
        </w:rPr>
        <w:t>4</w:t>
      </w:r>
      <w:r>
        <w:rPr>
          <w:rFonts w:hint="eastAsia" w:ascii="Arial" w:hAnsi="Arial" w:cs="Arial"/>
          <w:bCs/>
          <w:sz w:val="26"/>
        </w:rPr>
        <w:t>个月，其中准备工程</w:t>
      </w:r>
      <w:r>
        <w:rPr>
          <w:rFonts w:hint="eastAsia" w:ascii="Arial" w:hAnsi="Arial" w:cs="Arial"/>
          <w:bCs/>
          <w:sz w:val="26"/>
          <w:lang w:val="en-US" w:eastAsia="zh-CN"/>
        </w:rPr>
        <w:t>3</w:t>
      </w:r>
      <w:r>
        <w:rPr>
          <w:rFonts w:hint="eastAsia" w:ascii="Arial" w:hAnsi="Arial" w:cs="Arial"/>
          <w:bCs/>
          <w:sz w:val="26"/>
        </w:rPr>
        <w:t>个月，主体工程施工期</w:t>
      </w:r>
      <w:r>
        <w:rPr>
          <w:rFonts w:hint="eastAsia" w:ascii="Arial" w:hAnsi="Arial" w:cs="Arial"/>
          <w:bCs/>
          <w:sz w:val="26"/>
          <w:lang w:val="en-US" w:eastAsia="zh-CN"/>
        </w:rPr>
        <w:t>19</w:t>
      </w:r>
      <w:r>
        <w:rPr>
          <w:rFonts w:hint="eastAsia" w:ascii="Arial" w:hAnsi="Arial" w:cs="Arial"/>
          <w:bCs/>
          <w:sz w:val="26"/>
        </w:rPr>
        <w:t>个月，工程完建期</w:t>
      </w:r>
      <w:r>
        <w:rPr>
          <w:rFonts w:hint="eastAsia" w:ascii="Arial" w:hAnsi="Arial" w:cs="Arial"/>
          <w:bCs/>
          <w:sz w:val="26"/>
          <w:lang w:val="en-US" w:eastAsia="zh-CN"/>
        </w:rPr>
        <w:t>2</w:t>
      </w:r>
      <w:r>
        <w:rPr>
          <w:rFonts w:hint="eastAsia" w:ascii="Arial" w:hAnsi="Arial" w:cs="Arial"/>
          <w:bCs/>
          <w:sz w:val="26"/>
        </w:rPr>
        <w:t>个月。</w:t>
      </w:r>
    </w:p>
    <w:p w14:paraId="4815F148">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2）施工导流</w:t>
      </w:r>
    </w:p>
    <w:p w14:paraId="7143E4C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cs="Arial"/>
          <w:b/>
          <w:color w:val="auto"/>
          <w:sz w:val="26"/>
          <w:szCs w:val="26"/>
          <w:lang w:val="en-US" w:eastAsia="zh-CN"/>
        </w:rPr>
      </w:pPr>
      <w:r>
        <w:rPr>
          <w:rFonts w:hint="default" w:ascii="Arial" w:cs="Arial"/>
          <w:b/>
          <w:color w:val="auto"/>
          <w:sz w:val="26"/>
          <w:szCs w:val="26"/>
          <w:lang w:eastAsia="zh-CN"/>
        </w:rPr>
        <w:t>①</w:t>
      </w:r>
      <w:r>
        <w:rPr>
          <w:rFonts w:hint="eastAsia" w:ascii="Arial" w:cs="Arial"/>
          <w:b/>
          <w:color w:val="auto"/>
          <w:sz w:val="26"/>
          <w:szCs w:val="26"/>
          <w:lang w:val="en-US" w:eastAsia="zh-CN"/>
        </w:rPr>
        <w:t xml:space="preserve"> 导流标准</w:t>
      </w:r>
    </w:p>
    <w:p w14:paraId="6523565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根据《水利水电工程施工组织设计规范》SL303-2017规定，本工程规模为小（2）型，临时性建筑物为5级；导流涵管与大坝结合布置，封堵后会成为大坝的一部分，故导流涵管的建筑物级别与永久建筑物一致，为5级，堰型选择为土石类围堰，导流洪水重现期为</w:t>
      </w:r>
      <w:r>
        <w:rPr>
          <w:rFonts w:hint="eastAsia" w:ascii="Arial" w:hAnsi="Arial" w:cs="Arial"/>
          <w:sz w:val="26"/>
          <w:szCs w:val="26"/>
          <w:lang w:val="en-US" w:eastAsia="zh-CN"/>
        </w:rPr>
        <w:t>5年一遇</w:t>
      </w:r>
      <w:r>
        <w:rPr>
          <w:rFonts w:hint="eastAsia" w:ascii="Arial" w:hAnsi="Arial" w:cs="Arial"/>
          <w:sz w:val="26"/>
          <w:szCs w:val="26"/>
          <w:lang w:eastAsia="zh-CN"/>
        </w:rPr>
        <w:t>。输水管线路由较长，且多次穿越河流，导流标准采用</w:t>
      </w:r>
      <w:r>
        <w:rPr>
          <w:rFonts w:hint="eastAsia" w:ascii="Arial" w:hAnsi="Arial" w:cs="Arial"/>
          <w:sz w:val="26"/>
          <w:szCs w:val="26"/>
          <w:lang w:val="en-US" w:eastAsia="zh-CN"/>
        </w:rPr>
        <w:t>5年一遇</w:t>
      </w:r>
      <w:r>
        <w:rPr>
          <w:rFonts w:hint="eastAsia" w:ascii="Arial" w:hAnsi="Arial" w:cs="Arial"/>
          <w:sz w:val="26"/>
          <w:szCs w:val="26"/>
          <w:lang w:eastAsia="zh-CN"/>
        </w:rPr>
        <w:t>。</w:t>
      </w:r>
    </w:p>
    <w:p w14:paraId="28895473">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default" w:ascii="Arial" w:hAnsi="Times New Roman" w:cs="Arial"/>
          <w:b/>
          <w:color w:val="auto"/>
          <w:sz w:val="26"/>
          <w:szCs w:val="26"/>
          <w:lang w:eastAsia="zh-CN"/>
        </w:rPr>
        <w:t>②</w:t>
      </w:r>
      <w:r>
        <w:rPr>
          <w:rFonts w:hint="eastAsia" w:ascii="Arial" w:hAnsi="Times New Roman" w:cs="Arial"/>
          <w:b/>
          <w:color w:val="auto"/>
          <w:sz w:val="26"/>
          <w:szCs w:val="26"/>
          <w:lang w:val="en-US" w:eastAsia="zh-CN"/>
        </w:rPr>
        <w:t xml:space="preserve"> 导流时段及程序</w:t>
      </w:r>
    </w:p>
    <w:p w14:paraId="2A20B87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1）枢纽工程</w:t>
      </w:r>
    </w:p>
    <w:p w14:paraId="7A20295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海螺沟水库大坝所在河流属于山区性河流，洪水由暴雨形成，洪水有明显的季节变化规律。坝址处全年5年一遇洪水流量为</w:t>
      </w:r>
      <w:r>
        <w:rPr>
          <w:rFonts w:hint="eastAsia" w:ascii="Arial" w:hAnsi="Arial" w:cs="Arial"/>
          <w:sz w:val="26"/>
          <w:szCs w:val="26"/>
          <w:lang w:val="en-US" w:eastAsia="zh-CN"/>
        </w:rPr>
        <w:t>26.2</w:t>
      </w:r>
      <w:r>
        <w:rPr>
          <w:rFonts w:hint="eastAsia" w:ascii="Arial" w:hAnsi="Arial" w:cs="Arial"/>
          <w:sz w:val="26"/>
          <w:szCs w:val="26"/>
          <w:lang w:eastAsia="zh-CN"/>
        </w:rPr>
        <w:t>m</w:t>
      </w:r>
      <w:r>
        <w:rPr>
          <w:rFonts w:hint="eastAsia" w:ascii="Arial" w:hAnsi="Arial" w:cs="Arial"/>
          <w:sz w:val="26"/>
          <w:szCs w:val="26"/>
          <w:vertAlign w:val="superscript"/>
          <w:lang w:eastAsia="zh-CN"/>
        </w:rPr>
        <w:t>3</w:t>
      </w:r>
      <w:r>
        <w:rPr>
          <w:rFonts w:hint="eastAsia" w:ascii="Arial" w:hAnsi="Arial" w:cs="Arial"/>
          <w:sz w:val="26"/>
          <w:szCs w:val="26"/>
          <w:lang w:eastAsia="zh-CN"/>
        </w:rPr>
        <w:t>/s，枯水期1</w:t>
      </w:r>
      <w:r>
        <w:rPr>
          <w:rFonts w:hint="eastAsia" w:ascii="Arial" w:hAnsi="Arial" w:cs="Arial"/>
          <w:sz w:val="26"/>
          <w:szCs w:val="26"/>
          <w:lang w:val="en-US" w:eastAsia="zh-CN"/>
        </w:rPr>
        <w:t>0</w:t>
      </w:r>
      <w:r>
        <w:rPr>
          <w:rFonts w:hint="eastAsia" w:ascii="Arial" w:hAnsi="Arial" w:cs="Arial"/>
          <w:sz w:val="26"/>
          <w:szCs w:val="26"/>
          <w:lang w:eastAsia="zh-CN"/>
        </w:rPr>
        <w:t>月～次年</w:t>
      </w:r>
      <w:r>
        <w:rPr>
          <w:rFonts w:hint="eastAsia" w:ascii="Arial" w:hAnsi="Arial" w:cs="Arial"/>
          <w:sz w:val="26"/>
          <w:szCs w:val="26"/>
          <w:lang w:val="en-US" w:eastAsia="zh-CN"/>
        </w:rPr>
        <w:t>4</w:t>
      </w:r>
      <w:r>
        <w:rPr>
          <w:rFonts w:hint="eastAsia" w:ascii="Arial" w:hAnsi="Arial" w:cs="Arial"/>
          <w:sz w:val="26"/>
          <w:szCs w:val="26"/>
          <w:lang w:eastAsia="zh-CN"/>
        </w:rPr>
        <w:t>月</w:t>
      </w:r>
      <w:r>
        <w:rPr>
          <w:rFonts w:hint="eastAsia" w:ascii="Arial" w:hAnsi="Arial" w:cs="Arial"/>
          <w:sz w:val="26"/>
          <w:szCs w:val="26"/>
          <w:lang w:val="en-US" w:eastAsia="zh-CN"/>
        </w:rPr>
        <w:t>时</w:t>
      </w:r>
      <w:r>
        <w:rPr>
          <w:rFonts w:hint="eastAsia" w:ascii="Arial" w:hAnsi="Arial" w:cs="Arial"/>
          <w:sz w:val="26"/>
          <w:szCs w:val="26"/>
          <w:lang w:eastAsia="zh-CN"/>
        </w:rPr>
        <w:t>5年一遇洪水流量为</w:t>
      </w:r>
      <w:r>
        <w:rPr>
          <w:rFonts w:hint="eastAsia" w:ascii="Arial" w:hAnsi="Arial" w:cs="Arial"/>
          <w:sz w:val="26"/>
          <w:szCs w:val="26"/>
          <w:lang w:val="en-US" w:eastAsia="zh-CN"/>
        </w:rPr>
        <w:t>5.08</w:t>
      </w:r>
      <w:r>
        <w:rPr>
          <w:rFonts w:hint="eastAsia" w:ascii="Arial" w:hAnsi="Arial" w:cs="Arial"/>
          <w:sz w:val="26"/>
          <w:szCs w:val="26"/>
          <w:lang w:eastAsia="zh-CN"/>
        </w:rPr>
        <w:t>m</w:t>
      </w:r>
      <w:r>
        <w:rPr>
          <w:rFonts w:hint="eastAsia" w:ascii="Arial" w:hAnsi="Arial" w:cs="Arial"/>
          <w:sz w:val="26"/>
          <w:szCs w:val="26"/>
          <w:vertAlign w:val="superscript"/>
          <w:lang w:eastAsia="zh-CN"/>
        </w:rPr>
        <w:t>3</w:t>
      </w:r>
      <w:r>
        <w:rPr>
          <w:rFonts w:hint="eastAsia" w:ascii="Arial" w:hAnsi="Arial" w:cs="Arial"/>
          <w:sz w:val="26"/>
          <w:szCs w:val="26"/>
          <w:lang w:eastAsia="zh-CN"/>
        </w:rPr>
        <w:t>/s，全年流量是枯期时段流量的</w:t>
      </w:r>
      <w:r>
        <w:rPr>
          <w:rFonts w:hint="eastAsia" w:ascii="Arial" w:hAnsi="Arial" w:cs="Arial"/>
          <w:sz w:val="26"/>
          <w:szCs w:val="26"/>
          <w:lang w:val="en-US" w:eastAsia="zh-CN"/>
        </w:rPr>
        <w:t>约5</w:t>
      </w:r>
      <w:r>
        <w:rPr>
          <w:rFonts w:hint="eastAsia" w:ascii="Arial" w:hAnsi="Arial" w:cs="Arial"/>
          <w:sz w:val="26"/>
          <w:szCs w:val="26"/>
          <w:lang w:eastAsia="zh-CN"/>
        </w:rPr>
        <w:t>倍，洪枯期分界明显，且坝体为混凝土重力坝，施工期容许过水，基坑施工历时短，采用枯期导流。枯水期导流流量较小，河床宽度较窄，根据重力坝的布置、河床宽度以及洪水频率成果分析，本工程适合采用一次性拦断河床围堰导流方式。</w:t>
      </w:r>
    </w:p>
    <w:p w14:paraId="50953AE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第一年</w:t>
      </w:r>
      <w:r>
        <w:rPr>
          <w:rFonts w:hint="eastAsia" w:ascii="Arial" w:hAnsi="Arial" w:cs="Arial"/>
          <w:sz w:val="26"/>
          <w:szCs w:val="26"/>
          <w:lang w:val="en-US" w:eastAsia="zh-CN"/>
        </w:rPr>
        <w:t>7</w:t>
      </w:r>
      <w:r>
        <w:rPr>
          <w:rFonts w:hint="eastAsia" w:ascii="Arial" w:hAnsi="Arial" w:cs="Arial"/>
          <w:sz w:val="26"/>
          <w:szCs w:val="26"/>
          <w:lang w:eastAsia="zh-CN"/>
        </w:rPr>
        <w:t>月初~第一年</w:t>
      </w:r>
      <w:r>
        <w:rPr>
          <w:rFonts w:hint="eastAsia" w:ascii="Arial" w:hAnsi="Arial" w:cs="Arial"/>
          <w:sz w:val="26"/>
          <w:szCs w:val="26"/>
          <w:lang w:val="en-US" w:eastAsia="zh-CN"/>
        </w:rPr>
        <w:t>9</w:t>
      </w:r>
      <w:r>
        <w:rPr>
          <w:rFonts w:hint="eastAsia" w:ascii="Arial" w:hAnsi="Arial" w:cs="Arial"/>
          <w:sz w:val="26"/>
          <w:szCs w:val="26"/>
          <w:lang w:eastAsia="zh-CN"/>
        </w:rPr>
        <w:t>月底，历时</w:t>
      </w:r>
      <w:r>
        <w:rPr>
          <w:rFonts w:hint="eastAsia" w:ascii="Arial" w:hAnsi="Arial" w:cs="Arial"/>
          <w:sz w:val="26"/>
          <w:szCs w:val="26"/>
          <w:lang w:val="en-US" w:eastAsia="zh-CN"/>
        </w:rPr>
        <w:t>3</w:t>
      </w:r>
      <w:r>
        <w:rPr>
          <w:rFonts w:hint="eastAsia" w:ascii="Arial" w:hAnsi="Arial" w:cs="Arial"/>
          <w:sz w:val="26"/>
          <w:szCs w:val="26"/>
          <w:lang w:eastAsia="zh-CN"/>
        </w:rPr>
        <w:t>个月，完成工程施工的准备工作，完成进场道路修建工作。</w:t>
      </w:r>
    </w:p>
    <w:p w14:paraId="603A0BE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第一年</w:t>
      </w:r>
      <w:r>
        <w:rPr>
          <w:rFonts w:hint="eastAsia" w:ascii="Arial" w:hAnsi="Arial" w:cs="Arial"/>
          <w:sz w:val="26"/>
          <w:szCs w:val="26"/>
          <w:lang w:val="en-US" w:eastAsia="zh-CN"/>
        </w:rPr>
        <w:t>10</w:t>
      </w:r>
      <w:r>
        <w:rPr>
          <w:rFonts w:hint="eastAsia" w:ascii="Arial" w:hAnsi="Arial" w:cs="Arial"/>
          <w:sz w:val="26"/>
          <w:szCs w:val="26"/>
          <w:lang w:eastAsia="zh-CN"/>
        </w:rPr>
        <w:t>月初~第一年</w:t>
      </w:r>
      <w:r>
        <w:rPr>
          <w:rFonts w:hint="eastAsia" w:ascii="Arial" w:hAnsi="Arial" w:cs="Arial"/>
          <w:sz w:val="26"/>
          <w:szCs w:val="26"/>
          <w:lang w:val="en-US" w:eastAsia="zh-CN"/>
        </w:rPr>
        <w:t>10</w:t>
      </w:r>
      <w:r>
        <w:rPr>
          <w:rFonts w:hint="eastAsia" w:ascii="Arial" w:hAnsi="Arial" w:cs="Arial"/>
          <w:sz w:val="26"/>
          <w:szCs w:val="26"/>
          <w:lang w:eastAsia="zh-CN"/>
        </w:rPr>
        <w:t>月底，历时1个月，在河道阶地干地施工导流涵管基础并安装导流涵管，同时在施工区上游完成截流施工，一次性拦断河床。进行上下游围堰的填筑施工，进行基坑排水。</w:t>
      </w:r>
    </w:p>
    <w:p w14:paraId="092A721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第一年1</w:t>
      </w:r>
      <w:r>
        <w:rPr>
          <w:rFonts w:hint="eastAsia" w:ascii="Arial" w:hAnsi="Arial" w:cs="Arial"/>
          <w:sz w:val="26"/>
          <w:szCs w:val="26"/>
          <w:lang w:val="en-US" w:eastAsia="zh-CN"/>
        </w:rPr>
        <w:t>1</w:t>
      </w:r>
      <w:r>
        <w:rPr>
          <w:rFonts w:hint="eastAsia" w:ascii="Arial" w:hAnsi="Arial" w:cs="Arial"/>
          <w:sz w:val="26"/>
          <w:szCs w:val="26"/>
          <w:lang w:eastAsia="zh-CN"/>
        </w:rPr>
        <w:t>月初~第二年</w:t>
      </w:r>
      <w:r>
        <w:rPr>
          <w:rFonts w:hint="eastAsia" w:ascii="Arial" w:hAnsi="Arial" w:cs="Arial"/>
          <w:sz w:val="26"/>
          <w:szCs w:val="26"/>
          <w:lang w:val="en-US" w:eastAsia="zh-CN"/>
        </w:rPr>
        <w:t>11</w:t>
      </w:r>
      <w:r>
        <w:rPr>
          <w:rFonts w:hint="eastAsia" w:ascii="Arial" w:hAnsi="Arial" w:cs="Arial"/>
          <w:sz w:val="26"/>
          <w:szCs w:val="26"/>
          <w:lang w:eastAsia="zh-CN"/>
        </w:rPr>
        <w:t>月底，历时</w:t>
      </w:r>
      <w:r>
        <w:rPr>
          <w:rFonts w:hint="eastAsia" w:ascii="Arial" w:hAnsi="Arial" w:cs="Arial"/>
          <w:sz w:val="26"/>
          <w:szCs w:val="26"/>
          <w:lang w:val="en-US" w:eastAsia="zh-CN"/>
        </w:rPr>
        <w:t>1</w:t>
      </w:r>
      <w:r>
        <w:rPr>
          <w:rFonts w:hint="eastAsia" w:ascii="Arial" w:hAnsi="Arial" w:cs="Arial"/>
          <w:sz w:val="26"/>
          <w:szCs w:val="26"/>
          <w:lang w:eastAsia="zh-CN"/>
        </w:rPr>
        <w:t>个月，进行基础开挖及固结灌浆处理工作。</w:t>
      </w:r>
    </w:p>
    <w:p w14:paraId="377606E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第二年</w:t>
      </w:r>
      <w:r>
        <w:rPr>
          <w:rFonts w:hint="eastAsia" w:ascii="Arial" w:hAnsi="Arial" w:cs="Arial"/>
          <w:sz w:val="26"/>
          <w:szCs w:val="26"/>
          <w:lang w:val="en-US" w:eastAsia="zh-CN"/>
        </w:rPr>
        <w:t>12</w:t>
      </w:r>
      <w:r>
        <w:rPr>
          <w:rFonts w:hint="eastAsia" w:ascii="Arial" w:hAnsi="Arial" w:cs="Arial"/>
          <w:sz w:val="26"/>
          <w:szCs w:val="26"/>
          <w:lang w:eastAsia="zh-CN"/>
        </w:rPr>
        <w:t>月初~第二年</w:t>
      </w:r>
      <w:r>
        <w:rPr>
          <w:rFonts w:hint="eastAsia" w:ascii="Arial" w:hAnsi="Arial" w:cs="Arial"/>
          <w:sz w:val="26"/>
          <w:szCs w:val="26"/>
          <w:lang w:val="en-US" w:eastAsia="zh-CN"/>
        </w:rPr>
        <w:t>3</w:t>
      </w:r>
      <w:r>
        <w:rPr>
          <w:rFonts w:hint="eastAsia" w:ascii="Arial" w:hAnsi="Arial" w:cs="Arial"/>
          <w:sz w:val="26"/>
          <w:szCs w:val="26"/>
          <w:lang w:eastAsia="zh-CN"/>
        </w:rPr>
        <w:t>月底，历时</w:t>
      </w:r>
      <w:r>
        <w:rPr>
          <w:rFonts w:hint="eastAsia" w:ascii="Arial" w:hAnsi="Arial" w:cs="Arial"/>
          <w:sz w:val="26"/>
          <w:szCs w:val="26"/>
          <w:lang w:val="en-US" w:eastAsia="zh-CN"/>
        </w:rPr>
        <w:t>4</w:t>
      </w:r>
      <w:r>
        <w:rPr>
          <w:rFonts w:hint="eastAsia" w:ascii="Arial" w:hAnsi="Arial" w:cs="Arial"/>
          <w:sz w:val="26"/>
          <w:szCs w:val="26"/>
          <w:lang w:eastAsia="zh-CN"/>
        </w:rPr>
        <w:t>个月，进行坝体浇筑施工，在汛期来临时，大坝整体抬升到</w:t>
      </w:r>
      <w:r>
        <w:rPr>
          <w:rFonts w:hint="eastAsia" w:ascii="Arial" w:hAnsi="Arial" w:cs="Arial"/>
          <w:sz w:val="26"/>
          <w:szCs w:val="26"/>
          <w:lang w:val="en-US" w:eastAsia="zh-CN"/>
        </w:rPr>
        <w:t>412.50</w:t>
      </w:r>
      <w:r>
        <w:rPr>
          <w:rFonts w:hint="eastAsia" w:ascii="Arial" w:hAnsi="Arial" w:cs="Arial"/>
          <w:sz w:val="26"/>
          <w:szCs w:val="26"/>
          <w:lang w:eastAsia="zh-CN"/>
        </w:rPr>
        <w:t>m的度汛高程。</w:t>
      </w:r>
    </w:p>
    <w:p w14:paraId="0E0C559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第二年</w:t>
      </w:r>
      <w:r>
        <w:rPr>
          <w:rFonts w:hint="eastAsia" w:ascii="Arial" w:hAnsi="Arial" w:cs="Arial"/>
          <w:sz w:val="26"/>
          <w:szCs w:val="26"/>
          <w:lang w:val="en-US" w:eastAsia="zh-CN"/>
        </w:rPr>
        <w:t>4</w:t>
      </w:r>
      <w:r>
        <w:rPr>
          <w:rFonts w:hint="eastAsia" w:ascii="Arial" w:hAnsi="Arial" w:cs="Arial"/>
          <w:sz w:val="26"/>
          <w:szCs w:val="26"/>
          <w:lang w:eastAsia="zh-CN"/>
        </w:rPr>
        <w:t>月初~第</w:t>
      </w:r>
      <w:r>
        <w:rPr>
          <w:rFonts w:hint="eastAsia" w:ascii="Arial" w:hAnsi="Arial" w:cs="Arial"/>
          <w:sz w:val="26"/>
          <w:szCs w:val="26"/>
          <w:lang w:val="en-US" w:eastAsia="zh-CN"/>
        </w:rPr>
        <w:t>二</w:t>
      </w:r>
      <w:r>
        <w:rPr>
          <w:rFonts w:hint="eastAsia" w:ascii="Arial" w:hAnsi="Arial" w:cs="Arial"/>
          <w:sz w:val="26"/>
          <w:szCs w:val="26"/>
          <w:lang w:eastAsia="zh-CN"/>
        </w:rPr>
        <w:t>年</w:t>
      </w:r>
      <w:r>
        <w:rPr>
          <w:rFonts w:hint="eastAsia" w:ascii="Arial" w:hAnsi="Arial" w:cs="Arial"/>
          <w:sz w:val="26"/>
          <w:szCs w:val="26"/>
          <w:lang w:val="en-US" w:eastAsia="zh-CN"/>
        </w:rPr>
        <w:t>10</w:t>
      </w:r>
      <w:r>
        <w:rPr>
          <w:rFonts w:hint="eastAsia" w:ascii="Arial" w:hAnsi="Arial" w:cs="Arial"/>
          <w:sz w:val="26"/>
          <w:szCs w:val="26"/>
          <w:lang w:eastAsia="zh-CN"/>
        </w:rPr>
        <w:t>月底，历时</w:t>
      </w:r>
      <w:r>
        <w:rPr>
          <w:rFonts w:hint="eastAsia" w:ascii="Arial" w:hAnsi="Arial" w:cs="Arial"/>
          <w:sz w:val="26"/>
          <w:szCs w:val="26"/>
          <w:lang w:val="en-US" w:eastAsia="zh-CN"/>
        </w:rPr>
        <w:t>7</w:t>
      </w:r>
      <w:r>
        <w:rPr>
          <w:rFonts w:hint="eastAsia" w:ascii="Arial" w:hAnsi="Arial" w:cs="Arial"/>
          <w:sz w:val="26"/>
          <w:szCs w:val="26"/>
          <w:lang w:eastAsia="zh-CN"/>
        </w:rPr>
        <w:t>个月，完成大坝</w:t>
      </w:r>
      <w:r>
        <w:rPr>
          <w:rFonts w:hint="eastAsia" w:ascii="Arial" w:hAnsi="Arial" w:cs="Arial"/>
          <w:sz w:val="26"/>
          <w:szCs w:val="26"/>
          <w:lang w:val="en-US" w:eastAsia="zh-CN"/>
        </w:rPr>
        <w:t>412.50m</w:t>
      </w:r>
      <w:r>
        <w:rPr>
          <w:rFonts w:hint="eastAsia" w:ascii="Arial" w:hAnsi="Arial" w:cs="Arial"/>
          <w:sz w:val="26"/>
          <w:szCs w:val="26"/>
          <w:lang w:eastAsia="zh-CN"/>
        </w:rPr>
        <w:t>～坝顶424.00m高程的浇筑，消力池等设施浇筑。施工中若发生超标洪水，应提前停工撤场，待洪水过后，排涝、排危完毕，方可继续施工。</w:t>
      </w:r>
    </w:p>
    <w:p w14:paraId="571A139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w:t>
      </w:r>
      <w:r>
        <w:rPr>
          <w:rFonts w:hint="eastAsia" w:ascii="Arial" w:hAnsi="Arial" w:cs="Arial"/>
          <w:sz w:val="26"/>
          <w:szCs w:val="26"/>
          <w:lang w:val="en-US" w:eastAsia="zh-CN"/>
        </w:rPr>
        <w:t>二</w:t>
      </w:r>
      <w:r>
        <w:rPr>
          <w:rFonts w:hint="eastAsia" w:ascii="Arial" w:hAnsi="Arial" w:cs="Arial"/>
          <w:sz w:val="26"/>
          <w:szCs w:val="26"/>
          <w:lang w:eastAsia="zh-CN"/>
        </w:rPr>
        <w:t>年</w:t>
      </w:r>
      <w:r>
        <w:rPr>
          <w:rFonts w:hint="eastAsia" w:ascii="Arial" w:hAnsi="Arial" w:cs="Arial"/>
          <w:sz w:val="26"/>
          <w:szCs w:val="26"/>
          <w:lang w:val="en-US" w:eastAsia="zh-CN"/>
        </w:rPr>
        <w:t>11</w:t>
      </w:r>
      <w:r>
        <w:rPr>
          <w:rFonts w:hint="eastAsia" w:ascii="Arial" w:hAnsi="Arial" w:cs="Arial"/>
          <w:sz w:val="26"/>
          <w:szCs w:val="26"/>
          <w:lang w:eastAsia="zh-CN"/>
        </w:rPr>
        <w:t>月初~第二年</w:t>
      </w:r>
      <w:r>
        <w:rPr>
          <w:rFonts w:hint="eastAsia" w:ascii="Arial" w:hAnsi="Arial" w:cs="Arial"/>
          <w:sz w:val="26"/>
          <w:szCs w:val="26"/>
          <w:lang w:val="en-US" w:eastAsia="zh-CN"/>
        </w:rPr>
        <w:t>12</w:t>
      </w:r>
      <w:r>
        <w:rPr>
          <w:rFonts w:hint="eastAsia" w:ascii="Arial" w:hAnsi="Arial" w:cs="Arial"/>
          <w:sz w:val="26"/>
          <w:szCs w:val="26"/>
          <w:lang w:eastAsia="zh-CN"/>
        </w:rPr>
        <w:t>月底，历时</w:t>
      </w:r>
      <w:r>
        <w:rPr>
          <w:rFonts w:hint="eastAsia" w:ascii="Arial" w:hAnsi="Arial" w:cs="Arial"/>
          <w:sz w:val="26"/>
          <w:szCs w:val="26"/>
          <w:lang w:val="en-US" w:eastAsia="zh-CN"/>
        </w:rPr>
        <w:t>2</w:t>
      </w:r>
      <w:r>
        <w:rPr>
          <w:rFonts w:hint="eastAsia" w:ascii="Arial" w:hAnsi="Arial" w:cs="Arial"/>
          <w:sz w:val="26"/>
          <w:szCs w:val="26"/>
          <w:lang w:eastAsia="zh-CN"/>
        </w:rPr>
        <w:t>个月，完成输水工程进场道路修建及施工前材料进场布置。</w:t>
      </w:r>
    </w:p>
    <w:p w14:paraId="3A9B8A1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w:t>
      </w:r>
      <w:r>
        <w:rPr>
          <w:rFonts w:hint="eastAsia" w:ascii="Arial" w:hAnsi="Arial" w:cs="Arial"/>
          <w:sz w:val="26"/>
          <w:szCs w:val="26"/>
          <w:lang w:val="en-US" w:eastAsia="zh-CN"/>
        </w:rPr>
        <w:t>三</w:t>
      </w:r>
      <w:r>
        <w:rPr>
          <w:rFonts w:hint="eastAsia" w:ascii="Arial" w:hAnsi="Arial" w:cs="Arial"/>
          <w:sz w:val="26"/>
          <w:szCs w:val="26"/>
          <w:lang w:eastAsia="zh-CN"/>
        </w:rPr>
        <w:t>年</w:t>
      </w:r>
      <w:r>
        <w:rPr>
          <w:rFonts w:hint="eastAsia" w:ascii="Arial" w:hAnsi="Arial" w:cs="Arial"/>
          <w:sz w:val="26"/>
          <w:szCs w:val="26"/>
          <w:lang w:val="en-US" w:eastAsia="zh-CN"/>
        </w:rPr>
        <w:t>1</w:t>
      </w:r>
      <w:r>
        <w:rPr>
          <w:rFonts w:hint="eastAsia" w:ascii="Arial" w:hAnsi="Arial" w:cs="Arial"/>
          <w:sz w:val="26"/>
          <w:szCs w:val="26"/>
          <w:lang w:eastAsia="zh-CN"/>
        </w:rPr>
        <w:t>月初~第</w:t>
      </w:r>
      <w:r>
        <w:rPr>
          <w:rFonts w:hint="eastAsia" w:ascii="Arial" w:hAnsi="Arial" w:cs="Arial"/>
          <w:sz w:val="26"/>
          <w:szCs w:val="26"/>
          <w:lang w:val="en-US" w:eastAsia="zh-CN"/>
        </w:rPr>
        <w:t>三</w:t>
      </w:r>
      <w:r>
        <w:rPr>
          <w:rFonts w:hint="eastAsia" w:ascii="Arial" w:hAnsi="Arial" w:cs="Arial"/>
          <w:sz w:val="26"/>
          <w:szCs w:val="26"/>
          <w:lang w:eastAsia="zh-CN"/>
        </w:rPr>
        <w:t>年</w:t>
      </w:r>
      <w:r>
        <w:rPr>
          <w:rFonts w:hint="eastAsia" w:ascii="Arial" w:hAnsi="Arial" w:cs="Arial"/>
          <w:sz w:val="26"/>
          <w:szCs w:val="26"/>
          <w:lang w:val="en-US" w:eastAsia="zh-CN"/>
        </w:rPr>
        <w:t>5</w:t>
      </w:r>
      <w:r>
        <w:rPr>
          <w:rFonts w:hint="eastAsia" w:ascii="Arial" w:hAnsi="Arial" w:cs="Arial"/>
          <w:sz w:val="26"/>
          <w:szCs w:val="26"/>
          <w:lang w:eastAsia="zh-CN"/>
        </w:rPr>
        <w:t>月底，历时</w:t>
      </w:r>
      <w:r>
        <w:rPr>
          <w:rFonts w:hint="eastAsia" w:ascii="Arial" w:hAnsi="Arial" w:cs="Arial"/>
          <w:sz w:val="26"/>
          <w:szCs w:val="26"/>
          <w:lang w:val="en-US" w:eastAsia="zh-CN"/>
        </w:rPr>
        <w:t>5</w:t>
      </w:r>
      <w:r>
        <w:rPr>
          <w:rFonts w:hint="eastAsia" w:ascii="Arial" w:hAnsi="Arial" w:cs="Arial"/>
          <w:sz w:val="26"/>
          <w:szCs w:val="26"/>
          <w:lang w:eastAsia="zh-CN"/>
        </w:rPr>
        <w:t>个月，进行</w:t>
      </w:r>
      <w:r>
        <w:rPr>
          <w:rFonts w:hint="eastAsia" w:ascii="Arial" w:hAnsi="Arial" w:cs="Arial"/>
          <w:sz w:val="26"/>
          <w:szCs w:val="26"/>
          <w:lang w:val="en-US" w:eastAsia="zh-CN"/>
        </w:rPr>
        <w:t>其余</w:t>
      </w:r>
      <w:r>
        <w:rPr>
          <w:rFonts w:hint="eastAsia" w:ascii="Arial" w:hAnsi="Arial" w:cs="Arial"/>
          <w:sz w:val="26"/>
          <w:szCs w:val="26"/>
          <w:lang w:eastAsia="zh-CN"/>
        </w:rPr>
        <w:t>输水工程的开挖、安装及回填工作。</w:t>
      </w:r>
    </w:p>
    <w:p w14:paraId="42AF019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第三年</w:t>
      </w:r>
      <w:r>
        <w:rPr>
          <w:rFonts w:hint="eastAsia" w:ascii="Arial" w:hAnsi="Arial" w:cs="Arial"/>
          <w:sz w:val="26"/>
          <w:szCs w:val="26"/>
          <w:lang w:val="en-US" w:eastAsia="zh-CN"/>
        </w:rPr>
        <w:t>6</w:t>
      </w:r>
      <w:r>
        <w:rPr>
          <w:rFonts w:hint="eastAsia" w:ascii="Arial" w:hAnsi="Arial" w:cs="Arial"/>
          <w:sz w:val="26"/>
          <w:szCs w:val="26"/>
          <w:lang w:eastAsia="zh-CN"/>
        </w:rPr>
        <w:t>月初~第三年</w:t>
      </w:r>
      <w:r>
        <w:rPr>
          <w:rFonts w:hint="eastAsia" w:ascii="Arial" w:hAnsi="Arial" w:cs="Arial"/>
          <w:sz w:val="26"/>
          <w:szCs w:val="26"/>
          <w:lang w:val="en-US" w:eastAsia="zh-CN"/>
        </w:rPr>
        <w:t>6</w:t>
      </w:r>
      <w:r>
        <w:rPr>
          <w:rFonts w:hint="eastAsia" w:ascii="Arial" w:hAnsi="Arial" w:cs="Arial"/>
          <w:sz w:val="26"/>
          <w:szCs w:val="26"/>
          <w:lang w:eastAsia="zh-CN"/>
        </w:rPr>
        <w:t>月底，历时1个月，完成围堰的拆除工作及输水工程的回填收尾工作。</w:t>
      </w:r>
    </w:p>
    <w:p w14:paraId="48C7B8A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2）输水工程</w:t>
      </w:r>
    </w:p>
    <w:p w14:paraId="6949163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输水管线采用枯水期进行施工作业，导流时段为</w:t>
      </w:r>
      <w:r>
        <w:rPr>
          <w:rFonts w:hint="eastAsia" w:ascii="Arial" w:hAnsi="Arial" w:cs="Arial"/>
          <w:sz w:val="26"/>
          <w:szCs w:val="26"/>
          <w:lang w:val="en-US" w:eastAsia="zh-CN"/>
        </w:rPr>
        <w:t>2月。</w:t>
      </w:r>
    </w:p>
    <w:p w14:paraId="2F5A19E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③ 导流方式</w:t>
      </w:r>
    </w:p>
    <w:p w14:paraId="1D547B9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1）枢纽工程</w:t>
      </w:r>
    </w:p>
    <w:p w14:paraId="61AFA263">
      <w:pPr>
        <w:keepNext w:val="0"/>
        <w:keepLines w:val="0"/>
        <w:pageBreakBefore w:val="0"/>
        <w:widowControl w:val="0"/>
        <w:kinsoku/>
        <w:wordWrap/>
        <w:overflowPunct/>
        <w:topLinePunct w:val="0"/>
        <w:autoSpaceDE w:val="0"/>
        <w:autoSpaceDN w:val="0"/>
        <w:bidi w:val="0"/>
        <w:adjustRightInd w:val="0"/>
        <w:snapToGrid/>
        <w:spacing w:line="460" w:lineRule="exact"/>
        <w:ind w:firstLine="482"/>
        <w:jc w:val="both"/>
        <w:textAlignment w:val="auto"/>
        <w:rPr>
          <w:rFonts w:hint="eastAsia" w:ascii="Arial" w:hAnsi="Arial" w:cs="Arial"/>
          <w:sz w:val="26"/>
          <w:szCs w:val="26"/>
          <w:lang w:eastAsia="zh-CN"/>
        </w:rPr>
      </w:pPr>
      <w:r>
        <w:rPr>
          <w:rFonts w:hint="eastAsia" w:ascii="Arial" w:hAnsi="Arial" w:cs="Arial"/>
          <w:sz w:val="26"/>
          <w:szCs w:val="26"/>
          <w:lang w:eastAsia="zh-CN"/>
        </w:rPr>
        <w:t>根据海螺沟水库所在地地形、地质条件及枢纽建筑物布置特点，推荐采用围堰一次断流、枯期围堰挡水、导流涵管泄流的导流方式，导流涵管管径为</w:t>
      </w:r>
      <w:r>
        <w:rPr>
          <w:rFonts w:hint="eastAsia" w:ascii="Arial" w:hAnsi="Arial" w:cs="Arial"/>
          <w:sz w:val="26"/>
          <w:szCs w:val="26"/>
          <w:lang w:val="en-US" w:eastAsia="zh-CN"/>
        </w:rPr>
        <w:t>DN1000；</w:t>
      </w:r>
      <w:r>
        <w:rPr>
          <w:rFonts w:hint="eastAsia" w:ascii="Arial" w:hAnsi="Arial" w:cs="Arial"/>
          <w:sz w:val="26"/>
          <w:szCs w:val="26"/>
          <w:lang w:eastAsia="zh-CN"/>
        </w:rPr>
        <w:t>汛期采用坝体临时断面挡水、导流涵管泄流的度汛方式。</w:t>
      </w:r>
    </w:p>
    <w:p w14:paraId="14D7B95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2）输水工程</w:t>
      </w:r>
    </w:p>
    <w:p w14:paraId="494A097C">
      <w:pPr>
        <w:keepNext w:val="0"/>
        <w:keepLines w:val="0"/>
        <w:pageBreakBefore w:val="0"/>
        <w:widowControl w:val="0"/>
        <w:kinsoku/>
        <w:wordWrap/>
        <w:overflowPunct/>
        <w:topLinePunct w:val="0"/>
        <w:autoSpaceDE w:val="0"/>
        <w:autoSpaceDN w:val="0"/>
        <w:bidi w:val="0"/>
        <w:adjustRightInd w:val="0"/>
        <w:snapToGrid/>
        <w:spacing w:line="460" w:lineRule="exact"/>
        <w:ind w:firstLine="482"/>
        <w:jc w:val="both"/>
        <w:textAlignment w:val="auto"/>
        <w:rPr>
          <w:rFonts w:hint="eastAsia" w:ascii="Arial" w:hAnsi="Arial" w:cs="Arial"/>
          <w:sz w:val="26"/>
          <w:szCs w:val="26"/>
          <w:lang w:eastAsia="zh-CN"/>
        </w:rPr>
      </w:pPr>
      <w:r>
        <w:rPr>
          <w:rFonts w:hint="eastAsia" w:ascii="Arial" w:hAnsi="Arial" w:cs="Arial"/>
          <w:sz w:val="26"/>
          <w:szCs w:val="26"/>
          <w:lang w:eastAsia="zh-CN"/>
        </w:rPr>
        <w:t>输水工程穿越了多条河道，但各穿越点的长度不长，施工时间较短，河道流量较小。推荐采用围堰一次断流、枯期围堰挡水、导流涵管泄流的导流方式。</w:t>
      </w:r>
    </w:p>
    <w:p w14:paraId="1EB1250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Times New Roman" w:cs="Arial"/>
          <w:b/>
          <w:color w:val="auto"/>
          <w:sz w:val="26"/>
          <w:szCs w:val="26"/>
          <w:lang w:val="en-US" w:eastAsia="zh-CN"/>
        </w:rPr>
      </w:pPr>
      <w:r>
        <w:rPr>
          <w:rFonts w:hint="eastAsia" w:ascii="Arial" w:hAnsi="Times New Roman" w:cs="Arial"/>
          <w:b/>
          <w:color w:val="auto"/>
          <w:sz w:val="26"/>
          <w:szCs w:val="26"/>
          <w:lang w:val="en-US" w:eastAsia="zh-CN"/>
        </w:rPr>
        <w:t>④ 导流建筑物设计</w:t>
      </w:r>
    </w:p>
    <w:p w14:paraId="6D24044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1）枢纽工程</w:t>
      </w:r>
    </w:p>
    <w:p w14:paraId="5CFDF61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首先在河道左侧施工涵管基础及导流涵管，待涵管施工完毕，采用横向围堰拦断河床，涵管泄流，期间进行全断面基坑开挖及砼浇筑。导流涵管布置于大坝左岸坝段，涵管中心线垂直于坝轴线，根据该处地形条件，涵管进口中心线高程定位401.86m，出口高程为400.94m，穿坝段涵管采用</w:t>
      </w:r>
      <w:r>
        <w:rPr>
          <w:rFonts w:hint="eastAsia" w:ascii="Arial" w:hAnsi="Arial" w:cs="Arial"/>
          <w:sz w:val="26"/>
          <w:szCs w:val="26"/>
          <w:lang w:val="en-US" w:eastAsia="zh-CN"/>
        </w:rPr>
        <w:t>DN</w:t>
      </w:r>
      <w:r>
        <w:rPr>
          <w:rFonts w:hint="eastAsia" w:ascii="Arial" w:hAnsi="Arial" w:cs="Arial"/>
          <w:sz w:val="26"/>
          <w:szCs w:val="26"/>
          <w:lang w:eastAsia="zh-CN"/>
        </w:rPr>
        <w:t>1000焊接钢管，穿坝段与延伸段采用法兰连接，导流任务结束后，拆卸法兰连接处，拆除前端管道，关闭下游闸阀，作为水库检修的放空管使用。</w:t>
      </w:r>
    </w:p>
    <w:p w14:paraId="1E2BEDF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上游围堰采用土石围堰，围堰顶高程为402.70m，最大堰高约2.5m，围堰轴线长18.0m，堰顶宽度为3.0m。由于本工程河床为基岩，根据同类工程经验，本阶段堰体上游侧采用粘土+土工膜防渗。围堰迎水面、背水面边坡均为1:2，迎水面及背水面均采用土石编织袋码砌防护。</w:t>
      </w:r>
    </w:p>
    <w:p w14:paraId="43EAA76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下游围堰采用土石围堰，围堰顶高程为401.00m，最大堰高约1.52m，围堰轴线长55.0m，堰顶宽度为3.0m。本工程河床为基岩，围堰迎水面、背水面边坡均为1:2，堰体下游侧采用土工膜防渗，迎水面及背水面均采用土石编织袋码砌防护。</w:t>
      </w:r>
    </w:p>
    <w:p w14:paraId="6F485863">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2）输水工程</w:t>
      </w:r>
    </w:p>
    <w:p w14:paraId="2011BD9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采用上下游横向围堰拦断河床，涵管泄流，沿着顺河流放线设导流涵管。</w:t>
      </w:r>
      <w:r>
        <w:rPr>
          <w:snapToGrid w:val="0"/>
          <w:color w:val="auto"/>
          <w:kern w:val="24"/>
          <w:sz w:val="26"/>
          <w:szCs w:val="26"/>
          <w:highlight w:val="none"/>
        </w:rPr>
        <w:t>上</w:t>
      </w:r>
      <w:r>
        <w:rPr>
          <w:rFonts w:hint="eastAsia"/>
          <w:snapToGrid w:val="0"/>
          <w:color w:val="auto"/>
          <w:kern w:val="24"/>
          <w:sz w:val="26"/>
          <w:szCs w:val="26"/>
          <w:highlight w:val="none"/>
        </w:rPr>
        <w:t>、下</w:t>
      </w:r>
      <w:r>
        <w:rPr>
          <w:snapToGrid w:val="0"/>
          <w:color w:val="auto"/>
          <w:kern w:val="24"/>
          <w:sz w:val="26"/>
          <w:szCs w:val="26"/>
          <w:highlight w:val="none"/>
        </w:rPr>
        <w:t>游围堰采用土石围堰，</w:t>
      </w:r>
      <w:r>
        <w:rPr>
          <w:rFonts w:hint="default" w:ascii="Arial" w:hAnsi="Arial" w:cs="Arial"/>
          <w:snapToGrid w:val="0"/>
          <w:color w:val="auto"/>
          <w:kern w:val="24"/>
          <w:sz w:val="26"/>
          <w:szCs w:val="26"/>
          <w:highlight w:val="none"/>
          <w:lang w:eastAsia="zh-CN"/>
        </w:rPr>
        <w:t>堰顶宽</w:t>
      </w:r>
      <w:r>
        <w:rPr>
          <w:rFonts w:hint="default" w:ascii="Arial" w:hAnsi="Arial" w:cs="Arial"/>
          <w:snapToGrid w:val="0"/>
          <w:color w:val="auto"/>
          <w:kern w:val="24"/>
          <w:sz w:val="26"/>
          <w:szCs w:val="26"/>
          <w:highlight w:val="none"/>
          <w:lang w:val="en-US" w:eastAsia="zh-CN"/>
        </w:rPr>
        <w:t>2m、最大堰高1.0~2.5m，</w:t>
      </w:r>
      <w:r>
        <w:rPr>
          <w:snapToGrid w:val="0"/>
          <w:color w:val="auto"/>
          <w:kern w:val="24"/>
          <w:sz w:val="26"/>
          <w:szCs w:val="26"/>
          <w:highlight w:val="none"/>
        </w:rPr>
        <w:t>堰体上游侧采用粘土+土工膜防渗</w:t>
      </w:r>
      <w:r>
        <w:rPr>
          <w:rFonts w:hint="eastAsia"/>
          <w:snapToGrid w:val="0"/>
          <w:color w:val="auto"/>
          <w:kern w:val="24"/>
          <w:sz w:val="26"/>
          <w:szCs w:val="26"/>
          <w:highlight w:val="none"/>
          <w:lang w:eastAsia="zh-CN"/>
        </w:rPr>
        <w:t>；</w:t>
      </w:r>
      <w:r>
        <w:rPr>
          <w:rFonts w:hint="eastAsia" w:ascii="Arial" w:hAnsi="Arial" w:cs="Arial"/>
          <w:sz w:val="26"/>
          <w:szCs w:val="26"/>
          <w:lang w:eastAsia="zh-CN"/>
        </w:rPr>
        <w:t>涵管采用C25钢筋砼管，</w:t>
      </w:r>
      <w:r>
        <w:rPr>
          <w:rFonts w:hint="eastAsia" w:ascii="Arial" w:hAnsi="Arial" w:cs="Arial"/>
          <w:sz w:val="26"/>
          <w:szCs w:val="26"/>
          <w:lang w:val="en-US" w:eastAsia="zh-CN"/>
        </w:rPr>
        <w:t>根据不同流量分别采DN400、600、800、1000等型号</w:t>
      </w:r>
      <w:r>
        <w:rPr>
          <w:rFonts w:hint="eastAsia" w:ascii="Arial" w:hAnsi="Arial" w:cs="Arial"/>
          <w:sz w:val="26"/>
          <w:szCs w:val="26"/>
          <w:lang w:eastAsia="zh-CN"/>
        </w:rPr>
        <w:t>，导流任务结束后，拆卸管道和围堰。</w:t>
      </w:r>
    </w:p>
    <w:p w14:paraId="3EF5BB1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⑤ 导流建筑物工程量</w:t>
      </w:r>
    </w:p>
    <w:p w14:paraId="44A718C4">
      <w:pPr>
        <w:keepNext w:val="0"/>
        <w:keepLines w:val="0"/>
        <w:pageBreakBefore w:val="0"/>
        <w:widowControl w:val="0"/>
        <w:kinsoku/>
        <w:wordWrap/>
        <w:overflowPunct/>
        <w:topLinePunct w:val="0"/>
        <w:autoSpaceDE w:val="0"/>
        <w:autoSpaceDN w:val="0"/>
        <w:bidi w:val="0"/>
        <w:adjustRightInd w:val="0"/>
        <w:snapToGrid/>
        <w:spacing w:line="460" w:lineRule="exact"/>
        <w:ind w:firstLine="482"/>
        <w:jc w:val="both"/>
        <w:textAlignment w:val="auto"/>
        <w:rPr>
          <w:rFonts w:hint="eastAsia" w:ascii="Arial" w:hAnsi="Arial" w:cs="Arial"/>
          <w:sz w:val="26"/>
          <w:szCs w:val="26"/>
          <w:lang w:val="en-US" w:eastAsia="zh-CN"/>
        </w:rPr>
      </w:pPr>
      <w:r>
        <w:rPr>
          <w:rFonts w:hint="eastAsia" w:ascii="Arial" w:hAnsi="Arial" w:cs="Arial"/>
          <w:sz w:val="26"/>
          <w:szCs w:val="26"/>
          <w:lang w:eastAsia="zh-CN"/>
        </w:rPr>
        <w:t>海螺沟水库枢纽工程导流工程量汇总详见表</w:t>
      </w:r>
      <w:r>
        <w:rPr>
          <w:rFonts w:hint="eastAsia" w:ascii="Arial" w:hAnsi="Arial" w:cs="Arial"/>
          <w:sz w:val="26"/>
          <w:szCs w:val="26"/>
          <w:lang w:val="en-US" w:eastAsia="zh-CN"/>
        </w:rPr>
        <w:t>2.2-10所示，输水工程</w:t>
      </w:r>
      <w:r>
        <w:rPr>
          <w:rFonts w:hint="eastAsia" w:ascii="Arial" w:hAnsi="Arial" w:cs="Arial"/>
          <w:sz w:val="26"/>
          <w:szCs w:val="26"/>
          <w:lang w:eastAsia="zh-CN"/>
        </w:rPr>
        <w:t>导流工程量汇总详见表</w:t>
      </w:r>
      <w:r>
        <w:rPr>
          <w:rFonts w:hint="eastAsia" w:ascii="Arial" w:hAnsi="Arial" w:cs="Arial"/>
          <w:sz w:val="26"/>
          <w:szCs w:val="26"/>
          <w:lang w:val="en-US" w:eastAsia="zh-CN"/>
        </w:rPr>
        <w:t>2.2-11所示。</w:t>
      </w:r>
    </w:p>
    <w:p w14:paraId="5592BCC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2.2-10 海螺沟水库枢纽工程导流工程量汇总表</w:t>
      </w:r>
    </w:p>
    <w:tbl>
      <w:tblPr>
        <w:tblStyle w:val="77"/>
        <w:tblW w:w="884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45"/>
        <w:gridCol w:w="3975"/>
        <w:gridCol w:w="1000"/>
        <w:gridCol w:w="1283"/>
        <w:gridCol w:w="1743"/>
      </w:tblGrid>
      <w:tr w14:paraId="5E19D3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exact"/>
          <w:jc w:val="center"/>
        </w:trPr>
        <w:tc>
          <w:tcPr>
            <w:tcW w:w="845" w:type="dxa"/>
            <w:noWrap/>
            <w:vAlign w:val="center"/>
          </w:tcPr>
          <w:p w14:paraId="603E40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序号</w:t>
            </w:r>
          </w:p>
        </w:tc>
        <w:tc>
          <w:tcPr>
            <w:tcW w:w="3975" w:type="dxa"/>
            <w:noWrap/>
            <w:vAlign w:val="center"/>
          </w:tcPr>
          <w:p w14:paraId="151AED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工程或费用名称</w:t>
            </w:r>
          </w:p>
        </w:tc>
        <w:tc>
          <w:tcPr>
            <w:tcW w:w="1000" w:type="dxa"/>
            <w:noWrap/>
            <w:vAlign w:val="center"/>
          </w:tcPr>
          <w:p w14:paraId="7DFD8D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单位</w:t>
            </w:r>
          </w:p>
        </w:tc>
        <w:tc>
          <w:tcPr>
            <w:tcW w:w="1283" w:type="dxa"/>
            <w:noWrap/>
            <w:vAlign w:val="center"/>
          </w:tcPr>
          <w:p w14:paraId="0F22D2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工程量</w:t>
            </w:r>
          </w:p>
        </w:tc>
        <w:tc>
          <w:tcPr>
            <w:tcW w:w="1743" w:type="dxa"/>
            <w:noWrap/>
            <w:vAlign w:val="center"/>
          </w:tcPr>
          <w:p w14:paraId="77BCE4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备注</w:t>
            </w:r>
          </w:p>
        </w:tc>
      </w:tr>
      <w:tr w14:paraId="6A72F7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585F73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975" w:type="dxa"/>
            <w:noWrap w:val="0"/>
            <w:vAlign w:val="center"/>
          </w:tcPr>
          <w:p w14:paraId="1B1D26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土方开挖</w:t>
            </w:r>
          </w:p>
        </w:tc>
        <w:tc>
          <w:tcPr>
            <w:tcW w:w="1000" w:type="dxa"/>
            <w:vMerge w:val="restart"/>
            <w:noWrap w:val="0"/>
            <w:vAlign w:val="center"/>
          </w:tcPr>
          <w:p w14:paraId="2411B9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m</w:t>
            </w:r>
            <w:r>
              <w:rPr>
                <w:rFonts w:hint="eastAsia" w:ascii="Arial" w:hAnsi="Arial" w:cs="Arial"/>
                <w:color w:val="auto"/>
                <w:kern w:val="0"/>
                <w:sz w:val="22"/>
                <w:szCs w:val="22"/>
                <w:highlight w:val="none"/>
                <w:vertAlign w:val="superscript"/>
                <w:lang w:val="en-US" w:eastAsia="zh-CN"/>
              </w:rPr>
              <w:t>3</w:t>
            </w:r>
          </w:p>
        </w:tc>
        <w:tc>
          <w:tcPr>
            <w:tcW w:w="1283" w:type="dxa"/>
            <w:noWrap/>
            <w:vAlign w:val="center"/>
          </w:tcPr>
          <w:p w14:paraId="3E45EF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79</w:t>
            </w:r>
          </w:p>
        </w:tc>
        <w:tc>
          <w:tcPr>
            <w:tcW w:w="1743" w:type="dxa"/>
            <w:noWrap/>
            <w:vAlign w:val="center"/>
          </w:tcPr>
          <w:p w14:paraId="1F2C2F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361CDA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5B76B07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975" w:type="dxa"/>
            <w:noWrap w:val="0"/>
            <w:vAlign w:val="center"/>
          </w:tcPr>
          <w:p w14:paraId="308435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围堰土石填筑（利开开挖土石料）</w:t>
            </w:r>
          </w:p>
        </w:tc>
        <w:tc>
          <w:tcPr>
            <w:tcW w:w="1000" w:type="dxa"/>
            <w:vMerge w:val="continue"/>
            <w:noWrap w:val="0"/>
            <w:vAlign w:val="center"/>
          </w:tcPr>
          <w:p w14:paraId="29FB32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ign w:val="center"/>
          </w:tcPr>
          <w:p w14:paraId="146B6C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413</w:t>
            </w:r>
          </w:p>
        </w:tc>
        <w:tc>
          <w:tcPr>
            <w:tcW w:w="1743" w:type="dxa"/>
            <w:noWrap/>
            <w:vAlign w:val="center"/>
          </w:tcPr>
          <w:p w14:paraId="78A3E2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098A2A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87FD5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975" w:type="dxa"/>
            <w:noWrap w:val="0"/>
            <w:vAlign w:val="center"/>
          </w:tcPr>
          <w:p w14:paraId="56F555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粘土编织袋防护（厚0.6m）</w:t>
            </w:r>
          </w:p>
        </w:tc>
        <w:tc>
          <w:tcPr>
            <w:tcW w:w="1000" w:type="dxa"/>
            <w:vMerge w:val="continue"/>
            <w:noWrap w:val="0"/>
            <w:vAlign w:val="center"/>
          </w:tcPr>
          <w:p w14:paraId="5AFD90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ign w:val="center"/>
          </w:tcPr>
          <w:p w14:paraId="014BD2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252</w:t>
            </w:r>
          </w:p>
        </w:tc>
        <w:tc>
          <w:tcPr>
            <w:tcW w:w="1743" w:type="dxa"/>
            <w:noWrap/>
            <w:vAlign w:val="center"/>
          </w:tcPr>
          <w:p w14:paraId="0BB3CF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6CD383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ABFB8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975" w:type="dxa"/>
            <w:noWrap w:val="0"/>
            <w:vAlign w:val="center"/>
          </w:tcPr>
          <w:p w14:paraId="3CAAD3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土工膜防渗（8mm）</w:t>
            </w:r>
          </w:p>
        </w:tc>
        <w:tc>
          <w:tcPr>
            <w:tcW w:w="1000" w:type="dxa"/>
            <w:vMerge w:val="continue"/>
            <w:noWrap w:val="0"/>
            <w:vAlign w:val="center"/>
          </w:tcPr>
          <w:p w14:paraId="1E68A9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ign w:val="center"/>
          </w:tcPr>
          <w:p w14:paraId="615BC1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231</w:t>
            </w:r>
          </w:p>
        </w:tc>
        <w:tc>
          <w:tcPr>
            <w:tcW w:w="1743" w:type="dxa"/>
            <w:noWrap/>
            <w:vAlign w:val="center"/>
          </w:tcPr>
          <w:p w14:paraId="38CAC5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3A2A33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0C79C6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975" w:type="dxa"/>
            <w:noWrap w:val="0"/>
            <w:vAlign w:val="center"/>
          </w:tcPr>
          <w:p w14:paraId="1E3FC3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围堰拆除</w:t>
            </w:r>
          </w:p>
        </w:tc>
        <w:tc>
          <w:tcPr>
            <w:tcW w:w="1000" w:type="dxa"/>
            <w:vMerge w:val="continue"/>
            <w:noWrap w:val="0"/>
            <w:vAlign w:val="center"/>
          </w:tcPr>
          <w:p w14:paraId="543EA9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0"/>
            <w:vAlign w:val="center"/>
          </w:tcPr>
          <w:p w14:paraId="4ED214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666</w:t>
            </w:r>
          </w:p>
        </w:tc>
        <w:tc>
          <w:tcPr>
            <w:tcW w:w="1743" w:type="dxa"/>
            <w:noWrap w:val="0"/>
            <w:vAlign w:val="center"/>
          </w:tcPr>
          <w:p w14:paraId="46F313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6A0A3F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60574B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3975" w:type="dxa"/>
            <w:noWrap w:val="0"/>
            <w:vAlign w:val="center"/>
          </w:tcPr>
          <w:p w14:paraId="09416F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DN1000 C25钢筋砼管（Ⅲ级管）</w:t>
            </w:r>
          </w:p>
        </w:tc>
        <w:tc>
          <w:tcPr>
            <w:tcW w:w="1000" w:type="dxa"/>
            <w:vMerge w:val="restart"/>
            <w:noWrap w:val="0"/>
            <w:vAlign w:val="center"/>
          </w:tcPr>
          <w:p w14:paraId="46D6DE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m</w:t>
            </w:r>
          </w:p>
        </w:tc>
        <w:tc>
          <w:tcPr>
            <w:tcW w:w="1283" w:type="dxa"/>
            <w:noWrap w:val="0"/>
            <w:vAlign w:val="center"/>
          </w:tcPr>
          <w:p w14:paraId="5EBE2B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232</w:t>
            </w:r>
          </w:p>
        </w:tc>
        <w:tc>
          <w:tcPr>
            <w:tcW w:w="1743" w:type="dxa"/>
            <w:noWrap w:val="0"/>
            <w:vAlign w:val="center"/>
          </w:tcPr>
          <w:p w14:paraId="03CCDB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6C29F9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5E6B5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w:t>
            </w:r>
          </w:p>
        </w:tc>
        <w:tc>
          <w:tcPr>
            <w:tcW w:w="3975" w:type="dxa"/>
            <w:noWrap w:val="0"/>
            <w:vAlign w:val="center"/>
          </w:tcPr>
          <w:p w14:paraId="273890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D1000钢管（壁厚8mm）</w:t>
            </w:r>
          </w:p>
        </w:tc>
        <w:tc>
          <w:tcPr>
            <w:tcW w:w="1000" w:type="dxa"/>
            <w:vMerge w:val="continue"/>
            <w:noWrap w:val="0"/>
            <w:vAlign w:val="center"/>
          </w:tcPr>
          <w:p w14:paraId="55B024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0"/>
            <w:vAlign w:val="center"/>
          </w:tcPr>
          <w:p w14:paraId="11CF80B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50</w:t>
            </w:r>
          </w:p>
        </w:tc>
        <w:tc>
          <w:tcPr>
            <w:tcW w:w="1743" w:type="dxa"/>
            <w:noWrap w:val="0"/>
            <w:vAlign w:val="center"/>
          </w:tcPr>
          <w:p w14:paraId="76F139D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29D1DD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B1C02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c>
          <w:tcPr>
            <w:tcW w:w="3975" w:type="dxa"/>
            <w:noWrap w:val="0"/>
            <w:vAlign w:val="center"/>
          </w:tcPr>
          <w:p w14:paraId="2F8E1B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D1000钢管（壁厚8mm）拆除</w:t>
            </w:r>
          </w:p>
        </w:tc>
        <w:tc>
          <w:tcPr>
            <w:tcW w:w="1000" w:type="dxa"/>
            <w:vMerge w:val="continue"/>
            <w:noWrap w:val="0"/>
            <w:vAlign w:val="center"/>
          </w:tcPr>
          <w:p w14:paraId="36879D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0"/>
            <w:vAlign w:val="center"/>
          </w:tcPr>
          <w:p w14:paraId="52B370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lang w:val="en-US" w:eastAsia="zh-CN"/>
              </w:rPr>
              <w:t>50</w:t>
            </w:r>
          </w:p>
        </w:tc>
        <w:tc>
          <w:tcPr>
            <w:tcW w:w="1743" w:type="dxa"/>
            <w:noWrap w:val="0"/>
            <w:vAlign w:val="center"/>
          </w:tcPr>
          <w:p w14:paraId="368A9B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331005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239DC8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9</w:t>
            </w:r>
          </w:p>
        </w:tc>
        <w:tc>
          <w:tcPr>
            <w:tcW w:w="3975" w:type="dxa"/>
            <w:noWrap w:val="0"/>
            <w:vAlign w:val="center"/>
          </w:tcPr>
          <w:p w14:paraId="309B0E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D1000钢管（壁厚8mm）</w:t>
            </w:r>
          </w:p>
        </w:tc>
        <w:tc>
          <w:tcPr>
            <w:tcW w:w="1000" w:type="dxa"/>
            <w:vMerge w:val="continue"/>
            <w:noWrap w:val="0"/>
            <w:vAlign w:val="center"/>
          </w:tcPr>
          <w:p w14:paraId="645AA88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0"/>
            <w:vAlign w:val="center"/>
          </w:tcPr>
          <w:p w14:paraId="022057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lang w:val="en-US"/>
              </w:rPr>
            </w:pPr>
            <w:r>
              <w:rPr>
                <w:rFonts w:hint="default" w:ascii="Arial" w:hAnsi="Arial" w:cs="Arial"/>
                <w:color w:val="auto"/>
                <w:kern w:val="0"/>
                <w:sz w:val="22"/>
                <w:szCs w:val="22"/>
                <w:highlight w:val="none"/>
                <w:lang w:val="en-US" w:eastAsia="zh-CN"/>
              </w:rPr>
              <w:t>89</w:t>
            </w:r>
          </w:p>
        </w:tc>
        <w:tc>
          <w:tcPr>
            <w:tcW w:w="1743" w:type="dxa"/>
            <w:noWrap w:val="0"/>
            <w:vAlign w:val="center"/>
          </w:tcPr>
          <w:p w14:paraId="64202E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纳入永久工程</w:t>
            </w:r>
          </w:p>
        </w:tc>
      </w:tr>
    </w:tbl>
    <w:p w14:paraId="1AF96FD3">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lang w:val="en-US" w:eastAsia="zh-CN"/>
        </w:rPr>
      </w:pPr>
    </w:p>
    <w:p w14:paraId="30E17A2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2.2-11 海螺沟水库输水工程导流工程量汇总表</w:t>
      </w:r>
    </w:p>
    <w:tbl>
      <w:tblPr>
        <w:tblStyle w:val="7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92"/>
        <w:gridCol w:w="4667"/>
        <w:gridCol w:w="1174"/>
        <w:gridCol w:w="1506"/>
      </w:tblGrid>
      <w:tr w14:paraId="4F9FC2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tblHeader/>
          <w:jc w:val="center"/>
        </w:trPr>
        <w:tc>
          <w:tcPr>
            <w:tcW w:w="992" w:type="dxa"/>
            <w:noWrap/>
            <w:vAlign w:val="center"/>
          </w:tcPr>
          <w:p w14:paraId="37D542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序号</w:t>
            </w:r>
          </w:p>
        </w:tc>
        <w:tc>
          <w:tcPr>
            <w:tcW w:w="4667" w:type="dxa"/>
            <w:noWrap/>
            <w:vAlign w:val="center"/>
          </w:tcPr>
          <w:p w14:paraId="2BEDF8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工程或费用名称</w:t>
            </w:r>
          </w:p>
        </w:tc>
        <w:tc>
          <w:tcPr>
            <w:tcW w:w="1174" w:type="dxa"/>
            <w:noWrap/>
            <w:vAlign w:val="center"/>
          </w:tcPr>
          <w:p w14:paraId="68ECE5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单位</w:t>
            </w:r>
          </w:p>
        </w:tc>
        <w:tc>
          <w:tcPr>
            <w:tcW w:w="1506" w:type="dxa"/>
            <w:noWrap/>
            <w:vAlign w:val="center"/>
          </w:tcPr>
          <w:p w14:paraId="4A07CF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工程量</w:t>
            </w:r>
          </w:p>
        </w:tc>
      </w:tr>
      <w:tr w14:paraId="7B9501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736A9A1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4667" w:type="dxa"/>
            <w:noWrap w:val="0"/>
            <w:vAlign w:val="center"/>
          </w:tcPr>
          <w:p w14:paraId="09B976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土方开挖</w:t>
            </w:r>
          </w:p>
        </w:tc>
        <w:tc>
          <w:tcPr>
            <w:tcW w:w="1174" w:type="dxa"/>
            <w:vMerge w:val="restart"/>
            <w:noWrap w:val="0"/>
            <w:vAlign w:val="center"/>
          </w:tcPr>
          <w:p w14:paraId="64EAE8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val="en-US" w:eastAsia="zh-CN"/>
              </w:rPr>
              <w:t>m</w:t>
            </w:r>
            <w:r>
              <w:rPr>
                <w:rFonts w:hint="eastAsia" w:ascii="Arial" w:hAnsi="Arial" w:cs="Arial"/>
                <w:color w:val="auto"/>
                <w:kern w:val="0"/>
                <w:sz w:val="22"/>
                <w:szCs w:val="22"/>
                <w:highlight w:val="none"/>
                <w:vertAlign w:val="superscript"/>
                <w:lang w:val="en-US" w:eastAsia="zh-CN"/>
              </w:rPr>
              <w:t>3</w:t>
            </w:r>
          </w:p>
        </w:tc>
        <w:tc>
          <w:tcPr>
            <w:tcW w:w="1506" w:type="dxa"/>
            <w:noWrap/>
            <w:vAlign w:val="center"/>
          </w:tcPr>
          <w:p w14:paraId="0F056B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158</w:t>
            </w:r>
          </w:p>
        </w:tc>
      </w:tr>
      <w:tr w14:paraId="43B278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0BF4B6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4667" w:type="dxa"/>
            <w:noWrap w:val="0"/>
            <w:vAlign w:val="center"/>
          </w:tcPr>
          <w:p w14:paraId="095A0D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围堰土石填筑（利开开挖土石料）</w:t>
            </w:r>
          </w:p>
        </w:tc>
        <w:tc>
          <w:tcPr>
            <w:tcW w:w="1174" w:type="dxa"/>
            <w:vMerge w:val="continue"/>
            <w:noWrap w:val="0"/>
            <w:vAlign w:val="center"/>
          </w:tcPr>
          <w:p w14:paraId="3AB072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506" w:type="dxa"/>
            <w:noWrap/>
            <w:vAlign w:val="center"/>
          </w:tcPr>
          <w:p w14:paraId="6631E9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487</w:t>
            </w:r>
          </w:p>
        </w:tc>
      </w:tr>
      <w:tr w14:paraId="449BFD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58784C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4667" w:type="dxa"/>
            <w:noWrap w:val="0"/>
            <w:vAlign w:val="center"/>
          </w:tcPr>
          <w:p w14:paraId="77F47C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粘土编织袋防护（厚0.6m）</w:t>
            </w:r>
          </w:p>
        </w:tc>
        <w:tc>
          <w:tcPr>
            <w:tcW w:w="1174" w:type="dxa"/>
            <w:vMerge w:val="continue"/>
            <w:noWrap w:val="0"/>
            <w:vAlign w:val="center"/>
          </w:tcPr>
          <w:p w14:paraId="31C429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506" w:type="dxa"/>
            <w:noWrap/>
            <w:vAlign w:val="center"/>
          </w:tcPr>
          <w:p w14:paraId="27BD7C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208</w:t>
            </w:r>
          </w:p>
        </w:tc>
      </w:tr>
      <w:tr w14:paraId="55BA12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11E188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4667" w:type="dxa"/>
            <w:noWrap w:val="0"/>
            <w:vAlign w:val="center"/>
          </w:tcPr>
          <w:p w14:paraId="308161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土工膜防渗（8mm）</w:t>
            </w:r>
          </w:p>
        </w:tc>
        <w:tc>
          <w:tcPr>
            <w:tcW w:w="1174" w:type="dxa"/>
            <w:vMerge w:val="continue"/>
            <w:noWrap w:val="0"/>
            <w:vAlign w:val="center"/>
          </w:tcPr>
          <w:p w14:paraId="2ED1A3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506" w:type="dxa"/>
            <w:noWrap/>
            <w:vAlign w:val="center"/>
          </w:tcPr>
          <w:p w14:paraId="1B4AB7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336</w:t>
            </w:r>
          </w:p>
        </w:tc>
      </w:tr>
      <w:tr w14:paraId="5BA170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520189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4667" w:type="dxa"/>
            <w:noWrap w:val="0"/>
            <w:vAlign w:val="center"/>
          </w:tcPr>
          <w:p w14:paraId="727AF7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围堰拆除</w:t>
            </w:r>
          </w:p>
        </w:tc>
        <w:tc>
          <w:tcPr>
            <w:tcW w:w="1174" w:type="dxa"/>
            <w:vMerge w:val="continue"/>
            <w:noWrap w:val="0"/>
            <w:vAlign w:val="center"/>
          </w:tcPr>
          <w:p w14:paraId="482016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506" w:type="dxa"/>
            <w:noWrap w:val="0"/>
            <w:vAlign w:val="center"/>
          </w:tcPr>
          <w:p w14:paraId="7D9031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695</w:t>
            </w:r>
          </w:p>
        </w:tc>
      </w:tr>
      <w:tr w14:paraId="389071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1BA9BC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4667" w:type="dxa"/>
            <w:noWrap w:val="0"/>
            <w:vAlign w:val="center"/>
          </w:tcPr>
          <w:p w14:paraId="7E45E6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DN400 C25钢筋砼管（Ⅲ级管）</w:t>
            </w:r>
          </w:p>
        </w:tc>
        <w:tc>
          <w:tcPr>
            <w:tcW w:w="1174" w:type="dxa"/>
            <w:vMerge w:val="restart"/>
            <w:noWrap w:val="0"/>
            <w:vAlign w:val="center"/>
          </w:tcPr>
          <w:p w14:paraId="1A03A0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m</w:t>
            </w:r>
          </w:p>
        </w:tc>
        <w:tc>
          <w:tcPr>
            <w:tcW w:w="1506" w:type="dxa"/>
            <w:noWrap w:val="0"/>
            <w:vAlign w:val="center"/>
          </w:tcPr>
          <w:p w14:paraId="06101F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45</w:t>
            </w:r>
          </w:p>
        </w:tc>
      </w:tr>
      <w:tr w14:paraId="592704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0212D5D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7</w:t>
            </w:r>
          </w:p>
        </w:tc>
        <w:tc>
          <w:tcPr>
            <w:tcW w:w="4667" w:type="dxa"/>
            <w:noWrap w:val="0"/>
            <w:vAlign w:val="center"/>
          </w:tcPr>
          <w:p w14:paraId="407DA7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DN600 C25钢筋砼管（Ⅲ级管）</w:t>
            </w:r>
          </w:p>
        </w:tc>
        <w:tc>
          <w:tcPr>
            <w:tcW w:w="1174" w:type="dxa"/>
            <w:vMerge w:val="continue"/>
            <w:noWrap w:val="0"/>
            <w:vAlign w:val="center"/>
          </w:tcPr>
          <w:p w14:paraId="705948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p>
        </w:tc>
        <w:tc>
          <w:tcPr>
            <w:tcW w:w="1506" w:type="dxa"/>
            <w:noWrap w:val="0"/>
            <w:vAlign w:val="center"/>
          </w:tcPr>
          <w:p w14:paraId="6A7683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20</w:t>
            </w:r>
          </w:p>
        </w:tc>
      </w:tr>
      <w:tr w14:paraId="5B0963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50BC4B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8</w:t>
            </w:r>
          </w:p>
        </w:tc>
        <w:tc>
          <w:tcPr>
            <w:tcW w:w="4667" w:type="dxa"/>
            <w:noWrap w:val="0"/>
            <w:vAlign w:val="center"/>
          </w:tcPr>
          <w:p w14:paraId="71D2FE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DN800 C25钢筋砼管（Ⅲ级管）</w:t>
            </w:r>
          </w:p>
        </w:tc>
        <w:tc>
          <w:tcPr>
            <w:tcW w:w="1174" w:type="dxa"/>
            <w:vMerge w:val="continue"/>
            <w:noWrap w:val="0"/>
            <w:vAlign w:val="center"/>
          </w:tcPr>
          <w:p w14:paraId="5D5292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p>
        </w:tc>
        <w:tc>
          <w:tcPr>
            <w:tcW w:w="1506" w:type="dxa"/>
            <w:noWrap w:val="0"/>
            <w:vAlign w:val="center"/>
          </w:tcPr>
          <w:p w14:paraId="06C43E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45</w:t>
            </w:r>
          </w:p>
        </w:tc>
      </w:tr>
      <w:tr w14:paraId="5FCB92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6" w:hRule="exact"/>
          <w:jc w:val="center"/>
        </w:trPr>
        <w:tc>
          <w:tcPr>
            <w:tcW w:w="992" w:type="dxa"/>
            <w:noWrap w:val="0"/>
            <w:vAlign w:val="center"/>
          </w:tcPr>
          <w:p w14:paraId="66AE92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9</w:t>
            </w:r>
          </w:p>
        </w:tc>
        <w:tc>
          <w:tcPr>
            <w:tcW w:w="4667" w:type="dxa"/>
            <w:noWrap w:val="0"/>
            <w:vAlign w:val="center"/>
          </w:tcPr>
          <w:p w14:paraId="78D73C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DN1000 C25钢筋砼管（Ⅲ级管）</w:t>
            </w:r>
          </w:p>
        </w:tc>
        <w:tc>
          <w:tcPr>
            <w:tcW w:w="1174" w:type="dxa"/>
            <w:vMerge w:val="continue"/>
            <w:noWrap w:val="0"/>
            <w:vAlign w:val="center"/>
          </w:tcPr>
          <w:p w14:paraId="24A5BD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p>
        </w:tc>
        <w:tc>
          <w:tcPr>
            <w:tcW w:w="1506" w:type="dxa"/>
            <w:noWrap w:val="0"/>
            <w:vAlign w:val="center"/>
          </w:tcPr>
          <w:p w14:paraId="31743D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95</w:t>
            </w:r>
          </w:p>
        </w:tc>
      </w:tr>
    </w:tbl>
    <w:p w14:paraId="25F3639E">
      <w:pPr>
        <w:keepNext w:val="0"/>
        <w:keepLines w:val="0"/>
        <w:pageBreakBefore w:val="0"/>
        <w:widowControl w:val="0"/>
        <w:kinsoku/>
        <w:wordWrap/>
        <w:overflowPunct/>
        <w:topLinePunct w:val="0"/>
        <w:autoSpaceDE/>
        <w:autoSpaceDN/>
        <w:bidi w:val="0"/>
        <w:adjustRightInd/>
        <w:snapToGrid/>
        <w:spacing w:line="240" w:lineRule="exact"/>
        <w:ind w:firstLine="392" w:firstLineChars="150"/>
        <w:textAlignment w:val="auto"/>
        <w:rPr>
          <w:rFonts w:hint="eastAsia" w:ascii="Arial" w:cs="Arial"/>
          <w:b/>
          <w:color w:val="auto"/>
          <w:sz w:val="26"/>
          <w:szCs w:val="26"/>
          <w:lang w:eastAsia="zh-CN"/>
        </w:rPr>
      </w:pPr>
    </w:p>
    <w:p w14:paraId="101BDCDE">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3）施工便道</w:t>
      </w:r>
    </w:p>
    <w:p w14:paraId="3232AB3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cs="Arial"/>
          <w:b/>
          <w:color w:val="auto"/>
          <w:sz w:val="26"/>
          <w:szCs w:val="26"/>
          <w:lang w:val="en-US" w:eastAsia="zh-CN"/>
        </w:rPr>
      </w:pPr>
      <w:r>
        <w:rPr>
          <w:rFonts w:hint="default" w:ascii="Arial" w:cs="Arial"/>
          <w:b/>
          <w:color w:val="auto"/>
          <w:sz w:val="26"/>
          <w:szCs w:val="26"/>
          <w:lang w:eastAsia="zh-CN"/>
        </w:rPr>
        <w:t>①</w:t>
      </w:r>
      <w:r>
        <w:rPr>
          <w:rFonts w:hint="eastAsia" w:ascii="Arial" w:cs="Arial"/>
          <w:b/>
          <w:color w:val="auto"/>
          <w:sz w:val="26"/>
          <w:szCs w:val="26"/>
          <w:lang w:val="en-US" w:eastAsia="zh-CN"/>
        </w:rPr>
        <w:t xml:space="preserve"> 枢纽工程</w:t>
      </w:r>
    </w:p>
    <w:p w14:paraId="42E4450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cs="Arial"/>
          <w:sz w:val="26"/>
          <w:szCs w:val="26"/>
          <w:lang w:eastAsia="zh-CN"/>
        </w:rPr>
        <w:t>根据项目初设报告，本项目枢纽工程施工区需新建施工便道</w:t>
      </w:r>
      <w:r>
        <w:rPr>
          <w:rFonts w:hint="eastAsia" w:ascii="Arial" w:hAnsi="Arial" w:cs="Arial"/>
          <w:sz w:val="26"/>
          <w:szCs w:val="26"/>
          <w:lang w:val="en-US" w:eastAsia="zh-CN"/>
        </w:rPr>
        <w:t>2条，1#施工便道长0.78km，由库尾现状公路连接施工场地；2#施工便道长0.43km，由项目施工场地连接枢纽工程施工区；以便于物料、人员的输送。施工便道路路面宽度4.5~5m，采取30</w:t>
      </w:r>
      <w:r>
        <w:rPr>
          <w:rFonts w:hint="eastAsia" w:ascii="Arial" w:hAnsi="Arial" w:cs="Arial"/>
          <w:sz w:val="26"/>
          <w:szCs w:val="26"/>
          <w:lang w:eastAsia="zh-CN"/>
        </w:rPr>
        <w:t>cm厚</w:t>
      </w:r>
      <w:r>
        <w:rPr>
          <w:rFonts w:hint="eastAsia" w:ascii="Arial" w:hAnsi="Arial" w:cs="Arial"/>
          <w:sz w:val="26"/>
          <w:szCs w:val="26"/>
          <w:lang w:val="en-US" w:eastAsia="zh-CN"/>
        </w:rPr>
        <w:t>干砌片石基础+</w:t>
      </w:r>
      <w:r>
        <w:rPr>
          <w:rFonts w:hint="eastAsia" w:ascii="Arial" w:hAnsi="Arial" w:cs="Arial"/>
          <w:sz w:val="26"/>
          <w:szCs w:val="26"/>
          <w:lang w:eastAsia="zh-CN"/>
        </w:rPr>
        <w:t>15cm厚碎石垫层+15cm厚泥结石路面结构。</w:t>
      </w:r>
    </w:p>
    <w:p w14:paraId="3499F85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default" w:ascii="Arial" w:hAnsi="Times New Roman" w:cs="Arial"/>
          <w:b/>
          <w:color w:val="auto"/>
          <w:sz w:val="26"/>
          <w:szCs w:val="26"/>
          <w:lang w:eastAsia="zh-CN"/>
        </w:rPr>
        <w:t>②</w:t>
      </w:r>
      <w:r>
        <w:rPr>
          <w:rFonts w:hint="eastAsia" w:ascii="Arial" w:hAnsi="Times New Roman" w:cs="Arial"/>
          <w:b/>
          <w:color w:val="auto"/>
          <w:sz w:val="26"/>
          <w:szCs w:val="26"/>
          <w:lang w:val="en-US" w:eastAsia="zh-CN"/>
        </w:rPr>
        <w:t xml:space="preserve"> 输水工程</w:t>
      </w:r>
    </w:p>
    <w:p w14:paraId="08273E2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eastAsia="zh-CN"/>
        </w:rPr>
        <w:t>根据项目初设报告，本项目输水工程施工区需新建施工便道</w:t>
      </w:r>
      <w:r>
        <w:rPr>
          <w:rFonts w:hint="eastAsia" w:ascii="Arial" w:hAnsi="Arial" w:cs="Arial"/>
          <w:sz w:val="26"/>
          <w:szCs w:val="26"/>
          <w:lang w:val="en-US" w:eastAsia="zh-CN"/>
        </w:rPr>
        <w:t>1条，长0.44km，由大坝枢纽沿双龙干线输水管线建设，接下游已建农村道路。施工便道路路面宽度3m，采取20cm厚C20砼路面结构，下设15cm厚碎石基层。</w:t>
      </w:r>
    </w:p>
    <w:p w14:paraId="4C0EEDF9">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highlight w:val="none"/>
          <w:lang w:val="en-US" w:eastAsia="zh-CN"/>
        </w:rPr>
      </w:pPr>
      <w:r>
        <w:rPr>
          <w:rFonts w:hint="eastAsia" w:ascii="Arial" w:hAnsi="Times New Roman" w:cs="Arial"/>
          <w:b/>
          <w:color w:val="auto"/>
          <w:sz w:val="26"/>
          <w:szCs w:val="26"/>
          <w:highlight w:val="none"/>
          <w:lang w:eastAsia="zh-CN"/>
        </w:rPr>
        <w:t>③</w:t>
      </w:r>
      <w:r>
        <w:rPr>
          <w:rFonts w:hint="eastAsia" w:ascii="Arial" w:hAnsi="Times New Roman" w:cs="Arial"/>
          <w:b/>
          <w:color w:val="auto"/>
          <w:sz w:val="26"/>
          <w:szCs w:val="26"/>
          <w:highlight w:val="none"/>
          <w:lang w:val="en-US" w:eastAsia="zh-CN"/>
        </w:rPr>
        <w:t xml:space="preserve"> 弃渣场</w:t>
      </w:r>
    </w:p>
    <w:p w14:paraId="2C088D2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highlight w:val="none"/>
          <w:lang w:eastAsia="zh-CN"/>
        </w:rPr>
        <w:t>根据项目初设报告，本项目弃渣场需新建施工便道</w:t>
      </w:r>
      <w:r>
        <w:rPr>
          <w:rFonts w:hint="eastAsia" w:ascii="Arial" w:hAnsi="Arial" w:cs="Arial"/>
          <w:sz w:val="26"/>
          <w:szCs w:val="26"/>
          <w:highlight w:val="none"/>
          <w:lang w:val="en-US" w:eastAsia="zh-CN"/>
        </w:rPr>
        <w:t>1条，长0.4km，由现状农村公路连接挡渣墙，以便于施工弃渣的分层堆存夯实。</w:t>
      </w:r>
      <w:r>
        <w:rPr>
          <w:rFonts w:hint="eastAsia" w:ascii="Arial" w:hAnsi="Arial" w:cs="Arial"/>
          <w:sz w:val="26"/>
          <w:szCs w:val="26"/>
          <w:lang w:val="en-US" w:eastAsia="zh-CN"/>
        </w:rPr>
        <w:t>施工便道路路面宽度4.5m，采取20cm厚C20砼路面结构，下设15cm厚碎石基层。</w:t>
      </w:r>
    </w:p>
    <w:p w14:paraId="6DEDB13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highlight w:val="none"/>
          <w:lang w:val="en-US" w:eastAsia="zh-CN"/>
        </w:rPr>
      </w:pPr>
      <w:r>
        <w:rPr>
          <w:rFonts w:hint="eastAsia" w:ascii="Arial" w:hAnsi="Times New Roman" w:cs="Arial"/>
          <w:b/>
          <w:color w:val="auto"/>
          <w:sz w:val="26"/>
          <w:szCs w:val="26"/>
          <w:highlight w:val="none"/>
          <w:lang w:val="en-US" w:eastAsia="zh-CN"/>
        </w:rPr>
        <w:t>④ 小结</w:t>
      </w:r>
    </w:p>
    <w:p w14:paraId="2773F36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highlight w:val="none"/>
          <w:lang w:val="en-US" w:eastAsia="zh-CN"/>
        </w:rPr>
      </w:pPr>
      <w:r>
        <w:rPr>
          <w:rFonts w:hint="eastAsia" w:ascii="Arial" w:hAnsi="Arial" w:cs="Arial"/>
          <w:sz w:val="26"/>
          <w:szCs w:val="26"/>
          <w:highlight w:val="none"/>
          <w:lang w:val="en-US" w:eastAsia="zh-CN"/>
        </w:rPr>
        <w:t>本项目施工期施工便道建设情况汇总详见表2.2-12所示。</w:t>
      </w:r>
    </w:p>
    <w:p w14:paraId="150DC21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2.2-12 海螺沟水库施工便道建设情况汇总表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945"/>
        <w:gridCol w:w="970"/>
        <w:gridCol w:w="886"/>
        <w:gridCol w:w="938"/>
        <w:gridCol w:w="1716"/>
        <w:gridCol w:w="1996"/>
      </w:tblGrid>
      <w:tr w14:paraId="2CA5D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7" w:hRule="exact"/>
          <w:jc w:val="center"/>
        </w:trPr>
        <w:tc>
          <w:tcPr>
            <w:tcW w:w="1362" w:type="dxa"/>
            <w:noWrap/>
            <w:vAlign w:val="center"/>
          </w:tcPr>
          <w:p w14:paraId="3CD25B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道路名称</w:t>
            </w:r>
          </w:p>
        </w:tc>
        <w:tc>
          <w:tcPr>
            <w:tcW w:w="945" w:type="dxa"/>
            <w:noWrap/>
            <w:vAlign w:val="center"/>
          </w:tcPr>
          <w:p w14:paraId="3E297B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长度</w:t>
            </w:r>
            <w:r>
              <w:rPr>
                <w:rFonts w:hint="eastAsia" w:ascii="宋体" w:hAnsi="宋体" w:eastAsia="宋体" w:cs="宋体"/>
                <w:color w:val="auto"/>
                <w:kern w:val="0"/>
                <w:sz w:val="22"/>
                <w:szCs w:val="22"/>
                <w:highlight w:val="none"/>
              </w:rPr>
              <w:t>(</w:t>
            </w:r>
            <w:r>
              <w:rPr>
                <w:rFonts w:hint="default" w:ascii="Arial" w:hAnsi="Arial" w:cs="Arial"/>
                <w:color w:val="auto"/>
                <w:kern w:val="0"/>
                <w:sz w:val="22"/>
                <w:szCs w:val="22"/>
                <w:highlight w:val="none"/>
              </w:rPr>
              <w:t>km</w:t>
            </w:r>
            <w:r>
              <w:rPr>
                <w:rFonts w:hint="eastAsia" w:ascii="宋体" w:hAnsi="宋体" w:eastAsia="宋体" w:cs="宋体"/>
                <w:color w:val="auto"/>
                <w:kern w:val="0"/>
                <w:sz w:val="22"/>
                <w:szCs w:val="22"/>
                <w:highlight w:val="none"/>
              </w:rPr>
              <w:t>)</w:t>
            </w:r>
          </w:p>
        </w:tc>
        <w:tc>
          <w:tcPr>
            <w:tcW w:w="970" w:type="dxa"/>
            <w:noWrap/>
            <w:vAlign w:val="center"/>
          </w:tcPr>
          <w:p w14:paraId="266135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路面宽</w:t>
            </w:r>
            <w:r>
              <w:rPr>
                <w:rFonts w:hint="eastAsia" w:ascii="宋体" w:hAnsi="宋体" w:eastAsia="宋体" w:cs="宋体"/>
                <w:color w:val="auto"/>
                <w:kern w:val="0"/>
                <w:sz w:val="22"/>
                <w:szCs w:val="22"/>
                <w:highlight w:val="none"/>
              </w:rPr>
              <w:t>(</w:t>
            </w:r>
            <w:r>
              <w:rPr>
                <w:rFonts w:hint="default" w:ascii="Arial" w:hAnsi="Arial" w:cs="Arial"/>
                <w:color w:val="auto"/>
                <w:kern w:val="0"/>
                <w:sz w:val="22"/>
                <w:szCs w:val="22"/>
                <w:highlight w:val="none"/>
              </w:rPr>
              <w:t>m</w:t>
            </w:r>
            <w:r>
              <w:rPr>
                <w:rFonts w:hint="eastAsia" w:ascii="宋体" w:hAnsi="宋体" w:eastAsia="宋体" w:cs="宋体"/>
                <w:color w:val="auto"/>
                <w:kern w:val="0"/>
                <w:sz w:val="22"/>
                <w:szCs w:val="22"/>
                <w:highlight w:val="none"/>
              </w:rPr>
              <w:t>)</w:t>
            </w:r>
          </w:p>
        </w:tc>
        <w:tc>
          <w:tcPr>
            <w:tcW w:w="886" w:type="dxa"/>
            <w:noWrap/>
            <w:vAlign w:val="center"/>
          </w:tcPr>
          <w:p w14:paraId="700328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路基宽</w:t>
            </w:r>
            <w:r>
              <w:rPr>
                <w:rFonts w:hint="eastAsia" w:ascii="宋体" w:hAnsi="宋体" w:eastAsia="宋体" w:cs="宋体"/>
                <w:color w:val="auto"/>
                <w:kern w:val="0"/>
                <w:sz w:val="22"/>
                <w:szCs w:val="22"/>
                <w:highlight w:val="none"/>
              </w:rPr>
              <w:t>(</w:t>
            </w:r>
            <w:r>
              <w:rPr>
                <w:rFonts w:hint="default" w:ascii="Arial" w:hAnsi="Arial" w:cs="Arial"/>
                <w:color w:val="auto"/>
                <w:kern w:val="0"/>
                <w:sz w:val="22"/>
                <w:szCs w:val="22"/>
                <w:highlight w:val="none"/>
              </w:rPr>
              <w:t>m</w:t>
            </w:r>
            <w:r>
              <w:rPr>
                <w:rFonts w:hint="eastAsia" w:ascii="宋体" w:hAnsi="宋体" w:eastAsia="宋体" w:cs="宋体"/>
                <w:color w:val="auto"/>
                <w:kern w:val="0"/>
                <w:sz w:val="22"/>
                <w:szCs w:val="22"/>
                <w:highlight w:val="none"/>
              </w:rPr>
              <w:t>)</w:t>
            </w:r>
          </w:p>
        </w:tc>
        <w:tc>
          <w:tcPr>
            <w:tcW w:w="938" w:type="dxa"/>
            <w:noWrap/>
            <w:vAlign w:val="center"/>
          </w:tcPr>
          <w:p w14:paraId="4923C9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路面</w:t>
            </w:r>
          </w:p>
          <w:p w14:paraId="024B7B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形式</w:t>
            </w:r>
          </w:p>
        </w:tc>
        <w:tc>
          <w:tcPr>
            <w:tcW w:w="1716" w:type="dxa"/>
            <w:noWrap/>
            <w:vAlign w:val="center"/>
          </w:tcPr>
          <w:p w14:paraId="6F10A3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道路高程</w:t>
            </w:r>
          </w:p>
        </w:tc>
        <w:tc>
          <w:tcPr>
            <w:tcW w:w="1996" w:type="dxa"/>
            <w:noWrap/>
            <w:vAlign w:val="center"/>
          </w:tcPr>
          <w:p w14:paraId="385E5E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备注</w:t>
            </w:r>
          </w:p>
        </w:tc>
      </w:tr>
      <w:tr w14:paraId="73DD5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8813" w:type="dxa"/>
            <w:gridSpan w:val="7"/>
            <w:noWrap/>
            <w:vAlign w:val="center"/>
          </w:tcPr>
          <w:p w14:paraId="400FA7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枢纽工程</w:t>
            </w:r>
          </w:p>
        </w:tc>
      </w:tr>
      <w:tr w14:paraId="4CC66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1362" w:type="dxa"/>
            <w:noWrap/>
            <w:vAlign w:val="center"/>
          </w:tcPr>
          <w:p w14:paraId="01EAC1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1#临时道路</w:t>
            </w:r>
          </w:p>
        </w:tc>
        <w:tc>
          <w:tcPr>
            <w:tcW w:w="945" w:type="dxa"/>
            <w:noWrap/>
            <w:vAlign w:val="center"/>
          </w:tcPr>
          <w:p w14:paraId="43CDFC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0.78</w:t>
            </w:r>
          </w:p>
        </w:tc>
        <w:tc>
          <w:tcPr>
            <w:tcW w:w="970" w:type="dxa"/>
            <w:noWrap/>
            <w:vAlign w:val="center"/>
          </w:tcPr>
          <w:p w14:paraId="50CFC5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5.5</w:t>
            </w:r>
          </w:p>
        </w:tc>
        <w:tc>
          <w:tcPr>
            <w:tcW w:w="886" w:type="dxa"/>
            <w:noWrap/>
            <w:vAlign w:val="center"/>
          </w:tcPr>
          <w:p w14:paraId="11E300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4.5</w:t>
            </w:r>
          </w:p>
        </w:tc>
        <w:tc>
          <w:tcPr>
            <w:tcW w:w="938" w:type="dxa"/>
            <w:noWrap/>
            <w:vAlign w:val="center"/>
          </w:tcPr>
          <w:p w14:paraId="7E082B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泥结石</w:t>
            </w:r>
          </w:p>
        </w:tc>
        <w:tc>
          <w:tcPr>
            <w:tcW w:w="1716" w:type="dxa"/>
            <w:noWrap/>
            <w:vAlign w:val="center"/>
          </w:tcPr>
          <w:p w14:paraId="6C64E6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449.80~404.00</w:t>
            </w:r>
          </w:p>
        </w:tc>
        <w:tc>
          <w:tcPr>
            <w:tcW w:w="1996" w:type="dxa"/>
            <w:noWrap/>
            <w:vAlign w:val="center"/>
          </w:tcPr>
          <w:p w14:paraId="721197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库尾至施工场地</w:t>
            </w:r>
          </w:p>
        </w:tc>
      </w:tr>
      <w:tr w14:paraId="3E032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362" w:type="dxa"/>
            <w:noWrap/>
            <w:vAlign w:val="center"/>
          </w:tcPr>
          <w:p w14:paraId="247091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2#临时道路</w:t>
            </w:r>
          </w:p>
        </w:tc>
        <w:tc>
          <w:tcPr>
            <w:tcW w:w="945" w:type="dxa"/>
            <w:noWrap/>
            <w:vAlign w:val="center"/>
          </w:tcPr>
          <w:p w14:paraId="39A71E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0.43</w:t>
            </w:r>
          </w:p>
        </w:tc>
        <w:tc>
          <w:tcPr>
            <w:tcW w:w="970" w:type="dxa"/>
            <w:noWrap/>
            <w:vAlign w:val="center"/>
          </w:tcPr>
          <w:p w14:paraId="56FC22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6</w:t>
            </w:r>
          </w:p>
        </w:tc>
        <w:tc>
          <w:tcPr>
            <w:tcW w:w="886" w:type="dxa"/>
            <w:noWrap/>
            <w:vAlign w:val="center"/>
          </w:tcPr>
          <w:p w14:paraId="22C4959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val="en-US" w:eastAsia="zh-CN"/>
              </w:rPr>
              <w:t>5</w:t>
            </w:r>
          </w:p>
        </w:tc>
        <w:tc>
          <w:tcPr>
            <w:tcW w:w="938" w:type="dxa"/>
            <w:noWrap/>
            <w:vAlign w:val="center"/>
          </w:tcPr>
          <w:p w14:paraId="269B73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泥结石</w:t>
            </w:r>
          </w:p>
        </w:tc>
        <w:tc>
          <w:tcPr>
            <w:tcW w:w="1716" w:type="dxa"/>
            <w:noWrap/>
            <w:vAlign w:val="center"/>
          </w:tcPr>
          <w:p w14:paraId="4F8FFD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513.72~535.84</w:t>
            </w:r>
          </w:p>
        </w:tc>
        <w:tc>
          <w:tcPr>
            <w:tcW w:w="1996" w:type="dxa"/>
            <w:noWrap/>
            <w:vAlign w:val="center"/>
          </w:tcPr>
          <w:p w14:paraId="4959AA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施工场地至枢纽工程施工区</w:t>
            </w:r>
          </w:p>
        </w:tc>
      </w:tr>
      <w:tr w14:paraId="37560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62" w:type="dxa"/>
            <w:noWrap/>
            <w:vAlign w:val="center"/>
          </w:tcPr>
          <w:p w14:paraId="57B0AC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小计</w:t>
            </w:r>
          </w:p>
        </w:tc>
        <w:tc>
          <w:tcPr>
            <w:tcW w:w="945" w:type="dxa"/>
            <w:noWrap/>
            <w:vAlign w:val="center"/>
          </w:tcPr>
          <w:p w14:paraId="6DEB705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1.21</w:t>
            </w:r>
          </w:p>
        </w:tc>
        <w:tc>
          <w:tcPr>
            <w:tcW w:w="970" w:type="dxa"/>
            <w:noWrap/>
            <w:vAlign w:val="center"/>
          </w:tcPr>
          <w:p w14:paraId="623DC3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886" w:type="dxa"/>
            <w:noWrap/>
            <w:vAlign w:val="center"/>
          </w:tcPr>
          <w:p w14:paraId="645295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938" w:type="dxa"/>
            <w:noWrap/>
            <w:vAlign w:val="center"/>
          </w:tcPr>
          <w:p w14:paraId="3672EC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1716" w:type="dxa"/>
            <w:noWrap/>
            <w:vAlign w:val="center"/>
          </w:tcPr>
          <w:p w14:paraId="51C9AA6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1996" w:type="dxa"/>
            <w:noWrap/>
            <w:vAlign w:val="center"/>
          </w:tcPr>
          <w:p w14:paraId="1FC80E6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r>
      <w:tr w14:paraId="6E5C1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13" w:type="dxa"/>
            <w:gridSpan w:val="7"/>
            <w:noWrap/>
            <w:vAlign w:val="center"/>
          </w:tcPr>
          <w:p w14:paraId="43C46C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弃渣场</w:t>
            </w:r>
          </w:p>
        </w:tc>
      </w:tr>
      <w:tr w14:paraId="239F8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62" w:type="dxa"/>
            <w:noWrap/>
            <w:vAlign w:val="center"/>
          </w:tcPr>
          <w:p w14:paraId="625DED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3#施工便道</w:t>
            </w:r>
          </w:p>
        </w:tc>
        <w:tc>
          <w:tcPr>
            <w:tcW w:w="945" w:type="dxa"/>
            <w:noWrap/>
            <w:vAlign w:val="center"/>
          </w:tcPr>
          <w:p w14:paraId="0BA766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0.40</w:t>
            </w:r>
          </w:p>
        </w:tc>
        <w:tc>
          <w:tcPr>
            <w:tcW w:w="970" w:type="dxa"/>
            <w:noWrap/>
            <w:vAlign w:val="center"/>
          </w:tcPr>
          <w:p w14:paraId="336D56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5</w:t>
            </w:r>
          </w:p>
        </w:tc>
        <w:tc>
          <w:tcPr>
            <w:tcW w:w="886" w:type="dxa"/>
            <w:noWrap/>
            <w:vAlign w:val="center"/>
          </w:tcPr>
          <w:p w14:paraId="57A016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4.5</w:t>
            </w:r>
          </w:p>
        </w:tc>
        <w:tc>
          <w:tcPr>
            <w:tcW w:w="938" w:type="dxa"/>
            <w:noWrap/>
            <w:vAlign w:val="center"/>
          </w:tcPr>
          <w:p w14:paraId="652DEB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混凝土</w:t>
            </w:r>
          </w:p>
        </w:tc>
        <w:tc>
          <w:tcPr>
            <w:tcW w:w="1716" w:type="dxa"/>
            <w:noWrap/>
            <w:vAlign w:val="center"/>
          </w:tcPr>
          <w:p w14:paraId="4686E2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996" w:type="dxa"/>
            <w:noWrap/>
            <w:vAlign w:val="center"/>
          </w:tcPr>
          <w:p w14:paraId="12607E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现状道路至挡渣墙</w:t>
            </w:r>
          </w:p>
        </w:tc>
      </w:tr>
      <w:tr w14:paraId="5E47B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13" w:type="dxa"/>
            <w:gridSpan w:val="7"/>
            <w:noWrap/>
            <w:vAlign w:val="center"/>
          </w:tcPr>
          <w:p w14:paraId="5F5B47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输水工程</w:t>
            </w:r>
          </w:p>
        </w:tc>
      </w:tr>
      <w:tr w14:paraId="74B52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362" w:type="dxa"/>
            <w:noWrap/>
            <w:vAlign w:val="center"/>
          </w:tcPr>
          <w:p w14:paraId="303BE4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4#施工便道</w:t>
            </w:r>
          </w:p>
        </w:tc>
        <w:tc>
          <w:tcPr>
            <w:tcW w:w="945" w:type="dxa"/>
            <w:noWrap/>
            <w:vAlign w:val="center"/>
          </w:tcPr>
          <w:p w14:paraId="597E8D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0.44</w:t>
            </w:r>
          </w:p>
        </w:tc>
        <w:tc>
          <w:tcPr>
            <w:tcW w:w="970" w:type="dxa"/>
            <w:noWrap/>
            <w:vAlign w:val="center"/>
          </w:tcPr>
          <w:p w14:paraId="686C7F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val="en-US" w:eastAsia="zh-CN"/>
              </w:rPr>
              <w:t>4</w:t>
            </w:r>
          </w:p>
        </w:tc>
        <w:tc>
          <w:tcPr>
            <w:tcW w:w="886" w:type="dxa"/>
            <w:noWrap/>
            <w:vAlign w:val="center"/>
          </w:tcPr>
          <w:p w14:paraId="664BDE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3</w:t>
            </w:r>
          </w:p>
        </w:tc>
        <w:tc>
          <w:tcPr>
            <w:tcW w:w="938" w:type="dxa"/>
            <w:noWrap/>
            <w:vAlign w:val="center"/>
          </w:tcPr>
          <w:p w14:paraId="31A52C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eastAsia="zh-CN"/>
              </w:rPr>
              <w:t>混凝土</w:t>
            </w:r>
          </w:p>
        </w:tc>
        <w:tc>
          <w:tcPr>
            <w:tcW w:w="1716" w:type="dxa"/>
            <w:noWrap/>
            <w:vAlign w:val="center"/>
          </w:tcPr>
          <w:p w14:paraId="5AF9C7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436.21~291.86</w:t>
            </w:r>
          </w:p>
        </w:tc>
        <w:tc>
          <w:tcPr>
            <w:tcW w:w="1996" w:type="dxa"/>
            <w:noWrap/>
            <w:vAlign w:val="center"/>
          </w:tcPr>
          <w:p w14:paraId="2AB560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大坝枢纽至下游现状道路</w:t>
            </w:r>
          </w:p>
        </w:tc>
      </w:tr>
      <w:tr w14:paraId="73C3E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62" w:type="dxa"/>
            <w:noWrap/>
            <w:vAlign w:val="center"/>
          </w:tcPr>
          <w:p w14:paraId="6F861E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合计</w:t>
            </w:r>
          </w:p>
        </w:tc>
        <w:tc>
          <w:tcPr>
            <w:tcW w:w="945" w:type="dxa"/>
            <w:noWrap/>
            <w:vAlign w:val="center"/>
          </w:tcPr>
          <w:p w14:paraId="0DFAB7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2.05</w:t>
            </w:r>
          </w:p>
        </w:tc>
        <w:tc>
          <w:tcPr>
            <w:tcW w:w="970" w:type="dxa"/>
            <w:noWrap/>
            <w:vAlign w:val="center"/>
          </w:tcPr>
          <w:p w14:paraId="5FF5F7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886" w:type="dxa"/>
            <w:noWrap/>
            <w:vAlign w:val="center"/>
          </w:tcPr>
          <w:p w14:paraId="54D567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938" w:type="dxa"/>
            <w:noWrap/>
            <w:vAlign w:val="center"/>
          </w:tcPr>
          <w:p w14:paraId="6AF8FF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716" w:type="dxa"/>
            <w:noWrap/>
            <w:vAlign w:val="center"/>
          </w:tcPr>
          <w:p w14:paraId="74382F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996" w:type="dxa"/>
            <w:noWrap/>
            <w:vAlign w:val="center"/>
          </w:tcPr>
          <w:p w14:paraId="444F11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r>
    </w:tbl>
    <w:p w14:paraId="1C6C1D7C">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sz w:val="26"/>
          <w:szCs w:val="26"/>
          <w:lang w:eastAsia="zh-CN"/>
        </w:rPr>
      </w:pPr>
    </w:p>
    <w:p w14:paraId="5C1EDBD0">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4）施工场地</w:t>
      </w:r>
    </w:p>
    <w:p w14:paraId="177B56A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Times New Roman" w:cs="Arial"/>
          <w:bCs/>
          <w:color w:val="auto"/>
          <w:sz w:val="26"/>
          <w:szCs w:val="22"/>
          <w:lang w:eastAsia="zh-CN"/>
        </w:rPr>
      </w:pPr>
      <w:r>
        <w:rPr>
          <w:rFonts w:hint="eastAsia" w:ascii="Arial" w:hAnsi="Times New Roman" w:cs="Arial"/>
          <w:bCs/>
          <w:color w:val="auto"/>
          <w:sz w:val="26"/>
          <w:szCs w:val="22"/>
          <w:lang w:eastAsia="zh-CN"/>
        </w:rPr>
        <w:t>本项目施工期不设施工营地，施工人员大多就近招用，不在场地内食宿。少量管理人员租赁临近居民已有房屋进行办公、食宿。</w:t>
      </w:r>
    </w:p>
    <w:p w14:paraId="5BDCAFB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cs="Arial"/>
          <w:b/>
          <w:color w:val="auto"/>
          <w:sz w:val="26"/>
          <w:szCs w:val="26"/>
          <w:lang w:val="en-US" w:eastAsia="zh-CN"/>
        </w:rPr>
      </w:pPr>
      <w:r>
        <w:rPr>
          <w:rFonts w:hint="default" w:ascii="Arial" w:cs="Arial"/>
          <w:b/>
          <w:color w:val="auto"/>
          <w:sz w:val="26"/>
          <w:szCs w:val="26"/>
          <w:lang w:eastAsia="zh-CN"/>
        </w:rPr>
        <w:t>①</w:t>
      </w:r>
      <w:r>
        <w:rPr>
          <w:rFonts w:hint="eastAsia" w:ascii="Arial" w:cs="Arial"/>
          <w:b/>
          <w:color w:val="auto"/>
          <w:sz w:val="26"/>
          <w:szCs w:val="26"/>
          <w:lang w:val="en-US" w:eastAsia="zh-CN"/>
        </w:rPr>
        <w:t xml:space="preserve"> 枢纽工程</w:t>
      </w:r>
    </w:p>
    <w:p w14:paraId="3BB7FCE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eastAsia="宋体" w:cs="Arial"/>
          <w:bCs/>
          <w:color w:val="auto"/>
          <w:sz w:val="26"/>
          <w:szCs w:val="22"/>
          <w:lang w:val="en-US" w:eastAsia="zh-CN"/>
        </w:rPr>
      </w:pPr>
      <w:r>
        <w:rPr>
          <w:rFonts w:hint="eastAsia" w:ascii="Arial" w:cs="Arial"/>
          <w:bCs/>
          <w:color w:val="auto"/>
          <w:sz w:val="26"/>
          <w:szCs w:val="22"/>
        </w:rPr>
        <w:t>为满足枢纽工程施工需求，设置1个工区，位于</w:t>
      </w:r>
      <w:r>
        <w:rPr>
          <w:rFonts w:hint="eastAsia" w:ascii="Arial" w:cs="Arial"/>
          <w:bCs/>
          <w:color w:val="auto"/>
          <w:sz w:val="26"/>
          <w:szCs w:val="22"/>
          <w:lang w:eastAsia="zh-CN"/>
        </w:rPr>
        <w:t>枢纽工程下游左岸约</w:t>
      </w:r>
      <w:r>
        <w:rPr>
          <w:rFonts w:hint="eastAsia" w:ascii="Arial" w:cs="Arial"/>
          <w:bCs/>
          <w:color w:val="auto"/>
          <w:sz w:val="26"/>
          <w:szCs w:val="22"/>
          <w:lang w:val="en-US" w:eastAsia="zh-CN"/>
        </w:rPr>
        <w:t>200m处，地势较为平坦，占地面积约5000m</w:t>
      </w:r>
      <w:r>
        <w:rPr>
          <w:rFonts w:hint="eastAsia" w:ascii="Arial" w:cs="Arial"/>
          <w:bCs/>
          <w:color w:val="auto"/>
          <w:sz w:val="26"/>
          <w:szCs w:val="22"/>
          <w:vertAlign w:val="superscript"/>
          <w:lang w:val="en-US" w:eastAsia="zh-CN"/>
        </w:rPr>
        <w:t>2</w:t>
      </w:r>
      <w:r>
        <w:rPr>
          <w:rFonts w:hint="eastAsia" w:ascii="Arial" w:cs="Arial"/>
          <w:bCs/>
          <w:color w:val="auto"/>
          <w:sz w:val="26"/>
          <w:szCs w:val="22"/>
          <w:lang w:val="en-US" w:eastAsia="zh-CN"/>
        </w:rPr>
        <w:t>，主要布置为机械停放场、综合加工场、拌合场、物料堆场、油料区、</w:t>
      </w:r>
      <w:r>
        <w:rPr>
          <w:rFonts w:hint="eastAsia" w:ascii="Arial" w:hAnsi="宋体" w:cs="Arial"/>
          <w:bCs/>
          <w:color w:val="auto"/>
          <w:sz w:val="26"/>
          <w:szCs w:val="26"/>
        </w:rPr>
        <w:t>供风站、供水站等施工工厂和设施等。</w:t>
      </w:r>
    </w:p>
    <w:p w14:paraId="060C0FE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default" w:ascii="Arial" w:hAnsi="Times New Roman" w:cs="Arial"/>
          <w:b/>
          <w:color w:val="auto"/>
          <w:sz w:val="26"/>
          <w:szCs w:val="26"/>
          <w:lang w:eastAsia="zh-CN"/>
        </w:rPr>
        <w:t>②</w:t>
      </w:r>
      <w:r>
        <w:rPr>
          <w:rFonts w:hint="eastAsia" w:ascii="Arial" w:hAnsi="Times New Roman" w:cs="Arial"/>
          <w:b/>
          <w:color w:val="auto"/>
          <w:sz w:val="26"/>
          <w:szCs w:val="26"/>
          <w:lang w:val="en-US" w:eastAsia="zh-CN"/>
        </w:rPr>
        <w:t xml:space="preserve"> 输水工程</w:t>
      </w:r>
    </w:p>
    <w:p w14:paraId="43DDCCC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cs="Arial"/>
          <w:bCs/>
          <w:color w:val="auto"/>
          <w:sz w:val="26"/>
          <w:szCs w:val="22"/>
          <w:lang w:val="en-US"/>
        </w:rPr>
      </w:pPr>
      <w:r>
        <w:rPr>
          <w:rFonts w:hint="eastAsia" w:ascii="Arial" w:cs="Arial"/>
          <w:bCs/>
          <w:color w:val="auto"/>
          <w:sz w:val="26"/>
          <w:szCs w:val="22"/>
        </w:rPr>
        <w:t>为满足</w:t>
      </w:r>
      <w:r>
        <w:rPr>
          <w:rFonts w:hint="eastAsia" w:ascii="Arial" w:cs="Arial"/>
          <w:bCs/>
          <w:color w:val="auto"/>
          <w:sz w:val="26"/>
          <w:szCs w:val="22"/>
          <w:lang w:eastAsia="zh-CN"/>
        </w:rPr>
        <w:t>输水</w:t>
      </w:r>
      <w:r>
        <w:rPr>
          <w:rFonts w:hint="eastAsia" w:ascii="Arial" w:cs="Arial"/>
          <w:bCs/>
          <w:color w:val="auto"/>
          <w:sz w:val="26"/>
          <w:szCs w:val="22"/>
        </w:rPr>
        <w:t>工程施工需求，设置1个工区，</w:t>
      </w:r>
      <w:r>
        <w:rPr>
          <w:rFonts w:hint="eastAsia" w:ascii="Arial" w:cs="Arial"/>
          <w:bCs/>
          <w:color w:val="auto"/>
          <w:sz w:val="26"/>
          <w:szCs w:val="22"/>
          <w:lang w:eastAsia="zh-CN"/>
        </w:rPr>
        <w:t>位于双龙干管</w:t>
      </w:r>
      <w:r>
        <w:rPr>
          <w:rFonts w:hint="eastAsia" w:ascii="Arial" w:cs="Arial"/>
          <w:bCs/>
          <w:color w:val="auto"/>
          <w:sz w:val="26"/>
          <w:szCs w:val="22"/>
          <w:lang w:val="en-US" w:eastAsia="zh-CN"/>
        </w:rPr>
        <w:t>K1+950左侧，占地面积约1600m</w:t>
      </w:r>
      <w:r>
        <w:rPr>
          <w:rFonts w:hint="eastAsia" w:ascii="Arial" w:cs="Arial"/>
          <w:bCs/>
          <w:color w:val="auto"/>
          <w:sz w:val="26"/>
          <w:szCs w:val="22"/>
          <w:vertAlign w:val="superscript"/>
          <w:lang w:val="en-US" w:eastAsia="zh-CN"/>
        </w:rPr>
        <w:t>2</w:t>
      </w:r>
      <w:r>
        <w:rPr>
          <w:rFonts w:hint="eastAsia" w:ascii="Arial" w:cs="Arial"/>
          <w:bCs/>
          <w:color w:val="auto"/>
          <w:sz w:val="26"/>
          <w:szCs w:val="22"/>
          <w:lang w:val="en-US" w:eastAsia="zh-CN"/>
        </w:rPr>
        <w:t>，主要布置有物料堆场、综合加工场、机械停放场等。</w:t>
      </w:r>
    </w:p>
    <w:p w14:paraId="3758E25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5）料场</w:t>
      </w:r>
    </w:p>
    <w:p w14:paraId="1217D16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cs="Arial"/>
          <w:bCs/>
          <w:color w:val="FF0000"/>
          <w:sz w:val="26"/>
          <w:szCs w:val="22"/>
        </w:rPr>
      </w:pPr>
      <w:r>
        <w:rPr>
          <w:rFonts w:hint="eastAsia" w:ascii="Arial" w:cs="Arial"/>
          <w:b/>
          <w:bCs/>
          <w:color w:val="auto"/>
          <w:sz w:val="26"/>
          <w:szCs w:val="22"/>
        </w:rPr>
        <w:t>项目不设料场</w:t>
      </w:r>
      <w:r>
        <w:rPr>
          <w:rFonts w:hint="eastAsia" w:ascii="Arial" w:cs="Arial"/>
          <w:bCs/>
          <w:color w:val="auto"/>
          <w:sz w:val="26"/>
          <w:szCs w:val="22"/>
        </w:rPr>
        <w:t>；</w:t>
      </w:r>
      <w:r>
        <w:rPr>
          <w:rFonts w:hint="eastAsia" w:ascii="Arial" w:cs="Arial"/>
          <w:bCs/>
          <w:color w:val="auto"/>
          <w:sz w:val="26"/>
          <w:szCs w:val="22"/>
          <w:lang w:eastAsia="zh-CN"/>
        </w:rPr>
        <w:t>海螺沟水库采取</w:t>
      </w:r>
      <w:r>
        <w:rPr>
          <w:rFonts w:hint="default" w:ascii="Arial" w:hAnsi="Arial" w:cs="Arial"/>
          <w:color w:val="auto"/>
          <w:sz w:val="26"/>
          <w:szCs w:val="26"/>
        </w:rPr>
        <w:t>C20埋石砼重力坝，</w:t>
      </w:r>
      <w:r>
        <w:rPr>
          <w:rFonts w:hint="eastAsia" w:ascii="Arial" w:hAnsi="Arial" w:cs="Arial"/>
          <w:color w:val="auto"/>
          <w:sz w:val="26"/>
          <w:szCs w:val="26"/>
          <w:lang w:eastAsia="zh-CN"/>
        </w:rPr>
        <w:t>需混凝土3.</w:t>
      </w:r>
      <w:r>
        <w:rPr>
          <w:rFonts w:hint="eastAsia" w:ascii="Arial" w:hAnsi="Arial" w:cs="Arial"/>
          <w:color w:val="auto"/>
          <w:sz w:val="26"/>
          <w:szCs w:val="26"/>
          <w:lang w:val="en-US" w:eastAsia="zh-CN"/>
        </w:rPr>
        <w:t>81</w:t>
      </w:r>
      <w:r>
        <w:rPr>
          <w:rFonts w:hint="eastAsia" w:ascii="Arial" w:hAnsi="Arial" w:cs="Arial"/>
          <w:color w:val="auto"/>
          <w:sz w:val="26"/>
          <w:szCs w:val="26"/>
          <w:lang w:eastAsia="zh-CN"/>
        </w:rPr>
        <w:t>万m</w:t>
      </w:r>
      <w:r>
        <w:rPr>
          <w:rFonts w:hint="eastAsia" w:ascii="Arial" w:hAnsi="Arial" w:cs="Arial"/>
          <w:color w:val="auto"/>
          <w:sz w:val="26"/>
          <w:szCs w:val="26"/>
          <w:vertAlign w:val="superscript"/>
          <w:lang w:eastAsia="zh-CN"/>
        </w:rPr>
        <w:t>3</w:t>
      </w:r>
      <w:r>
        <w:rPr>
          <w:rFonts w:hint="eastAsia" w:ascii="Arial" w:hAnsi="Arial" w:cs="Arial"/>
          <w:color w:val="auto"/>
          <w:sz w:val="26"/>
          <w:szCs w:val="26"/>
          <w:lang w:eastAsia="zh-CN"/>
        </w:rPr>
        <w:t>，块石料</w:t>
      </w:r>
      <w:r>
        <w:rPr>
          <w:rFonts w:hint="eastAsia" w:ascii="Arial" w:hAnsi="Arial" w:cs="Arial"/>
          <w:color w:val="auto"/>
          <w:sz w:val="26"/>
          <w:szCs w:val="26"/>
          <w:lang w:val="en-US" w:eastAsia="zh-CN"/>
        </w:rPr>
        <w:t>1.35</w:t>
      </w:r>
      <w:r>
        <w:rPr>
          <w:rFonts w:hint="eastAsia" w:ascii="Arial" w:hAnsi="Arial" w:cs="Arial"/>
          <w:color w:val="auto"/>
          <w:sz w:val="26"/>
          <w:szCs w:val="26"/>
          <w:lang w:eastAsia="zh-CN"/>
        </w:rPr>
        <w:t>万m</w:t>
      </w:r>
      <w:r>
        <w:rPr>
          <w:rFonts w:hint="eastAsia" w:ascii="Arial" w:hAnsi="Arial" w:cs="Arial"/>
          <w:color w:val="auto"/>
          <w:sz w:val="26"/>
          <w:szCs w:val="26"/>
          <w:vertAlign w:val="superscript"/>
          <w:lang w:eastAsia="zh-CN"/>
        </w:rPr>
        <w:t>3</w:t>
      </w:r>
      <w:r>
        <w:rPr>
          <w:rFonts w:hint="eastAsia" w:ascii="Arial" w:hAnsi="Arial" w:cs="Arial"/>
          <w:color w:val="auto"/>
          <w:sz w:val="26"/>
          <w:szCs w:val="26"/>
          <w:lang w:eastAsia="zh-CN"/>
        </w:rPr>
        <w:t>，碎石料</w:t>
      </w:r>
      <w:r>
        <w:rPr>
          <w:rFonts w:hint="eastAsia" w:ascii="Arial" w:hAnsi="Arial" w:cs="Arial"/>
          <w:color w:val="auto"/>
          <w:sz w:val="26"/>
          <w:szCs w:val="26"/>
          <w:lang w:val="en-US" w:eastAsia="zh-CN"/>
        </w:rPr>
        <w:t>3.38</w:t>
      </w:r>
      <w:r>
        <w:rPr>
          <w:rFonts w:hint="eastAsia" w:ascii="Arial" w:hAnsi="Arial" w:cs="Arial"/>
          <w:color w:val="auto"/>
          <w:sz w:val="26"/>
          <w:szCs w:val="26"/>
          <w:lang w:eastAsia="zh-CN"/>
        </w:rPr>
        <w:t>万m</w:t>
      </w:r>
      <w:r>
        <w:rPr>
          <w:rFonts w:hint="eastAsia" w:ascii="Arial" w:hAnsi="Arial" w:cs="Arial"/>
          <w:color w:val="auto"/>
          <w:sz w:val="26"/>
          <w:szCs w:val="26"/>
          <w:vertAlign w:val="superscript"/>
          <w:lang w:eastAsia="zh-CN"/>
        </w:rPr>
        <w:t>3</w:t>
      </w:r>
      <w:r>
        <w:rPr>
          <w:rFonts w:hint="eastAsia" w:ascii="Arial" w:hAnsi="Arial" w:cs="Arial"/>
          <w:color w:val="auto"/>
          <w:sz w:val="26"/>
          <w:szCs w:val="26"/>
          <w:lang w:eastAsia="zh-CN"/>
        </w:rPr>
        <w:t>，砂料</w:t>
      </w:r>
      <w:r>
        <w:rPr>
          <w:rFonts w:hint="eastAsia" w:ascii="Arial" w:hAnsi="Arial" w:cs="Arial"/>
          <w:color w:val="auto"/>
          <w:sz w:val="26"/>
          <w:szCs w:val="26"/>
          <w:lang w:val="en-US" w:eastAsia="zh-CN"/>
        </w:rPr>
        <w:t>2.34</w:t>
      </w:r>
      <w:r>
        <w:rPr>
          <w:rFonts w:hint="eastAsia" w:ascii="Arial" w:hAnsi="Arial" w:cs="Arial"/>
          <w:color w:val="auto"/>
          <w:sz w:val="26"/>
          <w:szCs w:val="26"/>
          <w:lang w:eastAsia="zh-CN"/>
        </w:rPr>
        <w:t>万m</w:t>
      </w:r>
      <w:r>
        <w:rPr>
          <w:rFonts w:hint="eastAsia" w:ascii="Arial" w:hAnsi="Arial" w:cs="Arial"/>
          <w:color w:val="auto"/>
          <w:sz w:val="26"/>
          <w:szCs w:val="26"/>
          <w:vertAlign w:val="superscript"/>
          <w:lang w:eastAsia="zh-CN"/>
        </w:rPr>
        <w:t>3</w:t>
      </w:r>
      <w:r>
        <w:rPr>
          <w:rFonts w:hint="eastAsia" w:ascii="Arial" w:hAnsi="Arial" w:cs="Arial"/>
          <w:color w:val="auto"/>
          <w:sz w:val="26"/>
          <w:szCs w:val="26"/>
          <w:lang w:eastAsia="zh-CN"/>
        </w:rPr>
        <w:t>。经调查，项目区有青龙乡黄泥村石料场，运距约</w:t>
      </w:r>
      <w:r>
        <w:rPr>
          <w:rFonts w:hint="eastAsia" w:ascii="Arial" w:hAnsi="Arial" w:cs="Arial"/>
          <w:color w:val="auto"/>
          <w:sz w:val="26"/>
          <w:szCs w:val="26"/>
          <w:lang w:val="en-US" w:eastAsia="zh-CN"/>
        </w:rPr>
        <w:t>25km，可满足本项目用料需求。项目枢纽工程施工区内设置有混凝土拌合系统，外购的骨料、水泥等经拌合处理后，用于重力坝、上坝道路、库区巡检步道等的浇筑。土石</w:t>
      </w:r>
      <w:r>
        <w:rPr>
          <w:rFonts w:hint="eastAsia" w:ascii="Arial" w:cs="Arial"/>
          <w:bCs/>
          <w:color w:val="auto"/>
          <w:sz w:val="26"/>
          <w:szCs w:val="22"/>
        </w:rPr>
        <w:t>围堰填筑可利用施工场地内的开挖料，并辅以土工布防渗。</w:t>
      </w:r>
    </w:p>
    <w:p w14:paraId="737B4593">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6）渣场</w:t>
      </w:r>
    </w:p>
    <w:p w14:paraId="3BBEF12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Times New Roman" w:cs="Arial"/>
          <w:bCs/>
          <w:color w:val="auto"/>
          <w:sz w:val="26"/>
          <w:szCs w:val="22"/>
          <w:lang w:eastAsia="zh-CN"/>
        </w:rPr>
        <w:t>根据项目初设报告，本项目所在区域沿河两岸大部分较为陡峭，且基本农田分布较为密集，沿线无公路，不具备堆渣条件。故根据现场踏勘，将弃渣场布置在田家山村村委会附近一处天然地势低洼地带，面积约</w:t>
      </w:r>
      <w:r>
        <w:rPr>
          <w:rFonts w:hint="eastAsia" w:ascii="Arial" w:hAnsi="Times New Roman" w:cs="Arial"/>
          <w:bCs/>
          <w:color w:val="auto"/>
          <w:sz w:val="26"/>
          <w:szCs w:val="22"/>
          <w:lang w:val="en-US" w:eastAsia="zh-CN"/>
        </w:rPr>
        <w:t>49.47亩，不涉及</w:t>
      </w:r>
      <w:r>
        <w:rPr>
          <w:rFonts w:hint="eastAsia" w:ascii="Arial" w:hAnsi="Arial" w:cs="Arial"/>
          <w:color w:val="auto"/>
          <w:sz w:val="26"/>
          <w:szCs w:val="26"/>
          <w:lang w:val="en-US" w:eastAsia="zh-CN"/>
        </w:rPr>
        <w:t>基本农田、公益林地，设计堆渣量为12万m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，综合运距约6km。</w:t>
      </w:r>
    </w:p>
    <w:p w14:paraId="011DBA0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default" w:ascii="Arial" w:hAnsi="Arial" w:cs="Arial"/>
          <w:color w:val="auto"/>
          <w:sz w:val="26"/>
          <w:szCs w:val="26"/>
          <w:lang w:val="en-US" w:eastAsia="zh-CN"/>
        </w:rPr>
        <w:t>堆渣前于</w:t>
      </w:r>
      <w:r>
        <w:rPr>
          <w:rFonts w:hint="default" w:ascii="Arial" w:hAnsi="Arial" w:cs="Arial"/>
          <w:color w:val="auto"/>
          <w:sz w:val="26"/>
          <w:szCs w:val="26"/>
          <w:highlight w:val="none"/>
        </w:rPr>
        <w:t>坡脚</w:t>
      </w:r>
      <w:r>
        <w:rPr>
          <w:rFonts w:hint="default" w:ascii="Arial" w:hAnsi="Arial" w:cs="Arial"/>
          <w:color w:val="auto"/>
          <w:sz w:val="26"/>
          <w:szCs w:val="26"/>
          <w:highlight w:val="none"/>
          <w:lang w:eastAsia="zh-CN"/>
        </w:rPr>
        <w:t>修建</w:t>
      </w:r>
      <w:r>
        <w:rPr>
          <w:rFonts w:hint="default" w:ascii="Arial" w:hAnsi="Arial" w:cs="Arial"/>
          <w:color w:val="auto"/>
          <w:sz w:val="26"/>
          <w:szCs w:val="26"/>
          <w:highlight w:val="none"/>
        </w:rPr>
        <w:t xml:space="preserve"> C20埋石砼</w:t>
      </w:r>
      <w:r>
        <w:rPr>
          <w:rFonts w:hint="default" w:ascii="Arial" w:hAnsi="Arial" w:cs="Arial"/>
          <w:color w:val="auto"/>
          <w:sz w:val="26"/>
          <w:szCs w:val="26"/>
          <w:highlight w:val="none"/>
          <w:lang w:val="en-US" w:eastAsia="zh-CN"/>
        </w:rPr>
        <w:t>重力式</w:t>
      </w:r>
      <w:r>
        <w:rPr>
          <w:rFonts w:hint="default" w:ascii="Arial" w:hAnsi="Arial" w:cs="Arial"/>
          <w:color w:val="auto"/>
          <w:sz w:val="26"/>
          <w:szCs w:val="26"/>
          <w:highlight w:val="none"/>
        </w:rPr>
        <w:t>挡土墙拦挡</w:t>
      </w:r>
      <w:r>
        <w:rPr>
          <w:rFonts w:hint="default" w:ascii="Arial" w:hAnsi="Arial" w:cs="Arial"/>
          <w:color w:val="auto"/>
          <w:sz w:val="26"/>
          <w:szCs w:val="26"/>
          <w:lang w:val="en-US" w:eastAsia="zh-CN"/>
        </w:rPr>
        <w:t>，</w:t>
      </w:r>
      <w:r>
        <w:rPr>
          <w:rFonts w:hint="eastAsia" w:ascii="Arial" w:hAnsi="Arial" w:cs="Arial"/>
          <w:color w:val="auto"/>
          <w:sz w:val="26"/>
          <w:szCs w:val="26"/>
          <w:lang w:val="en-US" w:eastAsia="zh-CN"/>
        </w:rPr>
        <w:t>长95m。</w:t>
      </w:r>
      <w:r>
        <w:rPr>
          <w:rFonts w:hint="eastAsia" w:ascii="Arial" w:hAnsi="Times New Roman" w:cs="Arial"/>
          <w:bCs/>
          <w:color w:val="auto"/>
          <w:sz w:val="26"/>
          <w:szCs w:val="22"/>
          <w:lang w:val="en-US" w:eastAsia="zh-CN"/>
        </w:rPr>
        <w:t>采取多级放坡方式布置，平均堆渣厚度5.0m</w:t>
      </w:r>
      <w:r>
        <w:rPr>
          <w:rFonts w:hint="eastAsia" w:ascii="Arial" w:hAnsi="Times New Roman" w:cs="Arial"/>
          <w:bCs/>
          <w:color w:val="auto"/>
          <w:sz w:val="26"/>
          <w:szCs w:val="22"/>
          <w:lang w:eastAsia="zh-CN"/>
        </w:rPr>
        <w:t>，堆渣边坡不陡</w:t>
      </w:r>
      <w:r>
        <w:rPr>
          <w:rFonts w:hint="eastAsia" w:ascii="Arial" w:hAnsi="Times New Roman" w:cs="Arial"/>
          <w:bCs/>
          <w:color w:val="auto"/>
          <w:sz w:val="26"/>
          <w:szCs w:val="22"/>
          <w:lang w:val="en-US" w:eastAsia="zh-CN"/>
        </w:rPr>
        <w:t>于1:3.0，堆渣体</w:t>
      </w:r>
      <w:r>
        <w:rPr>
          <w:rFonts w:hint="eastAsia" w:ascii="Arial" w:hAnsi="Times New Roman" w:cs="Arial"/>
          <w:bCs/>
          <w:color w:val="auto"/>
          <w:sz w:val="26"/>
          <w:szCs w:val="22"/>
          <w:lang w:eastAsia="zh-CN"/>
        </w:rPr>
        <w:t>应采取分层碾压，压实系数不低于 0.91。沿渣场</w:t>
      </w:r>
      <w:r>
        <w:rPr>
          <w:rFonts w:hint="eastAsia" w:ascii="Arial" w:hAnsi="Times New Roman" w:cs="Arial"/>
          <w:bCs/>
          <w:color w:val="auto"/>
          <w:sz w:val="26"/>
          <w:szCs w:val="22"/>
          <w:lang w:val="en-US" w:eastAsia="zh-CN"/>
        </w:rPr>
        <w:t>外围</w:t>
      </w:r>
      <w:r>
        <w:rPr>
          <w:rFonts w:hint="eastAsia" w:ascii="Arial" w:hAnsi="Times New Roman" w:cs="Arial"/>
          <w:bCs/>
          <w:color w:val="auto"/>
          <w:sz w:val="26"/>
          <w:szCs w:val="22"/>
          <w:lang w:eastAsia="zh-CN"/>
        </w:rPr>
        <w:t>边界及坡顶布置</w:t>
      </w:r>
      <w:r>
        <w:rPr>
          <w:rFonts w:hint="eastAsia" w:ascii="Arial" w:hAnsi="Times New Roman" w:cs="Arial"/>
          <w:bCs/>
          <w:color w:val="auto"/>
          <w:sz w:val="26"/>
          <w:szCs w:val="22"/>
          <w:lang w:val="en-US" w:eastAsia="zh-CN"/>
        </w:rPr>
        <w:t>M10浆砌块石</w:t>
      </w:r>
      <w:r>
        <w:rPr>
          <w:rFonts w:hint="eastAsia" w:ascii="Arial" w:hAnsi="Times New Roman" w:cs="Arial"/>
          <w:bCs/>
          <w:color w:val="auto"/>
          <w:sz w:val="26"/>
          <w:szCs w:val="22"/>
          <w:lang w:eastAsia="zh-CN"/>
        </w:rPr>
        <w:t>排水沟，排水沟出口处设沉砂池，经沉沙后接入附近天然沟道。渣场堆填完成后，应对渣场实施覆土、绿化等水土保持最终封场措施。</w:t>
      </w:r>
    </w:p>
    <w:p w14:paraId="740C9DF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拟建项目枢纽工程、输水工程施工总平面布置分别详见</w:t>
      </w:r>
      <w:r>
        <w:rPr>
          <w:rFonts w:hint="eastAsia" w:ascii="Arial" w:hAnsi="Arial" w:cs="Arial"/>
          <w:b/>
          <w:bCs/>
          <w:color w:val="auto"/>
          <w:sz w:val="26"/>
          <w:szCs w:val="26"/>
          <w:lang w:val="en-US" w:eastAsia="zh-CN"/>
        </w:rPr>
        <w:t>附图21、22</w:t>
      </w:r>
      <w:r>
        <w:rPr>
          <w:rFonts w:hint="eastAsia" w:ascii="Arial" w:hAnsi="Arial" w:cs="Arial"/>
          <w:color w:val="auto"/>
          <w:sz w:val="26"/>
          <w:szCs w:val="26"/>
          <w:lang w:val="en-US" w:eastAsia="zh-CN"/>
        </w:rPr>
        <w:t>所示。</w:t>
      </w:r>
    </w:p>
    <w:p w14:paraId="63E72FD9">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2.2.9施工条件</w:t>
      </w:r>
    </w:p>
    <w:p w14:paraId="0BF63F38">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1）主要建筑材料供应</w:t>
      </w:r>
    </w:p>
    <w:p w14:paraId="4F4C3A6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① 块石料、碎石料、粗砂：均在丰都县青龙乡黄泥村石料场购买，经公路运达工地，至枢纽区运距约25km，至输水区平均运距20km。</w:t>
      </w:r>
    </w:p>
    <w:p w14:paraId="3C24488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② 特细砂料：在丰都县城区购买长江砂，至枢纽区运距约77km，至输水区平均运距72km。</w:t>
      </w:r>
    </w:p>
    <w:p w14:paraId="35CB490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③ 土石料：利用大坝基础开挖料。</w:t>
      </w:r>
    </w:p>
    <w:p w14:paraId="5429B77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④ 钢材、木材在丰都城区</w:t>
      </w:r>
      <w:r>
        <w:rPr>
          <w:rFonts w:hint="eastAsia" w:ascii="Arial" w:hAnsi="Times New Roman" w:cs="Arial"/>
          <w:bCs/>
          <w:sz w:val="26"/>
          <w:szCs w:val="22"/>
          <w:lang w:eastAsia="zh-CN"/>
        </w:rPr>
        <w:t>、双龙镇</w:t>
      </w:r>
      <w:r>
        <w:rPr>
          <w:rFonts w:hint="eastAsia" w:ascii="Arial" w:hAnsi="Times New Roman" w:cs="Arial"/>
          <w:bCs/>
          <w:sz w:val="26"/>
          <w:szCs w:val="22"/>
        </w:rPr>
        <w:t>购买，至枢纽工程区运距约75km，至输水工程区平均运距70km。</w:t>
      </w:r>
    </w:p>
    <w:p w14:paraId="1685774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⑤ 水泥在</w:t>
      </w:r>
      <w:r>
        <w:rPr>
          <w:rFonts w:hint="eastAsia" w:ascii="Arial" w:hAnsi="Times New Roman" w:cs="Arial"/>
          <w:bCs/>
          <w:sz w:val="26"/>
          <w:szCs w:val="22"/>
          <w:lang w:eastAsia="zh-CN"/>
        </w:rPr>
        <w:t>丰都</w:t>
      </w:r>
      <w:r>
        <w:rPr>
          <w:rFonts w:hint="eastAsia" w:ascii="Arial" w:hAnsi="Times New Roman" w:cs="Arial"/>
          <w:bCs/>
          <w:sz w:val="26"/>
          <w:szCs w:val="22"/>
        </w:rPr>
        <w:t>城区附近水泥厂购买，至枢纽工程区运距约</w:t>
      </w:r>
      <w:r>
        <w:rPr>
          <w:rFonts w:hint="eastAsia" w:ascii="Arial" w:hAnsi="Times New Roman" w:cs="Arial"/>
          <w:bCs/>
          <w:sz w:val="26"/>
          <w:szCs w:val="22"/>
          <w:lang w:val="en-US" w:eastAsia="zh-CN"/>
        </w:rPr>
        <w:t>8</w:t>
      </w:r>
      <w:r>
        <w:rPr>
          <w:rFonts w:hint="eastAsia" w:ascii="Arial" w:hAnsi="Times New Roman" w:cs="Arial"/>
          <w:bCs/>
          <w:sz w:val="26"/>
          <w:szCs w:val="22"/>
        </w:rPr>
        <w:t>2km，至输水工程区平均运距</w:t>
      </w:r>
      <w:r>
        <w:rPr>
          <w:rFonts w:hint="eastAsia" w:ascii="Arial" w:hAnsi="Times New Roman" w:cs="Arial"/>
          <w:bCs/>
          <w:sz w:val="26"/>
          <w:szCs w:val="22"/>
          <w:lang w:val="en-US" w:eastAsia="zh-CN"/>
        </w:rPr>
        <w:t>8</w:t>
      </w:r>
      <w:r>
        <w:rPr>
          <w:rFonts w:hint="eastAsia" w:ascii="Arial" w:hAnsi="Times New Roman" w:cs="Arial"/>
          <w:bCs/>
          <w:sz w:val="26"/>
          <w:szCs w:val="22"/>
        </w:rPr>
        <w:t>7km。</w:t>
      </w:r>
    </w:p>
    <w:p w14:paraId="2A912B1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⑥ 油料在丰都县三元镇加油站购买，至枢纽工程区运距约30km，至输水工程区平均运距25km，且需转运0.5km。</w:t>
      </w:r>
    </w:p>
    <w:p w14:paraId="7F97D13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2.2-13 海螺沟水库主要建筑材料消耗量一览表</w:t>
      </w:r>
    </w:p>
    <w:tbl>
      <w:tblPr>
        <w:tblStyle w:val="77"/>
        <w:tblW w:w="0" w:type="auto"/>
        <w:jc w:val="center"/>
        <w:tblLayout w:type="fixed"/>
        <w:tblCellMar>
          <w:top w:w="0" w:type="dxa"/>
          <w:left w:w="108" w:type="dxa"/>
          <w:bottom w:w="0" w:type="dxa"/>
          <w:right w:w="108" w:type="dxa"/>
        </w:tblCellMar>
      </w:tblPr>
      <w:tblGrid>
        <w:gridCol w:w="1543"/>
        <w:gridCol w:w="1547"/>
        <w:gridCol w:w="944"/>
        <w:gridCol w:w="4424"/>
      </w:tblGrid>
      <w:tr w14:paraId="536CDC25">
        <w:tblPrEx>
          <w:tblCellMar>
            <w:top w:w="0" w:type="dxa"/>
            <w:left w:w="108" w:type="dxa"/>
            <w:bottom w:w="0" w:type="dxa"/>
            <w:right w:w="108" w:type="dxa"/>
          </w:tblCellMar>
        </w:tblPrEx>
        <w:trPr>
          <w:trHeight w:val="329" w:hRule="exact"/>
          <w:jc w:val="center"/>
        </w:trPr>
        <w:tc>
          <w:tcPr>
            <w:tcW w:w="1543" w:type="dxa"/>
            <w:tcBorders>
              <w:top w:val="single" w:color="auto" w:sz="12" w:space="0"/>
              <w:left w:val="single" w:color="auto" w:sz="12" w:space="0"/>
              <w:bottom w:val="single" w:color="auto" w:sz="4" w:space="0"/>
              <w:right w:val="single" w:color="auto" w:sz="4" w:space="0"/>
            </w:tcBorders>
            <w:noWrap w:val="0"/>
            <w:vAlign w:val="center"/>
          </w:tcPr>
          <w:p w14:paraId="53E9EEC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序号</w:t>
            </w:r>
          </w:p>
        </w:tc>
        <w:tc>
          <w:tcPr>
            <w:tcW w:w="1547" w:type="dxa"/>
            <w:tcBorders>
              <w:top w:val="single" w:color="auto" w:sz="12" w:space="0"/>
              <w:left w:val="single" w:color="auto" w:sz="4" w:space="0"/>
              <w:bottom w:val="single" w:color="auto" w:sz="4" w:space="0"/>
              <w:right w:val="single" w:color="auto" w:sz="4" w:space="0"/>
            </w:tcBorders>
            <w:noWrap/>
            <w:vAlign w:val="center"/>
          </w:tcPr>
          <w:p w14:paraId="79C6F635">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项目名称</w:t>
            </w:r>
          </w:p>
        </w:tc>
        <w:tc>
          <w:tcPr>
            <w:tcW w:w="944" w:type="dxa"/>
            <w:tcBorders>
              <w:top w:val="single" w:color="auto" w:sz="12" w:space="0"/>
              <w:left w:val="single" w:color="auto" w:sz="4" w:space="0"/>
              <w:bottom w:val="single" w:color="auto" w:sz="4" w:space="0"/>
              <w:right w:val="single" w:color="auto" w:sz="4" w:space="0"/>
            </w:tcBorders>
            <w:noWrap/>
            <w:vAlign w:val="center"/>
          </w:tcPr>
          <w:p w14:paraId="741EAB4F">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单位</w:t>
            </w:r>
          </w:p>
        </w:tc>
        <w:tc>
          <w:tcPr>
            <w:tcW w:w="4424" w:type="dxa"/>
            <w:tcBorders>
              <w:top w:val="single" w:color="auto" w:sz="12" w:space="0"/>
              <w:left w:val="single" w:color="auto" w:sz="4" w:space="0"/>
              <w:bottom w:val="single" w:color="auto" w:sz="4" w:space="0"/>
              <w:right w:val="single" w:color="auto" w:sz="12" w:space="0"/>
            </w:tcBorders>
            <w:noWrap w:val="0"/>
            <w:vAlign w:val="center"/>
          </w:tcPr>
          <w:p w14:paraId="1BDC317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工程量</w:t>
            </w:r>
          </w:p>
        </w:tc>
      </w:tr>
      <w:tr w14:paraId="55459BC2">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1EFFBD32">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1</w:t>
            </w:r>
          </w:p>
        </w:tc>
        <w:tc>
          <w:tcPr>
            <w:tcW w:w="1547" w:type="dxa"/>
            <w:tcBorders>
              <w:top w:val="single" w:color="auto" w:sz="4" w:space="0"/>
              <w:left w:val="single" w:color="auto" w:sz="4" w:space="0"/>
              <w:bottom w:val="single" w:color="auto" w:sz="4" w:space="0"/>
              <w:right w:val="single" w:color="auto" w:sz="4" w:space="0"/>
            </w:tcBorders>
            <w:noWrap/>
            <w:vAlign w:val="center"/>
          </w:tcPr>
          <w:p w14:paraId="48D4C7E6">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水泥</w:t>
            </w:r>
          </w:p>
        </w:tc>
        <w:tc>
          <w:tcPr>
            <w:tcW w:w="944" w:type="dxa"/>
            <w:tcBorders>
              <w:top w:val="single" w:color="auto" w:sz="4" w:space="0"/>
              <w:left w:val="single" w:color="auto" w:sz="4" w:space="0"/>
              <w:bottom w:val="single" w:color="auto" w:sz="4" w:space="0"/>
              <w:right w:val="single" w:color="auto" w:sz="4" w:space="0"/>
            </w:tcBorders>
            <w:noWrap/>
            <w:vAlign w:val="center"/>
          </w:tcPr>
          <w:p w14:paraId="21A4CCAB">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t</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308FA7F8">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13931.39</w:t>
            </w:r>
          </w:p>
        </w:tc>
      </w:tr>
      <w:tr w14:paraId="20C09E41">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7180C64D">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2</w:t>
            </w:r>
          </w:p>
        </w:tc>
        <w:tc>
          <w:tcPr>
            <w:tcW w:w="1547" w:type="dxa"/>
            <w:tcBorders>
              <w:top w:val="single" w:color="auto" w:sz="4" w:space="0"/>
              <w:left w:val="single" w:color="auto" w:sz="4" w:space="0"/>
              <w:bottom w:val="single" w:color="auto" w:sz="4" w:space="0"/>
              <w:right w:val="single" w:color="auto" w:sz="4" w:space="0"/>
            </w:tcBorders>
            <w:noWrap/>
            <w:vAlign w:val="center"/>
          </w:tcPr>
          <w:p w14:paraId="38420F6E">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钢筋</w:t>
            </w:r>
          </w:p>
        </w:tc>
        <w:tc>
          <w:tcPr>
            <w:tcW w:w="944" w:type="dxa"/>
            <w:tcBorders>
              <w:top w:val="single" w:color="auto" w:sz="4" w:space="0"/>
              <w:left w:val="single" w:color="auto" w:sz="4" w:space="0"/>
              <w:bottom w:val="single" w:color="auto" w:sz="4" w:space="0"/>
              <w:right w:val="single" w:color="auto" w:sz="4" w:space="0"/>
            </w:tcBorders>
            <w:noWrap/>
            <w:vAlign w:val="center"/>
          </w:tcPr>
          <w:p w14:paraId="2FB6C9FB">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t</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7F6B7CD9">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496.79</w:t>
            </w:r>
          </w:p>
        </w:tc>
      </w:tr>
      <w:tr w14:paraId="6372D173">
        <w:tblPrEx>
          <w:tblCellMar>
            <w:top w:w="0" w:type="dxa"/>
            <w:left w:w="108" w:type="dxa"/>
            <w:bottom w:w="0" w:type="dxa"/>
            <w:right w:w="108" w:type="dxa"/>
          </w:tblCellMar>
        </w:tblPrEx>
        <w:trPr>
          <w:trHeight w:val="324"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33E21DD2">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3</w:t>
            </w:r>
          </w:p>
        </w:tc>
        <w:tc>
          <w:tcPr>
            <w:tcW w:w="1547" w:type="dxa"/>
            <w:tcBorders>
              <w:top w:val="single" w:color="auto" w:sz="4" w:space="0"/>
              <w:left w:val="single" w:color="auto" w:sz="4" w:space="0"/>
              <w:bottom w:val="single" w:color="auto" w:sz="4" w:space="0"/>
              <w:right w:val="single" w:color="auto" w:sz="4" w:space="0"/>
            </w:tcBorders>
            <w:noWrap/>
            <w:vAlign w:val="center"/>
          </w:tcPr>
          <w:p w14:paraId="69D402CC">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砂</w:t>
            </w:r>
          </w:p>
        </w:tc>
        <w:tc>
          <w:tcPr>
            <w:tcW w:w="944" w:type="dxa"/>
            <w:tcBorders>
              <w:top w:val="single" w:color="auto" w:sz="4" w:space="0"/>
              <w:left w:val="single" w:color="auto" w:sz="4" w:space="0"/>
              <w:bottom w:val="single" w:color="auto" w:sz="4" w:space="0"/>
              <w:right w:val="single" w:color="auto" w:sz="4" w:space="0"/>
            </w:tcBorders>
            <w:noWrap/>
            <w:vAlign w:val="center"/>
          </w:tcPr>
          <w:p w14:paraId="44A74C5D">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m</w:t>
            </w:r>
            <w:r>
              <w:rPr>
                <w:rFonts w:hint="default" w:ascii="Arial" w:hAnsi="Arial" w:eastAsia="宋体" w:cs="Arial"/>
                <w:color w:val="auto"/>
                <w:kern w:val="0"/>
                <w:sz w:val="22"/>
                <w:szCs w:val="22"/>
                <w:highlight w:val="none"/>
                <w:vertAlign w:val="superscript"/>
              </w:rPr>
              <w:t>3</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4527E1E4">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23355.51</w:t>
            </w:r>
          </w:p>
        </w:tc>
      </w:tr>
      <w:tr w14:paraId="317B6601">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2750DDF8">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4</w:t>
            </w:r>
          </w:p>
        </w:tc>
        <w:tc>
          <w:tcPr>
            <w:tcW w:w="1547" w:type="dxa"/>
            <w:tcBorders>
              <w:top w:val="single" w:color="auto" w:sz="4" w:space="0"/>
              <w:left w:val="single" w:color="auto" w:sz="4" w:space="0"/>
              <w:bottom w:val="single" w:color="auto" w:sz="4" w:space="0"/>
              <w:right w:val="single" w:color="auto" w:sz="4" w:space="0"/>
            </w:tcBorders>
            <w:noWrap/>
            <w:vAlign w:val="center"/>
          </w:tcPr>
          <w:p w14:paraId="3E61A1A8">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碎石</w:t>
            </w:r>
          </w:p>
        </w:tc>
        <w:tc>
          <w:tcPr>
            <w:tcW w:w="944" w:type="dxa"/>
            <w:tcBorders>
              <w:top w:val="single" w:color="auto" w:sz="4" w:space="0"/>
              <w:left w:val="single" w:color="auto" w:sz="4" w:space="0"/>
              <w:bottom w:val="single" w:color="auto" w:sz="4" w:space="0"/>
              <w:right w:val="single" w:color="auto" w:sz="4" w:space="0"/>
            </w:tcBorders>
            <w:noWrap/>
            <w:vAlign w:val="center"/>
          </w:tcPr>
          <w:p w14:paraId="5670CB2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m</w:t>
            </w:r>
            <w:r>
              <w:rPr>
                <w:rFonts w:hint="default" w:ascii="Arial" w:hAnsi="Arial" w:eastAsia="宋体" w:cs="Arial"/>
                <w:color w:val="auto"/>
                <w:kern w:val="0"/>
                <w:sz w:val="22"/>
                <w:szCs w:val="22"/>
                <w:highlight w:val="none"/>
                <w:vertAlign w:val="superscript"/>
              </w:rPr>
              <w:t>3</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65FEAD75">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33765.10</w:t>
            </w:r>
          </w:p>
        </w:tc>
      </w:tr>
      <w:tr w14:paraId="1222F534">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49C679F8">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5</w:t>
            </w:r>
          </w:p>
        </w:tc>
        <w:tc>
          <w:tcPr>
            <w:tcW w:w="1547" w:type="dxa"/>
            <w:tcBorders>
              <w:top w:val="single" w:color="auto" w:sz="4" w:space="0"/>
              <w:left w:val="single" w:color="auto" w:sz="4" w:space="0"/>
              <w:bottom w:val="single" w:color="auto" w:sz="4" w:space="0"/>
              <w:right w:val="single" w:color="auto" w:sz="4" w:space="0"/>
            </w:tcBorders>
            <w:noWrap/>
            <w:vAlign w:val="center"/>
          </w:tcPr>
          <w:p w14:paraId="4BC2F89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条</w:t>
            </w:r>
            <w:r>
              <w:rPr>
                <w:rFonts w:hint="default" w:ascii="Arial" w:hAnsi="Arial" w:eastAsia="宋体" w:cs="Arial"/>
                <w:color w:val="auto"/>
                <w:kern w:val="0"/>
                <w:sz w:val="22"/>
                <w:szCs w:val="22"/>
                <w:highlight w:val="none"/>
              </w:rPr>
              <w:t>块石</w:t>
            </w:r>
          </w:p>
        </w:tc>
        <w:tc>
          <w:tcPr>
            <w:tcW w:w="944" w:type="dxa"/>
            <w:tcBorders>
              <w:top w:val="single" w:color="auto" w:sz="4" w:space="0"/>
              <w:left w:val="single" w:color="auto" w:sz="4" w:space="0"/>
              <w:bottom w:val="single" w:color="auto" w:sz="4" w:space="0"/>
              <w:right w:val="single" w:color="auto" w:sz="4" w:space="0"/>
            </w:tcBorders>
            <w:noWrap/>
            <w:vAlign w:val="center"/>
          </w:tcPr>
          <w:p w14:paraId="0B37B23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m</w:t>
            </w:r>
            <w:r>
              <w:rPr>
                <w:rFonts w:hint="default" w:ascii="Arial" w:hAnsi="Arial" w:eastAsia="宋体" w:cs="Arial"/>
                <w:color w:val="auto"/>
                <w:kern w:val="0"/>
                <w:sz w:val="22"/>
                <w:szCs w:val="22"/>
                <w:highlight w:val="none"/>
                <w:vertAlign w:val="superscript"/>
              </w:rPr>
              <w:t>3</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59BD1BD3">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13457.30</w:t>
            </w:r>
          </w:p>
        </w:tc>
      </w:tr>
      <w:tr w14:paraId="74322DF4">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1933EEBD">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6</w:t>
            </w:r>
          </w:p>
        </w:tc>
        <w:tc>
          <w:tcPr>
            <w:tcW w:w="1547" w:type="dxa"/>
            <w:tcBorders>
              <w:top w:val="single" w:color="auto" w:sz="4" w:space="0"/>
              <w:left w:val="single" w:color="auto" w:sz="4" w:space="0"/>
              <w:bottom w:val="single" w:color="auto" w:sz="4" w:space="0"/>
              <w:right w:val="single" w:color="auto" w:sz="4" w:space="0"/>
            </w:tcBorders>
            <w:noWrap/>
            <w:vAlign w:val="center"/>
          </w:tcPr>
          <w:p w14:paraId="75B5B857">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汽油</w:t>
            </w:r>
          </w:p>
        </w:tc>
        <w:tc>
          <w:tcPr>
            <w:tcW w:w="944" w:type="dxa"/>
            <w:tcBorders>
              <w:top w:val="single" w:color="auto" w:sz="4" w:space="0"/>
              <w:left w:val="single" w:color="auto" w:sz="4" w:space="0"/>
              <w:bottom w:val="single" w:color="auto" w:sz="4" w:space="0"/>
              <w:right w:val="single" w:color="auto" w:sz="4" w:space="0"/>
            </w:tcBorders>
            <w:noWrap/>
            <w:vAlign w:val="center"/>
          </w:tcPr>
          <w:p w14:paraId="789D4F87">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t</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55AB6489">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310.64</w:t>
            </w:r>
          </w:p>
        </w:tc>
      </w:tr>
      <w:tr w14:paraId="0040A117">
        <w:tblPrEx>
          <w:tblCellMar>
            <w:top w:w="0" w:type="dxa"/>
            <w:left w:w="108" w:type="dxa"/>
            <w:bottom w:w="0" w:type="dxa"/>
            <w:right w:w="108" w:type="dxa"/>
          </w:tblCellMar>
        </w:tblPrEx>
        <w:trPr>
          <w:trHeight w:val="353" w:hRule="exact"/>
          <w:jc w:val="center"/>
        </w:trPr>
        <w:tc>
          <w:tcPr>
            <w:tcW w:w="1543" w:type="dxa"/>
            <w:tcBorders>
              <w:top w:val="single" w:color="auto" w:sz="4" w:space="0"/>
              <w:left w:val="single" w:color="auto" w:sz="12" w:space="0"/>
              <w:bottom w:val="single" w:color="auto" w:sz="12" w:space="0"/>
              <w:right w:val="single" w:color="auto" w:sz="4" w:space="0"/>
            </w:tcBorders>
            <w:noWrap w:val="0"/>
            <w:vAlign w:val="center"/>
          </w:tcPr>
          <w:p w14:paraId="2013E792">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7</w:t>
            </w:r>
          </w:p>
        </w:tc>
        <w:tc>
          <w:tcPr>
            <w:tcW w:w="1547" w:type="dxa"/>
            <w:tcBorders>
              <w:top w:val="single" w:color="auto" w:sz="4" w:space="0"/>
              <w:left w:val="single" w:color="auto" w:sz="4" w:space="0"/>
              <w:bottom w:val="single" w:color="auto" w:sz="12" w:space="0"/>
              <w:right w:val="single" w:color="auto" w:sz="4" w:space="0"/>
            </w:tcBorders>
            <w:noWrap/>
            <w:vAlign w:val="center"/>
          </w:tcPr>
          <w:p w14:paraId="16B6C67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柴油</w:t>
            </w:r>
          </w:p>
        </w:tc>
        <w:tc>
          <w:tcPr>
            <w:tcW w:w="944" w:type="dxa"/>
            <w:tcBorders>
              <w:top w:val="single" w:color="auto" w:sz="4" w:space="0"/>
              <w:left w:val="single" w:color="auto" w:sz="4" w:space="0"/>
              <w:bottom w:val="single" w:color="auto" w:sz="12" w:space="0"/>
              <w:right w:val="single" w:color="auto" w:sz="4" w:space="0"/>
            </w:tcBorders>
            <w:noWrap/>
            <w:vAlign w:val="center"/>
          </w:tcPr>
          <w:p w14:paraId="13A764D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t</w:t>
            </w:r>
          </w:p>
        </w:tc>
        <w:tc>
          <w:tcPr>
            <w:tcW w:w="4424" w:type="dxa"/>
            <w:tcBorders>
              <w:top w:val="single" w:color="auto" w:sz="4" w:space="0"/>
              <w:left w:val="single" w:color="auto" w:sz="4" w:space="0"/>
              <w:bottom w:val="single" w:color="auto" w:sz="12" w:space="0"/>
              <w:right w:val="single" w:color="auto" w:sz="12" w:space="0"/>
            </w:tcBorders>
            <w:noWrap w:val="0"/>
            <w:vAlign w:val="center"/>
          </w:tcPr>
          <w:p w14:paraId="38D3FBA3">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374.96</w:t>
            </w:r>
          </w:p>
        </w:tc>
      </w:tr>
    </w:tbl>
    <w:p w14:paraId="310AEA8A">
      <w:pPr>
        <w:keepNext w:val="0"/>
        <w:keepLines w:val="0"/>
        <w:pageBreakBefore w:val="0"/>
        <w:widowControl w:val="0"/>
        <w:kinsoku/>
        <w:wordWrap/>
        <w:overflowPunct/>
        <w:topLinePunct w:val="0"/>
        <w:autoSpaceDE/>
        <w:autoSpaceDN/>
        <w:bidi w:val="0"/>
        <w:adjustRightInd/>
        <w:snapToGrid/>
        <w:spacing w:line="240" w:lineRule="exact"/>
        <w:ind w:firstLine="392" w:firstLineChars="150"/>
        <w:textAlignment w:val="auto"/>
        <w:rPr>
          <w:rFonts w:hint="eastAsia" w:ascii="Arial" w:cs="Arial"/>
          <w:b/>
          <w:color w:val="auto"/>
          <w:sz w:val="26"/>
          <w:szCs w:val="26"/>
          <w:lang w:eastAsia="zh-CN"/>
        </w:rPr>
      </w:pPr>
    </w:p>
    <w:p w14:paraId="0A333B07">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
          <w:color w:val="auto"/>
          <w:sz w:val="26"/>
          <w:szCs w:val="26"/>
          <w:lang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2）施工供风、供水、供电</w:t>
      </w:r>
    </w:p>
    <w:p w14:paraId="35B805BD">
      <w:pPr>
        <w:keepNext w:val="0"/>
        <w:keepLines w:val="0"/>
        <w:pageBreakBefore w:val="0"/>
        <w:widowControl w:val="0"/>
        <w:kinsoku/>
        <w:wordWrap/>
        <w:overflowPunct/>
        <w:topLinePunct w:val="0"/>
        <w:bidi w:val="0"/>
        <w:snapToGrid w:val="0"/>
        <w:spacing w:line="460" w:lineRule="exact"/>
        <w:ind w:firstLine="522" w:firstLineChars="200"/>
        <w:textAlignment w:val="auto"/>
        <w:rPr>
          <w:rFonts w:hint="eastAsia" w:ascii="Arial" w:hAnsi="Arial" w:cs="Arial"/>
          <w:b/>
          <w:sz w:val="26"/>
          <w:szCs w:val="26"/>
        </w:rPr>
      </w:pPr>
      <w:r>
        <w:rPr>
          <w:rFonts w:hint="eastAsia" w:ascii="宋体" w:hAnsi="宋体" w:cs="宋体"/>
          <w:b/>
          <w:sz w:val="26"/>
          <w:szCs w:val="26"/>
        </w:rPr>
        <w:t>①</w:t>
      </w:r>
      <w:r>
        <w:rPr>
          <w:rFonts w:ascii="Arial" w:hAnsi="Arial" w:cs="Arial"/>
          <w:b/>
          <w:sz w:val="26"/>
          <w:szCs w:val="26"/>
        </w:rPr>
        <w:t xml:space="preserve"> </w:t>
      </w:r>
      <w:r>
        <w:rPr>
          <w:rFonts w:hint="eastAsia" w:ascii="Arial" w:hAnsi="Arial" w:cs="Arial"/>
          <w:b/>
          <w:sz w:val="26"/>
          <w:szCs w:val="26"/>
        </w:rPr>
        <w:t>施工供风</w:t>
      </w:r>
    </w:p>
    <w:p w14:paraId="616892CC">
      <w:pPr>
        <w:keepNext w:val="0"/>
        <w:keepLines w:val="0"/>
        <w:pageBreakBefore w:val="0"/>
        <w:widowControl w:val="0"/>
        <w:kinsoku/>
        <w:wordWrap/>
        <w:overflowPunct/>
        <w:topLinePunct w:val="0"/>
        <w:bidi w:val="0"/>
        <w:spacing w:line="460" w:lineRule="exact"/>
        <w:ind w:firstLine="520" w:firstLineChars="200"/>
        <w:textAlignment w:val="auto"/>
        <w:rPr>
          <w:rFonts w:hint="eastAsia" w:ascii="Arial" w:cs="Arial"/>
          <w:bCs/>
          <w:sz w:val="26"/>
        </w:rPr>
      </w:pPr>
      <w:r>
        <w:rPr>
          <w:rFonts w:hint="eastAsia" w:ascii="Arial" w:cs="Arial"/>
          <w:bCs/>
          <w:sz w:val="26"/>
        </w:rPr>
        <w:t>本工程施工用风项目主要有石方开挖、支护钻孔、大坝灌浆等。本工程施工供风确定采用固定与移动供风相结合的方式。</w:t>
      </w:r>
    </w:p>
    <w:p w14:paraId="0B60578A">
      <w:pPr>
        <w:keepNext w:val="0"/>
        <w:keepLines w:val="0"/>
        <w:pageBreakBefore w:val="0"/>
        <w:widowControl w:val="0"/>
        <w:kinsoku/>
        <w:wordWrap/>
        <w:overflowPunct/>
        <w:topLinePunct w:val="0"/>
        <w:bidi w:val="0"/>
        <w:spacing w:line="460" w:lineRule="exact"/>
        <w:ind w:firstLine="520" w:firstLineChars="200"/>
        <w:textAlignment w:val="auto"/>
        <w:rPr>
          <w:rFonts w:hint="eastAsia" w:ascii="Arial" w:cs="Arial"/>
          <w:bCs/>
          <w:sz w:val="26"/>
        </w:rPr>
      </w:pPr>
      <w:r>
        <w:rPr>
          <w:rFonts w:hint="eastAsia" w:ascii="Arial" w:cs="Arial"/>
          <w:bCs/>
          <w:sz w:val="26"/>
        </w:rPr>
        <w:t>枢纽工程区：在大坝右岸集中设一座空压站，在站内设4台LGFD40/8型固定空压机供风，主要供工程石方开挖、大坝灌浆等供风使用。</w:t>
      </w:r>
    </w:p>
    <w:p w14:paraId="2800F1ED">
      <w:pPr>
        <w:keepNext w:val="0"/>
        <w:keepLines w:val="0"/>
        <w:pageBreakBefore w:val="0"/>
        <w:widowControl w:val="0"/>
        <w:kinsoku/>
        <w:wordWrap/>
        <w:overflowPunct/>
        <w:topLinePunct w:val="0"/>
        <w:bidi w:val="0"/>
        <w:spacing w:line="460" w:lineRule="exact"/>
        <w:ind w:firstLine="520" w:firstLineChars="200"/>
        <w:textAlignment w:val="auto"/>
        <w:rPr>
          <w:rFonts w:hint="eastAsia" w:ascii="Arial" w:cs="Arial"/>
          <w:bCs/>
          <w:sz w:val="26"/>
        </w:rPr>
      </w:pPr>
      <w:r>
        <w:rPr>
          <w:rFonts w:hint="eastAsia" w:ascii="Arial" w:cs="Arial"/>
          <w:bCs/>
          <w:sz w:val="26"/>
        </w:rPr>
        <w:t>输水工程区：作业点各配置1台3m</w:t>
      </w:r>
      <w:r>
        <w:rPr>
          <w:rFonts w:hint="eastAsia" w:ascii="Arial" w:cs="Arial"/>
          <w:bCs/>
          <w:sz w:val="26"/>
          <w:vertAlign w:val="superscript"/>
        </w:rPr>
        <w:t>3</w:t>
      </w:r>
      <w:r>
        <w:rPr>
          <w:rFonts w:hint="eastAsia" w:ascii="Arial" w:cs="Arial"/>
          <w:bCs/>
          <w:sz w:val="26"/>
        </w:rPr>
        <w:t>/min移动空压机及相应配套的辅助设备，以供应施工区钻孔用风。</w:t>
      </w:r>
    </w:p>
    <w:p w14:paraId="76FAC256">
      <w:pPr>
        <w:keepNext w:val="0"/>
        <w:keepLines w:val="0"/>
        <w:pageBreakBefore w:val="0"/>
        <w:widowControl w:val="0"/>
        <w:kinsoku/>
        <w:wordWrap/>
        <w:overflowPunct/>
        <w:topLinePunct w:val="0"/>
        <w:bidi w:val="0"/>
        <w:snapToGrid w:val="0"/>
        <w:spacing w:line="460" w:lineRule="exact"/>
        <w:ind w:firstLine="522" w:firstLineChars="200"/>
        <w:textAlignment w:val="auto"/>
        <w:rPr>
          <w:rFonts w:hint="eastAsia" w:ascii="Arial" w:hAnsi="Arial" w:cs="Arial"/>
          <w:b/>
          <w:sz w:val="26"/>
          <w:szCs w:val="26"/>
        </w:rPr>
      </w:pPr>
      <w:r>
        <w:rPr>
          <w:rFonts w:hint="eastAsia" w:ascii="宋体" w:hAnsi="宋体" w:cs="宋体"/>
          <w:b/>
          <w:sz w:val="26"/>
          <w:szCs w:val="26"/>
        </w:rPr>
        <w:t>②</w:t>
      </w:r>
      <w:r>
        <w:rPr>
          <w:rFonts w:ascii="Arial" w:hAnsi="Arial" w:cs="Arial"/>
          <w:b/>
          <w:sz w:val="26"/>
          <w:szCs w:val="26"/>
        </w:rPr>
        <w:t xml:space="preserve"> </w:t>
      </w:r>
      <w:r>
        <w:rPr>
          <w:rFonts w:hint="eastAsia" w:ascii="Arial" w:hAnsi="Arial" w:cs="Arial"/>
          <w:b/>
          <w:sz w:val="26"/>
          <w:szCs w:val="26"/>
        </w:rPr>
        <w:t>施工供水</w:t>
      </w:r>
    </w:p>
    <w:p w14:paraId="4E7F3D7A">
      <w:pPr>
        <w:keepNext w:val="0"/>
        <w:keepLines w:val="0"/>
        <w:pageBreakBefore w:val="0"/>
        <w:widowControl w:val="0"/>
        <w:kinsoku/>
        <w:wordWrap/>
        <w:overflowPunct/>
        <w:topLinePunct w:val="0"/>
        <w:autoSpaceDE w:val="0"/>
        <w:autoSpaceDN w:val="0"/>
        <w:bidi w:val="0"/>
        <w:adjustRightInd w:val="0"/>
        <w:snapToGrid/>
        <w:spacing w:line="460" w:lineRule="exact"/>
        <w:ind w:firstLine="504" w:firstLineChars="200"/>
        <w:jc w:val="both"/>
        <w:textAlignment w:val="auto"/>
        <w:rPr>
          <w:rFonts w:hint="default" w:ascii="Arial" w:hAnsi="Arial" w:cs="Arial"/>
          <w:color w:val="auto"/>
          <w:spacing w:val="-4"/>
          <w:kern w:val="0"/>
          <w:sz w:val="26"/>
          <w:szCs w:val="26"/>
          <w:highlight w:val="none"/>
        </w:rPr>
      </w:pPr>
      <w:r>
        <w:rPr>
          <w:rFonts w:hint="default" w:ascii="Arial" w:hAnsi="Arial" w:cs="Arial"/>
          <w:color w:val="auto"/>
          <w:spacing w:val="-4"/>
          <w:kern w:val="0"/>
          <w:sz w:val="26"/>
          <w:szCs w:val="26"/>
          <w:highlight w:val="none"/>
        </w:rPr>
        <w:t>施工用水包括生活用水、生产用水。</w:t>
      </w:r>
    </w:p>
    <w:p w14:paraId="579B67D1">
      <w:pPr>
        <w:keepNext w:val="0"/>
        <w:keepLines w:val="0"/>
        <w:pageBreakBefore w:val="0"/>
        <w:widowControl w:val="0"/>
        <w:kinsoku/>
        <w:wordWrap/>
        <w:overflowPunct/>
        <w:topLinePunct w:val="0"/>
        <w:autoSpaceDE w:val="0"/>
        <w:autoSpaceDN w:val="0"/>
        <w:bidi w:val="0"/>
        <w:adjustRightInd w:val="0"/>
        <w:snapToGrid/>
        <w:spacing w:line="460" w:lineRule="exact"/>
        <w:ind w:firstLine="504" w:firstLineChars="200"/>
        <w:jc w:val="both"/>
        <w:textAlignment w:val="auto"/>
        <w:rPr>
          <w:rFonts w:hint="default" w:ascii="Arial" w:hAnsi="Arial" w:cs="Arial"/>
          <w:color w:val="auto"/>
          <w:kern w:val="0"/>
          <w:sz w:val="26"/>
          <w:szCs w:val="26"/>
          <w:highlight w:val="none"/>
        </w:rPr>
      </w:pPr>
      <w:r>
        <w:rPr>
          <w:rFonts w:hint="default" w:ascii="Arial" w:hAnsi="Arial" w:cs="Arial"/>
          <w:color w:val="auto"/>
          <w:spacing w:val="-4"/>
          <w:kern w:val="0"/>
          <w:sz w:val="26"/>
          <w:szCs w:val="26"/>
          <w:highlight w:val="none"/>
        </w:rPr>
        <w:t>枢纽工程区：根据本工程施工状况，高峰期生产用水为60m</w:t>
      </w:r>
      <w:r>
        <w:rPr>
          <w:rFonts w:hint="default" w:ascii="Arial" w:hAnsi="Arial" w:cs="Arial"/>
          <w:color w:val="auto"/>
          <w:spacing w:val="-4"/>
          <w:kern w:val="0"/>
          <w:sz w:val="26"/>
          <w:szCs w:val="26"/>
          <w:highlight w:val="none"/>
          <w:vertAlign w:val="superscript"/>
        </w:rPr>
        <w:t>3</w:t>
      </w:r>
      <w:r>
        <w:rPr>
          <w:rFonts w:hint="default" w:ascii="Arial" w:hAnsi="Arial" w:cs="Arial"/>
          <w:color w:val="auto"/>
          <w:spacing w:val="-4"/>
          <w:kern w:val="0"/>
          <w:sz w:val="26"/>
          <w:szCs w:val="26"/>
          <w:highlight w:val="none"/>
        </w:rPr>
        <w:t>/h，选用ISW50-200A水泵2台</w:t>
      </w:r>
      <w:r>
        <w:rPr>
          <w:rFonts w:hint="eastAsia" w:ascii="Arial" w:hAnsi="Arial" w:cs="Arial"/>
          <w:color w:val="auto"/>
          <w:spacing w:val="-4"/>
          <w:kern w:val="0"/>
          <w:sz w:val="26"/>
          <w:szCs w:val="26"/>
          <w:highlight w:val="none"/>
          <w:lang w:eastAsia="zh-CN"/>
        </w:rPr>
        <w:t>、</w:t>
      </w:r>
      <w:r>
        <w:rPr>
          <w:rFonts w:hint="default" w:ascii="Arial" w:hAnsi="Arial" w:cs="Arial"/>
          <w:color w:val="auto"/>
          <w:spacing w:val="-4"/>
          <w:kern w:val="0"/>
          <w:sz w:val="26"/>
          <w:szCs w:val="26"/>
          <w:highlight w:val="none"/>
        </w:rPr>
        <w:t>ISW25-125型水泵3台</w:t>
      </w:r>
      <w:r>
        <w:rPr>
          <w:rFonts w:hint="eastAsia" w:ascii="Arial" w:hAnsi="Arial" w:cs="Arial"/>
          <w:color w:val="auto"/>
          <w:spacing w:val="-4"/>
          <w:kern w:val="0"/>
          <w:sz w:val="26"/>
          <w:szCs w:val="26"/>
          <w:highlight w:val="none"/>
          <w:lang w:eastAsia="zh-CN"/>
        </w:rPr>
        <w:t>，直接从海螺沟河道内抽取河水</w:t>
      </w:r>
      <w:r>
        <w:rPr>
          <w:rFonts w:hint="default" w:ascii="Arial" w:hAnsi="Arial" w:cs="Arial"/>
          <w:color w:val="auto"/>
          <w:spacing w:val="-4"/>
          <w:kern w:val="0"/>
          <w:sz w:val="26"/>
          <w:szCs w:val="26"/>
          <w:highlight w:val="none"/>
        </w:rPr>
        <w:t>。在大坝</w:t>
      </w:r>
      <w:r>
        <w:rPr>
          <w:rFonts w:hint="eastAsia" w:ascii="Arial" w:hAnsi="Arial" w:cs="Arial"/>
          <w:color w:val="auto"/>
          <w:spacing w:val="-4"/>
          <w:kern w:val="0"/>
          <w:sz w:val="26"/>
          <w:szCs w:val="26"/>
          <w:highlight w:val="none"/>
          <w:lang w:eastAsia="zh-CN"/>
        </w:rPr>
        <w:t>左岸永久占地范围内</w:t>
      </w:r>
      <w:r>
        <w:rPr>
          <w:rFonts w:hint="default" w:ascii="Arial" w:hAnsi="Arial" w:cs="Arial"/>
          <w:color w:val="auto"/>
          <w:spacing w:val="-4"/>
          <w:kern w:val="0"/>
          <w:sz w:val="26"/>
          <w:szCs w:val="26"/>
          <w:highlight w:val="none"/>
        </w:rPr>
        <w:t>高地上各设置一个水池，作为施工用水，水池容积为</w:t>
      </w:r>
      <w:r>
        <w:rPr>
          <w:rFonts w:hint="default" w:ascii="Arial" w:hAnsi="Arial" w:cs="Arial"/>
          <w:color w:val="auto"/>
          <w:spacing w:val="-4"/>
          <w:kern w:val="0"/>
          <w:sz w:val="26"/>
          <w:szCs w:val="26"/>
          <w:highlight w:val="none"/>
          <w:lang w:val="en-US" w:eastAsia="zh-CN"/>
        </w:rPr>
        <w:t>6</w:t>
      </w:r>
      <w:r>
        <w:rPr>
          <w:rFonts w:hint="default" w:ascii="Arial" w:hAnsi="Arial" w:cs="Arial"/>
          <w:color w:val="auto"/>
          <w:spacing w:val="-4"/>
          <w:kern w:val="0"/>
          <w:sz w:val="26"/>
          <w:szCs w:val="26"/>
          <w:highlight w:val="none"/>
        </w:rPr>
        <w:t>0m</w:t>
      </w:r>
      <w:r>
        <w:rPr>
          <w:rFonts w:hint="default" w:ascii="Arial" w:hAnsi="Arial" w:cs="Arial"/>
          <w:color w:val="auto"/>
          <w:spacing w:val="-4"/>
          <w:kern w:val="0"/>
          <w:sz w:val="26"/>
          <w:szCs w:val="26"/>
          <w:highlight w:val="none"/>
          <w:vertAlign w:val="superscript"/>
        </w:rPr>
        <w:t>3</w:t>
      </w:r>
      <w:r>
        <w:rPr>
          <w:rFonts w:hint="default" w:ascii="Arial" w:hAnsi="Arial" w:cs="Arial"/>
          <w:color w:val="auto"/>
          <w:spacing w:val="-4"/>
          <w:kern w:val="0"/>
          <w:sz w:val="26"/>
          <w:szCs w:val="26"/>
          <w:highlight w:val="none"/>
        </w:rPr>
        <w:t>。</w:t>
      </w:r>
      <w:r>
        <w:rPr>
          <w:rFonts w:hint="eastAsia" w:ascii="Arial" w:hAnsi="Arial" w:cs="Arial"/>
          <w:color w:val="auto"/>
          <w:kern w:val="0"/>
          <w:sz w:val="26"/>
          <w:szCs w:val="26"/>
          <w:highlight w:val="none"/>
          <w:lang w:eastAsia="zh-CN"/>
        </w:rPr>
        <w:t>施工人员用水采取当地已供给的自来水或桶装水</w:t>
      </w:r>
      <w:r>
        <w:rPr>
          <w:rFonts w:hint="default" w:ascii="Arial" w:hAnsi="Arial" w:cs="Arial"/>
          <w:color w:val="auto"/>
          <w:kern w:val="0"/>
          <w:sz w:val="26"/>
          <w:szCs w:val="26"/>
          <w:highlight w:val="none"/>
        </w:rPr>
        <w:t>。</w:t>
      </w:r>
    </w:p>
    <w:p w14:paraId="2046788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both"/>
        <w:textAlignment w:val="auto"/>
        <w:rPr>
          <w:rFonts w:hint="default" w:ascii="Arial" w:hAnsi="Arial" w:cs="Arial"/>
          <w:color w:val="auto"/>
          <w:kern w:val="0"/>
          <w:sz w:val="26"/>
          <w:szCs w:val="26"/>
          <w:highlight w:val="none"/>
        </w:rPr>
      </w:pPr>
      <w:r>
        <w:rPr>
          <w:rFonts w:hint="default" w:ascii="Arial" w:hAnsi="Arial" w:cs="Arial"/>
          <w:color w:val="auto"/>
          <w:kern w:val="0"/>
          <w:sz w:val="26"/>
          <w:szCs w:val="26"/>
          <w:highlight w:val="none"/>
        </w:rPr>
        <w:t>输水工程区：生产用水采用</w:t>
      </w:r>
      <w:r>
        <w:rPr>
          <w:rFonts w:hint="eastAsia" w:ascii="Arial" w:hAnsi="Arial" w:cs="Arial"/>
          <w:color w:val="auto"/>
          <w:kern w:val="0"/>
          <w:sz w:val="26"/>
          <w:szCs w:val="26"/>
          <w:highlight w:val="none"/>
          <w:lang w:val="en-US" w:eastAsia="zh-CN"/>
        </w:rPr>
        <w:t>DN</w:t>
      </w:r>
      <w:r>
        <w:rPr>
          <w:rFonts w:hint="default" w:ascii="Arial" w:hAnsi="Arial" w:cs="Arial"/>
          <w:color w:val="auto"/>
          <w:kern w:val="0"/>
          <w:sz w:val="26"/>
          <w:szCs w:val="26"/>
          <w:highlight w:val="none"/>
        </w:rPr>
        <w:t>50软管引接沿线河道，软管随施工管道布设，供应移动式搅拌机和砂浆拌和。</w:t>
      </w:r>
    </w:p>
    <w:p w14:paraId="40869D36">
      <w:pPr>
        <w:keepNext w:val="0"/>
        <w:keepLines w:val="0"/>
        <w:pageBreakBefore w:val="0"/>
        <w:widowControl w:val="0"/>
        <w:kinsoku/>
        <w:wordWrap/>
        <w:overflowPunct/>
        <w:topLinePunct w:val="0"/>
        <w:bidi w:val="0"/>
        <w:snapToGrid w:val="0"/>
        <w:spacing w:line="460" w:lineRule="exact"/>
        <w:ind w:firstLine="522" w:firstLineChars="200"/>
        <w:textAlignment w:val="auto"/>
        <w:rPr>
          <w:rFonts w:hint="eastAsia" w:ascii="Arial" w:hAnsi="Arial" w:cs="Arial"/>
          <w:b/>
          <w:sz w:val="26"/>
          <w:szCs w:val="26"/>
        </w:rPr>
      </w:pPr>
      <w:r>
        <w:rPr>
          <w:rFonts w:hint="eastAsia" w:ascii="宋体" w:hAnsi="宋体" w:cs="宋体"/>
          <w:b/>
          <w:sz w:val="26"/>
          <w:szCs w:val="26"/>
        </w:rPr>
        <w:t>③</w:t>
      </w:r>
      <w:r>
        <w:rPr>
          <w:rFonts w:ascii="Arial" w:hAnsi="Arial" w:cs="Arial"/>
          <w:b/>
          <w:sz w:val="26"/>
          <w:szCs w:val="26"/>
        </w:rPr>
        <w:t xml:space="preserve"> </w:t>
      </w:r>
      <w:r>
        <w:rPr>
          <w:rFonts w:hint="eastAsia" w:ascii="Arial" w:hAnsi="Arial" w:cs="Arial"/>
          <w:b/>
          <w:sz w:val="26"/>
          <w:szCs w:val="26"/>
        </w:rPr>
        <w:t>施工供电</w:t>
      </w:r>
    </w:p>
    <w:p w14:paraId="01FB2015">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cs="Arial"/>
          <w:bCs/>
          <w:sz w:val="26"/>
        </w:rPr>
      </w:pPr>
      <w:r>
        <w:rPr>
          <w:rFonts w:hint="eastAsia" w:ascii="Arial" w:cs="Arial"/>
          <w:bCs/>
          <w:sz w:val="26"/>
        </w:rPr>
        <w:t>枢纽工程区：根据对施工机械设备等用电的估算，坝区施工期高峰用电负荷约为700KW，根据施工布置和施工负荷分布情况，施工用电直接从附近10KV线路</w:t>
      </w:r>
      <w:r>
        <w:rPr>
          <w:rFonts w:hint="eastAsia" w:ascii="Arial" w:cs="Arial"/>
          <w:bCs/>
          <w:sz w:val="26"/>
          <w:lang w:eastAsia="zh-CN"/>
        </w:rPr>
        <w:t>“</w:t>
      </w:r>
      <w:r>
        <w:rPr>
          <w:rFonts w:hint="eastAsia" w:ascii="Arial" w:cs="Arial"/>
          <w:bCs/>
          <w:sz w:val="26"/>
        </w:rPr>
        <w:t>T</w:t>
      </w:r>
      <w:r>
        <w:rPr>
          <w:rFonts w:hint="eastAsia" w:ascii="Arial" w:cs="Arial"/>
          <w:bCs/>
          <w:sz w:val="26"/>
          <w:lang w:eastAsia="zh-CN"/>
        </w:rPr>
        <w:t>”</w:t>
      </w:r>
      <w:r>
        <w:rPr>
          <w:rFonts w:hint="eastAsia" w:ascii="Arial" w:cs="Arial"/>
          <w:bCs/>
          <w:sz w:val="26"/>
        </w:rPr>
        <w:t>接向施工区供电，后期作为管理房设施设备用电。在施工区的大坝施工</w:t>
      </w:r>
      <w:r>
        <w:rPr>
          <w:rFonts w:hint="eastAsia" w:ascii="Arial" w:cs="Arial"/>
          <w:bCs/>
          <w:sz w:val="26"/>
          <w:lang w:val="en-US" w:eastAsia="zh-CN"/>
        </w:rPr>
        <w:t>内共计布置4</w:t>
      </w:r>
      <w:r>
        <w:rPr>
          <w:rFonts w:hint="eastAsia" w:ascii="Arial" w:cs="Arial"/>
          <w:bCs/>
          <w:sz w:val="26"/>
        </w:rPr>
        <w:t>台10/0.4kV预装式箱式变电站，另外，配置 2台50kW可移动式柴油发电机，以保证供电可靠性。</w:t>
      </w:r>
    </w:p>
    <w:p w14:paraId="7C4E94CC">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cs="Arial"/>
          <w:bCs/>
          <w:sz w:val="26"/>
        </w:rPr>
      </w:pPr>
      <w:r>
        <w:rPr>
          <w:rFonts w:hint="eastAsia" w:ascii="Arial" w:cs="Arial"/>
          <w:bCs/>
          <w:sz w:val="26"/>
        </w:rPr>
        <w:t>输水工程区：采用</w:t>
      </w:r>
      <w:r>
        <w:rPr>
          <w:rFonts w:hint="eastAsia" w:ascii="Arial" w:cs="Arial"/>
          <w:bCs/>
          <w:sz w:val="26"/>
          <w:lang w:val="en-US" w:eastAsia="zh-CN"/>
        </w:rPr>
        <w:t>2台</w:t>
      </w:r>
      <w:r>
        <w:rPr>
          <w:rFonts w:hint="eastAsia" w:ascii="Arial" w:cs="Arial"/>
          <w:bCs/>
          <w:sz w:val="26"/>
        </w:rPr>
        <w:t>12</w:t>
      </w:r>
      <w:r>
        <w:rPr>
          <w:rFonts w:hint="eastAsia" w:ascii="Arial" w:cs="Arial"/>
          <w:bCs/>
          <w:sz w:val="26"/>
          <w:lang w:val="en-US" w:eastAsia="zh-CN"/>
        </w:rPr>
        <w:t>KW</w:t>
      </w:r>
      <w:r>
        <w:rPr>
          <w:rFonts w:hint="eastAsia" w:ascii="Arial" w:cs="Arial"/>
          <w:bCs/>
          <w:sz w:val="26"/>
        </w:rPr>
        <w:t>小型柴油发电机组供电，一供一备。</w:t>
      </w:r>
    </w:p>
    <w:p w14:paraId="3160A890">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
          <w:color w:val="auto"/>
          <w:sz w:val="26"/>
          <w:szCs w:val="26"/>
          <w:lang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3）施工机械</w:t>
      </w:r>
    </w:p>
    <w:p w14:paraId="5A7FCB8D">
      <w:pPr>
        <w:keepNext w:val="0"/>
        <w:keepLines w:val="0"/>
        <w:pageBreakBefore w:val="0"/>
        <w:widowControl w:val="0"/>
        <w:kinsoku/>
        <w:wordWrap/>
        <w:overflowPunct/>
        <w:topLinePunct w:val="0"/>
        <w:autoSpaceDE w:val="0"/>
        <w:autoSpaceDN w:val="0"/>
        <w:bidi w:val="0"/>
        <w:spacing w:line="460" w:lineRule="exact"/>
        <w:ind w:firstLine="480"/>
        <w:jc w:val="left"/>
        <w:textAlignment w:val="auto"/>
        <w:rPr>
          <w:rFonts w:hint="eastAsia" w:ascii="Arial" w:hAnsi="Times New Roman" w:cs="Arial"/>
          <w:bCs/>
          <w:sz w:val="26"/>
          <w:lang w:val="en-US" w:eastAsia="zh-CN"/>
        </w:rPr>
      </w:pPr>
      <w:r>
        <w:rPr>
          <w:rFonts w:hint="eastAsia" w:ascii="Arial" w:hAnsi="Times New Roman" w:cs="Arial"/>
          <w:bCs/>
          <w:sz w:val="26"/>
          <w:lang w:eastAsia="zh-CN"/>
        </w:rPr>
        <w:t>本项目施工期主要施工机械配置情况详见表</w:t>
      </w:r>
      <w:r>
        <w:rPr>
          <w:rFonts w:hint="eastAsia" w:ascii="Arial" w:hAnsi="Times New Roman" w:cs="Arial"/>
          <w:bCs/>
          <w:sz w:val="26"/>
          <w:lang w:val="en-US" w:eastAsia="zh-CN"/>
        </w:rPr>
        <w:t>2.2-1</w:t>
      </w:r>
      <w:r>
        <w:rPr>
          <w:rFonts w:hint="eastAsia" w:ascii="Arial" w:cs="Arial"/>
          <w:bCs/>
          <w:sz w:val="26"/>
          <w:lang w:val="en-US" w:eastAsia="zh-CN"/>
        </w:rPr>
        <w:t>4</w:t>
      </w:r>
      <w:r>
        <w:rPr>
          <w:rFonts w:hint="eastAsia" w:ascii="Arial" w:hAnsi="Times New Roman" w:cs="Arial"/>
          <w:bCs/>
          <w:sz w:val="26"/>
          <w:lang w:val="en-US" w:eastAsia="zh-CN"/>
        </w:rPr>
        <w:t>所示。</w:t>
      </w:r>
    </w:p>
    <w:p w14:paraId="1FBE344A">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2.2-14 项目施工期主要施工机械配置情况一览表</w:t>
      </w:r>
    </w:p>
    <w:tbl>
      <w:tblPr>
        <w:tblStyle w:val="77"/>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301"/>
        <w:gridCol w:w="2738"/>
        <w:gridCol w:w="1045"/>
        <w:gridCol w:w="1254"/>
      </w:tblGrid>
      <w:tr w14:paraId="3F81B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5" w:hRule="atLeast"/>
          <w:jc w:val="center"/>
        </w:trPr>
        <w:tc>
          <w:tcPr>
            <w:tcW w:w="948" w:type="dxa"/>
            <w:tcBorders>
              <w:tl2br w:val="nil"/>
              <w:tr2bl w:val="nil"/>
            </w:tcBorders>
            <w:noWrap/>
            <w:vAlign w:val="center"/>
          </w:tcPr>
          <w:p w14:paraId="2BC42CF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编号</w:t>
            </w:r>
          </w:p>
        </w:tc>
        <w:tc>
          <w:tcPr>
            <w:tcW w:w="3301" w:type="dxa"/>
            <w:tcBorders>
              <w:tl2br w:val="nil"/>
              <w:tr2bl w:val="nil"/>
            </w:tcBorders>
            <w:noWrap/>
            <w:vAlign w:val="center"/>
          </w:tcPr>
          <w:p w14:paraId="0722D70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设备名称</w:t>
            </w:r>
          </w:p>
        </w:tc>
        <w:tc>
          <w:tcPr>
            <w:tcW w:w="2738" w:type="dxa"/>
            <w:tcBorders>
              <w:tl2br w:val="nil"/>
              <w:tr2bl w:val="nil"/>
            </w:tcBorders>
            <w:noWrap/>
            <w:vAlign w:val="center"/>
          </w:tcPr>
          <w:p w14:paraId="5FBE42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规格型号</w:t>
            </w:r>
          </w:p>
        </w:tc>
        <w:tc>
          <w:tcPr>
            <w:tcW w:w="1045" w:type="dxa"/>
            <w:tcBorders>
              <w:tl2br w:val="nil"/>
              <w:tr2bl w:val="nil"/>
            </w:tcBorders>
            <w:noWrap/>
            <w:vAlign w:val="center"/>
          </w:tcPr>
          <w:p w14:paraId="227860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单位</w:t>
            </w:r>
          </w:p>
        </w:tc>
        <w:tc>
          <w:tcPr>
            <w:tcW w:w="1254" w:type="dxa"/>
            <w:tcBorders>
              <w:tl2br w:val="nil"/>
              <w:tr2bl w:val="nil"/>
            </w:tcBorders>
            <w:noWrap/>
            <w:vAlign w:val="center"/>
          </w:tcPr>
          <w:p w14:paraId="5DE288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数量</w:t>
            </w:r>
          </w:p>
        </w:tc>
      </w:tr>
      <w:tr w14:paraId="08C7F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6FB0E17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一、土石方开挖、碾压、支护设备</w:t>
            </w:r>
          </w:p>
        </w:tc>
      </w:tr>
      <w:tr w14:paraId="627A8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22D18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3879E0F8">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单斗挖掘机</w:t>
            </w:r>
          </w:p>
        </w:tc>
        <w:tc>
          <w:tcPr>
            <w:tcW w:w="2738" w:type="dxa"/>
            <w:tcBorders>
              <w:tl2br w:val="nil"/>
              <w:tr2bl w:val="nil"/>
            </w:tcBorders>
            <w:noWrap/>
            <w:vAlign w:val="center"/>
          </w:tcPr>
          <w:p w14:paraId="024821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液压1.0m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503D78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0225CB1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r>
      <w:tr w14:paraId="1E043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597F8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78AEB794">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单斗挖掘机</w:t>
            </w:r>
          </w:p>
        </w:tc>
        <w:tc>
          <w:tcPr>
            <w:tcW w:w="2738" w:type="dxa"/>
            <w:tcBorders>
              <w:tl2br w:val="nil"/>
              <w:tr2bl w:val="nil"/>
            </w:tcBorders>
            <w:noWrap/>
            <w:vAlign w:val="center"/>
          </w:tcPr>
          <w:p w14:paraId="1818DE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 xml:space="preserve"> 油动1m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3645C4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FB800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44B89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99201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25EFEBCF">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自卸汽车</w:t>
            </w:r>
          </w:p>
        </w:tc>
        <w:tc>
          <w:tcPr>
            <w:tcW w:w="2738" w:type="dxa"/>
            <w:tcBorders>
              <w:tl2br w:val="nil"/>
              <w:tr2bl w:val="nil"/>
            </w:tcBorders>
            <w:noWrap/>
            <w:vAlign w:val="center"/>
          </w:tcPr>
          <w:p w14:paraId="72A3A0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5t</w:t>
            </w:r>
          </w:p>
        </w:tc>
        <w:tc>
          <w:tcPr>
            <w:tcW w:w="1045" w:type="dxa"/>
            <w:tcBorders>
              <w:tl2br w:val="nil"/>
              <w:tr2bl w:val="nil"/>
            </w:tcBorders>
            <w:noWrap/>
            <w:vAlign w:val="center"/>
          </w:tcPr>
          <w:p w14:paraId="3FD36D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辆</w:t>
            </w:r>
          </w:p>
        </w:tc>
        <w:tc>
          <w:tcPr>
            <w:tcW w:w="1254" w:type="dxa"/>
            <w:tcBorders>
              <w:tl2br w:val="nil"/>
              <w:tr2bl w:val="nil"/>
            </w:tcBorders>
            <w:noWrap/>
            <w:vAlign w:val="center"/>
          </w:tcPr>
          <w:p w14:paraId="4BE519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r>
      <w:tr w14:paraId="5E96D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DC8C5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4AAD9398">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推土机 </w:t>
            </w:r>
          </w:p>
        </w:tc>
        <w:tc>
          <w:tcPr>
            <w:tcW w:w="2738" w:type="dxa"/>
            <w:tcBorders>
              <w:tl2br w:val="nil"/>
              <w:tr2bl w:val="nil"/>
            </w:tcBorders>
            <w:noWrap/>
            <w:vAlign w:val="center"/>
          </w:tcPr>
          <w:p w14:paraId="30AE61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59kW</w:t>
            </w:r>
          </w:p>
        </w:tc>
        <w:tc>
          <w:tcPr>
            <w:tcW w:w="1045" w:type="dxa"/>
            <w:tcBorders>
              <w:tl2br w:val="nil"/>
              <w:tr2bl w:val="nil"/>
            </w:tcBorders>
            <w:noWrap/>
            <w:vAlign w:val="center"/>
          </w:tcPr>
          <w:p w14:paraId="384742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4C87B6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r>
      <w:tr w14:paraId="170B6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79939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2DA7238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推土机 </w:t>
            </w:r>
          </w:p>
        </w:tc>
        <w:tc>
          <w:tcPr>
            <w:tcW w:w="2738" w:type="dxa"/>
            <w:tcBorders>
              <w:tl2br w:val="nil"/>
              <w:tr2bl w:val="nil"/>
            </w:tcBorders>
            <w:noWrap/>
            <w:vAlign w:val="center"/>
          </w:tcPr>
          <w:p w14:paraId="43308F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88kW</w:t>
            </w:r>
          </w:p>
        </w:tc>
        <w:tc>
          <w:tcPr>
            <w:tcW w:w="1045" w:type="dxa"/>
            <w:tcBorders>
              <w:tl2br w:val="nil"/>
              <w:tr2bl w:val="nil"/>
            </w:tcBorders>
            <w:noWrap/>
            <w:vAlign w:val="center"/>
          </w:tcPr>
          <w:p w14:paraId="6B4535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0FA37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r>
      <w:tr w14:paraId="6703E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0" w:hRule="atLeast"/>
          <w:jc w:val="center"/>
        </w:trPr>
        <w:tc>
          <w:tcPr>
            <w:tcW w:w="948" w:type="dxa"/>
            <w:tcBorders>
              <w:tl2br w:val="nil"/>
              <w:tr2bl w:val="nil"/>
            </w:tcBorders>
            <w:noWrap/>
            <w:vAlign w:val="center"/>
          </w:tcPr>
          <w:p w14:paraId="0D2981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3301" w:type="dxa"/>
            <w:tcBorders>
              <w:tl2br w:val="nil"/>
              <w:tr2bl w:val="nil"/>
            </w:tcBorders>
            <w:noWrap/>
            <w:vAlign w:val="center"/>
          </w:tcPr>
          <w:p w14:paraId="0468EDFF">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推土机 </w:t>
            </w:r>
          </w:p>
        </w:tc>
        <w:tc>
          <w:tcPr>
            <w:tcW w:w="2738" w:type="dxa"/>
            <w:tcBorders>
              <w:tl2br w:val="nil"/>
              <w:tr2bl w:val="nil"/>
            </w:tcBorders>
            <w:noWrap/>
            <w:vAlign w:val="center"/>
          </w:tcPr>
          <w:p w14:paraId="6C5875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74kW</w:t>
            </w:r>
          </w:p>
        </w:tc>
        <w:tc>
          <w:tcPr>
            <w:tcW w:w="1045" w:type="dxa"/>
            <w:tcBorders>
              <w:tl2br w:val="nil"/>
              <w:tr2bl w:val="nil"/>
            </w:tcBorders>
            <w:noWrap/>
            <w:vAlign w:val="center"/>
          </w:tcPr>
          <w:p w14:paraId="7521C5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752053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33A67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819E8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w:t>
            </w:r>
          </w:p>
        </w:tc>
        <w:tc>
          <w:tcPr>
            <w:tcW w:w="3301" w:type="dxa"/>
            <w:tcBorders>
              <w:tl2br w:val="nil"/>
              <w:tr2bl w:val="nil"/>
            </w:tcBorders>
            <w:noWrap/>
            <w:vAlign w:val="center"/>
          </w:tcPr>
          <w:p w14:paraId="2AB61281">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履带式单斗液压岩石破碎机</w:t>
            </w:r>
          </w:p>
        </w:tc>
        <w:tc>
          <w:tcPr>
            <w:tcW w:w="2738" w:type="dxa"/>
            <w:tcBorders>
              <w:tl2br w:val="nil"/>
              <w:tr2bl w:val="nil"/>
            </w:tcBorders>
            <w:noWrap/>
            <w:vAlign w:val="center"/>
          </w:tcPr>
          <w:p w14:paraId="791639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045" w:type="dxa"/>
            <w:tcBorders>
              <w:tl2br w:val="nil"/>
              <w:tr2bl w:val="nil"/>
            </w:tcBorders>
            <w:noWrap/>
            <w:vAlign w:val="center"/>
          </w:tcPr>
          <w:p w14:paraId="576FB8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8FFCA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02035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B60C20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c>
          <w:tcPr>
            <w:tcW w:w="3301" w:type="dxa"/>
            <w:tcBorders>
              <w:tl2br w:val="nil"/>
              <w:tr2bl w:val="nil"/>
            </w:tcBorders>
            <w:noWrap/>
            <w:vAlign w:val="center"/>
          </w:tcPr>
          <w:p w14:paraId="0B2414B6">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拖拉机 </w:t>
            </w:r>
          </w:p>
        </w:tc>
        <w:tc>
          <w:tcPr>
            <w:tcW w:w="2738" w:type="dxa"/>
            <w:tcBorders>
              <w:tl2br w:val="nil"/>
              <w:tr2bl w:val="nil"/>
            </w:tcBorders>
            <w:noWrap/>
            <w:vAlign w:val="center"/>
          </w:tcPr>
          <w:p w14:paraId="0A230D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履带式59kW</w:t>
            </w:r>
          </w:p>
        </w:tc>
        <w:tc>
          <w:tcPr>
            <w:tcW w:w="1045" w:type="dxa"/>
            <w:tcBorders>
              <w:tl2br w:val="nil"/>
              <w:tr2bl w:val="nil"/>
            </w:tcBorders>
            <w:noWrap/>
            <w:vAlign w:val="center"/>
          </w:tcPr>
          <w:p w14:paraId="3ED6F3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5267E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24D9D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D9D4F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9</w:t>
            </w:r>
          </w:p>
        </w:tc>
        <w:tc>
          <w:tcPr>
            <w:tcW w:w="3301" w:type="dxa"/>
            <w:tcBorders>
              <w:tl2br w:val="nil"/>
              <w:tr2bl w:val="nil"/>
            </w:tcBorders>
            <w:noWrap/>
            <w:vAlign w:val="center"/>
          </w:tcPr>
          <w:p w14:paraId="4847C94D">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振动碾 </w:t>
            </w:r>
          </w:p>
        </w:tc>
        <w:tc>
          <w:tcPr>
            <w:tcW w:w="2738" w:type="dxa"/>
            <w:tcBorders>
              <w:tl2br w:val="nil"/>
              <w:tr2bl w:val="nil"/>
            </w:tcBorders>
            <w:noWrap/>
            <w:vAlign w:val="center"/>
          </w:tcPr>
          <w:p w14:paraId="7E0DD5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拖式13-14t</w:t>
            </w:r>
          </w:p>
        </w:tc>
        <w:tc>
          <w:tcPr>
            <w:tcW w:w="1045" w:type="dxa"/>
            <w:tcBorders>
              <w:tl2br w:val="nil"/>
              <w:tr2bl w:val="nil"/>
            </w:tcBorders>
            <w:noWrap/>
            <w:vAlign w:val="center"/>
          </w:tcPr>
          <w:p w14:paraId="5AAC07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01F7A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3235B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8" w:type="dxa"/>
            <w:tcBorders>
              <w:tl2br w:val="nil"/>
              <w:tr2bl w:val="nil"/>
            </w:tcBorders>
            <w:noWrap/>
            <w:vAlign w:val="center"/>
          </w:tcPr>
          <w:p w14:paraId="010E3F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10</w:t>
            </w:r>
          </w:p>
        </w:tc>
        <w:tc>
          <w:tcPr>
            <w:tcW w:w="3301" w:type="dxa"/>
            <w:tcBorders>
              <w:tl2br w:val="nil"/>
              <w:tr2bl w:val="nil"/>
            </w:tcBorders>
            <w:noWrap/>
            <w:vAlign w:val="center"/>
          </w:tcPr>
          <w:p w14:paraId="694CE322">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蛙式夯实机</w:t>
            </w:r>
          </w:p>
        </w:tc>
        <w:tc>
          <w:tcPr>
            <w:tcW w:w="2738" w:type="dxa"/>
            <w:tcBorders>
              <w:tl2br w:val="nil"/>
              <w:tr2bl w:val="nil"/>
            </w:tcBorders>
            <w:noWrap/>
            <w:vAlign w:val="center"/>
          </w:tcPr>
          <w:p w14:paraId="7ABB801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2.8kW</w:t>
            </w:r>
          </w:p>
        </w:tc>
        <w:tc>
          <w:tcPr>
            <w:tcW w:w="1045" w:type="dxa"/>
            <w:tcBorders>
              <w:tl2br w:val="nil"/>
              <w:tr2bl w:val="nil"/>
            </w:tcBorders>
            <w:noWrap/>
            <w:vAlign w:val="center"/>
          </w:tcPr>
          <w:p w14:paraId="69C9B7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5080B9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6</w:t>
            </w:r>
          </w:p>
        </w:tc>
      </w:tr>
      <w:tr w14:paraId="19B66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289588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11</w:t>
            </w:r>
          </w:p>
        </w:tc>
        <w:tc>
          <w:tcPr>
            <w:tcW w:w="3301" w:type="dxa"/>
            <w:tcBorders>
              <w:tl2br w:val="nil"/>
              <w:tr2bl w:val="nil"/>
            </w:tcBorders>
            <w:noWrap/>
            <w:vAlign w:val="center"/>
          </w:tcPr>
          <w:p w14:paraId="1F3BD2E6">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风镐</w:t>
            </w:r>
            <w:r>
              <w:rPr>
                <w:rFonts w:hint="eastAsia" w:ascii="宋体" w:hAnsi="宋体" w:eastAsia="宋体" w:cs="宋体"/>
                <w:color w:val="auto"/>
                <w:kern w:val="0"/>
                <w:sz w:val="22"/>
                <w:szCs w:val="22"/>
                <w:highlight w:val="none"/>
              </w:rPr>
              <w:t xml:space="preserve">(铲) </w:t>
            </w:r>
          </w:p>
        </w:tc>
        <w:tc>
          <w:tcPr>
            <w:tcW w:w="2738" w:type="dxa"/>
            <w:tcBorders>
              <w:tl2br w:val="nil"/>
              <w:tr2bl w:val="nil"/>
            </w:tcBorders>
            <w:noWrap/>
            <w:vAlign w:val="center"/>
          </w:tcPr>
          <w:p w14:paraId="073D1F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手持式</w:t>
            </w:r>
          </w:p>
        </w:tc>
        <w:tc>
          <w:tcPr>
            <w:tcW w:w="1045" w:type="dxa"/>
            <w:tcBorders>
              <w:tl2br w:val="nil"/>
              <w:tr2bl w:val="nil"/>
            </w:tcBorders>
            <w:noWrap/>
            <w:vAlign w:val="center"/>
          </w:tcPr>
          <w:p w14:paraId="411A12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60663E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val="en-US" w:eastAsia="zh-CN"/>
              </w:rPr>
              <w:t>1</w:t>
            </w:r>
            <w:r>
              <w:rPr>
                <w:rFonts w:hint="default" w:ascii="Arial" w:hAnsi="Arial" w:cs="Arial"/>
                <w:color w:val="auto"/>
                <w:kern w:val="0"/>
                <w:sz w:val="22"/>
                <w:szCs w:val="22"/>
                <w:highlight w:val="none"/>
              </w:rPr>
              <w:t>3</w:t>
            </w:r>
          </w:p>
        </w:tc>
      </w:tr>
      <w:tr w14:paraId="091FB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29F4F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12</w:t>
            </w:r>
          </w:p>
        </w:tc>
        <w:tc>
          <w:tcPr>
            <w:tcW w:w="3301" w:type="dxa"/>
            <w:tcBorders>
              <w:tl2br w:val="nil"/>
              <w:tr2bl w:val="nil"/>
            </w:tcBorders>
            <w:noWrap/>
            <w:vAlign w:val="center"/>
          </w:tcPr>
          <w:p w14:paraId="12827DEA">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强制式混凝土搅拌机 </w:t>
            </w:r>
          </w:p>
        </w:tc>
        <w:tc>
          <w:tcPr>
            <w:tcW w:w="2738" w:type="dxa"/>
            <w:tcBorders>
              <w:tl2br w:val="nil"/>
              <w:tr2bl w:val="nil"/>
            </w:tcBorders>
            <w:noWrap/>
            <w:vAlign w:val="center"/>
          </w:tcPr>
          <w:p w14:paraId="4E74D7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0.</w:t>
            </w:r>
            <w:r>
              <w:rPr>
                <w:rFonts w:hint="eastAsia" w:ascii="Arial" w:hAnsi="Arial" w:cs="Arial"/>
                <w:color w:val="auto"/>
                <w:kern w:val="0"/>
                <w:sz w:val="22"/>
                <w:szCs w:val="22"/>
                <w:highlight w:val="none"/>
                <w:lang w:val="en-US" w:eastAsia="zh-CN"/>
              </w:rPr>
              <w:t>16</w:t>
            </w:r>
            <w:r>
              <w:rPr>
                <w:rFonts w:hint="default" w:ascii="Arial" w:hAnsi="Arial" w:cs="Arial"/>
                <w:color w:val="auto"/>
                <w:kern w:val="0"/>
                <w:sz w:val="22"/>
                <w:szCs w:val="22"/>
                <w:highlight w:val="none"/>
              </w:rPr>
              <w:t>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1DE271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7A2CA80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r>
      <w:tr w14:paraId="3F4E6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C5E24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13</w:t>
            </w:r>
          </w:p>
        </w:tc>
        <w:tc>
          <w:tcPr>
            <w:tcW w:w="3301" w:type="dxa"/>
            <w:tcBorders>
              <w:tl2br w:val="nil"/>
              <w:tr2bl w:val="nil"/>
            </w:tcBorders>
            <w:noWrap/>
            <w:vAlign w:val="center"/>
          </w:tcPr>
          <w:p w14:paraId="1C2F710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混凝土喷射机 </w:t>
            </w:r>
          </w:p>
        </w:tc>
        <w:tc>
          <w:tcPr>
            <w:tcW w:w="2738" w:type="dxa"/>
            <w:tcBorders>
              <w:tl2br w:val="nil"/>
              <w:tr2bl w:val="nil"/>
            </w:tcBorders>
            <w:noWrap/>
            <w:vAlign w:val="center"/>
          </w:tcPr>
          <w:p w14:paraId="55FD5B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4-5m</w:t>
            </w:r>
            <w:r>
              <w:rPr>
                <w:rFonts w:hint="eastAsia" w:ascii="Arial" w:hAnsi="Arial" w:cs="Arial"/>
                <w:color w:val="auto"/>
                <w:kern w:val="0"/>
                <w:sz w:val="22"/>
                <w:szCs w:val="22"/>
                <w:highlight w:val="none"/>
                <w:vertAlign w:val="superscript"/>
                <w:lang w:val="en-US" w:eastAsia="zh-CN"/>
              </w:rPr>
              <w:t>3</w:t>
            </w:r>
            <w:r>
              <w:rPr>
                <w:rFonts w:hint="default" w:ascii="Arial" w:hAnsi="Arial" w:cs="Arial"/>
                <w:color w:val="auto"/>
                <w:kern w:val="0"/>
                <w:sz w:val="22"/>
                <w:szCs w:val="22"/>
                <w:highlight w:val="none"/>
              </w:rPr>
              <w:t>/h</w:t>
            </w:r>
          </w:p>
        </w:tc>
        <w:tc>
          <w:tcPr>
            <w:tcW w:w="1045" w:type="dxa"/>
            <w:tcBorders>
              <w:tl2br w:val="nil"/>
              <w:tr2bl w:val="nil"/>
            </w:tcBorders>
            <w:noWrap/>
            <w:vAlign w:val="center"/>
          </w:tcPr>
          <w:p w14:paraId="4FDE6C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5CAF147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6EEF4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4B9AF6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14</w:t>
            </w:r>
          </w:p>
        </w:tc>
        <w:tc>
          <w:tcPr>
            <w:tcW w:w="3301" w:type="dxa"/>
            <w:tcBorders>
              <w:tl2br w:val="nil"/>
              <w:tr2bl w:val="nil"/>
            </w:tcBorders>
            <w:noWrap/>
            <w:vAlign w:val="center"/>
          </w:tcPr>
          <w:p w14:paraId="56081AB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胶带输送机 </w:t>
            </w:r>
          </w:p>
        </w:tc>
        <w:tc>
          <w:tcPr>
            <w:tcW w:w="2738" w:type="dxa"/>
            <w:tcBorders>
              <w:tl2br w:val="nil"/>
              <w:tr2bl w:val="nil"/>
            </w:tcBorders>
            <w:noWrap/>
            <w:vAlign w:val="center"/>
          </w:tcPr>
          <w:p w14:paraId="7AC7B7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固定式 800mm×30m</w:t>
            </w:r>
          </w:p>
        </w:tc>
        <w:tc>
          <w:tcPr>
            <w:tcW w:w="1045" w:type="dxa"/>
            <w:tcBorders>
              <w:tl2br w:val="nil"/>
              <w:tr2bl w:val="nil"/>
            </w:tcBorders>
            <w:noWrap/>
            <w:vAlign w:val="center"/>
          </w:tcPr>
          <w:p w14:paraId="444A83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6FCC5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4C942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6A192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15</w:t>
            </w:r>
          </w:p>
        </w:tc>
        <w:tc>
          <w:tcPr>
            <w:tcW w:w="3301" w:type="dxa"/>
            <w:tcBorders>
              <w:tl2br w:val="nil"/>
              <w:tr2bl w:val="nil"/>
            </w:tcBorders>
            <w:noWrap/>
            <w:vAlign w:val="center"/>
          </w:tcPr>
          <w:p w14:paraId="25BB38E2">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油压滑模动力设备</w:t>
            </w:r>
          </w:p>
        </w:tc>
        <w:tc>
          <w:tcPr>
            <w:tcW w:w="2738" w:type="dxa"/>
            <w:tcBorders>
              <w:tl2br w:val="nil"/>
              <w:tr2bl w:val="nil"/>
            </w:tcBorders>
            <w:noWrap/>
            <w:vAlign w:val="center"/>
          </w:tcPr>
          <w:p w14:paraId="052536C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045" w:type="dxa"/>
            <w:tcBorders>
              <w:tl2br w:val="nil"/>
              <w:tr2bl w:val="nil"/>
            </w:tcBorders>
            <w:noWrap/>
            <w:vAlign w:val="center"/>
          </w:tcPr>
          <w:p w14:paraId="363D61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套</w:t>
            </w:r>
          </w:p>
        </w:tc>
        <w:tc>
          <w:tcPr>
            <w:tcW w:w="1254" w:type="dxa"/>
            <w:tcBorders>
              <w:tl2br w:val="nil"/>
              <w:tr2bl w:val="nil"/>
            </w:tcBorders>
            <w:noWrap/>
            <w:vAlign w:val="center"/>
          </w:tcPr>
          <w:p w14:paraId="79AB3F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18BB1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0" w:hRule="atLeast"/>
          <w:jc w:val="center"/>
        </w:trPr>
        <w:tc>
          <w:tcPr>
            <w:tcW w:w="948" w:type="dxa"/>
            <w:tcBorders>
              <w:tl2br w:val="nil"/>
              <w:tr2bl w:val="nil"/>
            </w:tcBorders>
            <w:noWrap/>
            <w:vAlign w:val="center"/>
          </w:tcPr>
          <w:p w14:paraId="39F5EB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16</w:t>
            </w:r>
          </w:p>
        </w:tc>
        <w:tc>
          <w:tcPr>
            <w:tcW w:w="3301" w:type="dxa"/>
            <w:tcBorders>
              <w:tl2br w:val="nil"/>
              <w:tr2bl w:val="nil"/>
            </w:tcBorders>
            <w:noWrap/>
            <w:vAlign w:val="center"/>
          </w:tcPr>
          <w:p w14:paraId="60387466">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手推车</w:t>
            </w:r>
          </w:p>
        </w:tc>
        <w:tc>
          <w:tcPr>
            <w:tcW w:w="2738" w:type="dxa"/>
            <w:tcBorders>
              <w:tl2br w:val="nil"/>
              <w:tr2bl w:val="nil"/>
            </w:tcBorders>
            <w:noWrap/>
            <w:vAlign w:val="center"/>
          </w:tcPr>
          <w:p w14:paraId="1BC276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045" w:type="dxa"/>
            <w:tcBorders>
              <w:tl2br w:val="nil"/>
              <w:tr2bl w:val="nil"/>
            </w:tcBorders>
            <w:noWrap/>
            <w:vAlign w:val="center"/>
          </w:tcPr>
          <w:p w14:paraId="7C700C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辆</w:t>
            </w:r>
          </w:p>
        </w:tc>
        <w:tc>
          <w:tcPr>
            <w:tcW w:w="1254" w:type="dxa"/>
            <w:tcBorders>
              <w:tl2br w:val="nil"/>
              <w:tr2bl w:val="nil"/>
            </w:tcBorders>
            <w:noWrap/>
            <w:vAlign w:val="center"/>
          </w:tcPr>
          <w:p w14:paraId="4BEE3F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r>
      <w:tr w14:paraId="60F7E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6B35E2C0">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二、混凝土设备</w:t>
            </w:r>
          </w:p>
        </w:tc>
      </w:tr>
      <w:tr w14:paraId="46ADB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80705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76D44C7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单斗挖掘机 </w:t>
            </w:r>
          </w:p>
        </w:tc>
        <w:tc>
          <w:tcPr>
            <w:tcW w:w="2738" w:type="dxa"/>
            <w:tcBorders>
              <w:tl2br w:val="nil"/>
              <w:tr2bl w:val="nil"/>
            </w:tcBorders>
            <w:noWrap/>
            <w:vAlign w:val="center"/>
          </w:tcPr>
          <w:p w14:paraId="7D7D97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油动1m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41EF68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4B677F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1932D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B95AD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422DA83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塔式起重机 </w:t>
            </w:r>
          </w:p>
        </w:tc>
        <w:tc>
          <w:tcPr>
            <w:tcW w:w="2738" w:type="dxa"/>
            <w:tcBorders>
              <w:tl2br w:val="nil"/>
              <w:tr2bl w:val="nil"/>
            </w:tcBorders>
            <w:noWrap/>
            <w:vAlign w:val="center"/>
          </w:tcPr>
          <w:p w14:paraId="7B1139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5t</w:t>
            </w:r>
          </w:p>
        </w:tc>
        <w:tc>
          <w:tcPr>
            <w:tcW w:w="1045" w:type="dxa"/>
            <w:tcBorders>
              <w:tl2br w:val="nil"/>
              <w:tr2bl w:val="nil"/>
            </w:tcBorders>
            <w:noWrap/>
            <w:vAlign w:val="center"/>
          </w:tcPr>
          <w:p w14:paraId="43FFEA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1D6C8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FCB0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0C46F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168BB0F4">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汽车起重机</w:t>
            </w:r>
          </w:p>
        </w:tc>
        <w:tc>
          <w:tcPr>
            <w:tcW w:w="2738" w:type="dxa"/>
            <w:tcBorders>
              <w:tl2br w:val="nil"/>
              <w:tr2bl w:val="nil"/>
            </w:tcBorders>
            <w:noWrap/>
            <w:vAlign w:val="center"/>
          </w:tcPr>
          <w:p w14:paraId="0FCCB6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5t</w:t>
            </w:r>
          </w:p>
        </w:tc>
        <w:tc>
          <w:tcPr>
            <w:tcW w:w="1045" w:type="dxa"/>
            <w:tcBorders>
              <w:tl2br w:val="nil"/>
              <w:tr2bl w:val="nil"/>
            </w:tcBorders>
            <w:noWrap/>
            <w:vAlign w:val="center"/>
          </w:tcPr>
          <w:p w14:paraId="50DCDB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5C683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3A88B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3D35C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4FD7B9D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汽车起重机 </w:t>
            </w:r>
          </w:p>
        </w:tc>
        <w:tc>
          <w:tcPr>
            <w:tcW w:w="2738" w:type="dxa"/>
            <w:tcBorders>
              <w:tl2br w:val="nil"/>
              <w:tr2bl w:val="nil"/>
            </w:tcBorders>
            <w:noWrap/>
            <w:vAlign w:val="center"/>
          </w:tcPr>
          <w:p w14:paraId="7DF69C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8t</w:t>
            </w:r>
          </w:p>
        </w:tc>
        <w:tc>
          <w:tcPr>
            <w:tcW w:w="1045" w:type="dxa"/>
            <w:tcBorders>
              <w:tl2br w:val="nil"/>
              <w:tr2bl w:val="nil"/>
            </w:tcBorders>
            <w:noWrap/>
            <w:vAlign w:val="center"/>
          </w:tcPr>
          <w:p w14:paraId="14F2A9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7B74A4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1C276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CB6AE5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5EF296F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门座式起重机 </w:t>
            </w:r>
          </w:p>
        </w:tc>
        <w:tc>
          <w:tcPr>
            <w:tcW w:w="2738" w:type="dxa"/>
            <w:tcBorders>
              <w:tl2br w:val="nil"/>
              <w:tr2bl w:val="nil"/>
            </w:tcBorders>
            <w:noWrap/>
            <w:vAlign w:val="center"/>
          </w:tcPr>
          <w:p w14:paraId="0D3ED3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10/30t高架10-30t</w:t>
            </w:r>
          </w:p>
        </w:tc>
        <w:tc>
          <w:tcPr>
            <w:tcW w:w="1045" w:type="dxa"/>
            <w:tcBorders>
              <w:tl2br w:val="nil"/>
              <w:tr2bl w:val="nil"/>
            </w:tcBorders>
            <w:noWrap/>
            <w:vAlign w:val="center"/>
          </w:tcPr>
          <w:p w14:paraId="7649FF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90BCE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513C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48" w:type="dxa"/>
            <w:tcBorders>
              <w:tl2br w:val="nil"/>
              <w:tr2bl w:val="nil"/>
            </w:tcBorders>
            <w:noWrap/>
            <w:vAlign w:val="center"/>
          </w:tcPr>
          <w:p w14:paraId="46CE6F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3301" w:type="dxa"/>
            <w:tcBorders>
              <w:tl2br w:val="nil"/>
              <w:tr2bl w:val="nil"/>
            </w:tcBorders>
            <w:noWrap/>
            <w:vAlign w:val="center"/>
          </w:tcPr>
          <w:p w14:paraId="0AA337C6">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履带起重机 </w:t>
            </w:r>
          </w:p>
        </w:tc>
        <w:tc>
          <w:tcPr>
            <w:tcW w:w="2738" w:type="dxa"/>
            <w:tcBorders>
              <w:tl2br w:val="nil"/>
              <w:tr2bl w:val="nil"/>
            </w:tcBorders>
            <w:noWrap/>
            <w:vAlign w:val="center"/>
          </w:tcPr>
          <w:p w14:paraId="5667F6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油动5t</w:t>
            </w:r>
          </w:p>
        </w:tc>
        <w:tc>
          <w:tcPr>
            <w:tcW w:w="1045" w:type="dxa"/>
            <w:tcBorders>
              <w:tl2br w:val="nil"/>
              <w:tr2bl w:val="nil"/>
            </w:tcBorders>
            <w:noWrap/>
            <w:vAlign w:val="center"/>
          </w:tcPr>
          <w:p w14:paraId="11A5DF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2851BF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5C9CB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552A2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w:t>
            </w:r>
          </w:p>
        </w:tc>
        <w:tc>
          <w:tcPr>
            <w:tcW w:w="3301" w:type="dxa"/>
            <w:tcBorders>
              <w:tl2br w:val="nil"/>
              <w:tr2bl w:val="nil"/>
            </w:tcBorders>
            <w:noWrap/>
            <w:vAlign w:val="center"/>
          </w:tcPr>
          <w:p w14:paraId="6F124DB8">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塔机</w:t>
            </w:r>
          </w:p>
        </w:tc>
        <w:tc>
          <w:tcPr>
            <w:tcW w:w="2738" w:type="dxa"/>
            <w:tcBorders>
              <w:tl2br w:val="nil"/>
              <w:tr2bl w:val="nil"/>
            </w:tcBorders>
            <w:noWrap/>
            <w:vAlign w:val="center"/>
          </w:tcPr>
          <w:p w14:paraId="26AD93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ST6023</w:t>
            </w:r>
          </w:p>
        </w:tc>
        <w:tc>
          <w:tcPr>
            <w:tcW w:w="1045" w:type="dxa"/>
            <w:tcBorders>
              <w:tl2br w:val="nil"/>
              <w:tr2bl w:val="nil"/>
            </w:tcBorders>
            <w:noWrap/>
            <w:vAlign w:val="center"/>
          </w:tcPr>
          <w:p w14:paraId="1B100C8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2339E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34BC1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BFF24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c>
          <w:tcPr>
            <w:tcW w:w="3301" w:type="dxa"/>
            <w:tcBorders>
              <w:tl2br w:val="nil"/>
              <w:tr2bl w:val="nil"/>
            </w:tcBorders>
            <w:noWrap/>
            <w:vAlign w:val="center"/>
          </w:tcPr>
          <w:p w14:paraId="34CBE43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混凝土吊罐</w:t>
            </w:r>
          </w:p>
        </w:tc>
        <w:tc>
          <w:tcPr>
            <w:tcW w:w="2738" w:type="dxa"/>
            <w:tcBorders>
              <w:tl2br w:val="nil"/>
              <w:tr2bl w:val="nil"/>
            </w:tcBorders>
            <w:noWrap/>
            <w:vAlign w:val="center"/>
          </w:tcPr>
          <w:p w14:paraId="3B33E3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 xml:space="preserve"> 1m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7B33C7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6A4CFD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32E4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84D91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9</w:t>
            </w:r>
          </w:p>
        </w:tc>
        <w:tc>
          <w:tcPr>
            <w:tcW w:w="3301" w:type="dxa"/>
            <w:tcBorders>
              <w:tl2br w:val="nil"/>
              <w:tr2bl w:val="nil"/>
            </w:tcBorders>
            <w:noWrap/>
            <w:vAlign w:val="center"/>
          </w:tcPr>
          <w:p w14:paraId="3EA7215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风</w:t>
            </w:r>
            <w:r>
              <w:rPr>
                <w:rFonts w:hint="eastAsia" w:ascii="宋体" w:hAnsi="宋体" w:eastAsia="宋体" w:cs="宋体"/>
                <w:color w:val="auto"/>
                <w:kern w:val="0"/>
                <w:sz w:val="22"/>
                <w:szCs w:val="22"/>
                <w:highlight w:val="none"/>
              </w:rPr>
              <w:t>(砂)水</w:t>
            </w:r>
            <w:r>
              <w:rPr>
                <w:rFonts w:hint="default" w:ascii="Arial" w:hAnsi="Arial" w:cs="Arial"/>
                <w:color w:val="auto"/>
                <w:kern w:val="0"/>
                <w:sz w:val="22"/>
                <w:szCs w:val="22"/>
                <w:highlight w:val="none"/>
              </w:rPr>
              <w:t xml:space="preserve">枪 </w:t>
            </w:r>
          </w:p>
        </w:tc>
        <w:tc>
          <w:tcPr>
            <w:tcW w:w="2738" w:type="dxa"/>
            <w:tcBorders>
              <w:tl2br w:val="nil"/>
              <w:tr2bl w:val="nil"/>
            </w:tcBorders>
            <w:noWrap/>
            <w:vAlign w:val="center"/>
          </w:tcPr>
          <w:p w14:paraId="656B1B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6m</w:t>
            </w:r>
            <w:r>
              <w:rPr>
                <w:rFonts w:hint="eastAsia" w:ascii="Arial" w:hAnsi="Arial" w:cs="Arial"/>
                <w:color w:val="auto"/>
                <w:kern w:val="0"/>
                <w:sz w:val="22"/>
                <w:szCs w:val="22"/>
                <w:highlight w:val="none"/>
                <w:vertAlign w:val="superscript"/>
                <w:lang w:val="en-US" w:eastAsia="zh-CN"/>
              </w:rPr>
              <w:t>3</w:t>
            </w:r>
            <w:r>
              <w:rPr>
                <w:rFonts w:hint="default" w:ascii="Arial" w:hAnsi="Arial" w:cs="Arial"/>
                <w:color w:val="auto"/>
                <w:kern w:val="0"/>
                <w:sz w:val="22"/>
                <w:szCs w:val="22"/>
                <w:highlight w:val="none"/>
              </w:rPr>
              <w:t>/min</w:t>
            </w:r>
          </w:p>
        </w:tc>
        <w:tc>
          <w:tcPr>
            <w:tcW w:w="1045" w:type="dxa"/>
            <w:tcBorders>
              <w:tl2br w:val="nil"/>
              <w:tr2bl w:val="nil"/>
            </w:tcBorders>
            <w:noWrap/>
            <w:vAlign w:val="center"/>
          </w:tcPr>
          <w:p w14:paraId="07B436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CD72B8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r>
      <w:tr w14:paraId="12AA5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8F246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10</w:t>
            </w:r>
          </w:p>
        </w:tc>
        <w:tc>
          <w:tcPr>
            <w:tcW w:w="3301" w:type="dxa"/>
            <w:tcBorders>
              <w:tl2br w:val="nil"/>
              <w:tr2bl w:val="nil"/>
            </w:tcBorders>
            <w:noWrap/>
            <w:vAlign w:val="center"/>
          </w:tcPr>
          <w:p w14:paraId="1EBE160E">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电焊机 直流 </w:t>
            </w:r>
          </w:p>
        </w:tc>
        <w:tc>
          <w:tcPr>
            <w:tcW w:w="2738" w:type="dxa"/>
            <w:tcBorders>
              <w:tl2br w:val="nil"/>
              <w:tr2bl w:val="nil"/>
            </w:tcBorders>
            <w:noWrap/>
            <w:vAlign w:val="center"/>
          </w:tcPr>
          <w:p w14:paraId="27D3F9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30kW</w:t>
            </w:r>
          </w:p>
        </w:tc>
        <w:tc>
          <w:tcPr>
            <w:tcW w:w="1045" w:type="dxa"/>
            <w:tcBorders>
              <w:tl2br w:val="nil"/>
              <w:tr2bl w:val="nil"/>
            </w:tcBorders>
            <w:noWrap/>
            <w:vAlign w:val="center"/>
          </w:tcPr>
          <w:p w14:paraId="58F6B9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03CED5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05E74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D8D93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11</w:t>
            </w:r>
          </w:p>
        </w:tc>
        <w:tc>
          <w:tcPr>
            <w:tcW w:w="3301" w:type="dxa"/>
            <w:tcBorders>
              <w:tl2br w:val="nil"/>
              <w:tr2bl w:val="nil"/>
            </w:tcBorders>
            <w:noWrap/>
            <w:vAlign w:val="center"/>
          </w:tcPr>
          <w:p w14:paraId="0A18342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混凝土输送泵 </w:t>
            </w:r>
          </w:p>
        </w:tc>
        <w:tc>
          <w:tcPr>
            <w:tcW w:w="2738" w:type="dxa"/>
            <w:tcBorders>
              <w:tl2br w:val="nil"/>
              <w:tr2bl w:val="nil"/>
            </w:tcBorders>
            <w:noWrap/>
            <w:vAlign w:val="center"/>
          </w:tcPr>
          <w:p w14:paraId="735B0F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30m</w:t>
            </w:r>
            <w:r>
              <w:rPr>
                <w:rFonts w:hint="eastAsia" w:ascii="Arial" w:hAnsi="Arial" w:cs="Arial"/>
                <w:color w:val="auto"/>
                <w:kern w:val="0"/>
                <w:sz w:val="22"/>
                <w:szCs w:val="22"/>
                <w:highlight w:val="none"/>
                <w:vertAlign w:val="superscript"/>
                <w:lang w:val="en-US" w:eastAsia="zh-CN"/>
              </w:rPr>
              <w:t>3</w:t>
            </w:r>
            <w:r>
              <w:rPr>
                <w:rFonts w:hint="default" w:ascii="Arial" w:hAnsi="Arial" w:cs="Arial"/>
                <w:color w:val="auto"/>
                <w:kern w:val="0"/>
                <w:sz w:val="22"/>
                <w:szCs w:val="22"/>
                <w:highlight w:val="none"/>
              </w:rPr>
              <w:t>/h</w:t>
            </w:r>
          </w:p>
        </w:tc>
        <w:tc>
          <w:tcPr>
            <w:tcW w:w="1045" w:type="dxa"/>
            <w:tcBorders>
              <w:tl2br w:val="nil"/>
              <w:tr2bl w:val="nil"/>
            </w:tcBorders>
            <w:noWrap/>
            <w:vAlign w:val="center"/>
          </w:tcPr>
          <w:p w14:paraId="4E3E2B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05CA74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49E94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66B7AF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12</w:t>
            </w:r>
          </w:p>
        </w:tc>
        <w:tc>
          <w:tcPr>
            <w:tcW w:w="3301" w:type="dxa"/>
            <w:tcBorders>
              <w:tl2br w:val="nil"/>
              <w:tr2bl w:val="nil"/>
            </w:tcBorders>
            <w:noWrap/>
            <w:vAlign w:val="center"/>
          </w:tcPr>
          <w:p w14:paraId="10B0FEB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振动器 </w:t>
            </w:r>
          </w:p>
        </w:tc>
        <w:tc>
          <w:tcPr>
            <w:tcW w:w="2738" w:type="dxa"/>
            <w:tcBorders>
              <w:tl2br w:val="nil"/>
              <w:tr2bl w:val="nil"/>
            </w:tcBorders>
            <w:noWrap/>
            <w:vAlign w:val="center"/>
          </w:tcPr>
          <w:p w14:paraId="7A3AAE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插入式2.2kW</w:t>
            </w:r>
          </w:p>
        </w:tc>
        <w:tc>
          <w:tcPr>
            <w:tcW w:w="1045" w:type="dxa"/>
            <w:tcBorders>
              <w:tl2br w:val="nil"/>
              <w:tr2bl w:val="nil"/>
            </w:tcBorders>
            <w:noWrap/>
            <w:vAlign w:val="center"/>
          </w:tcPr>
          <w:p w14:paraId="70CEF1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0E62B6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9</w:t>
            </w:r>
          </w:p>
        </w:tc>
      </w:tr>
      <w:tr w14:paraId="7F5D0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48" w:type="dxa"/>
            <w:tcBorders>
              <w:tl2br w:val="nil"/>
              <w:tr2bl w:val="nil"/>
            </w:tcBorders>
            <w:noWrap/>
            <w:vAlign w:val="center"/>
          </w:tcPr>
          <w:p w14:paraId="016D5F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13</w:t>
            </w:r>
          </w:p>
        </w:tc>
        <w:tc>
          <w:tcPr>
            <w:tcW w:w="3301" w:type="dxa"/>
            <w:tcBorders>
              <w:tl2br w:val="nil"/>
              <w:tr2bl w:val="nil"/>
            </w:tcBorders>
            <w:noWrap/>
            <w:vAlign w:val="center"/>
          </w:tcPr>
          <w:p w14:paraId="08D07009">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混凝土搅拌机</w:t>
            </w:r>
          </w:p>
        </w:tc>
        <w:tc>
          <w:tcPr>
            <w:tcW w:w="2738" w:type="dxa"/>
            <w:tcBorders>
              <w:tl2br w:val="nil"/>
              <w:tr2bl w:val="nil"/>
            </w:tcBorders>
            <w:noWrap/>
            <w:vAlign w:val="center"/>
          </w:tcPr>
          <w:p w14:paraId="048887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 xml:space="preserve"> 0.</w:t>
            </w:r>
            <w:r>
              <w:rPr>
                <w:rFonts w:hint="eastAsia" w:ascii="Arial" w:hAnsi="Arial" w:cs="Arial"/>
                <w:color w:val="auto"/>
                <w:kern w:val="0"/>
                <w:sz w:val="22"/>
                <w:szCs w:val="22"/>
                <w:highlight w:val="none"/>
                <w:lang w:val="en-US" w:eastAsia="zh-CN"/>
              </w:rPr>
              <w:t>8</w:t>
            </w:r>
            <w:r>
              <w:rPr>
                <w:rFonts w:hint="default" w:ascii="Arial" w:hAnsi="Arial" w:cs="Arial"/>
                <w:color w:val="auto"/>
                <w:kern w:val="0"/>
                <w:sz w:val="22"/>
                <w:szCs w:val="22"/>
                <w:highlight w:val="none"/>
              </w:rPr>
              <w:t>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22E943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6E1A69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r>
      <w:tr w14:paraId="764EE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9BBE9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14</w:t>
            </w:r>
          </w:p>
        </w:tc>
        <w:tc>
          <w:tcPr>
            <w:tcW w:w="3301" w:type="dxa"/>
            <w:tcBorders>
              <w:tl2br w:val="nil"/>
              <w:tr2bl w:val="nil"/>
            </w:tcBorders>
            <w:noWrap/>
            <w:vAlign w:val="center"/>
          </w:tcPr>
          <w:p w14:paraId="4A6B7769">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胶轮架子车</w:t>
            </w:r>
          </w:p>
        </w:tc>
        <w:tc>
          <w:tcPr>
            <w:tcW w:w="2738" w:type="dxa"/>
            <w:tcBorders>
              <w:tl2br w:val="nil"/>
              <w:tr2bl w:val="nil"/>
            </w:tcBorders>
            <w:noWrap/>
            <w:vAlign w:val="center"/>
          </w:tcPr>
          <w:p w14:paraId="1C5BAFB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045" w:type="dxa"/>
            <w:tcBorders>
              <w:tl2br w:val="nil"/>
              <w:tr2bl w:val="nil"/>
            </w:tcBorders>
            <w:noWrap/>
            <w:vAlign w:val="center"/>
          </w:tcPr>
          <w:p w14:paraId="2FE440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243F82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30</w:t>
            </w:r>
          </w:p>
        </w:tc>
      </w:tr>
      <w:tr w14:paraId="08C88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AF816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15</w:t>
            </w:r>
          </w:p>
        </w:tc>
        <w:tc>
          <w:tcPr>
            <w:tcW w:w="3301" w:type="dxa"/>
            <w:tcBorders>
              <w:tl2br w:val="nil"/>
              <w:tr2bl w:val="nil"/>
            </w:tcBorders>
            <w:noWrap/>
            <w:vAlign w:val="center"/>
          </w:tcPr>
          <w:p w14:paraId="097CAD7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水泥砼拌和站</w:t>
            </w:r>
          </w:p>
        </w:tc>
        <w:tc>
          <w:tcPr>
            <w:tcW w:w="2738" w:type="dxa"/>
            <w:tcBorders>
              <w:tl2br w:val="nil"/>
              <w:tr2bl w:val="nil"/>
            </w:tcBorders>
            <w:noWrap/>
            <w:vAlign w:val="center"/>
          </w:tcPr>
          <w:p w14:paraId="7DC580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YHZS60</w:t>
            </w:r>
          </w:p>
        </w:tc>
        <w:tc>
          <w:tcPr>
            <w:tcW w:w="1045" w:type="dxa"/>
            <w:tcBorders>
              <w:tl2br w:val="nil"/>
              <w:tr2bl w:val="nil"/>
            </w:tcBorders>
            <w:noWrap/>
            <w:vAlign w:val="center"/>
          </w:tcPr>
          <w:p w14:paraId="3C6DFD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套</w:t>
            </w:r>
          </w:p>
        </w:tc>
        <w:tc>
          <w:tcPr>
            <w:tcW w:w="1254" w:type="dxa"/>
            <w:tcBorders>
              <w:tl2br w:val="nil"/>
              <w:tr2bl w:val="nil"/>
            </w:tcBorders>
            <w:noWrap/>
            <w:vAlign w:val="center"/>
          </w:tcPr>
          <w:p w14:paraId="7697233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27370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286" w:type="dxa"/>
            <w:gridSpan w:val="5"/>
            <w:tcBorders>
              <w:tl2br w:val="nil"/>
              <w:tr2bl w:val="nil"/>
            </w:tcBorders>
            <w:noWrap/>
            <w:vAlign w:val="center"/>
          </w:tcPr>
          <w:p w14:paraId="06D047E4">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三、灌浆设备</w:t>
            </w:r>
          </w:p>
        </w:tc>
      </w:tr>
      <w:tr w14:paraId="38C2F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F088C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5157D9FF">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载重汽车 </w:t>
            </w:r>
          </w:p>
        </w:tc>
        <w:tc>
          <w:tcPr>
            <w:tcW w:w="2738" w:type="dxa"/>
            <w:tcBorders>
              <w:tl2br w:val="nil"/>
              <w:tr2bl w:val="nil"/>
            </w:tcBorders>
            <w:noWrap/>
            <w:vAlign w:val="center"/>
          </w:tcPr>
          <w:p w14:paraId="6135BFA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5t</w:t>
            </w:r>
          </w:p>
        </w:tc>
        <w:tc>
          <w:tcPr>
            <w:tcW w:w="1045" w:type="dxa"/>
            <w:tcBorders>
              <w:tl2br w:val="nil"/>
              <w:tr2bl w:val="nil"/>
            </w:tcBorders>
            <w:noWrap/>
            <w:vAlign w:val="center"/>
          </w:tcPr>
          <w:p w14:paraId="231FAF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辆</w:t>
            </w:r>
          </w:p>
        </w:tc>
        <w:tc>
          <w:tcPr>
            <w:tcW w:w="1254" w:type="dxa"/>
            <w:tcBorders>
              <w:tl2br w:val="nil"/>
              <w:tr2bl w:val="nil"/>
            </w:tcBorders>
            <w:noWrap/>
            <w:vAlign w:val="center"/>
          </w:tcPr>
          <w:p w14:paraId="64D396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4F70C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2397E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11284BA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地质钻机 </w:t>
            </w:r>
          </w:p>
        </w:tc>
        <w:tc>
          <w:tcPr>
            <w:tcW w:w="2738" w:type="dxa"/>
            <w:tcBorders>
              <w:tl2br w:val="nil"/>
              <w:tr2bl w:val="nil"/>
            </w:tcBorders>
            <w:noWrap/>
            <w:vAlign w:val="center"/>
          </w:tcPr>
          <w:p w14:paraId="2A378C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150型</w:t>
            </w:r>
          </w:p>
        </w:tc>
        <w:tc>
          <w:tcPr>
            <w:tcW w:w="1045" w:type="dxa"/>
            <w:tcBorders>
              <w:tl2br w:val="nil"/>
              <w:tr2bl w:val="nil"/>
            </w:tcBorders>
            <w:noWrap/>
            <w:vAlign w:val="center"/>
          </w:tcPr>
          <w:p w14:paraId="7B2410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A3DB4C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1C70C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4691B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6F27A760">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地质钻机 </w:t>
            </w:r>
          </w:p>
        </w:tc>
        <w:tc>
          <w:tcPr>
            <w:tcW w:w="2738" w:type="dxa"/>
            <w:tcBorders>
              <w:tl2br w:val="nil"/>
              <w:tr2bl w:val="nil"/>
            </w:tcBorders>
            <w:noWrap/>
            <w:vAlign w:val="center"/>
          </w:tcPr>
          <w:p w14:paraId="702935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300型</w:t>
            </w:r>
          </w:p>
        </w:tc>
        <w:tc>
          <w:tcPr>
            <w:tcW w:w="1045" w:type="dxa"/>
            <w:tcBorders>
              <w:tl2br w:val="nil"/>
              <w:tr2bl w:val="nil"/>
            </w:tcBorders>
            <w:noWrap/>
            <w:vAlign w:val="center"/>
          </w:tcPr>
          <w:p w14:paraId="6798AD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5C2E9A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131E4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648CD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657EB49D">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泥浆搅拌机</w:t>
            </w:r>
          </w:p>
        </w:tc>
        <w:tc>
          <w:tcPr>
            <w:tcW w:w="2738" w:type="dxa"/>
            <w:tcBorders>
              <w:tl2br w:val="nil"/>
              <w:tr2bl w:val="nil"/>
            </w:tcBorders>
            <w:noWrap/>
            <w:vAlign w:val="center"/>
          </w:tcPr>
          <w:p w14:paraId="331646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045" w:type="dxa"/>
            <w:tcBorders>
              <w:tl2br w:val="nil"/>
              <w:tr2bl w:val="nil"/>
            </w:tcBorders>
            <w:noWrap/>
            <w:vAlign w:val="center"/>
          </w:tcPr>
          <w:p w14:paraId="78CCC8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3D191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79F71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221D32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2E2191F5">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灰浆搅拌机</w:t>
            </w:r>
          </w:p>
        </w:tc>
        <w:tc>
          <w:tcPr>
            <w:tcW w:w="2738" w:type="dxa"/>
            <w:tcBorders>
              <w:tl2br w:val="nil"/>
              <w:tr2bl w:val="nil"/>
            </w:tcBorders>
            <w:noWrap/>
            <w:vAlign w:val="center"/>
          </w:tcPr>
          <w:p w14:paraId="410C0FF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CZJ</w:t>
            </w:r>
            <w:r>
              <w:rPr>
                <w:rFonts w:hint="eastAsia" w:ascii="Arial" w:hAnsi="Arial" w:cs="Arial"/>
                <w:color w:val="auto"/>
                <w:kern w:val="0"/>
                <w:sz w:val="22"/>
                <w:szCs w:val="22"/>
                <w:highlight w:val="none"/>
                <w:lang w:val="en-US" w:eastAsia="zh-CN"/>
              </w:rPr>
              <w:t>-</w:t>
            </w:r>
            <w:r>
              <w:rPr>
                <w:rFonts w:hint="default" w:ascii="Arial" w:hAnsi="Arial" w:cs="Arial"/>
                <w:color w:val="auto"/>
                <w:kern w:val="0"/>
                <w:sz w:val="22"/>
                <w:szCs w:val="22"/>
                <w:highlight w:val="none"/>
              </w:rPr>
              <w:t>200</w:t>
            </w:r>
          </w:p>
        </w:tc>
        <w:tc>
          <w:tcPr>
            <w:tcW w:w="1045" w:type="dxa"/>
            <w:tcBorders>
              <w:tl2br w:val="nil"/>
              <w:tr2bl w:val="nil"/>
            </w:tcBorders>
            <w:noWrap/>
            <w:vAlign w:val="center"/>
          </w:tcPr>
          <w:p w14:paraId="498BFB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C0293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467D6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65A67C5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3301" w:type="dxa"/>
            <w:tcBorders>
              <w:tl2br w:val="nil"/>
              <w:tr2bl w:val="nil"/>
            </w:tcBorders>
            <w:noWrap/>
            <w:vAlign w:val="center"/>
          </w:tcPr>
          <w:p w14:paraId="3F83E2D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灌浆泵中低压泥浆</w:t>
            </w:r>
          </w:p>
        </w:tc>
        <w:tc>
          <w:tcPr>
            <w:tcW w:w="2738" w:type="dxa"/>
            <w:tcBorders>
              <w:tl2br w:val="nil"/>
              <w:tr2bl w:val="nil"/>
            </w:tcBorders>
            <w:noWrap/>
            <w:vAlign w:val="center"/>
          </w:tcPr>
          <w:p w14:paraId="7F89D1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BW-200/60</w:t>
            </w:r>
          </w:p>
        </w:tc>
        <w:tc>
          <w:tcPr>
            <w:tcW w:w="1045" w:type="dxa"/>
            <w:tcBorders>
              <w:tl2br w:val="nil"/>
              <w:tr2bl w:val="nil"/>
            </w:tcBorders>
            <w:noWrap/>
            <w:vAlign w:val="center"/>
          </w:tcPr>
          <w:p w14:paraId="51792F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4F888A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3E77D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2ED240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w:t>
            </w:r>
          </w:p>
        </w:tc>
        <w:tc>
          <w:tcPr>
            <w:tcW w:w="3301" w:type="dxa"/>
            <w:tcBorders>
              <w:tl2br w:val="nil"/>
              <w:tr2bl w:val="nil"/>
            </w:tcBorders>
            <w:noWrap/>
            <w:vAlign w:val="center"/>
          </w:tcPr>
          <w:p w14:paraId="3285F83E">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胶轮架子车</w:t>
            </w:r>
          </w:p>
        </w:tc>
        <w:tc>
          <w:tcPr>
            <w:tcW w:w="2738" w:type="dxa"/>
            <w:tcBorders>
              <w:tl2br w:val="nil"/>
              <w:tr2bl w:val="nil"/>
            </w:tcBorders>
            <w:noWrap/>
            <w:vAlign w:val="center"/>
          </w:tcPr>
          <w:p w14:paraId="02F75E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045" w:type="dxa"/>
            <w:tcBorders>
              <w:tl2br w:val="nil"/>
              <w:tr2bl w:val="nil"/>
            </w:tcBorders>
            <w:noWrap/>
            <w:vAlign w:val="center"/>
          </w:tcPr>
          <w:p w14:paraId="469F96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141058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10</w:t>
            </w:r>
          </w:p>
        </w:tc>
      </w:tr>
      <w:tr w14:paraId="23D32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0B7E441B">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四、综合厂设备</w:t>
            </w:r>
          </w:p>
        </w:tc>
      </w:tr>
      <w:tr w14:paraId="75A21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B38E7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71EE5B5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电焊机 </w:t>
            </w:r>
          </w:p>
        </w:tc>
        <w:tc>
          <w:tcPr>
            <w:tcW w:w="2738" w:type="dxa"/>
            <w:tcBorders>
              <w:tl2br w:val="nil"/>
              <w:tr2bl w:val="nil"/>
            </w:tcBorders>
            <w:noWrap/>
            <w:vAlign w:val="center"/>
          </w:tcPr>
          <w:p w14:paraId="58A7421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交流25kVA</w:t>
            </w:r>
          </w:p>
        </w:tc>
        <w:tc>
          <w:tcPr>
            <w:tcW w:w="1045" w:type="dxa"/>
            <w:tcBorders>
              <w:tl2br w:val="nil"/>
              <w:tr2bl w:val="nil"/>
            </w:tcBorders>
            <w:noWrap/>
            <w:vAlign w:val="center"/>
          </w:tcPr>
          <w:p w14:paraId="5DA1B5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26250D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7C94C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20F72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3B422810">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对焊机 </w:t>
            </w:r>
          </w:p>
        </w:tc>
        <w:tc>
          <w:tcPr>
            <w:tcW w:w="2738" w:type="dxa"/>
            <w:tcBorders>
              <w:tl2br w:val="nil"/>
              <w:tr2bl w:val="nil"/>
            </w:tcBorders>
            <w:noWrap/>
            <w:vAlign w:val="center"/>
          </w:tcPr>
          <w:p w14:paraId="5FC341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电阻型150kVA</w:t>
            </w:r>
          </w:p>
        </w:tc>
        <w:tc>
          <w:tcPr>
            <w:tcW w:w="1045" w:type="dxa"/>
            <w:tcBorders>
              <w:tl2br w:val="nil"/>
              <w:tr2bl w:val="nil"/>
            </w:tcBorders>
            <w:noWrap/>
            <w:vAlign w:val="center"/>
          </w:tcPr>
          <w:p w14:paraId="31A758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673B6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7B1FE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B5C86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3AB2E385">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钢筋调直机</w:t>
            </w:r>
          </w:p>
        </w:tc>
        <w:tc>
          <w:tcPr>
            <w:tcW w:w="2738" w:type="dxa"/>
            <w:tcBorders>
              <w:tl2br w:val="nil"/>
              <w:tr2bl w:val="nil"/>
            </w:tcBorders>
            <w:noWrap/>
            <w:vAlign w:val="center"/>
          </w:tcPr>
          <w:p w14:paraId="38B56C1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4-14kW</w:t>
            </w:r>
          </w:p>
        </w:tc>
        <w:tc>
          <w:tcPr>
            <w:tcW w:w="1045" w:type="dxa"/>
            <w:tcBorders>
              <w:tl2br w:val="nil"/>
              <w:tr2bl w:val="nil"/>
            </w:tcBorders>
            <w:noWrap/>
            <w:vAlign w:val="center"/>
          </w:tcPr>
          <w:p w14:paraId="06FF7D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7CA14D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7AAC8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6251B3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2396E5C5">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钢筋切断机</w:t>
            </w:r>
          </w:p>
        </w:tc>
        <w:tc>
          <w:tcPr>
            <w:tcW w:w="2738" w:type="dxa"/>
            <w:tcBorders>
              <w:tl2br w:val="nil"/>
              <w:tr2bl w:val="nil"/>
            </w:tcBorders>
            <w:noWrap/>
            <w:vAlign w:val="center"/>
          </w:tcPr>
          <w:p w14:paraId="425118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20kW</w:t>
            </w:r>
          </w:p>
        </w:tc>
        <w:tc>
          <w:tcPr>
            <w:tcW w:w="1045" w:type="dxa"/>
            <w:tcBorders>
              <w:tl2br w:val="nil"/>
              <w:tr2bl w:val="nil"/>
            </w:tcBorders>
            <w:noWrap/>
            <w:vAlign w:val="center"/>
          </w:tcPr>
          <w:p w14:paraId="6D10CF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0B353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EC0E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28F1C8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0020E84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钢筋弯曲机 </w:t>
            </w:r>
          </w:p>
        </w:tc>
        <w:tc>
          <w:tcPr>
            <w:tcW w:w="2738" w:type="dxa"/>
            <w:tcBorders>
              <w:tl2br w:val="nil"/>
              <w:tr2bl w:val="nil"/>
            </w:tcBorders>
            <w:noWrap/>
            <w:vAlign w:val="center"/>
          </w:tcPr>
          <w:p w14:paraId="608D38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φ6～40mm</w:t>
            </w:r>
          </w:p>
        </w:tc>
        <w:tc>
          <w:tcPr>
            <w:tcW w:w="1045" w:type="dxa"/>
            <w:tcBorders>
              <w:tl2br w:val="nil"/>
              <w:tr2bl w:val="nil"/>
            </w:tcBorders>
            <w:noWrap/>
            <w:vAlign w:val="center"/>
          </w:tcPr>
          <w:p w14:paraId="29A1E4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8B944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370B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702B0CF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五、电气设备</w:t>
            </w:r>
          </w:p>
        </w:tc>
      </w:tr>
      <w:tr w14:paraId="4D168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F4AB0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0D1053DB">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变压器</w:t>
            </w:r>
          </w:p>
        </w:tc>
        <w:tc>
          <w:tcPr>
            <w:tcW w:w="2738" w:type="dxa"/>
            <w:tcBorders>
              <w:tl2br w:val="nil"/>
              <w:tr2bl w:val="nil"/>
            </w:tcBorders>
            <w:noWrap/>
            <w:vAlign w:val="center"/>
          </w:tcPr>
          <w:p w14:paraId="55A889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变压器S11-400/10/0.4</w:t>
            </w:r>
          </w:p>
        </w:tc>
        <w:tc>
          <w:tcPr>
            <w:tcW w:w="1045" w:type="dxa"/>
            <w:tcBorders>
              <w:tl2br w:val="nil"/>
              <w:tr2bl w:val="nil"/>
            </w:tcBorders>
            <w:noWrap/>
            <w:vAlign w:val="center"/>
          </w:tcPr>
          <w:p w14:paraId="5C9C3C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2A9D22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2</w:t>
            </w:r>
          </w:p>
        </w:tc>
      </w:tr>
      <w:tr w14:paraId="3E7E8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24F8D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3500D789">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变压器</w:t>
            </w:r>
          </w:p>
        </w:tc>
        <w:tc>
          <w:tcPr>
            <w:tcW w:w="2738" w:type="dxa"/>
            <w:tcBorders>
              <w:tl2br w:val="nil"/>
              <w:tr2bl w:val="nil"/>
            </w:tcBorders>
            <w:noWrap/>
            <w:vAlign w:val="center"/>
          </w:tcPr>
          <w:p w14:paraId="0E8CB0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变压器S11-800/10/0.4</w:t>
            </w:r>
          </w:p>
        </w:tc>
        <w:tc>
          <w:tcPr>
            <w:tcW w:w="1045" w:type="dxa"/>
            <w:tcBorders>
              <w:tl2br w:val="nil"/>
              <w:tr2bl w:val="nil"/>
            </w:tcBorders>
            <w:noWrap/>
            <w:vAlign w:val="center"/>
          </w:tcPr>
          <w:p w14:paraId="536026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53665EF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2</w:t>
            </w:r>
          </w:p>
        </w:tc>
      </w:tr>
      <w:tr w14:paraId="6B887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56FC026F">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六、其它设备</w:t>
            </w:r>
          </w:p>
        </w:tc>
      </w:tr>
      <w:tr w14:paraId="47CAA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D87D2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1BCBC791">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地磅</w:t>
            </w:r>
          </w:p>
        </w:tc>
        <w:tc>
          <w:tcPr>
            <w:tcW w:w="2738" w:type="dxa"/>
            <w:tcBorders>
              <w:tl2br w:val="nil"/>
              <w:tr2bl w:val="nil"/>
            </w:tcBorders>
            <w:noWrap/>
            <w:vAlign w:val="center"/>
          </w:tcPr>
          <w:p w14:paraId="776D83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CSC-50T</w:t>
            </w:r>
          </w:p>
        </w:tc>
        <w:tc>
          <w:tcPr>
            <w:tcW w:w="1045" w:type="dxa"/>
            <w:tcBorders>
              <w:tl2br w:val="nil"/>
              <w:tr2bl w:val="nil"/>
            </w:tcBorders>
            <w:noWrap/>
            <w:vAlign w:val="center"/>
          </w:tcPr>
          <w:p w14:paraId="366485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45991C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15032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6A7BDD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6FF0734B">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洒水车</w:t>
            </w:r>
          </w:p>
        </w:tc>
        <w:tc>
          <w:tcPr>
            <w:tcW w:w="2738" w:type="dxa"/>
            <w:tcBorders>
              <w:tl2br w:val="nil"/>
              <w:tr2bl w:val="nil"/>
            </w:tcBorders>
            <w:noWrap/>
            <w:vAlign w:val="center"/>
          </w:tcPr>
          <w:p w14:paraId="300BF6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1045" w:type="dxa"/>
            <w:tcBorders>
              <w:tl2br w:val="nil"/>
              <w:tr2bl w:val="nil"/>
            </w:tcBorders>
            <w:noWrap/>
            <w:vAlign w:val="center"/>
          </w:tcPr>
          <w:p w14:paraId="22645E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辆</w:t>
            </w:r>
          </w:p>
        </w:tc>
        <w:tc>
          <w:tcPr>
            <w:tcW w:w="1254" w:type="dxa"/>
            <w:tcBorders>
              <w:tl2br w:val="nil"/>
              <w:tr2bl w:val="nil"/>
            </w:tcBorders>
            <w:noWrap/>
            <w:vAlign w:val="center"/>
          </w:tcPr>
          <w:p w14:paraId="6410CD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3E8CC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BFDA9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6631FD5A">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柴油发电机 </w:t>
            </w:r>
          </w:p>
        </w:tc>
        <w:tc>
          <w:tcPr>
            <w:tcW w:w="2738" w:type="dxa"/>
            <w:tcBorders>
              <w:tl2br w:val="nil"/>
              <w:tr2bl w:val="nil"/>
            </w:tcBorders>
            <w:noWrap/>
            <w:vAlign w:val="center"/>
          </w:tcPr>
          <w:p w14:paraId="3638024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400KW </w:t>
            </w:r>
          </w:p>
        </w:tc>
        <w:tc>
          <w:tcPr>
            <w:tcW w:w="1045" w:type="dxa"/>
            <w:tcBorders>
              <w:tl2br w:val="nil"/>
              <w:tr2bl w:val="nil"/>
            </w:tcBorders>
            <w:noWrap/>
            <w:vAlign w:val="center"/>
          </w:tcPr>
          <w:p w14:paraId="7EF2FDD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2BBFD6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6686C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CC84F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5F2192F9">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水泵</w:t>
            </w:r>
          </w:p>
        </w:tc>
        <w:tc>
          <w:tcPr>
            <w:tcW w:w="2738" w:type="dxa"/>
            <w:tcBorders>
              <w:tl2br w:val="nil"/>
              <w:tr2bl w:val="nil"/>
            </w:tcBorders>
            <w:noWrap/>
            <w:vAlign w:val="center"/>
          </w:tcPr>
          <w:p w14:paraId="0EDBC6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IS65-40-250</w:t>
            </w:r>
          </w:p>
        </w:tc>
        <w:tc>
          <w:tcPr>
            <w:tcW w:w="1045" w:type="dxa"/>
            <w:tcBorders>
              <w:tl2br w:val="nil"/>
              <w:tr2bl w:val="nil"/>
            </w:tcBorders>
            <w:noWrap/>
            <w:vAlign w:val="center"/>
          </w:tcPr>
          <w:p w14:paraId="61A5CE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036A01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r>
      <w:tr w14:paraId="6F520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7CA78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0EFB30F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潜水泵</w:t>
            </w:r>
          </w:p>
        </w:tc>
        <w:tc>
          <w:tcPr>
            <w:tcW w:w="2738" w:type="dxa"/>
            <w:tcBorders>
              <w:tl2br w:val="nil"/>
              <w:tr2bl w:val="nil"/>
            </w:tcBorders>
            <w:noWrap/>
            <w:vAlign w:val="center"/>
          </w:tcPr>
          <w:p w14:paraId="6234CC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WQ15-7-0.75</w:t>
            </w:r>
          </w:p>
        </w:tc>
        <w:tc>
          <w:tcPr>
            <w:tcW w:w="1045" w:type="dxa"/>
            <w:tcBorders>
              <w:tl2br w:val="nil"/>
              <w:tr2bl w:val="nil"/>
            </w:tcBorders>
            <w:noWrap/>
            <w:vAlign w:val="center"/>
          </w:tcPr>
          <w:p w14:paraId="49B3D0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660C8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r>
    </w:tbl>
    <w:p w14:paraId="3244FD84">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val="en-US" w:eastAsia="zh-CN"/>
        </w:rPr>
      </w:pPr>
    </w:p>
    <w:p w14:paraId="50612D22">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2.2.10施工方案</w:t>
      </w:r>
    </w:p>
    <w:p w14:paraId="17117FF0">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1）枢纽工程</w:t>
      </w:r>
    </w:p>
    <w:p w14:paraId="078FB8AF">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rPr>
      </w:pPr>
      <w:r>
        <w:rPr>
          <w:rFonts w:hint="eastAsia" w:ascii="Arial" w:cs="Arial"/>
          <w:bCs/>
          <w:sz w:val="26"/>
          <w:szCs w:val="22"/>
        </w:rPr>
        <w:t>大坝工程施工工序：边坡开挖→导流管埋设→土石回填→截流→上下游围堰→河床基坑开挖→固结灌浆→大坝埋石混凝土浇筑→帷幕灌浆。</w:t>
      </w:r>
    </w:p>
    <w:p w14:paraId="6404832A">
      <w:pPr>
        <w:keepNext w:val="0"/>
        <w:keepLines w:val="0"/>
        <w:pageBreakBefore w:val="0"/>
        <w:widowControl w:val="0"/>
        <w:kinsoku/>
        <w:wordWrap/>
        <w:overflowPunct/>
        <w:topLinePunct w:val="0"/>
        <w:autoSpaceDE/>
        <w:autoSpaceDN/>
        <w:bidi w:val="0"/>
        <w:adjustRightInd/>
        <w:snapToGrid w:val="0"/>
        <w:spacing w:line="460" w:lineRule="exact"/>
        <w:ind w:firstLine="522" w:firstLineChars="200"/>
        <w:textAlignment w:val="auto"/>
        <w:rPr>
          <w:rFonts w:hint="eastAsia" w:ascii="Arial" w:hAnsi="Arial" w:eastAsia="宋体" w:cs="Arial"/>
          <w:b/>
          <w:bCs/>
          <w:sz w:val="26"/>
          <w:lang w:eastAsia="zh-CN"/>
        </w:rPr>
      </w:pPr>
      <w:r>
        <w:rPr>
          <w:rFonts w:ascii="Arial" w:hAnsi="Arial" w:cs="Arial"/>
          <w:b/>
          <w:bCs/>
          <w:sz w:val="26"/>
        </w:rPr>
        <w:t xml:space="preserve">① </w:t>
      </w:r>
      <w:r>
        <w:rPr>
          <w:rFonts w:hint="eastAsia" w:ascii="Arial" w:hAnsi="Arial" w:cs="Arial"/>
          <w:b/>
          <w:bCs/>
          <w:sz w:val="26"/>
          <w:lang w:eastAsia="zh-CN"/>
        </w:rPr>
        <w:t>边坡、基坑土石方开挖</w:t>
      </w:r>
    </w:p>
    <w:p w14:paraId="45E11019">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rPr>
      </w:pPr>
      <w:r>
        <w:rPr>
          <w:rFonts w:hint="eastAsia" w:ascii="Arial" w:cs="Arial"/>
          <w:bCs/>
          <w:sz w:val="26"/>
          <w:szCs w:val="22"/>
        </w:rPr>
        <w:t>大坝开挖主要由机械施工辅以人工修整，土石方开挖施工前，提前形成进入施工作业面的施工道路。</w:t>
      </w:r>
    </w:p>
    <w:p w14:paraId="3B5C7416">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rPr>
      </w:pPr>
      <w:r>
        <w:rPr>
          <w:rFonts w:hint="eastAsia" w:ascii="Arial" w:cs="Arial"/>
          <w:bCs/>
          <w:sz w:val="26"/>
          <w:szCs w:val="22"/>
        </w:rPr>
        <w:t>土方开挖直接采用1.0m</w:t>
      </w:r>
      <w:r>
        <w:rPr>
          <w:rFonts w:hint="eastAsia" w:ascii="Arial" w:cs="Arial"/>
          <w:bCs/>
          <w:sz w:val="26"/>
          <w:szCs w:val="22"/>
          <w:vertAlign w:val="superscript"/>
        </w:rPr>
        <w:t>3</w:t>
      </w:r>
      <w:r>
        <w:rPr>
          <w:rFonts w:hint="eastAsia" w:ascii="Arial" w:cs="Arial"/>
          <w:bCs/>
          <w:sz w:val="26"/>
          <w:szCs w:val="22"/>
        </w:rPr>
        <w:t>单斗挖掘机开挖，59kW推土机集料及装车，配5t自卸汽车运输出渣，人工配合挖机集渣并清理工作面，对于量小且分散的基础开挖和槽挖可直接采用风镐清理或人工进行清挖。土方开挖前，首先进行测量放样，标识出开挖范围和位置，然后采用人工将开挖区域内的障碍物清理干净，清理范围延伸至开挖线外侧至少2m的距离。</w:t>
      </w:r>
    </w:p>
    <w:p w14:paraId="095EF8B1">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rPr>
      </w:pPr>
      <w:r>
        <w:rPr>
          <w:rFonts w:hint="eastAsia" w:ascii="Arial" w:cs="Arial"/>
          <w:bCs/>
          <w:sz w:val="26"/>
          <w:szCs w:val="22"/>
        </w:rPr>
        <w:t>石方开挖采取自上而下分台阶、分梯段进行开挖，采用1.0m</w:t>
      </w:r>
      <w:r>
        <w:rPr>
          <w:rFonts w:hint="eastAsia" w:ascii="Arial" w:cs="Arial"/>
          <w:bCs/>
          <w:sz w:val="26"/>
          <w:szCs w:val="22"/>
          <w:vertAlign w:val="superscript"/>
        </w:rPr>
        <w:t>3</w:t>
      </w:r>
      <w:r>
        <w:rPr>
          <w:rFonts w:hint="eastAsia" w:ascii="Arial" w:cs="Arial"/>
          <w:bCs/>
          <w:sz w:val="26"/>
          <w:szCs w:val="22"/>
        </w:rPr>
        <w:t>单斗挖掘机配破碎锤为主，辅以人工处理进行挖掘。渣料采用88kW推土机集料及装车，配5t自卸汽车运输出渣至弃渣场。石方开挖时，在建基面以上预留20cm作为保护层，保护层采用液压挖掘机配破碎锤进行开挖、并清理至建基面。</w:t>
      </w:r>
    </w:p>
    <w:p w14:paraId="579F7EEF">
      <w:pPr>
        <w:snapToGrid w:val="0"/>
        <w:spacing w:line="440" w:lineRule="exact"/>
        <w:ind w:firstLine="482"/>
        <w:rPr>
          <w:rFonts w:hint="eastAsia" w:ascii="Arial" w:hAnsi="Arial" w:eastAsia="宋体" w:cs="Arial"/>
          <w:b/>
          <w:bCs/>
          <w:sz w:val="26"/>
          <w:lang w:eastAsia="zh-CN"/>
        </w:rPr>
      </w:pPr>
      <w:r>
        <w:rPr>
          <w:rFonts w:hint="eastAsia" w:ascii="宋体" w:hAnsi="宋体" w:cs="宋体"/>
          <w:b/>
          <w:bCs/>
          <w:sz w:val="26"/>
        </w:rPr>
        <w:t>②</w:t>
      </w:r>
      <w:r>
        <w:rPr>
          <w:rFonts w:ascii="Arial" w:hAnsi="Arial" w:cs="Arial"/>
          <w:b/>
          <w:bCs/>
          <w:sz w:val="26"/>
        </w:rPr>
        <w:t xml:space="preserve"> </w:t>
      </w:r>
      <w:r>
        <w:rPr>
          <w:rFonts w:hint="eastAsia" w:ascii="Arial" w:hAnsi="Arial" w:cs="Arial"/>
          <w:b/>
          <w:bCs/>
          <w:sz w:val="26"/>
          <w:lang w:eastAsia="zh-CN"/>
        </w:rPr>
        <w:t>导流管埋设</w:t>
      </w:r>
    </w:p>
    <w:p w14:paraId="7F5AB38E">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default" w:ascii="Arial" w:eastAsia="宋体" w:cs="Arial"/>
          <w:bCs/>
          <w:sz w:val="26"/>
          <w:szCs w:val="22"/>
          <w:lang w:val="en-US" w:eastAsia="zh-CN"/>
        </w:rPr>
      </w:pPr>
      <w:r>
        <w:rPr>
          <w:rFonts w:hint="eastAsia" w:ascii="Arial" w:cs="Arial"/>
          <w:bCs/>
          <w:sz w:val="26"/>
          <w:szCs w:val="22"/>
          <w:lang w:eastAsia="zh-CN"/>
        </w:rPr>
        <w:t>导流管采用</w:t>
      </w:r>
      <w:r>
        <w:rPr>
          <w:rFonts w:hint="eastAsia" w:ascii="Arial" w:cs="Arial"/>
          <w:bCs/>
          <w:sz w:val="26"/>
          <w:szCs w:val="22"/>
          <w:lang w:val="en-US" w:eastAsia="zh-CN"/>
        </w:rPr>
        <w:t>DN1000钢管，在施工场地内制造，以3m左右为一个制作单元；首先采用切割机进行下料处置，再采用埋弧焊接，焊接完成后进行防腐处置；再采取5t自卸货车运至工作面，</w:t>
      </w:r>
      <w:r>
        <w:rPr>
          <w:rFonts w:hint="eastAsia" w:ascii="Arial" w:cs="Arial"/>
          <w:bCs/>
          <w:sz w:val="26"/>
          <w:szCs w:val="22"/>
          <w:lang w:eastAsia="zh-CN"/>
        </w:rPr>
        <w:t>利用5t塔式起重机提升至管床，人工</w:t>
      </w:r>
      <w:r>
        <w:rPr>
          <w:rFonts w:hint="eastAsia" w:ascii="Arial" w:cs="Arial"/>
          <w:bCs/>
          <w:sz w:val="26"/>
          <w:szCs w:val="22"/>
          <w:lang w:val="en-US" w:eastAsia="zh-CN"/>
        </w:rPr>
        <w:t>确认无误后进行钢管安装。</w:t>
      </w:r>
    </w:p>
    <w:p w14:paraId="25A8D8B1">
      <w:pPr>
        <w:snapToGrid w:val="0"/>
        <w:spacing w:line="440" w:lineRule="exact"/>
        <w:ind w:firstLine="482"/>
        <w:rPr>
          <w:rFonts w:hint="eastAsia" w:ascii="Arial" w:hAnsi="Arial" w:eastAsia="宋体" w:cs="Arial"/>
          <w:b/>
          <w:bCs/>
          <w:sz w:val="26"/>
          <w:lang w:eastAsia="zh-CN"/>
        </w:rPr>
      </w:pPr>
      <w:r>
        <w:rPr>
          <w:rFonts w:hint="eastAsia" w:ascii="宋体" w:hAnsi="宋体" w:cs="宋体"/>
          <w:b/>
          <w:bCs/>
          <w:sz w:val="26"/>
        </w:rPr>
        <w:t>③</w:t>
      </w:r>
      <w:r>
        <w:rPr>
          <w:rFonts w:ascii="Arial" w:hAnsi="Arial" w:cs="Arial"/>
          <w:b/>
          <w:bCs/>
          <w:sz w:val="26"/>
        </w:rPr>
        <w:t xml:space="preserve"> </w:t>
      </w:r>
      <w:r>
        <w:rPr>
          <w:rFonts w:hint="eastAsia" w:ascii="Arial" w:hAnsi="Arial" w:cs="Arial"/>
          <w:b/>
          <w:bCs/>
          <w:sz w:val="26"/>
          <w:lang w:eastAsia="zh-CN"/>
        </w:rPr>
        <w:t>土石方回填</w:t>
      </w:r>
    </w:p>
    <w:p w14:paraId="78F40D14">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lang w:eastAsia="zh-CN"/>
        </w:rPr>
      </w:pPr>
      <w:r>
        <w:rPr>
          <w:rFonts w:hint="eastAsia" w:ascii="Arial" w:cs="Arial"/>
          <w:bCs/>
          <w:sz w:val="26"/>
          <w:szCs w:val="22"/>
          <w:lang w:eastAsia="zh-CN"/>
        </w:rPr>
        <w:t>土石方回填采用工程施工中产生的可利用料，采用1.0m</w:t>
      </w:r>
      <w:r>
        <w:rPr>
          <w:rFonts w:hint="eastAsia" w:ascii="Arial" w:cs="Arial"/>
          <w:bCs/>
          <w:sz w:val="26"/>
          <w:szCs w:val="22"/>
          <w:vertAlign w:val="superscript"/>
          <w:lang w:eastAsia="zh-CN"/>
        </w:rPr>
        <w:t>3</w:t>
      </w:r>
      <w:r>
        <w:rPr>
          <w:rFonts w:hint="eastAsia" w:ascii="Arial" w:cs="Arial"/>
          <w:bCs/>
          <w:sz w:val="26"/>
          <w:szCs w:val="22"/>
          <w:lang w:eastAsia="zh-CN"/>
        </w:rPr>
        <w:t>单斗挖掘机在挖方区域回采，5t自卸汽车装运至施工点，59kW</w:t>
      </w:r>
      <w:r>
        <w:rPr>
          <w:rFonts w:hint="eastAsia" w:ascii="Arial" w:cs="Arial"/>
          <w:bCs/>
          <w:sz w:val="26"/>
          <w:szCs w:val="22"/>
          <w:lang w:val="en-US" w:eastAsia="zh-CN"/>
        </w:rPr>
        <w:t>~~</w:t>
      </w:r>
      <w:r>
        <w:rPr>
          <w:rFonts w:hint="eastAsia" w:ascii="Arial" w:cs="Arial"/>
          <w:bCs/>
          <w:sz w:val="26"/>
          <w:szCs w:val="22"/>
          <w:lang w:eastAsia="zh-CN"/>
        </w:rPr>
        <w:t>88kW推土机进行平料，59kW履带式拖拉机转运，13-14t拖式振动碾结合2.8kW蛙式夯实机分层碾压密实，铺料时在上下游应留有削坡余量，削坡采用人工自上而下削坡、整平。</w:t>
      </w:r>
    </w:p>
    <w:p w14:paraId="25A8A6A2">
      <w:pPr>
        <w:snapToGrid w:val="0"/>
        <w:spacing w:line="440" w:lineRule="exact"/>
        <w:ind w:firstLine="482"/>
        <w:rPr>
          <w:rFonts w:hint="eastAsia" w:ascii="Arial" w:hAnsi="Arial" w:eastAsia="宋体" w:cs="Arial"/>
          <w:b/>
          <w:bCs/>
          <w:sz w:val="26"/>
          <w:lang w:eastAsia="zh-CN"/>
        </w:rPr>
      </w:pPr>
      <w:r>
        <w:rPr>
          <w:rFonts w:hint="eastAsia" w:ascii="宋体" w:hAnsi="宋体" w:cs="宋体"/>
          <w:b/>
          <w:bCs/>
          <w:sz w:val="26"/>
        </w:rPr>
        <w:t>④</w:t>
      </w:r>
      <w:r>
        <w:rPr>
          <w:rFonts w:ascii="Arial" w:hAnsi="Arial" w:cs="Arial"/>
          <w:b/>
          <w:bCs/>
          <w:sz w:val="26"/>
        </w:rPr>
        <w:t xml:space="preserve"> </w:t>
      </w:r>
      <w:r>
        <w:rPr>
          <w:rFonts w:hint="eastAsia" w:ascii="Arial" w:hAnsi="Arial" w:cs="Arial"/>
          <w:b/>
          <w:bCs/>
          <w:sz w:val="26"/>
          <w:lang w:eastAsia="zh-CN"/>
        </w:rPr>
        <w:t>围堰施工</w:t>
      </w:r>
    </w:p>
    <w:p w14:paraId="3D640F45">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lang w:eastAsia="zh-CN"/>
        </w:rPr>
      </w:pPr>
      <w:r>
        <w:rPr>
          <w:rFonts w:hint="eastAsia" w:ascii="Arial" w:cs="Arial"/>
          <w:bCs/>
          <w:sz w:val="26"/>
          <w:szCs w:val="22"/>
          <w:lang w:eastAsia="zh-CN"/>
        </w:rPr>
        <w:t>用1.0m</w:t>
      </w:r>
      <w:r>
        <w:rPr>
          <w:rFonts w:hint="eastAsia" w:ascii="Arial" w:cs="Arial"/>
          <w:bCs/>
          <w:sz w:val="26"/>
          <w:szCs w:val="22"/>
          <w:vertAlign w:val="superscript"/>
          <w:lang w:eastAsia="zh-CN"/>
        </w:rPr>
        <w:t>3</w:t>
      </w:r>
      <w:r>
        <w:rPr>
          <w:rFonts w:hint="eastAsia" w:ascii="Arial" w:cs="Arial"/>
          <w:bCs/>
          <w:sz w:val="26"/>
          <w:szCs w:val="22"/>
          <w:lang w:eastAsia="zh-CN"/>
        </w:rPr>
        <w:t>单斗挖掘机回采填筑围堰，装5t自卸汽车运输，填筑方向平行堰轴线，土石料铺筑厚度0.5m，采用59kw推土机铺料，按进退错距法碾压密实，最终采用人工铺设土工膜防渗。</w:t>
      </w:r>
    </w:p>
    <w:p w14:paraId="148A8ED7">
      <w:pPr>
        <w:snapToGrid w:val="0"/>
        <w:spacing w:line="440" w:lineRule="exact"/>
        <w:ind w:firstLine="482"/>
        <w:rPr>
          <w:rFonts w:hint="eastAsia" w:ascii="宋体" w:hAnsi="宋体" w:cs="宋体"/>
          <w:b/>
          <w:bCs/>
          <w:sz w:val="26"/>
          <w:lang w:eastAsia="zh-CN"/>
        </w:rPr>
      </w:pPr>
      <w:r>
        <w:rPr>
          <w:rFonts w:hint="eastAsia" w:ascii="宋体" w:hAnsi="宋体" w:cs="宋体"/>
          <w:b/>
          <w:bCs/>
          <w:sz w:val="26"/>
        </w:rPr>
        <w:t>⑤</w:t>
      </w:r>
      <w:r>
        <w:rPr>
          <w:rFonts w:hint="eastAsia" w:ascii="宋体" w:hAnsi="宋体" w:cs="宋体"/>
          <w:b/>
          <w:bCs/>
          <w:sz w:val="26"/>
          <w:lang w:val="en-US" w:eastAsia="zh-CN"/>
        </w:rPr>
        <w:t xml:space="preserve"> </w:t>
      </w:r>
      <w:r>
        <w:rPr>
          <w:rFonts w:hint="eastAsia" w:ascii="宋体" w:hAnsi="宋体" w:cs="宋体"/>
          <w:b/>
          <w:bCs/>
          <w:sz w:val="26"/>
          <w:lang w:eastAsia="zh-CN"/>
        </w:rPr>
        <w:t>河床基础开挖</w:t>
      </w:r>
    </w:p>
    <w:p w14:paraId="3A6A50B6">
      <w:pPr>
        <w:spacing w:line="480" w:lineRule="exact"/>
        <w:ind w:firstLine="520" w:firstLineChars="200"/>
        <w:rPr>
          <w:rFonts w:hint="eastAsia" w:ascii="Arial" w:eastAsia="宋体" w:cs="Arial"/>
          <w:bCs/>
          <w:sz w:val="26"/>
          <w:szCs w:val="22"/>
          <w:lang w:eastAsia="zh-CN"/>
        </w:rPr>
      </w:pPr>
      <w:r>
        <w:rPr>
          <w:rFonts w:hint="eastAsia" w:ascii="Arial" w:cs="Arial"/>
          <w:bCs/>
          <w:sz w:val="26"/>
          <w:szCs w:val="22"/>
          <w:lang w:eastAsia="zh-CN"/>
        </w:rPr>
        <w:t>首先利用测量工具确定开挖的具体位置和边界，在开挖前利用水泵排干基坑内的渗水；利用</w:t>
      </w:r>
      <w:r>
        <w:rPr>
          <w:rFonts w:hint="eastAsia" w:ascii="Arial" w:cs="Arial"/>
          <w:bCs/>
          <w:sz w:val="26"/>
          <w:szCs w:val="22"/>
        </w:rPr>
        <w:t>1.0m</w:t>
      </w:r>
      <w:r>
        <w:rPr>
          <w:rFonts w:hint="eastAsia" w:ascii="Arial" w:cs="Arial"/>
          <w:bCs/>
          <w:sz w:val="26"/>
          <w:szCs w:val="22"/>
          <w:vertAlign w:val="superscript"/>
        </w:rPr>
        <w:t>3</w:t>
      </w:r>
      <w:r>
        <w:rPr>
          <w:rFonts w:hint="eastAsia" w:ascii="Arial" w:cs="Arial"/>
          <w:bCs/>
          <w:sz w:val="26"/>
          <w:szCs w:val="22"/>
        </w:rPr>
        <w:t>单斗挖掘机</w:t>
      </w:r>
      <w:r>
        <w:rPr>
          <w:rFonts w:hint="eastAsia" w:ascii="Arial" w:cs="Arial"/>
          <w:bCs/>
          <w:sz w:val="26"/>
          <w:szCs w:val="22"/>
          <w:lang w:eastAsia="zh-CN"/>
        </w:rPr>
        <w:t>进行土方</w:t>
      </w:r>
      <w:r>
        <w:rPr>
          <w:rFonts w:hint="eastAsia" w:ascii="Arial" w:cs="Arial"/>
          <w:bCs/>
          <w:sz w:val="26"/>
          <w:szCs w:val="22"/>
        </w:rPr>
        <w:t>开挖，</w:t>
      </w:r>
      <w:r>
        <w:rPr>
          <w:rFonts w:hint="eastAsia" w:ascii="Arial" w:cs="Arial"/>
          <w:bCs/>
          <w:sz w:val="26"/>
          <w:szCs w:val="22"/>
          <w:lang w:eastAsia="zh-CN"/>
        </w:rPr>
        <w:t>自上而下分段分成开挖；石方最大限度利用</w:t>
      </w:r>
      <w:r>
        <w:rPr>
          <w:rFonts w:hint="eastAsia" w:ascii="Arial" w:cs="Arial"/>
          <w:bCs/>
          <w:sz w:val="26"/>
          <w:szCs w:val="22"/>
        </w:rPr>
        <w:t>1.0m</w:t>
      </w:r>
      <w:r>
        <w:rPr>
          <w:rFonts w:hint="eastAsia" w:ascii="Arial" w:cs="Arial"/>
          <w:bCs/>
          <w:sz w:val="26"/>
          <w:szCs w:val="22"/>
          <w:vertAlign w:val="superscript"/>
        </w:rPr>
        <w:t>3</w:t>
      </w:r>
      <w:r>
        <w:rPr>
          <w:rFonts w:hint="eastAsia" w:ascii="Arial" w:cs="Arial"/>
          <w:bCs/>
          <w:sz w:val="26"/>
          <w:szCs w:val="22"/>
        </w:rPr>
        <w:t>单斗挖掘机配破碎锤为主，</w:t>
      </w:r>
      <w:r>
        <w:rPr>
          <w:rFonts w:hint="eastAsia" w:ascii="Arial" w:cs="Arial"/>
          <w:bCs/>
          <w:sz w:val="26"/>
          <w:szCs w:val="22"/>
          <w:lang w:eastAsia="zh-CN"/>
        </w:rPr>
        <w:t>确实不可避免采取爆破施工时，需严格控制爆破技术，减小振动影响；开挖的土方方采取</w:t>
      </w:r>
      <w:r>
        <w:rPr>
          <w:rFonts w:hint="eastAsia" w:ascii="Arial" w:cs="Arial"/>
          <w:bCs/>
          <w:sz w:val="26"/>
          <w:szCs w:val="22"/>
        </w:rPr>
        <w:t>采用88kW推土机集料及装车，配5t自卸汽车运输出渣至弃渣场。</w:t>
      </w:r>
    </w:p>
    <w:p w14:paraId="52CE27A4">
      <w:pPr>
        <w:snapToGrid w:val="0"/>
        <w:spacing w:line="440" w:lineRule="exact"/>
        <w:ind w:firstLine="482"/>
        <w:rPr>
          <w:rFonts w:hint="eastAsia" w:ascii="宋体" w:hAnsi="宋体" w:cs="宋体"/>
          <w:b/>
          <w:bCs/>
          <w:sz w:val="26"/>
          <w:lang w:val="en-US" w:eastAsia="zh-CN"/>
        </w:rPr>
      </w:pPr>
      <w:r>
        <w:rPr>
          <w:rFonts w:hint="eastAsia" w:ascii="宋体" w:hAnsi="宋体" w:cs="宋体"/>
          <w:b/>
          <w:bCs/>
          <w:sz w:val="26"/>
        </w:rPr>
        <w:t>⑥</w:t>
      </w:r>
      <w:r>
        <w:rPr>
          <w:rFonts w:hint="eastAsia" w:ascii="宋体" w:hAnsi="宋体" w:cs="宋体"/>
          <w:b/>
          <w:bCs/>
          <w:sz w:val="26"/>
          <w:lang w:val="en-US" w:eastAsia="zh-CN"/>
        </w:rPr>
        <w:t xml:space="preserve"> 固结灌浆</w:t>
      </w:r>
    </w:p>
    <w:p w14:paraId="0EB414C0">
      <w:pPr>
        <w:spacing w:line="480" w:lineRule="exact"/>
        <w:ind w:firstLine="520" w:firstLineChars="200"/>
        <w:rPr>
          <w:rFonts w:hint="eastAsia" w:ascii="Arial" w:cs="Arial"/>
          <w:bCs/>
          <w:sz w:val="26"/>
          <w:szCs w:val="22"/>
          <w:lang w:eastAsia="zh-CN"/>
        </w:rPr>
      </w:pPr>
      <w:r>
        <w:rPr>
          <w:rFonts w:hint="eastAsia" w:ascii="Arial" w:cs="Arial"/>
          <w:bCs/>
          <w:sz w:val="26"/>
          <w:szCs w:val="22"/>
          <w:lang w:eastAsia="zh-CN"/>
        </w:rPr>
        <w:t>河床基础开挖后及时对边坡进行加固，固结灌浆施工的程序为定孔→钻孔→冲洗→灌浆→封孔。钻孔采用气腿式风钻造孔，水泥浆主要由系统灰浆搅拌机生产，水平运输由3m</w:t>
      </w:r>
      <w:r>
        <w:rPr>
          <w:rFonts w:hint="eastAsia" w:ascii="Arial" w:cs="Arial"/>
          <w:bCs/>
          <w:sz w:val="26"/>
          <w:szCs w:val="22"/>
          <w:vertAlign w:val="superscript"/>
          <w:lang w:eastAsia="zh-CN"/>
        </w:rPr>
        <w:t>3</w:t>
      </w:r>
      <w:r>
        <w:rPr>
          <w:rFonts w:hint="eastAsia" w:ascii="Arial" w:cs="Arial"/>
          <w:bCs/>
          <w:sz w:val="26"/>
          <w:szCs w:val="22"/>
          <w:lang w:eastAsia="zh-CN"/>
        </w:rPr>
        <w:t>混凝土搅拌车运输完成，采用塔式吊车垂直或水平运输至作业点，5t汽车起重机配合，中低压灌浆泵结合30kW单级单吸离心水泵进行灌浆。</w:t>
      </w:r>
    </w:p>
    <w:p w14:paraId="4054A1FC">
      <w:pPr>
        <w:snapToGrid w:val="0"/>
        <w:spacing w:line="440" w:lineRule="exact"/>
        <w:ind w:firstLine="482"/>
        <w:rPr>
          <w:rFonts w:hint="default" w:ascii="宋体" w:hAnsi="宋体" w:cs="宋体"/>
          <w:b/>
          <w:bCs/>
          <w:sz w:val="26"/>
          <w:lang w:val="en-US" w:eastAsia="zh-CN"/>
        </w:rPr>
      </w:pPr>
      <w:r>
        <w:rPr>
          <w:rFonts w:hint="eastAsia" w:ascii="宋体" w:hAnsi="宋体" w:cs="宋体"/>
          <w:b/>
          <w:bCs/>
          <w:sz w:val="26"/>
          <w:lang w:eastAsia="zh-CN"/>
        </w:rPr>
        <w:t>⑦</w:t>
      </w:r>
      <w:r>
        <w:rPr>
          <w:rFonts w:hint="eastAsia" w:ascii="宋体" w:hAnsi="宋体" w:cs="宋体"/>
          <w:b/>
          <w:bCs/>
          <w:sz w:val="26"/>
          <w:lang w:val="en-US" w:eastAsia="zh-CN"/>
        </w:rPr>
        <w:t xml:space="preserve"> 大坝埋石混凝土浇筑</w:t>
      </w:r>
    </w:p>
    <w:p w14:paraId="543A0691">
      <w:pPr>
        <w:autoSpaceDE w:val="0"/>
        <w:autoSpaceDN w:val="0"/>
        <w:spacing w:line="440" w:lineRule="exact"/>
        <w:ind w:firstLine="482"/>
        <w:jc w:val="both"/>
        <w:rPr>
          <w:rFonts w:hint="eastAsia" w:ascii="Arial" w:cs="Arial"/>
          <w:bCs/>
          <w:sz w:val="26"/>
        </w:rPr>
      </w:pPr>
      <w:r>
        <w:rPr>
          <w:rFonts w:hint="eastAsia" w:ascii="Arial" w:cs="Arial"/>
          <w:bCs/>
          <w:sz w:val="26"/>
          <w:lang w:eastAsia="zh-CN"/>
        </w:rPr>
        <w:t>钢筋在施工场地加工完成后，</w:t>
      </w:r>
      <w:r>
        <w:rPr>
          <w:rFonts w:hint="eastAsia" w:ascii="Arial" w:cs="Arial"/>
          <w:bCs/>
          <w:sz w:val="26"/>
        </w:rPr>
        <w:t>采用5t载重汽车运至右坝肩平台，塔式起重机吊运钢筋至作业点，人工绑扎施工</w:t>
      </w:r>
      <w:r>
        <w:rPr>
          <w:rFonts w:hint="eastAsia" w:ascii="Arial" w:cs="Arial"/>
          <w:bCs/>
          <w:sz w:val="26"/>
          <w:lang w:eastAsia="zh-CN"/>
        </w:rPr>
        <w:t>，并铺装模板、块石后，逐层进行大坝浇筑。单次浇筑达到设计厚度后，再铺装模板、块石后，进行下一层浇筑，如此循序推进，直至大坝设计高度。</w:t>
      </w:r>
      <w:r>
        <w:rPr>
          <w:rFonts w:hint="eastAsia" w:ascii="Arial" w:cs="Arial"/>
          <w:bCs/>
          <w:sz w:val="26"/>
        </w:rPr>
        <w:t>混凝土主要由</w:t>
      </w:r>
      <w:r>
        <w:rPr>
          <w:rFonts w:hint="eastAsia" w:ascii="Arial" w:cs="Arial"/>
          <w:bCs/>
          <w:sz w:val="26"/>
          <w:lang w:eastAsia="zh-CN"/>
        </w:rPr>
        <w:t>施工场地内</w:t>
      </w:r>
      <w:r>
        <w:rPr>
          <w:rFonts w:hint="eastAsia" w:ascii="Arial" w:cs="Arial"/>
          <w:bCs/>
          <w:sz w:val="26"/>
        </w:rPr>
        <w:t>0.</w:t>
      </w:r>
      <w:r>
        <w:rPr>
          <w:rFonts w:hint="eastAsia" w:ascii="Arial" w:cs="Arial"/>
          <w:bCs/>
          <w:sz w:val="26"/>
          <w:lang w:val="en-US" w:eastAsia="zh-CN"/>
        </w:rPr>
        <w:t>4</w:t>
      </w:r>
      <w:r>
        <w:rPr>
          <w:rFonts w:hint="eastAsia" w:ascii="Arial" w:cs="Arial"/>
          <w:bCs/>
          <w:sz w:val="26"/>
        </w:rPr>
        <w:t>m</w:t>
      </w:r>
      <w:r>
        <w:rPr>
          <w:rFonts w:hint="eastAsia" w:ascii="Arial" w:cs="Arial"/>
          <w:bCs/>
          <w:sz w:val="26"/>
          <w:vertAlign w:val="superscript"/>
        </w:rPr>
        <w:t>3</w:t>
      </w:r>
      <w:r>
        <w:rPr>
          <w:rFonts w:hint="eastAsia" w:ascii="Arial" w:cs="Arial"/>
          <w:bCs/>
          <w:sz w:val="26"/>
        </w:rPr>
        <w:t>混凝土搅拌机生产混凝土，混凝土水平运输由3m</w:t>
      </w:r>
      <w:r>
        <w:rPr>
          <w:rFonts w:hint="eastAsia" w:ascii="Arial" w:cs="Arial"/>
          <w:bCs/>
          <w:sz w:val="26"/>
          <w:vertAlign w:val="superscript"/>
        </w:rPr>
        <w:t>3</w:t>
      </w:r>
      <w:r>
        <w:rPr>
          <w:rFonts w:hint="eastAsia" w:ascii="Arial" w:cs="Arial"/>
          <w:bCs/>
          <w:sz w:val="26"/>
        </w:rPr>
        <w:t>混凝土搅拌车运输完成，采用塔式吊车垂直或水平运输至作业点，8t汽车起重机配合，30m</w:t>
      </w:r>
      <w:r>
        <w:rPr>
          <w:rFonts w:hint="eastAsia" w:ascii="Arial" w:cs="Arial"/>
          <w:bCs/>
          <w:sz w:val="26"/>
          <w:vertAlign w:val="superscript"/>
          <w:lang w:val="en-US" w:eastAsia="zh-CN"/>
        </w:rPr>
        <w:t>3</w:t>
      </w:r>
      <w:r>
        <w:rPr>
          <w:rFonts w:hint="eastAsia" w:ascii="Arial" w:cs="Arial"/>
          <w:bCs/>
          <w:sz w:val="26"/>
        </w:rPr>
        <w:t>/h泵送混凝入仓，采用2.2kW插入式振捣器振捣。</w:t>
      </w:r>
    </w:p>
    <w:p w14:paraId="61312F0F">
      <w:pPr>
        <w:autoSpaceDE w:val="0"/>
        <w:autoSpaceDN w:val="0"/>
        <w:spacing w:line="440" w:lineRule="exact"/>
        <w:ind w:firstLine="482"/>
        <w:jc w:val="both"/>
        <w:rPr>
          <w:rFonts w:hint="eastAsia" w:ascii="Arial" w:cs="Arial"/>
          <w:bCs/>
          <w:sz w:val="26"/>
          <w:lang w:eastAsia="zh-CN"/>
        </w:rPr>
      </w:pPr>
      <w:r>
        <w:rPr>
          <w:rFonts w:hint="eastAsia" w:ascii="Arial" w:cs="Arial"/>
          <w:bCs/>
          <w:sz w:val="26"/>
          <w:lang w:eastAsia="zh-CN"/>
        </w:rPr>
        <w:t>混凝土的运输速度应保证浇筑的连续性，混凝土在运输过程中应避免遗撒。施工采用分仓、薄层、短间歇均匀连续浇筑。在浇筑过程中浇筑点应均匀布置于整个仓面，其间距不得超过3m；必须在浇筑点的混凝土填满后方可移至下一浇筑点浇筑，浇筑顺序应做到单向顺序，不可在仓面上往复浇筑。除表层高自密实性能混凝土外，每一仓的浇筑顶面应留有块石棱角，块石棱角的高度高于高自密实性能混凝土顶面约5cm</w:t>
      </w:r>
      <w:r>
        <w:rPr>
          <w:rFonts w:hint="eastAsia" w:ascii="Arial" w:cs="Arial"/>
          <w:bCs/>
          <w:sz w:val="26"/>
          <w:lang w:val="en-US" w:eastAsia="zh-CN"/>
        </w:rPr>
        <w:t>~</w:t>
      </w:r>
      <w:r>
        <w:rPr>
          <w:rFonts w:hint="eastAsia" w:ascii="Arial" w:cs="Arial"/>
          <w:bCs/>
          <w:sz w:val="26"/>
          <w:lang w:eastAsia="zh-CN"/>
        </w:rPr>
        <w:t>15cm，以便于下一仓的粘结。在浇筑过程中出现的泌水必须及时排除。溢流面、消力池等需采用抗冲耐磨外加剂；坝体上游面及坝基需采用抗渗剂。</w:t>
      </w:r>
    </w:p>
    <w:p w14:paraId="687A2D8C">
      <w:pPr>
        <w:snapToGrid w:val="0"/>
        <w:spacing w:line="440" w:lineRule="exact"/>
        <w:ind w:firstLine="482"/>
        <w:jc w:val="both"/>
        <w:rPr>
          <w:rFonts w:hint="eastAsia" w:ascii="宋体" w:hAnsi="宋体" w:cs="宋体"/>
          <w:b/>
          <w:bCs/>
          <w:sz w:val="26"/>
          <w:lang w:val="en-US" w:eastAsia="zh-CN"/>
        </w:rPr>
      </w:pPr>
      <w:r>
        <w:rPr>
          <w:rFonts w:hint="eastAsia" w:ascii="宋体" w:hAnsi="宋体" w:cs="宋体"/>
          <w:b/>
          <w:bCs/>
          <w:sz w:val="26"/>
          <w:lang w:eastAsia="zh-CN"/>
        </w:rPr>
        <w:t>⑧</w:t>
      </w:r>
      <w:r>
        <w:rPr>
          <w:rFonts w:hint="eastAsia" w:ascii="宋体" w:hAnsi="宋体" w:cs="宋体"/>
          <w:b/>
          <w:bCs/>
          <w:sz w:val="26"/>
          <w:lang w:val="en-US" w:eastAsia="zh-CN"/>
        </w:rPr>
        <w:t xml:space="preserve"> 帷幕灌浆</w:t>
      </w:r>
    </w:p>
    <w:p w14:paraId="77E68B21">
      <w:pPr>
        <w:autoSpaceDE w:val="0"/>
        <w:autoSpaceDN w:val="0"/>
        <w:spacing w:line="440" w:lineRule="exact"/>
        <w:ind w:firstLine="482"/>
        <w:jc w:val="both"/>
        <w:rPr>
          <w:rFonts w:hint="eastAsia" w:ascii="Arial" w:cs="Arial"/>
          <w:bCs/>
          <w:sz w:val="26"/>
        </w:rPr>
      </w:pPr>
      <w:r>
        <w:rPr>
          <w:rFonts w:hint="eastAsia" w:ascii="Arial" w:cs="Arial"/>
          <w:bCs/>
          <w:sz w:val="26"/>
        </w:rPr>
        <w:t>为增强坝基防渗能力，大坝帷幕灌浆采用预埋铁管法，水泥浆主要由系统灰浆搅拌机生产，水平运输由3m</w:t>
      </w:r>
      <w:r>
        <w:rPr>
          <w:rFonts w:hint="eastAsia" w:ascii="Arial" w:cs="Arial"/>
          <w:bCs/>
          <w:sz w:val="26"/>
          <w:vertAlign w:val="superscript"/>
        </w:rPr>
        <w:t>3</w:t>
      </w:r>
      <w:r>
        <w:rPr>
          <w:rFonts w:hint="eastAsia" w:ascii="Arial" w:cs="Arial"/>
          <w:bCs/>
          <w:sz w:val="26"/>
        </w:rPr>
        <w:t>混凝土搅拌车运输完成，采用塔式吊车垂直或水平运输至作业点，5t汽车起重机配合，中低压灌浆泵结合30kW单级单吸离心水泵进行灌浆。</w:t>
      </w:r>
    </w:p>
    <w:p w14:paraId="1FB24615">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2）输水工程</w:t>
      </w:r>
    </w:p>
    <w:p w14:paraId="2BA485F7">
      <w:pPr>
        <w:keepNext w:val="0"/>
        <w:keepLines w:val="0"/>
        <w:pageBreakBefore w:val="0"/>
        <w:widowControl w:val="0"/>
        <w:kinsoku/>
        <w:wordWrap/>
        <w:overflowPunct/>
        <w:topLinePunct w:val="0"/>
        <w:autoSpaceDE w:val="0"/>
        <w:autoSpaceDN w:val="0"/>
        <w:bidi w:val="0"/>
        <w:adjustRightInd/>
        <w:snapToGrid/>
        <w:spacing w:line="460" w:lineRule="exact"/>
        <w:ind w:firstLine="482"/>
        <w:jc w:val="both"/>
        <w:textAlignment w:val="auto"/>
        <w:rPr>
          <w:rFonts w:hint="eastAsia" w:ascii="Arial" w:cs="Arial"/>
          <w:bCs/>
          <w:sz w:val="26"/>
          <w:lang w:eastAsia="zh-CN"/>
        </w:rPr>
      </w:pPr>
      <w:r>
        <w:rPr>
          <w:rFonts w:hint="eastAsia" w:ascii="Arial" w:cs="Arial"/>
          <w:bCs/>
          <w:sz w:val="26"/>
          <w:lang w:eastAsia="zh-CN"/>
        </w:rPr>
        <w:t>管道段施工工序：基槽开挖→镇墩砼施工→铺设管道→压水试验→土石回填。</w:t>
      </w:r>
    </w:p>
    <w:p w14:paraId="4727958F">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宋体" w:hAnsi="宋体" w:cs="宋体"/>
          <w:b/>
          <w:bCs/>
          <w:sz w:val="26"/>
        </w:rPr>
        <w:t>①</w:t>
      </w:r>
      <w:r>
        <w:rPr>
          <w:rFonts w:ascii="Arial" w:hAnsi="Arial" w:cs="Arial"/>
          <w:b/>
          <w:bCs/>
          <w:sz w:val="26"/>
        </w:rPr>
        <w:t xml:space="preserve"> </w:t>
      </w:r>
      <w:r>
        <w:rPr>
          <w:rFonts w:hint="eastAsia" w:ascii="Arial" w:hAnsi="Arial" w:cs="Arial"/>
          <w:b/>
          <w:bCs/>
          <w:sz w:val="26"/>
        </w:rPr>
        <w:t>管槽开挖</w:t>
      </w:r>
    </w:p>
    <w:p w14:paraId="1496CC49">
      <w:pPr>
        <w:keepNext w:val="0"/>
        <w:keepLines w:val="0"/>
        <w:pageBreakBefore w:val="0"/>
        <w:widowControl w:val="0"/>
        <w:kinsoku/>
        <w:wordWrap/>
        <w:overflowPunct/>
        <w:topLinePunct w:val="0"/>
        <w:autoSpaceDE w:val="0"/>
        <w:autoSpaceDN w:val="0"/>
        <w:bidi w:val="0"/>
        <w:adjustRightInd/>
        <w:snapToGrid/>
        <w:spacing w:line="460" w:lineRule="exact"/>
        <w:ind w:firstLine="482"/>
        <w:textAlignment w:val="auto"/>
        <w:rPr>
          <w:rFonts w:hint="eastAsia" w:ascii="Arial" w:cs="Arial"/>
          <w:bCs/>
          <w:color w:val="auto"/>
          <w:sz w:val="26"/>
        </w:rPr>
      </w:pPr>
      <w:r>
        <w:rPr>
          <w:rFonts w:hint="eastAsia" w:ascii="Arial" w:cs="Arial"/>
          <w:bCs/>
          <w:color w:val="auto"/>
          <w:sz w:val="26"/>
        </w:rPr>
        <w:t>土方开挖采用人工与机械相互结合的型式</w:t>
      </w:r>
      <w:r>
        <w:rPr>
          <w:rFonts w:hint="eastAsia" w:ascii="Arial" w:cs="Arial"/>
          <w:bCs/>
          <w:color w:val="auto"/>
          <w:sz w:val="26"/>
          <w:lang w:eastAsia="zh-CN"/>
        </w:rPr>
        <w:t>，</w:t>
      </w:r>
      <w:r>
        <w:rPr>
          <w:rFonts w:hint="eastAsia" w:ascii="Arial" w:cs="Arial"/>
          <w:bCs/>
          <w:color w:val="auto"/>
          <w:sz w:val="26"/>
        </w:rPr>
        <w:t>机械开挖采用1.0m</w:t>
      </w:r>
      <w:r>
        <w:rPr>
          <w:rFonts w:hint="eastAsia" w:ascii="Arial" w:cs="Arial"/>
          <w:bCs/>
          <w:color w:val="auto"/>
          <w:sz w:val="26"/>
          <w:vertAlign w:val="superscript"/>
        </w:rPr>
        <w:t>3</w:t>
      </w:r>
      <w:r>
        <w:rPr>
          <w:rFonts w:hint="eastAsia" w:ascii="Arial" w:cs="Arial"/>
          <w:bCs/>
          <w:color w:val="auto"/>
          <w:sz w:val="26"/>
        </w:rPr>
        <w:t>单斗挖掘机开挖，55kW推土机集料及装车，人工配合</w:t>
      </w:r>
      <w:r>
        <w:rPr>
          <w:rFonts w:hint="eastAsia" w:ascii="Arial" w:cs="Arial"/>
          <w:bCs/>
          <w:color w:val="auto"/>
          <w:sz w:val="26"/>
          <w:lang w:eastAsia="zh-CN"/>
        </w:rPr>
        <w:t>推土机</w:t>
      </w:r>
      <w:r>
        <w:rPr>
          <w:rFonts w:hint="eastAsia" w:ascii="Arial" w:cs="Arial"/>
          <w:bCs/>
          <w:color w:val="auto"/>
          <w:sz w:val="26"/>
        </w:rPr>
        <w:t>集渣并清理工作面</w:t>
      </w:r>
      <w:r>
        <w:rPr>
          <w:rFonts w:hint="eastAsia" w:ascii="Arial" w:cs="Arial"/>
          <w:bCs/>
          <w:color w:val="auto"/>
          <w:sz w:val="26"/>
          <w:lang w:eastAsia="zh-CN"/>
        </w:rPr>
        <w:t>；</w:t>
      </w:r>
      <w:r>
        <w:rPr>
          <w:rFonts w:hint="eastAsia" w:ascii="Arial" w:cs="Arial"/>
          <w:bCs/>
          <w:color w:val="auto"/>
          <w:sz w:val="26"/>
        </w:rPr>
        <w:t>对于量小且分散的基础开挖和槽挖可直接采用风镐清理或人工进行清挖。石方开挖采取自上而下分台阶、分梯段进行开挖，采用1.0m</w:t>
      </w:r>
      <w:r>
        <w:rPr>
          <w:rFonts w:hint="eastAsia" w:ascii="Arial" w:cs="Arial"/>
          <w:bCs/>
          <w:color w:val="auto"/>
          <w:sz w:val="26"/>
          <w:vertAlign w:val="superscript"/>
        </w:rPr>
        <w:t>3</w:t>
      </w:r>
      <w:r>
        <w:rPr>
          <w:rFonts w:hint="eastAsia" w:ascii="Arial" w:cs="Arial"/>
          <w:bCs/>
          <w:color w:val="auto"/>
          <w:sz w:val="26"/>
        </w:rPr>
        <w:t>单斗挖掘机配破碎锤为主，辅以人工处理进行挖掘。渣料</w:t>
      </w:r>
      <w:r>
        <w:rPr>
          <w:rFonts w:hint="eastAsia" w:ascii="Arial" w:cs="Arial"/>
          <w:bCs/>
          <w:color w:val="auto"/>
          <w:sz w:val="26"/>
          <w:lang w:eastAsia="zh-CN"/>
        </w:rPr>
        <w:t>采用</w:t>
      </w:r>
      <w:r>
        <w:rPr>
          <w:rFonts w:hint="eastAsia" w:ascii="Arial" w:cs="Arial"/>
          <w:bCs/>
          <w:color w:val="auto"/>
          <w:sz w:val="26"/>
        </w:rPr>
        <w:t>55kW推土机集料及装车，配5t自卸汽车运输出渣至弃渣场。</w:t>
      </w:r>
    </w:p>
    <w:p w14:paraId="4FEB29E3">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eastAsia="宋体" w:cs="Arial"/>
          <w:bCs/>
          <w:sz w:val="26"/>
          <w:lang w:eastAsia="zh-CN"/>
        </w:rPr>
      </w:pPr>
      <w:r>
        <w:rPr>
          <w:rFonts w:hint="eastAsia" w:ascii="宋体" w:hAnsi="宋体" w:cs="宋体"/>
          <w:b/>
          <w:bCs/>
          <w:sz w:val="26"/>
        </w:rPr>
        <w:t>②</w:t>
      </w:r>
      <w:r>
        <w:rPr>
          <w:rFonts w:ascii="Arial" w:hAnsi="Arial" w:cs="Arial"/>
          <w:b/>
          <w:bCs/>
          <w:sz w:val="26"/>
        </w:rPr>
        <w:t xml:space="preserve"> </w:t>
      </w:r>
      <w:r>
        <w:rPr>
          <w:rFonts w:hint="eastAsia" w:ascii="Arial" w:hAnsi="Arial" w:cs="Arial"/>
          <w:b/>
          <w:bCs/>
          <w:sz w:val="26"/>
          <w:lang w:eastAsia="zh-CN"/>
        </w:rPr>
        <w:t>镇墩砼施工</w:t>
      </w:r>
    </w:p>
    <w:p w14:paraId="589D10DC">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Arial" w:cs="Arial"/>
          <w:bCs/>
          <w:sz w:val="26"/>
        </w:rPr>
        <w:t>本工程管线较长，因镇支墩砼非常分散，混凝土采用移动式230型0.16m</w:t>
      </w:r>
      <w:r>
        <w:rPr>
          <w:rFonts w:hint="eastAsia" w:ascii="Arial" w:cs="Arial"/>
          <w:bCs/>
          <w:sz w:val="26"/>
          <w:vertAlign w:val="superscript"/>
        </w:rPr>
        <w:t>3</w:t>
      </w:r>
      <w:r>
        <w:rPr>
          <w:rFonts w:hint="eastAsia" w:ascii="Arial" w:cs="Arial"/>
          <w:bCs/>
          <w:sz w:val="26"/>
        </w:rPr>
        <w:t>移动性小型搅拌机制料，人工胶轮车运输，溜槽直接入仓，插入式振捣器振捣</w:t>
      </w:r>
      <w:r>
        <w:rPr>
          <w:rFonts w:hint="eastAsia" w:ascii="Arial" w:cs="Arial"/>
          <w:bCs/>
          <w:sz w:val="26"/>
          <w:lang w:eastAsia="zh-CN"/>
        </w:rPr>
        <w:t>。</w:t>
      </w:r>
      <w:r>
        <w:rPr>
          <w:rFonts w:hint="eastAsia" w:ascii="Arial" w:cs="Arial"/>
          <w:bCs/>
          <w:sz w:val="26"/>
        </w:rPr>
        <w:t>人工推手推车水平运输，场内运距</w:t>
      </w:r>
      <w:r>
        <w:rPr>
          <w:rFonts w:ascii="Arial" w:cs="Arial"/>
          <w:bCs/>
          <w:sz w:val="26"/>
        </w:rPr>
        <w:t>50m</w:t>
      </w:r>
      <w:r>
        <w:rPr>
          <w:rFonts w:hint="eastAsia" w:ascii="Arial" w:cs="Arial"/>
          <w:bCs/>
          <w:sz w:val="26"/>
        </w:rPr>
        <w:t>，采用</w:t>
      </w:r>
      <w:r>
        <w:rPr>
          <w:rFonts w:ascii="Arial" w:cs="Arial"/>
          <w:bCs/>
          <w:sz w:val="26"/>
        </w:rPr>
        <w:t>6t</w:t>
      </w:r>
      <w:r>
        <w:rPr>
          <w:rFonts w:hint="eastAsia" w:ascii="Arial" w:cs="Arial"/>
          <w:bCs/>
          <w:sz w:val="26"/>
        </w:rPr>
        <w:t>塔吊或卷扬机井架作垂直运输，下部砼通过溜槽入仓，上部砼人工挑抬入仓，组合钢模配部分木模浇筑，</w:t>
      </w:r>
      <w:r>
        <w:rPr>
          <w:rFonts w:ascii="Arial" w:cs="Arial"/>
          <w:bCs/>
          <w:sz w:val="26"/>
        </w:rPr>
        <w:t>2.2</w:t>
      </w:r>
      <w:r>
        <w:rPr>
          <w:rFonts w:hint="eastAsia" w:ascii="Arial" w:cs="Arial"/>
          <w:bCs/>
          <w:sz w:val="26"/>
        </w:rPr>
        <w:t>KW插入式振捣器振捣。</w:t>
      </w:r>
    </w:p>
    <w:p w14:paraId="78EB2D3C">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宋体" w:hAnsi="宋体" w:cs="宋体"/>
          <w:b/>
          <w:bCs/>
          <w:sz w:val="26"/>
        </w:rPr>
        <w:t>③</w:t>
      </w:r>
      <w:r>
        <w:rPr>
          <w:rFonts w:ascii="Arial" w:hAnsi="Arial" w:cs="Arial"/>
          <w:b/>
          <w:bCs/>
          <w:sz w:val="26"/>
        </w:rPr>
        <w:t xml:space="preserve"> </w:t>
      </w:r>
      <w:r>
        <w:rPr>
          <w:rFonts w:hint="eastAsia" w:ascii="Arial" w:hAnsi="Arial" w:cs="Arial"/>
          <w:b/>
          <w:bCs/>
          <w:sz w:val="26"/>
        </w:rPr>
        <w:t>钢管安装</w:t>
      </w:r>
    </w:p>
    <w:p w14:paraId="1C00AEDE">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Arial" w:cs="Arial"/>
          <w:bCs/>
          <w:sz w:val="26"/>
        </w:rPr>
        <w:t>管材采用5T自卸汽车运输至管道沿线，单管长度一般为3.0m，采用简易扒杆吊装辅卷扬机和千斤顶牵引就位，管道连接采用套袖接头电熔连接。无公路覆盖区域自卸汽车运至管线附近后由人工抬运短钢管至现场，由葫芦吊和千斤顶牵引就位，管道连接采用套袖接头电熔连接。</w:t>
      </w:r>
    </w:p>
    <w:p w14:paraId="735E2D01">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cs="Arial"/>
          <w:bCs/>
          <w:sz w:val="26"/>
        </w:rPr>
      </w:pPr>
      <w:r>
        <w:rPr>
          <w:rFonts w:hint="eastAsia" w:ascii="Arial" w:cs="Arial"/>
          <w:bCs/>
          <w:sz w:val="26"/>
        </w:rPr>
        <w:t>安装程序：安装准备</w:t>
      </w:r>
      <w:r>
        <w:rPr>
          <w:rFonts w:ascii="Arial" w:cs="Arial"/>
          <w:bCs/>
          <w:sz w:val="26"/>
        </w:rPr>
        <w:t>→</w:t>
      </w:r>
      <w:r>
        <w:rPr>
          <w:rFonts w:hint="eastAsia" w:ascii="Arial" w:cs="Arial"/>
          <w:bCs/>
          <w:sz w:val="26"/>
        </w:rPr>
        <w:t>吊线就位</w:t>
      </w:r>
      <w:r>
        <w:rPr>
          <w:rFonts w:ascii="Arial" w:cs="Arial"/>
          <w:bCs/>
          <w:sz w:val="26"/>
        </w:rPr>
        <w:t>→</w:t>
      </w:r>
      <w:r>
        <w:rPr>
          <w:rFonts w:hint="eastAsia" w:ascii="Arial" w:cs="Arial"/>
          <w:bCs/>
          <w:sz w:val="26"/>
        </w:rPr>
        <w:t>管节对装</w:t>
      </w:r>
      <w:r>
        <w:rPr>
          <w:rFonts w:ascii="Arial" w:cs="Arial"/>
          <w:bCs/>
          <w:sz w:val="26"/>
        </w:rPr>
        <w:t>→</w:t>
      </w:r>
      <w:r>
        <w:rPr>
          <w:rFonts w:hint="eastAsia" w:ascii="Arial" w:cs="Arial"/>
          <w:bCs/>
          <w:sz w:val="26"/>
        </w:rPr>
        <w:t>环缝焊接</w:t>
      </w:r>
      <w:r>
        <w:rPr>
          <w:rFonts w:ascii="Arial" w:cs="Arial"/>
          <w:bCs/>
          <w:sz w:val="26"/>
        </w:rPr>
        <w:t>→</w:t>
      </w:r>
      <w:r>
        <w:rPr>
          <w:rFonts w:hint="eastAsia" w:ascii="Arial" w:cs="Arial"/>
          <w:bCs/>
          <w:sz w:val="26"/>
        </w:rPr>
        <w:t>探伤检查</w:t>
      </w:r>
      <w:r>
        <w:rPr>
          <w:rFonts w:ascii="Arial" w:cs="Arial"/>
          <w:bCs/>
          <w:sz w:val="26"/>
        </w:rPr>
        <w:t>→</w:t>
      </w:r>
      <w:r>
        <w:rPr>
          <w:rFonts w:hint="eastAsia" w:ascii="Arial" w:cs="Arial"/>
          <w:bCs/>
          <w:sz w:val="26"/>
        </w:rPr>
        <w:t>加固、清扫</w:t>
      </w:r>
      <w:r>
        <w:rPr>
          <w:rFonts w:ascii="Arial" w:cs="Arial"/>
          <w:bCs/>
          <w:sz w:val="26"/>
        </w:rPr>
        <w:t>→</w:t>
      </w:r>
      <w:r>
        <w:rPr>
          <w:rFonts w:hint="eastAsia" w:ascii="Arial" w:cs="Arial"/>
          <w:bCs/>
          <w:sz w:val="26"/>
        </w:rPr>
        <w:t>分段中间验收</w:t>
      </w:r>
      <w:r>
        <w:rPr>
          <w:rFonts w:ascii="Arial" w:cs="Arial"/>
          <w:bCs/>
          <w:sz w:val="26"/>
        </w:rPr>
        <w:t>→</w:t>
      </w:r>
      <w:r>
        <w:rPr>
          <w:rFonts w:hint="eastAsia" w:ascii="Arial" w:cs="Arial"/>
          <w:bCs/>
          <w:sz w:val="26"/>
        </w:rPr>
        <w:t>油漆扫尾。</w:t>
      </w:r>
    </w:p>
    <w:p w14:paraId="05DF1F94">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宋体" w:hAnsi="宋体" w:cs="宋体"/>
          <w:b/>
          <w:bCs/>
          <w:sz w:val="26"/>
        </w:rPr>
        <w:t>④</w:t>
      </w:r>
      <w:r>
        <w:rPr>
          <w:rFonts w:ascii="Arial" w:hAnsi="Arial" w:cs="Arial"/>
          <w:b/>
          <w:bCs/>
          <w:sz w:val="26"/>
        </w:rPr>
        <w:t xml:space="preserve"> </w:t>
      </w:r>
      <w:r>
        <w:rPr>
          <w:rFonts w:hint="eastAsia" w:ascii="Arial" w:hAnsi="Arial" w:cs="Arial"/>
          <w:b/>
          <w:bCs/>
          <w:sz w:val="26"/>
        </w:rPr>
        <w:t>PE管道安装</w:t>
      </w:r>
    </w:p>
    <w:p w14:paraId="677905C7">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cs="Arial"/>
          <w:bCs/>
          <w:sz w:val="26"/>
        </w:rPr>
      </w:pPr>
      <w:r>
        <w:rPr>
          <w:rFonts w:hint="eastAsia" w:ascii="Arial" w:cs="Arial"/>
          <w:bCs/>
          <w:sz w:val="26"/>
        </w:rPr>
        <w:t>本工程</w:t>
      </w:r>
      <w:r>
        <w:rPr>
          <w:rFonts w:ascii="Arial" w:cs="Arial"/>
          <w:bCs/>
          <w:sz w:val="26"/>
        </w:rPr>
        <w:t>PE</w:t>
      </w:r>
      <w:r>
        <w:rPr>
          <w:rFonts w:hint="eastAsia" w:ascii="Arial" w:cs="Arial"/>
          <w:bCs/>
          <w:sz w:val="26"/>
        </w:rPr>
        <w:t>管在有公路覆盖的管线附近由自卸汽车运至安装场附近，无公路覆盖区域自卸汽车运至管线附近后由人工抬运至现场。</w:t>
      </w:r>
      <w:r>
        <w:rPr>
          <w:rFonts w:ascii="Arial" w:cs="Arial"/>
          <w:bCs/>
          <w:sz w:val="26"/>
        </w:rPr>
        <w:t>PE</w:t>
      </w:r>
      <w:r>
        <w:rPr>
          <w:rFonts w:hint="eastAsia" w:ascii="Arial" w:cs="Arial"/>
          <w:bCs/>
          <w:sz w:val="26"/>
        </w:rPr>
        <w:t>压力管道主要采用热熔连接，当不便于采用热熔方式连接时，也可采用法兰连接。法兰连接时，螺栓应均匀拧紧，待八小时之后，再重新紧固。</w:t>
      </w:r>
    </w:p>
    <w:p w14:paraId="6ED66ACE">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宋体" w:hAnsi="宋体" w:cs="宋体"/>
          <w:b/>
          <w:bCs/>
          <w:sz w:val="26"/>
        </w:rPr>
        <w:t>⑤</w:t>
      </w:r>
      <w:r>
        <w:rPr>
          <w:rFonts w:ascii="Arial" w:hAnsi="Arial" w:cs="Arial"/>
          <w:b/>
          <w:bCs/>
          <w:sz w:val="26"/>
        </w:rPr>
        <w:t xml:space="preserve"> </w:t>
      </w:r>
      <w:r>
        <w:rPr>
          <w:rFonts w:hint="eastAsia" w:ascii="Arial" w:hAnsi="Arial" w:cs="Arial"/>
          <w:b/>
          <w:bCs/>
          <w:sz w:val="26"/>
        </w:rPr>
        <w:t>试压</w:t>
      </w:r>
    </w:p>
    <w:p w14:paraId="03DFCDA4">
      <w:pPr>
        <w:keepNext w:val="0"/>
        <w:keepLines w:val="0"/>
        <w:pageBreakBefore w:val="0"/>
        <w:widowControl w:val="0"/>
        <w:kinsoku/>
        <w:wordWrap/>
        <w:overflowPunct/>
        <w:topLinePunct w:val="0"/>
        <w:autoSpaceDE w:val="0"/>
        <w:autoSpaceDN w:val="0"/>
        <w:bidi w:val="0"/>
        <w:adjustRightInd/>
        <w:snapToGrid/>
        <w:spacing w:line="460" w:lineRule="exact"/>
        <w:ind w:firstLine="482"/>
        <w:textAlignment w:val="auto"/>
        <w:rPr>
          <w:rFonts w:ascii="Arial" w:cs="Arial"/>
          <w:bCs/>
          <w:sz w:val="26"/>
        </w:rPr>
      </w:pPr>
      <w:r>
        <w:rPr>
          <w:rFonts w:hint="eastAsia" w:ascii="Arial" w:cs="Arial"/>
          <w:bCs/>
          <w:sz w:val="26"/>
        </w:rPr>
        <w:t>管线安装完了以后，一般压力管道进行水压试验，无压管道进行闭水检验。管道试压应符合设计要求和相关标准的规定。</w:t>
      </w:r>
    </w:p>
    <w:p w14:paraId="009A5765">
      <w:pPr>
        <w:keepNext w:val="0"/>
        <w:keepLines w:val="0"/>
        <w:pageBreakBefore w:val="0"/>
        <w:widowControl w:val="0"/>
        <w:kinsoku/>
        <w:wordWrap/>
        <w:overflowPunct/>
        <w:topLinePunct w:val="0"/>
        <w:autoSpaceDE w:val="0"/>
        <w:autoSpaceDN w:val="0"/>
        <w:bidi w:val="0"/>
        <w:adjustRightInd/>
        <w:snapToGrid/>
        <w:spacing w:line="460" w:lineRule="exact"/>
        <w:ind w:firstLine="482"/>
        <w:textAlignment w:val="auto"/>
        <w:rPr>
          <w:rFonts w:ascii="Arial" w:cs="Arial"/>
          <w:bCs/>
          <w:sz w:val="26"/>
        </w:rPr>
      </w:pPr>
      <w:r>
        <w:rPr>
          <w:rFonts w:hint="eastAsia" w:ascii="宋体" w:hAnsi="宋体" w:cs="宋体"/>
          <w:b/>
          <w:bCs/>
          <w:sz w:val="26"/>
        </w:rPr>
        <w:t>⑥</w:t>
      </w:r>
      <w:r>
        <w:rPr>
          <w:rFonts w:ascii="Arial" w:hAnsi="Arial" w:cs="Arial"/>
          <w:b/>
          <w:bCs/>
          <w:sz w:val="26"/>
        </w:rPr>
        <w:t xml:space="preserve"> </w:t>
      </w:r>
      <w:r>
        <w:rPr>
          <w:rFonts w:hint="eastAsia" w:ascii="Arial" w:hAnsi="Arial" w:cs="Arial"/>
          <w:b/>
          <w:bCs/>
          <w:sz w:val="26"/>
        </w:rPr>
        <w:t>土石方回填</w:t>
      </w:r>
    </w:p>
    <w:p w14:paraId="160CECA2">
      <w:pPr>
        <w:keepNext w:val="0"/>
        <w:keepLines w:val="0"/>
        <w:pageBreakBefore w:val="0"/>
        <w:widowControl w:val="0"/>
        <w:kinsoku/>
        <w:wordWrap/>
        <w:overflowPunct/>
        <w:topLinePunct w:val="0"/>
        <w:autoSpaceDE w:val="0"/>
        <w:autoSpaceDN w:val="0"/>
        <w:bidi w:val="0"/>
        <w:adjustRightInd/>
        <w:snapToGrid/>
        <w:spacing w:line="460" w:lineRule="exact"/>
        <w:ind w:firstLine="482"/>
        <w:textAlignment w:val="auto"/>
        <w:rPr>
          <w:rFonts w:hint="eastAsia" w:ascii="Arial" w:cs="Arial"/>
          <w:bCs/>
          <w:sz w:val="26"/>
        </w:rPr>
      </w:pPr>
      <w:r>
        <w:rPr>
          <w:rFonts w:hint="eastAsia" w:ascii="Arial" w:cs="Arial"/>
          <w:bCs/>
          <w:sz w:val="26"/>
        </w:rPr>
        <w:t>回填前必须清除沟槽内的积水和有机杂物、污泥和碎石等硬物；管线沟槽回填顺序应按基底排水方向由高至低分层回填夯实，基槽回填严禁单侧回填，防止管道中线发生偏移和接头变形。回填土采用59kW推土机平料，2.8kW蛙式夯实机分层碾压密实。</w:t>
      </w:r>
    </w:p>
    <w:p w14:paraId="6E3413B6">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3）其他附属工程</w:t>
      </w:r>
    </w:p>
    <w:p w14:paraId="0508EABD">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cs="Arial"/>
          <w:bCs/>
          <w:sz w:val="26"/>
          <w:lang w:eastAsia="zh-CN"/>
        </w:rPr>
        <w:t>其他附属工程主要为</w:t>
      </w:r>
      <w:r>
        <w:rPr>
          <w:rFonts w:hint="eastAsia" w:ascii="Arial" w:hAnsi="Arial" w:cs="Arial"/>
          <w:color w:val="auto"/>
          <w:kern w:val="0"/>
          <w:sz w:val="26"/>
          <w:szCs w:val="26"/>
          <w:highlight w:val="none"/>
          <w:lang w:val="en-US" w:eastAsia="zh-CN"/>
        </w:rPr>
        <w:t>上坝道路、库周巡检步道及水库管理房、取水闸阀房等，施工工艺主要为场地清理</w:t>
      </w:r>
      <w:r>
        <w:rPr>
          <w:rFonts w:ascii="Arial" w:cs="Arial"/>
          <w:bCs/>
          <w:sz w:val="26"/>
        </w:rPr>
        <w:t>→</w:t>
      </w:r>
      <w:r>
        <w:rPr>
          <w:rFonts w:hint="eastAsia" w:ascii="Arial" w:hAnsi="Arial" w:cs="Arial"/>
          <w:color w:val="auto"/>
          <w:kern w:val="0"/>
          <w:sz w:val="26"/>
          <w:szCs w:val="26"/>
          <w:highlight w:val="none"/>
          <w:lang w:val="en-US" w:eastAsia="zh-CN"/>
        </w:rPr>
        <w:t>基础平整</w:t>
      </w:r>
      <w:r>
        <w:rPr>
          <w:rFonts w:ascii="Arial" w:cs="Arial"/>
          <w:bCs/>
          <w:sz w:val="26"/>
        </w:rPr>
        <w:t>→</w:t>
      </w:r>
      <w:r>
        <w:rPr>
          <w:rFonts w:hint="eastAsia" w:ascii="Arial" w:hAnsi="Arial" w:cs="Arial"/>
          <w:color w:val="auto"/>
          <w:kern w:val="0"/>
          <w:sz w:val="26"/>
          <w:szCs w:val="26"/>
          <w:highlight w:val="none"/>
          <w:lang w:val="en-US" w:eastAsia="zh-CN"/>
        </w:rPr>
        <w:t>混凝土浇筑</w:t>
      </w:r>
      <w:r>
        <w:rPr>
          <w:rFonts w:ascii="Arial" w:cs="Arial"/>
          <w:bCs/>
          <w:sz w:val="26"/>
        </w:rPr>
        <w:t>→</w:t>
      </w:r>
      <w:r>
        <w:rPr>
          <w:rFonts w:hint="eastAsia" w:ascii="Arial" w:cs="Arial"/>
          <w:bCs/>
          <w:sz w:val="26"/>
          <w:lang w:eastAsia="zh-CN"/>
        </w:rPr>
        <w:t>设备安装</w:t>
      </w:r>
      <w:r>
        <w:rPr>
          <w:rFonts w:ascii="Arial" w:cs="Arial"/>
          <w:bCs/>
          <w:sz w:val="26"/>
        </w:rPr>
        <w:t>→</w:t>
      </w:r>
      <w:r>
        <w:rPr>
          <w:rFonts w:hint="eastAsia" w:ascii="Arial" w:cs="Arial"/>
          <w:bCs/>
          <w:sz w:val="26"/>
          <w:lang w:eastAsia="zh-CN"/>
        </w:rPr>
        <w:t>竣工使用</w:t>
      </w:r>
      <w:r>
        <w:rPr>
          <w:rFonts w:hint="eastAsia" w:ascii="Arial" w:hAnsi="Arial" w:cs="Arial"/>
          <w:color w:val="auto"/>
          <w:kern w:val="0"/>
          <w:sz w:val="26"/>
          <w:szCs w:val="26"/>
          <w:highlight w:val="none"/>
          <w:lang w:val="en-US" w:eastAsia="zh-CN"/>
        </w:rPr>
        <w:t>。</w:t>
      </w:r>
    </w:p>
    <w:p w14:paraId="24485243">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4）库底清理</w:t>
      </w:r>
    </w:p>
    <w:p w14:paraId="240F340A">
      <w:pPr>
        <w:autoSpaceDE w:val="0"/>
        <w:autoSpaceDN w:val="0"/>
        <w:spacing w:line="440" w:lineRule="exact"/>
        <w:ind w:firstLine="482"/>
        <w:rPr>
          <w:rFonts w:hint="eastAsia" w:ascii="Arial" w:cs="Arial"/>
          <w:bCs/>
          <w:color w:val="auto"/>
          <w:sz w:val="26"/>
        </w:rPr>
      </w:pPr>
      <w:r>
        <w:rPr>
          <w:rFonts w:hint="eastAsia" w:ascii="Arial" w:cs="Arial"/>
          <w:bCs/>
          <w:color w:val="auto"/>
          <w:sz w:val="26"/>
        </w:rPr>
        <w:t>为了保证该工程建成后能安全运行，保护库周及下游人群健康，应在水库蓄水前对库区进行全面清理。本工程库区主要涉及林木清理、卫生清理等。</w:t>
      </w:r>
    </w:p>
    <w:p w14:paraId="3D9478B2">
      <w:pPr>
        <w:autoSpaceDE w:val="0"/>
        <w:autoSpaceDN w:val="0"/>
        <w:spacing w:line="440" w:lineRule="exact"/>
        <w:ind w:firstLine="482"/>
        <w:rPr>
          <w:rFonts w:hint="eastAsia" w:ascii="宋体" w:hAnsi="宋体" w:cs="宋体"/>
          <w:b/>
          <w:bCs/>
          <w:color w:val="auto"/>
          <w:sz w:val="26"/>
        </w:rPr>
      </w:pPr>
      <w:r>
        <w:rPr>
          <w:rFonts w:hint="eastAsia" w:ascii="宋体" w:hAnsi="宋体" w:cs="宋体"/>
          <w:b/>
          <w:bCs/>
          <w:color w:val="auto"/>
          <w:sz w:val="26"/>
        </w:rPr>
        <w:t>① 林木处理</w:t>
      </w:r>
    </w:p>
    <w:p w14:paraId="596EEA78">
      <w:pPr>
        <w:autoSpaceDE w:val="0"/>
        <w:autoSpaceDN w:val="0"/>
        <w:spacing w:line="440" w:lineRule="exact"/>
        <w:ind w:firstLine="482"/>
        <w:rPr>
          <w:rFonts w:hint="eastAsia" w:ascii="Arial" w:cs="Arial"/>
          <w:bCs/>
          <w:color w:val="auto"/>
          <w:sz w:val="26"/>
        </w:rPr>
      </w:pPr>
      <w:r>
        <w:rPr>
          <w:rFonts w:hint="eastAsia" w:ascii="Arial" w:cs="Arial"/>
          <w:bCs/>
          <w:color w:val="auto"/>
          <w:sz w:val="26"/>
        </w:rPr>
        <w:t>对淹没区内的森林及零星树木，应尽可能齐地面砍伐并清理外运，对森林砍伐残余的树丫、枯木、灌木丛、杂草等易漂浮物在水库蓄水前应运出库外。清库出的林木具有再利用价值，可交附近居民用于修建房屋或外卖处置。</w:t>
      </w:r>
    </w:p>
    <w:p w14:paraId="482CF3F9">
      <w:pPr>
        <w:autoSpaceDE w:val="0"/>
        <w:autoSpaceDN w:val="0"/>
        <w:spacing w:line="440" w:lineRule="exact"/>
        <w:ind w:firstLine="482"/>
        <w:rPr>
          <w:rFonts w:hint="eastAsia" w:ascii="宋体" w:hAnsi="宋体" w:cs="宋体"/>
          <w:b/>
          <w:bCs/>
          <w:color w:val="auto"/>
          <w:sz w:val="26"/>
        </w:rPr>
      </w:pPr>
      <w:r>
        <w:rPr>
          <w:rFonts w:hint="eastAsia" w:ascii="宋体" w:hAnsi="宋体" w:cs="宋体"/>
          <w:b/>
          <w:bCs/>
          <w:color w:val="auto"/>
          <w:sz w:val="26"/>
        </w:rPr>
        <w:t>② 卫生清理</w:t>
      </w:r>
    </w:p>
    <w:p w14:paraId="6751C82E">
      <w:pPr>
        <w:autoSpaceDE w:val="0"/>
        <w:autoSpaceDN w:val="0"/>
        <w:spacing w:line="440" w:lineRule="exact"/>
        <w:ind w:firstLine="482"/>
        <w:rPr>
          <w:rFonts w:hint="eastAsia" w:ascii="Arial" w:cs="Arial"/>
          <w:bCs/>
          <w:color w:val="auto"/>
          <w:sz w:val="26"/>
        </w:rPr>
      </w:pPr>
      <w:r>
        <w:rPr>
          <w:rFonts w:hint="eastAsia" w:ascii="Arial" w:cs="Arial"/>
          <w:bCs/>
          <w:color w:val="auto"/>
          <w:sz w:val="26"/>
        </w:rPr>
        <w:t>卫生防疫清理应在地方卫生防疫部门指导下进行。库区内污染源地及污染物如厕所、粪池、畜厩、垃圾等均应进行卫生清除、消毒，污染物运出库外，及时交环卫部门清运处置，并在卫生防疫部门指导下进行卫生防疫清理，或薄铺于地面暴晒消毒，对其坑穴按</w:t>
      </w:r>
      <w:r>
        <w:rPr>
          <w:rFonts w:ascii="Arial" w:cs="Arial"/>
          <w:bCs/>
          <w:color w:val="auto"/>
          <w:sz w:val="26"/>
        </w:rPr>
        <w:t>1kg/m</w:t>
      </w:r>
      <w:r>
        <w:rPr>
          <w:rFonts w:ascii="Arial" w:cs="Arial"/>
          <w:bCs/>
          <w:color w:val="auto"/>
          <w:sz w:val="26"/>
          <w:vertAlign w:val="superscript"/>
        </w:rPr>
        <w:t>2</w:t>
      </w:r>
      <w:r>
        <w:rPr>
          <w:rFonts w:hint="eastAsia" w:ascii="Arial" w:cs="Arial"/>
          <w:bCs/>
          <w:color w:val="auto"/>
          <w:sz w:val="26"/>
        </w:rPr>
        <w:t>生石灰进行消毒处理，污水坑用净土填平。</w:t>
      </w:r>
    </w:p>
    <w:p w14:paraId="53C83777">
      <w:pPr>
        <w:pStyle w:val="1291"/>
        <w:keepNext w:val="0"/>
        <w:keepLines w:val="0"/>
        <w:pageBreakBefore w:val="0"/>
        <w:widowControl/>
        <w:kinsoku/>
        <w:wordWrap/>
        <w:overflowPunct/>
        <w:topLinePunct w:val="0"/>
        <w:autoSpaceDE/>
        <w:autoSpaceDN/>
        <w:bidi w:val="0"/>
        <w:adjustRightInd w:val="0"/>
        <w:snapToGrid w:val="0"/>
        <w:spacing w:line="440" w:lineRule="exact"/>
        <w:ind w:firstLine="522"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2.3工程占地及土石方平衡</w:t>
      </w:r>
    </w:p>
    <w:p w14:paraId="398CA3A8">
      <w:pPr>
        <w:keepNext w:val="0"/>
        <w:keepLines w:val="0"/>
        <w:pageBreakBefore w:val="0"/>
        <w:widowControl w:val="0"/>
        <w:kinsoku/>
        <w:wordWrap/>
        <w:overflowPunct/>
        <w:topLinePunct w:val="0"/>
        <w:autoSpaceDE w:val="0"/>
        <w:autoSpaceDN w:val="0"/>
        <w:bidi w:val="0"/>
        <w:adjustRightInd/>
        <w:snapToGrid/>
        <w:spacing w:line="460" w:lineRule="exact"/>
        <w:ind w:firstLine="482"/>
        <w:jc w:val="both"/>
        <w:textAlignment w:val="auto"/>
        <w:rPr>
          <w:rFonts w:hint="default" w:ascii="Arial" w:eastAsia="宋体" w:cs="Arial"/>
          <w:b/>
          <w:bCs w:val="0"/>
          <w:sz w:val="26"/>
          <w:highlight w:val="none"/>
          <w:lang w:val="en-US" w:eastAsia="zh-CN"/>
        </w:rPr>
      </w:pPr>
      <w:r>
        <w:rPr>
          <w:rFonts w:hint="eastAsia" w:ascii="Arial" w:cs="Arial"/>
          <w:b/>
          <w:bCs w:val="0"/>
          <w:sz w:val="26"/>
          <w:highlight w:val="none"/>
          <w:lang w:val="en-US" w:eastAsia="zh-CN"/>
        </w:rPr>
        <w:t>2.3.1工程占地</w:t>
      </w:r>
    </w:p>
    <w:p w14:paraId="36D13C98">
      <w:pPr>
        <w:autoSpaceDE w:val="0"/>
        <w:autoSpaceDN w:val="0"/>
        <w:spacing w:line="440" w:lineRule="exact"/>
        <w:ind w:firstLine="482"/>
        <w:jc w:val="both"/>
        <w:rPr>
          <w:rFonts w:hint="eastAsia" w:ascii="Arial" w:cs="Arial"/>
          <w:bCs/>
          <w:sz w:val="26"/>
          <w:highlight w:val="none"/>
          <w:lang w:val="en-US" w:eastAsia="zh-CN"/>
        </w:rPr>
      </w:pPr>
      <w:r>
        <w:rPr>
          <w:rFonts w:hint="eastAsia" w:ascii="Arial" w:cs="Arial"/>
          <w:bCs/>
          <w:sz w:val="26"/>
          <w:highlight w:val="none"/>
          <w:lang w:eastAsia="zh-CN"/>
        </w:rPr>
        <w:t>本项目占地面积合计为</w:t>
      </w:r>
      <w:r>
        <w:rPr>
          <w:rFonts w:hint="eastAsia" w:ascii="Arial" w:cs="Arial"/>
          <w:bCs/>
          <w:sz w:val="26"/>
          <w:highlight w:val="none"/>
          <w:lang w:val="en-US" w:eastAsia="zh-CN"/>
        </w:rPr>
        <w:t>24.4409hm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，其中永久占地面积为11.3182hm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，临时占地面积为13.1227hm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w:t>
      </w:r>
    </w:p>
    <w:p w14:paraId="11C3DA96">
      <w:pPr>
        <w:autoSpaceDE w:val="0"/>
        <w:autoSpaceDN w:val="0"/>
        <w:spacing w:line="440" w:lineRule="exact"/>
        <w:ind w:firstLine="482"/>
        <w:jc w:val="both"/>
        <w:rPr>
          <w:rFonts w:hint="default" w:ascii="Arial" w:eastAsia="宋体" w:cs="Arial"/>
          <w:bCs/>
          <w:sz w:val="26"/>
          <w:highlight w:val="none"/>
          <w:vertAlign w:val="baseline"/>
          <w:lang w:val="en-US" w:eastAsia="zh-CN"/>
        </w:rPr>
      </w:pPr>
      <w:r>
        <w:rPr>
          <w:rFonts w:hint="eastAsia" w:ascii="Arial" w:cs="Arial"/>
          <w:bCs/>
          <w:sz w:val="26"/>
          <w:highlight w:val="none"/>
          <w:lang w:val="en-US" w:eastAsia="zh-CN"/>
        </w:rPr>
        <w:t>永久占地面积为11.3182hm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，其中耕地5.7148hm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（水田3.2036hm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、旱地2.5112hm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）、林地4.9511hm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（乔木林地4.8011hm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、灌木林地0.15hm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）、农村道路0.1934hm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、河流水面0.2428hm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、其他土地0.2128hm</w:t>
      </w:r>
      <w:r>
        <w:rPr>
          <w:rFonts w:hint="eastAsia" w:ascii="Arial" w:cs="Arial"/>
          <w:bCs/>
          <w:sz w:val="26"/>
          <w:highlight w:val="none"/>
          <w:vertAlign w:val="superscript"/>
          <w:lang w:val="en-US" w:eastAsia="zh-CN"/>
        </w:rPr>
        <w:t>2</w:t>
      </w:r>
      <w:r>
        <w:rPr>
          <w:rFonts w:hint="eastAsia" w:ascii="Arial" w:cs="Arial"/>
          <w:bCs/>
          <w:sz w:val="26"/>
          <w:highlight w:val="none"/>
          <w:vertAlign w:val="baseline"/>
          <w:lang w:val="en-US" w:eastAsia="zh-CN"/>
        </w:rPr>
        <w:t>。</w:t>
      </w:r>
    </w:p>
    <w:p w14:paraId="4FF86D40">
      <w:pPr>
        <w:autoSpaceDE w:val="0"/>
        <w:autoSpaceDN w:val="0"/>
        <w:spacing w:line="440" w:lineRule="exact"/>
        <w:ind w:firstLine="482"/>
        <w:jc w:val="both"/>
        <w:rPr>
          <w:rFonts w:hint="eastAsia" w:ascii="Arial" w:cs="Arial"/>
          <w:bCs/>
          <w:sz w:val="26"/>
          <w:highlight w:val="none"/>
        </w:rPr>
      </w:pPr>
      <w:r>
        <w:rPr>
          <w:rFonts w:hint="eastAsia" w:ascii="Arial" w:cs="Arial"/>
          <w:bCs/>
          <w:sz w:val="26"/>
          <w:highlight w:val="none"/>
          <w:lang w:val="en-US" w:eastAsia="zh-CN"/>
        </w:rPr>
        <w:t>临时占地面积为13.1227hm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，其中耕地6.0537hm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（水田3.1849hm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、旱地2.8688hm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）、林地6.3398hm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（乔木林地4.9071hm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、灌木林地1.4327hm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）、农村道路0.7292hm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w:t>
      </w:r>
    </w:p>
    <w:p w14:paraId="0EB2BAAA">
      <w:pPr>
        <w:keepNext w:val="0"/>
        <w:keepLines w:val="0"/>
        <w:pageBreakBefore w:val="0"/>
        <w:widowControl w:val="0"/>
        <w:kinsoku/>
        <w:wordWrap/>
        <w:overflowPunct/>
        <w:topLinePunct w:val="0"/>
        <w:autoSpaceDE w:val="0"/>
        <w:autoSpaceDN w:val="0"/>
        <w:bidi w:val="0"/>
        <w:adjustRightInd/>
        <w:snapToGrid/>
        <w:spacing w:line="460" w:lineRule="exact"/>
        <w:ind w:firstLine="482"/>
        <w:jc w:val="both"/>
        <w:textAlignment w:val="auto"/>
        <w:rPr>
          <w:rFonts w:hint="default" w:ascii="Arial" w:eastAsia="宋体" w:cs="Arial"/>
          <w:b/>
          <w:bCs w:val="0"/>
          <w:sz w:val="26"/>
          <w:lang w:val="en-US" w:eastAsia="zh-CN"/>
        </w:rPr>
      </w:pPr>
      <w:bookmarkStart w:id="80" w:name="_Toc4311"/>
      <w:r>
        <w:rPr>
          <w:rFonts w:hint="eastAsia" w:ascii="Arial" w:cs="Arial"/>
          <w:b/>
          <w:bCs w:val="0"/>
          <w:sz w:val="26"/>
          <w:lang w:val="en-US" w:eastAsia="zh-CN"/>
        </w:rPr>
        <w:t>2.3.2土石方平衡</w:t>
      </w:r>
    </w:p>
    <w:p w14:paraId="5574AF98">
      <w:pPr>
        <w:keepNext w:val="0"/>
        <w:keepLines w:val="0"/>
        <w:pageBreakBefore w:val="0"/>
        <w:widowControl w:val="0"/>
        <w:kinsoku/>
        <w:wordWrap/>
        <w:overflowPunct/>
        <w:topLinePunct w:val="0"/>
        <w:autoSpaceDE w:val="0"/>
        <w:autoSpaceDN w:val="0"/>
        <w:bidi w:val="0"/>
        <w:adjustRightInd/>
        <w:snapToGrid/>
        <w:spacing w:line="460" w:lineRule="exact"/>
        <w:ind w:firstLine="392" w:firstLineChars="150"/>
        <w:jc w:val="both"/>
        <w:textAlignment w:val="auto"/>
        <w:rPr>
          <w:rFonts w:hint="default" w:ascii="Arial" w:cs="Arial"/>
          <w:b/>
          <w:bCs w:val="0"/>
          <w:sz w:val="26"/>
          <w:lang w:val="en-US" w:eastAsia="zh-CN"/>
        </w:rPr>
      </w:pPr>
      <w:r>
        <w:rPr>
          <w:rFonts w:hint="eastAsia" w:ascii="Arial" w:cs="Arial"/>
          <w:b/>
          <w:bCs w:val="0"/>
          <w:sz w:val="26"/>
          <w:lang w:val="en-US" w:eastAsia="zh-CN"/>
        </w:rPr>
        <w:t>（1）枢纽工程</w:t>
      </w:r>
    </w:p>
    <w:p w14:paraId="20646ABA">
      <w:pPr>
        <w:autoSpaceDE w:val="0"/>
        <w:autoSpaceDN w:val="0"/>
        <w:spacing w:line="440" w:lineRule="exact"/>
        <w:ind w:firstLine="482"/>
        <w:jc w:val="both"/>
        <w:rPr>
          <w:rFonts w:hint="default" w:ascii="Arial" w:cs="Arial"/>
          <w:bCs/>
          <w:color w:val="auto"/>
          <w:sz w:val="26"/>
          <w:lang w:val="en-US"/>
        </w:rPr>
      </w:pPr>
      <w:r>
        <w:rPr>
          <w:rFonts w:hint="eastAsia" w:ascii="Arial" w:cs="Arial"/>
          <w:bCs/>
          <w:color w:val="auto"/>
          <w:sz w:val="26"/>
          <w:lang w:val="en-US" w:eastAsia="zh-CN"/>
        </w:rPr>
        <w:t>根据项目初设方案，枢纽工程区</w:t>
      </w:r>
      <w:r>
        <w:rPr>
          <w:rFonts w:hint="eastAsia" w:ascii="Arial" w:cs="Arial"/>
          <w:bCs/>
          <w:color w:val="auto"/>
          <w:sz w:val="26"/>
          <w:lang w:eastAsia="zh-CN"/>
        </w:rPr>
        <w:t>土石方开挖总量为</w:t>
      </w:r>
      <w:r>
        <w:rPr>
          <w:rFonts w:hint="eastAsia" w:ascii="Arial" w:cs="Arial"/>
          <w:bCs/>
          <w:color w:val="auto"/>
          <w:sz w:val="26"/>
          <w:lang w:val="en-US" w:eastAsia="zh-CN"/>
        </w:rPr>
        <w:t>8.54</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），土石回填</w:t>
      </w:r>
      <w:r>
        <w:rPr>
          <w:rFonts w:hint="eastAsia" w:ascii="Arial" w:cs="Arial"/>
          <w:bCs/>
          <w:color w:val="auto"/>
          <w:sz w:val="26"/>
          <w:lang w:val="en-US" w:eastAsia="zh-CN"/>
        </w:rPr>
        <w:t>1.93</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），弃渣</w:t>
      </w:r>
      <w:r>
        <w:rPr>
          <w:rFonts w:hint="eastAsia" w:ascii="Arial" w:cs="Arial"/>
          <w:bCs/>
          <w:color w:val="auto"/>
          <w:sz w:val="26"/>
          <w:lang w:val="en-US" w:eastAsia="zh-CN"/>
        </w:rPr>
        <w:t>6.61</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）。暂存于枢纽工程施工场地临时占地范围内，并及时清运至弃渣场进行填埋处置。</w:t>
      </w:r>
      <w:r>
        <w:rPr>
          <w:rFonts w:hint="eastAsia" w:ascii="Arial" w:cs="Arial"/>
          <w:bCs/>
          <w:color w:val="auto"/>
          <w:sz w:val="26"/>
          <w:lang w:eastAsia="zh-CN"/>
        </w:rPr>
        <w:t>弃渣场位于田家山村村委会附近，</w:t>
      </w:r>
      <w:r>
        <w:rPr>
          <w:rFonts w:hint="eastAsia" w:ascii="Arial" w:hAnsi="Times New Roman" w:cs="Arial"/>
          <w:bCs/>
          <w:color w:val="auto"/>
          <w:sz w:val="26"/>
          <w:szCs w:val="22"/>
          <w:lang w:eastAsia="zh-CN"/>
        </w:rPr>
        <w:t>面积约</w:t>
      </w:r>
      <w:r>
        <w:rPr>
          <w:rFonts w:hint="eastAsia" w:ascii="Arial" w:hAnsi="Times New Roman" w:cs="Arial"/>
          <w:bCs/>
          <w:color w:val="auto"/>
          <w:sz w:val="26"/>
          <w:szCs w:val="22"/>
          <w:lang w:val="en-US" w:eastAsia="zh-CN"/>
        </w:rPr>
        <w:t>49.47亩，不涉及</w:t>
      </w:r>
      <w:r>
        <w:rPr>
          <w:rFonts w:hint="eastAsia" w:ascii="Arial" w:hAnsi="Arial" w:cs="Arial"/>
          <w:color w:val="auto"/>
          <w:sz w:val="26"/>
          <w:szCs w:val="26"/>
          <w:lang w:val="en-US" w:eastAsia="zh-CN"/>
        </w:rPr>
        <w:t>基本农田、公益林地，设计堆渣量为12万m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，综合运距约6km。土石方平衡详见表2.3-1所示。</w:t>
      </w:r>
    </w:p>
    <w:p w14:paraId="7B469EE9">
      <w:pPr>
        <w:keepNext w:val="0"/>
        <w:keepLines w:val="0"/>
        <w:pageBreakBefore w:val="0"/>
        <w:widowControl w:val="0"/>
        <w:kinsoku/>
        <w:wordWrap/>
        <w:overflowPunct/>
        <w:topLinePunct w:val="0"/>
        <w:autoSpaceDE w:val="0"/>
        <w:autoSpaceDN w:val="0"/>
        <w:bidi w:val="0"/>
        <w:adjustRightInd/>
        <w:snapToGrid/>
        <w:spacing w:line="460" w:lineRule="exact"/>
        <w:ind w:firstLine="392" w:firstLineChars="150"/>
        <w:jc w:val="both"/>
        <w:textAlignment w:val="auto"/>
        <w:rPr>
          <w:rFonts w:hint="default" w:ascii="Arial" w:cs="Arial"/>
          <w:b/>
          <w:bCs w:val="0"/>
          <w:sz w:val="26"/>
          <w:lang w:val="en-US" w:eastAsia="zh-CN"/>
        </w:rPr>
      </w:pPr>
      <w:r>
        <w:rPr>
          <w:rFonts w:hint="eastAsia" w:ascii="Arial" w:cs="Arial"/>
          <w:b/>
          <w:bCs w:val="0"/>
          <w:sz w:val="26"/>
          <w:lang w:val="en-US" w:eastAsia="zh-CN"/>
        </w:rPr>
        <w:t>（2）输水工程</w:t>
      </w:r>
    </w:p>
    <w:p w14:paraId="207F42F4">
      <w:pPr>
        <w:autoSpaceDE w:val="0"/>
        <w:autoSpaceDN w:val="0"/>
        <w:spacing w:line="440" w:lineRule="exact"/>
        <w:ind w:firstLine="482"/>
        <w:jc w:val="both"/>
        <w:rPr>
          <w:rFonts w:hint="eastAsia" w:ascii="Arial" w:hAnsi="Arial" w:cs="Arial"/>
          <w:color w:val="auto"/>
          <w:sz w:val="26"/>
          <w:szCs w:val="26"/>
          <w:lang w:val="en-US" w:eastAsia="zh-CN"/>
        </w:rPr>
        <w:sectPr>
          <w:headerReference r:id="rId21" w:type="default"/>
          <w:pgSz w:w="12240" w:h="15840"/>
          <w:pgMar w:top="1440" w:right="1701" w:bottom="1440" w:left="1701" w:header="794" w:footer="1134" w:gutter="0"/>
          <w:pgBorders>
            <w:top w:val="none" w:sz="0" w:space="0"/>
            <w:left w:val="none" w:sz="0" w:space="0"/>
            <w:bottom w:val="none" w:sz="0" w:space="0"/>
            <w:right w:val="none" w:sz="0" w:space="0"/>
          </w:pgBorders>
          <w:pgNumType w:fmt="decimal"/>
          <w:cols w:space="720" w:num="1"/>
        </w:sectPr>
      </w:pPr>
      <w:r>
        <w:rPr>
          <w:rFonts w:hint="eastAsia" w:ascii="Arial" w:cs="Arial"/>
          <w:bCs/>
          <w:color w:val="auto"/>
          <w:sz w:val="26"/>
          <w:lang w:val="en-US" w:eastAsia="zh-CN"/>
        </w:rPr>
        <w:t>根据项目初设方案，输水工程区</w:t>
      </w:r>
      <w:r>
        <w:rPr>
          <w:rFonts w:hint="eastAsia" w:ascii="Arial" w:cs="Arial"/>
          <w:bCs/>
          <w:color w:val="auto"/>
          <w:sz w:val="26"/>
          <w:lang w:eastAsia="zh-CN"/>
        </w:rPr>
        <w:t>土石方开挖总量为</w:t>
      </w:r>
      <w:r>
        <w:rPr>
          <w:rFonts w:hint="eastAsia" w:ascii="Arial" w:cs="Arial"/>
          <w:bCs/>
          <w:color w:val="auto"/>
          <w:sz w:val="26"/>
          <w:lang w:val="en-US" w:eastAsia="zh-CN"/>
        </w:rPr>
        <w:t>3.3</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），土石回填</w:t>
      </w:r>
      <w:r>
        <w:rPr>
          <w:rFonts w:hint="eastAsia" w:ascii="Arial" w:cs="Arial"/>
          <w:bCs/>
          <w:color w:val="auto"/>
          <w:sz w:val="26"/>
          <w:lang w:val="en-US" w:eastAsia="zh-CN"/>
        </w:rPr>
        <w:t>3.09</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），弃渣</w:t>
      </w:r>
      <w:r>
        <w:rPr>
          <w:rFonts w:hint="eastAsia" w:ascii="Arial" w:cs="Arial"/>
          <w:bCs/>
          <w:color w:val="auto"/>
          <w:sz w:val="26"/>
          <w:lang w:val="en-US" w:eastAsia="zh-CN"/>
        </w:rPr>
        <w:t>0.21</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w:t>
      </w:r>
      <w:r>
        <w:rPr>
          <w:rFonts w:hint="eastAsia" w:ascii="Arial" w:cs="Arial"/>
          <w:bCs/>
          <w:sz w:val="26"/>
          <w:lang w:eastAsia="zh-CN"/>
        </w:rPr>
        <w:t>弃渣采取自卸汽车清运至弃渣场内填埋处置。</w:t>
      </w:r>
      <w:r>
        <w:rPr>
          <w:rFonts w:hint="eastAsia" w:ascii="Arial" w:hAnsi="Arial" w:cs="Arial"/>
          <w:color w:val="auto"/>
          <w:sz w:val="26"/>
          <w:szCs w:val="26"/>
          <w:lang w:val="en-US" w:eastAsia="zh-CN"/>
        </w:rPr>
        <w:t>土石方平衡详见表2.3-2所示。</w:t>
      </w:r>
    </w:p>
    <w:p w14:paraId="1C1FEE14">
      <w:pPr>
        <w:pStyle w:val="2107"/>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color w:val="auto"/>
          <w:sz w:val="26"/>
          <w:szCs w:val="26"/>
          <w:highlight w:val="none"/>
        </w:rPr>
      </w:pPr>
      <w:r>
        <w:rPr>
          <w:rFonts w:hint="default" w:ascii="Arial" w:hAnsi="Arial" w:cs="Arial"/>
          <w:color w:val="auto"/>
          <w:sz w:val="26"/>
          <w:szCs w:val="26"/>
          <w:highlight w:val="none"/>
          <w:lang w:eastAsia="zh-CN"/>
        </w:rPr>
        <w:t>表</w:t>
      </w:r>
      <w:r>
        <w:rPr>
          <w:rFonts w:hint="default" w:ascii="Arial" w:hAnsi="Arial" w:cs="Arial"/>
          <w:color w:val="auto"/>
          <w:sz w:val="26"/>
          <w:szCs w:val="26"/>
          <w:highlight w:val="none"/>
          <w:lang w:val="en-US" w:eastAsia="zh-CN"/>
        </w:rPr>
        <w:t xml:space="preserve">2.3-1 </w:t>
      </w:r>
      <w:r>
        <w:rPr>
          <w:rFonts w:hint="default" w:ascii="Arial" w:hAnsi="Arial" w:cs="Arial"/>
          <w:color w:val="auto"/>
          <w:sz w:val="26"/>
          <w:szCs w:val="26"/>
          <w:highlight w:val="none"/>
        </w:rPr>
        <w:t>枢纽工程区土石平衡表</w:t>
      </w:r>
    </w:p>
    <w:tbl>
      <w:tblPr>
        <w:tblStyle w:val="77"/>
        <w:tblW w:w="1265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01"/>
        <w:gridCol w:w="1823"/>
        <w:gridCol w:w="920"/>
        <w:gridCol w:w="1084"/>
        <w:gridCol w:w="1337"/>
        <w:gridCol w:w="1382"/>
        <w:gridCol w:w="1097"/>
        <w:gridCol w:w="4213"/>
      </w:tblGrid>
      <w:tr w14:paraId="32A8EA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5" w:hRule="exact"/>
          <w:jc w:val="center"/>
        </w:trPr>
        <w:tc>
          <w:tcPr>
            <w:tcW w:w="801" w:type="dxa"/>
            <w:vMerge w:val="restart"/>
            <w:tcBorders>
              <w:tl2br w:val="nil"/>
              <w:tr2bl w:val="nil"/>
            </w:tcBorders>
            <w:noWrap/>
            <w:vAlign w:val="center"/>
          </w:tcPr>
          <w:p w14:paraId="597F1D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序号</w:t>
            </w:r>
          </w:p>
        </w:tc>
        <w:tc>
          <w:tcPr>
            <w:tcW w:w="1823" w:type="dxa"/>
            <w:vMerge w:val="restart"/>
            <w:tcBorders>
              <w:tl2br w:val="nil"/>
              <w:tr2bl w:val="nil"/>
            </w:tcBorders>
            <w:noWrap/>
            <w:vAlign w:val="center"/>
          </w:tcPr>
          <w:p w14:paraId="58CE1B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名称</w:t>
            </w:r>
          </w:p>
        </w:tc>
        <w:tc>
          <w:tcPr>
            <w:tcW w:w="920" w:type="dxa"/>
            <w:vMerge w:val="restart"/>
            <w:tcBorders>
              <w:tl2br w:val="nil"/>
              <w:tr2bl w:val="nil"/>
            </w:tcBorders>
            <w:noWrap/>
            <w:vAlign w:val="center"/>
          </w:tcPr>
          <w:p w14:paraId="046805A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单位</w:t>
            </w:r>
          </w:p>
        </w:tc>
        <w:tc>
          <w:tcPr>
            <w:tcW w:w="1084" w:type="dxa"/>
            <w:vMerge w:val="restart"/>
            <w:tcBorders>
              <w:tl2br w:val="nil"/>
              <w:tr2bl w:val="nil"/>
            </w:tcBorders>
            <w:noWrap/>
            <w:vAlign w:val="center"/>
          </w:tcPr>
          <w:p w14:paraId="36842C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工程量</w:t>
            </w:r>
          </w:p>
        </w:tc>
        <w:tc>
          <w:tcPr>
            <w:tcW w:w="2719" w:type="dxa"/>
            <w:gridSpan w:val="2"/>
            <w:tcBorders>
              <w:tl2br w:val="nil"/>
              <w:tr2bl w:val="nil"/>
            </w:tcBorders>
            <w:noWrap w:val="0"/>
            <w:vAlign w:val="center"/>
          </w:tcPr>
          <w:p w14:paraId="77B5BD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利用土石方</w:t>
            </w:r>
          </w:p>
        </w:tc>
        <w:tc>
          <w:tcPr>
            <w:tcW w:w="1097" w:type="dxa"/>
            <w:vMerge w:val="restart"/>
            <w:tcBorders>
              <w:tl2br w:val="nil"/>
              <w:tr2bl w:val="nil"/>
            </w:tcBorders>
            <w:noWrap w:val="0"/>
            <w:vAlign w:val="center"/>
          </w:tcPr>
          <w:p w14:paraId="34DED7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弃渣</w:t>
            </w:r>
          </w:p>
        </w:tc>
        <w:tc>
          <w:tcPr>
            <w:tcW w:w="4213" w:type="dxa"/>
            <w:vMerge w:val="restart"/>
            <w:tcBorders>
              <w:tl2br w:val="nil"/>
              <w:tr2bl w:val="nil"/>
            </w:tcBorders>
            <w:noWrap/>
            <w:vAlign w:val="center"/>
          </w:tcPr>
          <w:p w14:paraId="33BC235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说明</w:t>
            </w:r>
          </w:p>
        </w:tc>
      </w:tr>
      <w:tr w14:paraId="14013E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1" w:hRule="exact"/>
          <w:jc w:val="center"/>
        </w:trPr>
        <w:tc>
          <w:tcPr>
            <w:tcW w:w="801" w:type="dxa"/>
            <w:vMerge w:val="continue"/>
            <w:tcBorders>
              <w:tl2br w:val="nil"/>
              <w:tr2bl w:val="nil"/>
            </w:tcBorders>
            <w:noWrap w:val="0"/>
            <w:vAlign w:val="center"/>
          </w:tcPr>
          <w:p w14:paraId="0A3153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p>
        </w:tc>
        <w:tc>
          <w:tcPr>
            <w:tcW w:w="1823" w:type="dxa"/>
            <w:vMerge w:val="continue"/>
            <w:tcBorders>
              <w:tl2br w:val="nil"/>
              <w:tr2bl w:val="nil"/>
            </w:tcBorders>
            <w:noWrap w:val="0"/>
            <w:vAlign w:val="center"/>
          </w:tcPr>
          <w:p w14:paraId="2F3382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p>
        </w:tc>
        <w:tc>
          <w:tcPr>
            <w:tcW w:w="920" w:type="dxa"/>
            <w:vMerge w:val="continue"/>
            <w:tcBorders>
              <w:tl2br w:val="nil"/>
              <w:tr2bl w:val="nil"/>
            </w:tcBorders>
            <w:noWrap w:val="0"/>
            <w:vAlign w:val="center"/>
          </w:tcPr>
          <w:p w14:paraId="1C66DEE6">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084" w:type="dxa"/>
            <w:vMerge w:val="continue"/>
            <w:tcBorders>
              <w:tl2br w:val="nil"/>
              <w:tr2bl w:val="nil"/>
            </w:tcBorders>
            <w:noWrap w:val="0"/>
            <w:vAlign w:val="center"/>
          </w:tcPr>
          <w:p w14:paraId="6FE861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p>
        </w:tc>
        <w:tc>
          <w:tcPr>
            <w:tcW w:w="1337" w:type="dxa"/>
            <w:tcBorders>
              <w:tl2br w:val="nil"/>
              <w:tr2bl w:val="nil"/>
            </w:tcBorders>
            <w:noWrap w:val="0"/>
            <w:vAlign w:val="center"/>
          </w:tcPr>
          <w:p w14:paraId="6B6CAB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直接利用</w:t>
            </w:r>
          </w:p>
        </w:tc>
        <w:tc>
          <w:tcPr>
            <w:tcW w:w="1382" w:type="dxa"/>
            <w:tcBorders>
              <w:tl2br w:val="nil"/>
              <w:tr2bl w:val="nil"/>
            </w:tcBorders>
            <w:noWrap w:val="0"/>
            <w:vAlign w:val="center"/>
          </w:tcPr>
          <w:p w14:paraId="4C8D71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间接利用</w:t>
            </w:r>
          </w:p>
        </w:tc>
        <w:tc>
          <w:tcPr>
            <w:tcW w:w="1097" w:type="dxa"/>
            <w:vMerge w:val="continue"/>
            <w:tcBorders>
              <w:tl2br w:val="nil"/>
              <w:tr2bl w:val="nil"/>
            </w:tcBorders>
            <w:noWrap w:val="0"/>
            <w:vAlign w:val="center"/>
          </w:tcPr>
          <w:p w14:paraId="23A7AF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p>
        </w:tc>
        <w:tc>
          <w:tcPr>
            <w:tcW w:w="4213" w:type="dxa"/>
            <w:vMerge w:val="continue"/>
            <w:tcBorders>
              <w:tl2br w:val="nil"/>
              <w:tr2bl w:val="nil"/>
            </w:tcBorders>
            <w:noWrap w:val="0"/>
            <w:vAlign w:val="center"/>
          </w:tcPr>
          <w:p w14:paraId="596859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p>
        </w:tc>
      </w:tr>
      <w:tr w14:paraId="5A04B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5" w:hRule="exact"/>
          <w:jc w:val="center"/>
        </w:trPr>
        <w:tc>
          <w:tcPr>
            <w:tcW w:w="801" w:type="dxa"/>
            <w:tcBorders>
              <w:tl2br w:val="nil"/>
              <w:tr2bl w:val="nil"/>
            </w:tcBorders>
            <w:noWrap/>
            <w:vAlign w:val="center"/>
          </w:tcPr>
          <w:p w14:paraId="33FD6B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一</w:t>
            </w:r>
          </w:p>
        </w:tc>
        <w:tc>
          <w:tcPr>
            <w:tcW w:w="1823" w:type="dxa"/>
            <w:tcBorders>
              <w:tl2br w:val="nil"/>
              <w:tr2bl w:val="nil"/>
            </w:tcBorders>
            <w:noWrap/>
            <w:vAlign w:val="center"/>
          </w:tcPr>
          <w:p w14:paraId="29D3E51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主体工程</w:t>
            </w:r>
          </w:p>
        </w:tc>
        <w:tc>
          <w:tcPr>
            <w:tcW w:w="920" w:type="dxa"/>
            <w:tcBorders>
              <w:tl2br w:val="nil"/>
              <w:tr2bl w:val="nil"/>
            </w:tcBorders>
            <w:noWrap/>
            <w:vAlign w:val="center"/>
          </w:tcPr>
          <w:p w14:paraId="1B301043">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084" w:type="dxa"/>
            <w:tcBorders>
              <w:tl2br w:val="nil"/>
              <w:tr2bl w:val="nil"/>
            </w:tcBorders>
            <w:noWrap/>
            <w:vAlign w:val="center"/>
          </w:tcPr>
          <w:p w14:paraId="2B4A3B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自然方</w:t>
            </w:r>
          </w:p>
        </w:tc>
        <w:tc>
          <w:tcPr>
            <w:tcW w:w="2719" w:type="dxa"/>
            <w:gridSpan w:val="2"/>
            <w:tcBorders>
              <w:tl2br w:val="nil"/>
              <w:tr2bl w:val="nil"/>
            </w:tcBorders>
            <w:noWrap/>
            <w:vAlign w:val="center"/>
          </w:tcPr>
          <w:p w14:paraId="4CA9FF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自然方</w:t>
            </w:r>
          </w:p>
        </w:tc>
        <w:tc>
          <w:tcPr>
            <w:tcW w:w="1097" w:type="dxa"/>
            <w:tcBorders>
              <w:tl2br w:val="nil"/>
              <w:tr2bl w:val="nil"/>
            </w:tcBorders>
            <w:noWrap/>
            <w:vAlign w:val="center"/>
          </w:tcPr>
          <w:p w14:paraId="32B0D1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自然方</w:t>
            </w:r>
          </w:p>
        </w:tc>
        <w:tc>
          <w:tcPr>
            <w:tcW w:w="4213" w:type="dxa"/>
            <w:tcBorders>
              <w:tl2br w:val="nil"/>
              <w:tr2bl w:val="nil"/>
            </w:tcBorders>
            <w:noWrap/>
            <w:vAlign w:val="center"/>
          </w:tcPr>
          <w:p w14:paraId="125F93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p>
        </w:tc>
      </w:tr>
      <w:tr w14:paraId="61B3AA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6" w:hRule="exact"/>
          <w:jc w:val="center"/>
        </w:trPr>
        <w:tc>
          <w:tcPr>
            <w:tcW w:w="801" w:type="dxa"/>
            <w:tcBorders>
              <w:tl2br w:val="nil"/>
              <w:tr2bl w:val="nil"/>
            </w:tcBorders>
            <w:noWrap/>
            <w:vAlign w:val="center"/>
          </w:tcPr>
          <w:p w14:paraId="1460AF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1</w:t>
            </w:r>
          </w:p>
        </w:tc>
        <w:tc>
          <w:tcPr>
            <w:tcW w:w="11856" w:type="dxa"/>
            <w:gridSpan w:val="7"/>
            <w:tcBorders>
              <w:tl2br w:val="nil"/>
              <w:tr2bl w:val="nil"/>
            </w:tcBorders>
            <w:noWrap/>
            <w:vAlign w:val="center"/>
          </w:tcPr>
          <w:p w14:paraId="0FA61A1E">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Arial" w:hAnsi="Arial" w:cs="Arial"/>
                <w:i w:val="0"/>
                <w:iCs w:val="0"/>
                <w:color w:val="auto"/>
                <w:sz w:val="22"/>
                <w:szCs w:val="22"/>
                <w:highlight w:val="none"/>
                <w:u w:val="none"/>
              </w:rPr>
            </w:pPr>
            <w:r>
              <w:rPr>
                <w:rFonts w:hint="default" w:ascii="Arial" w:hAnsi="Arial" w:eastAsia="宋体" w:cs="Arial"/>
                <w:color w:val="auto"/>
                <w:kern w:val="0"/>
                <w:sz w:val="22"/>
                <w:szCs w:val="22"/>
                <w:highlight w:val="none"/>
                <w:lang w:val="en-US" w:eastAsia="zh-CN"/>
              </w:rPr>
              <w:t>枢纽工程</w:t>
            </w:r>
          </w:p>
        </w:tc>
      </w:tr>
      <w:tr w14:paraId="00FB2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801" w:type="dxa"/>
            <w:tcBorders>
              <w:tl2br w:val="nil"/>
              <w:tr2bl w:val="nil"/>
            </w:tcBorders>
            <w:noWrap/>
            <w:vAlign w:val="center"/>
          </w:tcPr>
          <w:p w14:paraId="66A62F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（1）</w:t>
            </w:r>
          </w:p>
        </w:tc>
        <w:tc>
          <w:tcPr>
            <w:tcW w:w="1823" w:type="dxa"/>
            <w:tcBorders>
              <w:tl2br w:val="nil"/>
              <w:tr2bl w:val="nil"/>
            </w:tcBorders>
            <w:noWrap/>
            <w:vAlign w:val="center"/>
          </w:tcPr>
          <w:p w14:paraId="5708D7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土方开挖</w:t>
            </w:r>
          </w:p>
        </w:tc>
        <w:tc>
          <w:tcPr>
            <w:tcW w:w="920" w:type="dxa"/>
            <w:tcBorders>
              <w:tl2br w:val="nil"/>
              <w:tr2bl w:val="nil"/>
            </w:tcBorders>
            <w:noWrap/>
            <w:vAlign w:val="center"/>
          </w:tcPr>
          <w:p w14:paraId="50D526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647316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37" w:type="dxa"/>
            <w:tcBorders>
              <w:tl2br w:val="nil"/>
              <w:tr2bl w:val="nil"/>
            </w:tcBorders>
            <w:noWrap/>
            <w:vAlign w:val="center"/>
          </w:tcPr>
          <w:p w14:paraId="5BCB52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82" w:type="dxa"/>
            <w:tcBorders>
              <w:tl2br w:val="nil"/>
              <w:tr2bl w:val="nil"/>
            </w:tcBorders>
            <w:noWrap/>
            <w:vAlign w:val="center"/>
          </w:tcPr>
          <w:p w14:paraId="33AB76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097" w:type="dxa"/>
            <w:tcBorders>
              <w:tl2br w:val="nil"/>
              <w:tr2bl w:val="nil"/>
            </w:tcBorders>
            <w:noWrap/>
            <w:vAlign w:val="center"/>
          </w:tcPr>
          <w:p w14:paraId="14EB67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4213" w:type="dxa"/>
            <w:tcBorders>
              <w:tl2br w:val="nil"/>
              <w:tr2bl w:val="nil"/>
            </w:tcBorders>
            <w:noWrap/>
            <w:vAlign w:val="center"/>
          </w:tcPr>
          <w:p w14:paraId="0D9121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p>
        </w:tc>
      </w:tr>
      <w:tr w14:paraId="695205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801" w:type="dxa"/>
            <w:tcBorders>
              <w:tl2br w:val="nil"/>
              <w:tr2bl w:val="nil"/>
            </w:tcBorders>
            <w:noWrap/>
            <w:vAlign w:val="center"/>
          </w:tcPr>
          <w:p w14:paraId="1C4074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rPr>
            </w:pPr>
            <w:r>
              <w:rPr>
                <w:rFonts w:hint="eastAsia" w:ascii="Arial" w:hAnsi="Arial" w:cs="Arial"/>
                <w:color w:val="auto"/>
                <w:kern w:val="0"/>
                <w:sz w:val="22"/>
                <w:szCs w:val="22"/>
                <w:highlight w:val="none"/>
                <w:lang w:val="en-US" w:eastAsia="zh-CN"/>
              </w:rPr>
              <w:t>（2）</w:t>
            </w:r>
          </w:p>
        </w:tc>
        <w:tc>
          <w:tcPr>
            <w:tcW w:w="1823" w:type="dxa"/>
            <w:tcBorders>
              <w:tl2br w:val="nil"/>
              <w:tr2bl w:val="nil"/>
            </w:tcBorders>
            <w:noWrap/>
            <w:vAlign w:val="center"/>
          </w:tcPr>
          <w:p w14:paraId="415653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石方开挖</w:t>
            </w:r>
          </w:p>
        </w:tc>
        <w:tc>
          <w:tcPr>
            <w:tcW w:w="920" w:type="dxa"/>
            <w:tcBorders>
              <w:tl2br w:val="nil"/>
              <w:tr2bl w:val="nil"/>
            </w:tcBorders>
            <w:noWrap/>
            <w:vAlign w:val="center"/>
          </w:tcPr>
          <w:p w14:paraId="371013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42246D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1.40 </w:t>
            </w:r>
          </w:p>
        </w:tc>
        <w:tc>
          <w:tcPr>
            <w:tcW w:w="1337" w:type="dxa"/>
            <w:tcBorders>
              <w:tl2br w:val="nil"/>
              <w:tr2bl w:val="nil"/>
            </w:tcBorders>
            <w:noWrap/>
            <w:vAlign w:val="center"/>
          </w:tcPr>
          <w:p w14:paraId="5B4B2FD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82" w:type="dxa"/>
            <w:tcBorders>
              <w:tl2br w:val="nil"/>
              <w:tr2bl w:val="nil"/>
            </w:tcBorders>
            <w:noWrap/>
            <w:vAlign w:val="center"/>
          </w:tcPr>
          <w:p w14:paraId="313742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0.49 </w:t>
            </w:r>
          </w:p>
        </w:tc>
        <w:tc>
          <w:tcPr>
            <w:tcW w:w="1097" w:type="dxa"/>
            <w:tcBorders>
              <w:tl2br w:val="nil"/>
              <w:tr2bl w:val="nil"/>
            </w:tcBorders>
            <w:noWrap/>
            <w:vAlign w:val="center"/>
          </w:tcPr>
          <w:p w14:paraId="504411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0.91 </w:t>
            </w:r>
          </w:p>
        </w:tc>
        <w:tc>
          <w:tcPr>
            <w:tcW w:w="4213" w:type="dxa"/>
            <w:tcBorders>
              <w:tl2br w:val="nil"/>
              <w:tr2bl w:val="nil"/>
            </w:tcBorders>
            <w:noWrap/>
            <w:vAlign w:val="center"/>
          </w:tcPr>
          <w:p w14:paraId="0307E0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w:t>
            </w:r>
            <w:r>
              <w:rPr>
                <w:rFonts w:hint="eastAsia" w:ascii="Arial" w:hAnsi="Arial" w:cs="Arial"/>
                <w:color w:val="auto"/>
                <w:kern w:val="0"/>
                <w:sz w:val="22"/>
                <w:szCs w:val="22"/>
                <w:highlight w:val="none"/>
                <w:lang w:val="en-US" w:eastAsia="zh-CN"/>
              </w:rPr>
              <w:t>5</w:t>
            </w:r>
            <w:r>
              <w:rPr>
                <w:rFonts w:hint="default" w:ascii="Arial" w:hAnsi="Arial" w:eastAsia="宋体" w:cs="Arial"/>
                <w:color w:val="auto"/>
                <w:kern w:val="0"/>
                <w:sz w:val="22"/>
                <w:szCs w:val="22"/>
                <w:highlight w:val="none"/>
                <w:lang w:val="en-US" w:eastAsia="zh-CN"/>
              </w:rPr>
              <w:t>%利用料，剩余为弃渣，直接运至渣场，运距6km</w:t>
            </w:r>
          </w:p>
        </w:tc>
      </w:tr>
      <w:tr w14:paraId="0B9B26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801" w:type="dxa"/>
            <w:tcBorders>
              <w:tl2br w:val="nil"/>
              <w:tr2bl w:val="nil"/>
            </w:tcBorders>
            <w:noWrap/>
            <w:vAlign w:val="center"/>
          </w:tcPr>
          <w:p w14:paraId="1502F1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2</w:t>
            </w:r>
          </w:p>
        </w:tc>
        <w:tc>
          <w:tcPr>
            <w:tcW w:w="11856" w:type="dxa"/>
            <w:gridSpan w:val="7"/>
            <w:tcBorders>
              <w:tl2br w:val="nil"/>
              <w:tr2bl w:val="nil"/>
            </w:tcBorders>
            <w:noWrap/>
            <w:vAlign w:val="center"/>
          </w:tcPr>
          <w:p w14:paraId="2ADBD5A0">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临时工程</w:t>
            </w:r>
          </w:p>
        </w:tc>
      </w:tr>
      <w:tr w14:paraId="0271E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801" w:type="dxa"/>
            <w:tcBorders>
              <w:tl2br w:val="nil"/>
              <w:tr2bl w:val="nil"/>
            </w:tcBorders>
            <w:noWrap/>
            <w:vAlign w:val="center"/>
          </w:tcPr>
          <w:p w14:paraId="4EFFD18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rPr>
            </w:pPr>
            <w:r>
              <w:rPr>
                <w:rFonts w:hint="eastAsia" w:ascii="Arial" w:hAnsi="Arial" w:cs="Arial"/>
                <w:color w:val="auto"/>
                <w:kern w:val="0"/>
                <w:sz w:val="22"/>
                <w:szCs w:val="22"/>
                <w:highlight w:val="none"/>
                <w:lang w:val="en-US" w:eastAsia="zh-CN"/>
              </w:rPr>
              <w:t>（1）</w:t>
            </w:r>
          </w:p>
        </w:tc>
        <w:tc>
          <w:tcPr>
            <w:tcW w:w="1823" w:type="dxa"/>
            <w:tcBorders>
              <w:tl2br w:val="nil"/>
              <w:tr2bl w:val="nil"/>
            </w:tcBorders>
            <w:noWrap/>
            <w:vAlign w:val="center"/>
          </w:tcPr>
          <w:p w14:paraId="53FD1BD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土方开挖</w:t>
            </w:r>
          </w:p>
        </w:tc>
        <w:tc>
          <w:tcPr>
            <w:tcW w:w="920" w:type="dxa"/>
            <w:tcBorders>
              <w:tl2br w:val="nil"/>
              <w:tr2bl w:val="nil"/>
            </w:tcBorders>
            <w:noWrap/>
            <w:vAlign w:val="center"/>
          </w:tcPr>
          <w:p w14:paraId="5EB7E7B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31F0EAF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4.28 </w:t>
            </w:r>
          </w:p>
        </w:tc>
        <w:tc>
          <w:tcPr>
            <w:tcW w:w="1337" w:type="dxa"/>
            <w:tcBorders>
              <w:tl2br w:val="nil"/>
              <w:tr2bl w:val="nil"/>
            </w:tcBorders>
            <w:noWrap/>
            <w:vAlign w:val="center"/>
          </w:tcPr>
          <w:p w14:paraId="7A5F52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82" w:type="dxa"/>
            <w:tcBorders>
              <w:tl2br w:val="nil"/>
              <w:tr2bl w:val="nil"/>
            </w:tcBorders>
            <w:noWrap/>
            <w:vAlign w:val="center"/>
          </w:tcPr>
          <w:p w14:paraId="3C6AE6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1.15 </w:t>
            </w:r>
          </w:p>
        </w:tc>
        <w:tc>
          <w:tcPr>
            <w:tcW w:w="1097" w:type="dxa"/>
            <w:tcBorders>
              <w:tl2br w:val="nil"/>
              <w:tr2bl w:val="nil"/>
            </w:tcBorders>
            <w:noWrap/>
            <w:vAlign w:val="center"/>
          </w:tcPr>
          <w:p w14:paraId="7724F2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3.1</w:t>
            </w:r>
            <w:r>
              <w:rPr>
                <w:rFonts w:hint="default" w:ascii="Arial" w:hAnsi="Arial" w:cs="Arial"/>
                <w:color w:val="auto"/>
                <w:kern w:val="0"/>
                <w:sz w:val="22"/>
                <w:szCs w:val="22"/>
                <w:highlight w:val="none"/>
                <w:lang w:val="en-US" w:eastAsia="zh-CN"/>
              </w:rPr>
              <w:t>3</w:t>
            </w:r>
          </w:p>
        </w:tc>
        <w:tc>
          <w:tcPr>
            <w:tcW w:w="4213" w:type="dxa"/>
            <w:tcBorders>
              <w:tl2br w:val="nil"/>
              <w:tr2bl w:val="nil"/>
            </w:tcBorders>
            <w:noWrap/>
            <w:vAlign w:val="center"/>
          </w:tcPr>
          <w:p w14:paraId="4ECB11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26.</w:t>
            </w:r>
            <w:r>
              <w:rPr>
                <w:rFonts w:hint="eastAsia" w:ascii="Arial" w:hAnsi="Arial" w:cs="Arial"/>
                <w:color w:val="auto"/>
                <w:kern w:val="0"/>
                <w:sz w:val="22"/>
                <w:szCs w:val="22"/>
                <w:highlight w:val="none"/>
                <w:lang w:val="en-US" w:eastAsia="zh-CN"/>
              </w:rPr>
              <w:t>88</w:t>
            </w:r>
            <w:r>
              <w:rPr>
                <w:rFonts w:hint="default" w:ascii="Arial" w:hAnsi="Arial" w:eastAsia="宋体" w:cs="Arial"/>
                <w:color w:val="auto"/>
                <w:kern w:val="0"/>
                <w:sz w:val="22"/>
                <w:szCs w:val="22"/>
                <w:highlight w:val="none"/>
                <w:lang w:val="en-US" w:eastAsia="zh-CN"/>
              </w:rPr>
              <w:t>%利用料，剩余为弃渣，直接运至渣场，运距6km</w:t>
            </w:r>
          </w:p>
        </w:tc>
      </w:tr>
      <w:tr w14:paraId="173C3E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801" w:type="dxa"/>
            <w:tcBorders>
              <w:tl2br w:val="nil"/>
              <w:tr2bl w:val="nil"/>
            </w:tcBorders>
            <w:noWrap/>
            <w:vAlign w:val="center"/>
          </w:tcPr>
          <w:p w14:paraId="082E8E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rPr>
            </w:pPr>
            <w:r>
              <w:rPr>
                <w:rFonts w:hint="eastAsia" w:ascii="Arial" w:hAnsi="Arial" w:cs="Arial"/>
                <w:color w:val="auto"/>
                <w:kern w:val="0"/>
                <w:sz w:val="22"/>
                <w:szCs w:val="22"/>
                <w:highlight w:val="none"/>
                <w:lang w:val="en-US" w:eastAsia="zh-CN"/>
              </w:rPr>
              <w:t>（2）</w:t>
            </w:r>
          </w:p>
        </w:tc>
        <w:tc>
          <w:tcPr>
            <w:tcW w:w="1823" w:type="dxa"/>
            <w:tcBorders>
              <w:tl2br w:val="nil"/>
              <w:tr2bl w:val="nil"/>
            </w:tcBorders>
            <w:noWrap/>
            <w:vAlign w:val="center"/>
          </w:tcPr>
          <w:p w14:paraId="3C8C1E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石方开挖</w:t>
            </w:r>
          </w:p>
        </w:tc>
        <w:tc>
          <w:tcPr>
            <w:tcW w:w="920" w:type="dxa"/>
            <w:tcBorders>
              <w:tl2br w:val="nil"/>
              <w:tr2bl w:val="nil"/>
            </w:tcBorders>
            <w:noWrap/>
            <w:vAlign w:val="center"/>
          </w:tcPr>
          <w:p w14:paraId="2D1F29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666E5C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2.09 </w:t>
            </w:r>
          </w:p>
        </w:tc>
        <w:tc>
          <w:tcPr>
            <w:tcW w:w="1337" w:type="dxa"/>
            <w:tcBorders>
              <w:tl2br w:val="nil"/>
              <w:tr2bl w:val="nil"/>
            </w:tcBorders>
            <w:noWrap/>
            <w:vAlign w:val="center"/>
          </w:tcPr>
          <w:p w14:paraId="01CE44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0.07 </w:t>
            </w:r>
          </w:p>
        </w:tc>
        <w:tc>
          <w:tcPr>
            <w:tcW w:w="1382" w:type="dxa"/>
            <w:tcBorders>
              <w:tl2br w:val="nil"/>
              <w:tr2bl w:val="nil"/>
            </w:tcBorders>
            <w:noWrap/>
            <w:vAlign w:val="center"/>
          </w:tcPr>
          <w:p w14:paraId="75C940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097" w:type="dxa"/>
            <w:tcBorders>
              <w:tl2br w:val="nil"/>
              <w:tr2bl w:val="nil"/>
            </w:tcBorders>
            <w:noWrap/>
            <w:vAlign w:val="center"/>
          </w:tcPr>
          <w:p w14:paraId="00E8B4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2.02 </w:t>
            </w:r>
          </w:p>
        </w:tc>
        <w:tc>
          <w:tcPr>
            <w:tcW w:w="4213" w:type="dxa"/>
            <w:tcBorders>
              <w:tl2br w:val="nil"/>
              <w:tr2bl w:val="nil"/>
            </w:tcBorders>
            <w:noWrap/>
            <w:vAlign w:val="center"/>
          </w:tcPr>
          <w:p w14:paraId="688998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w:t>
            </w:r>
            <w:r>
              <w:rPr>
                <w:rFonts w:hint="eastAsia" w:ascii="Arial" w:hAnsi="Arial" w:cs="Arial"/>
                <w:color w:val="auto"/>
                <w:kern w:val="0"/>
                <w:sz w:val="22"/>
                <w:szCs w:val="22"/>
                <w:highlight w:val="none"/>
                <w:lang w:val="en-US" w:eastAsia="zh-CN"/>
              </w:rPr>
              <w:t>35</w:t>
            </w:r>
            <w:r>
              <w:rPr>
                <w:rFonts w:hint="default" w:ascii="Arial" w:hAnsi="Arial" w:eastAsia="宋体" w:cs="Arial"/>
                <w:color w:val="auto"/>
                <w:kern w:val="0"/>
                <w:sz w:val="22"/>
                <w:szCs w:val="22"/>
                <w:highlight w:val="none"/>
                <w:lang w:val="en-US" w:eastAsia="zh-CN"/>
              </w:rPr>
              <w:t>%直接利用；剩余为弃渣，直接运至渣场，运距6km</w:t>
            </w:r>
          </w:p>
        </w:tc>
      </w:tr>
      <w:tr w14:paraId="68C3E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801" w:type="dxa"/>
            <w:tcBorders>
              <w:tl2br w:val="nil"/>
              <w:tr2bl w:val="nil"/>
            </w:tcBorders>
            <w:noWrap/>
            <w:vAlign w:val="center"/>
          </w:tcPr>
          <w:p w14:paraId="6E8AB7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rPr>
            </w:pPr>
            <w:r>
              <w:rPr>
                <w:rFonts w:hint="eastAsia" w:ascii="Arial" w:hAnsi="Arial" w:cs="Arial"/>
                <w:color w:val="auto"/>
                <w:kern w:val="0"/>
                <w:sz w:val="22"/>
                <w:szCs w:val="22"/>
                <w:highlight w:val="none"/>
                <w:lang w:val="en-US" w:eastAsia="zh-CN"/>
              </w:rPr>
              <w:t>（3）</w:t>
            </w:r>
          </w:p>
        </w:tc>
        <w:tc>
          <w:tcPr>
            <w:tcW w:w="1823" w:type="dxa"/>
            <w:tcBorders>
              <w:tl2br w:val="nil"/>
              <w:tr2bl w:val="nil"/>
            </w:tcBorders>
            <w:noWrap/>
            <w:vAlign w:val="center"/>
          </w:tcPr>
          <w:p w14:paraId="22DBF6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围堰拆除</w:t>
            </w:r>
          </w:p>
        </w:tc>
        <w:tc>
          <w:tcPr>
            <w:tcW w:w="920" w:type="dxa"/>
            <w:tcBorders>
              <w:tl2br w:val="nil"/>
              <w:tr2bl w:val="nil"/>
            </w:tcBorders>
            <w:noWrap/>
            <w:vAlign w:val="center"/>
          </w:tcPr>
          <w:p w14:paraId="1450797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6272A5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0.7</w:t>
            </w:r>
            <w:r>
              <w:rPr>
                <w:rFonts w:hint="default" w:ascii="Arial" w:hAnsi="Arial" w:cs="Arial"/>
                <w:color w:val="auto"/>
                <w:kern w:val="0"/>
                <w:sz w:val="22"/>
                <w:szCs w:val="22"/>
                <w:highlight w:val="none"/>
                <w:lang w:val="en-US" w:eastAsia="zh-CN"/>
              </w:rPr>
              <w:t>7</w:t>
            </w:r>
            <w:r>
              <w:rPr>
                <w:rFonts w:hint="default" w:ascii="Arial" w:hAnsi="Arial" w:eastAsia="宋体" w:cs="Arial"/>
                <w:color w:val="auto"/>
                <w:kern w:val="0"/>
                <w:sz w:val="22"/>
                <w:szCs w:val="22"/>
                <w:highlight w:val="none"/>
                <w:lang w:val="en-US" w:eastAsia="zh-CN"/>
              </w:rPr>
              <w:t xml:space="preserve"> </w:t>
            </w:r>
          </w:p>
        </w:tc>
        <w:tc>
          <w:tcPr>
            <w:tcW w:w="1337" w:type="dxa"/>
            <w:tcBorders>
              <w:tl2br w:val="nil"/>
              <w:tr2bl w:val="nil"/>
            </w:tcBorders>
            <w:noWrap/>
            <w:vAlign w:val="center"/>
          </w:tcPr>
          <w:p w14:paraId="47B728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82" w:type="dxa"/>
            <w:tcBorders>
              <w:tl2br w:val="nil"/>
              <w:tr2bl w:val="nil"/>
            </w:tcBorders>
            <w:noWrap/>
            <w:vAlign w:val="center"/>
          </w:tcPr>
          <w:p w14:paraId="36565B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0.2</w:t>
            </w:r>
            <w:r>
              <w:rPr>
                <w:rFonts w:hint="default" w:ascii="Arial" w:hAnsi="Arial" w:cs="Arial"/>
                <w:color w:val="auto"/>
                <w:kern w:val="0"/>
                <w:sz w:val="22"/>
                <w:szCs w:val="22"/>
                <w:highlight w:val="none"/>
                <w:lang w:val="en-US" w:eastAsia="zh-CN"/>
              </w:rPr>
              <w:t>2</w:t>
            </w:r>
            <w:r>
              <w:rPr>
                <w:rFonts w:hint="default" w:ascii="Arial" w:hAnsi="Arial" w:eastAsia="宋体" w:cs="Arial"/>
                <w:color w:val="auto"/>
                <w:kern w:val="0"/>
                <w:sz w:val="22"/>
                <w:szCs w:val="22"/>
                <w:highlight w:val="none"/>
                <w:lang w:val="en-US" w:eastAsia="zh-CN"/>
              </w:rPr>
              <w:t xml:space="preserve"> </w:t>
            </w:r>
          </w:p>
        </w:tc>
        <w:tc>
          <w:tcPr>
            <w:tcW w:w="1097" w:type="dxa"/>
            <w:tcBorders>
              <w:tl2br w:val="nil"/>
              <w:tr2bl w:val="nil"/>
            </w:tcBorders>
            <w:noWrap/>
            <w:vAlign w:val="center"/>
          </w:tcPr>
          <w:p w14:paraId="690C88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w:t>
            </w:r>
            <w:r>
              <w:rPr>
                <w:rFonts w:hint="default" w:ascii="Arial" w:hAnsi="Arial" w:cs="Arial"/>
                <w:color w:val="auto"/>
                <w:kern w:val="0"/>
                <w:sz w:val="22"/>
                <w:szCs w:val="22"/>
                <w:highlight w:val="none"/>
                <w:lang w:val="en-US" w:eastAsia="zh-CN"/>
              </w:rPr>
              <w:t>55</w:t>
            </w:r>
            <w:r>
              <w:rPr>
                <w:rFonts w:hint="default" w:ascii="Arial" w:hAnsi="Arial" w:eastAsia="宋体" w:cs="Arial"/>
                <w:color w:val="auto"/>
                <w:kern w:val="0"/>
                <w:sz w:val="22"/>
                <w:szCs w:val="22"/>
                <w:highlight w:val="none"/>
                <w:lang w:val="en-US" w:eastAsia="zh-CN"/>
              </w:rPr>
              <w:t xml:space="preserve"> </w:t>
            </w:r>
          </w:p>
        </w:tc>
        <w:tc>
          <w:tcPr>
            <w:tcW w:w="4213" w:type="dxa"/>
            <w:tcBorders>
              <w:tl2br w:val="nil"/>
              <w:tr2bl w:val="nil"/>
            </w:tcBorders>
            <w:noWrap/>
            <w:vAlign w:val="center"/>
          </w:tcPr>
          <w:p w14:paraId="32BE8F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28.57</w:t>
            </w:r>
            <w:r>
              <w:rPr>
                <w:rFonts w:hint="default" w:ascii="Arial" w:hAnsi="Arial" w:eastAsia="宋体" w:cs="Arial"/>
                <w:color w:val="auto"/>
                <w:kern w:val="0"/>
                <w:sz w:val="22"/>
                <w:szCs w:val="22"/>
                <w:highlight w:val="none"/>
                <w:lang w:val="en-US" w:eastAsia="zh-CN"/>
              </w:rPr>
              <w:t>%利用料，剩余为弃渣，直接运至渣场，运距6km</w:t>
            </w:r>
          </w:p>
        </w:tc>
      </w:tr>
      <w:tr w14:paraId="19850B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801" w:type="dxa"/>
            <w:tcBorders>
              <w:tl2br w:val="nil"/>
              <w:tr2bl w:val="nil"/>
            </w:tcBorders>
            <w:noWrap/>
            <w:vAlign w:val="center"/>
          </w:tcPr>
          <w:p w14:paraId="6E399D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3</w:t>
            </w:r>
          </w:p>
        </w:tc>
        <w:tc>
          <w:tcPr>
            <w:tcW w:w="1823" w:type="dxa"/>
            <w:tcBorders>
              <w:tl2br w:val="nil"/>
              <w:tr2bl w:val="nil"/>
            </w:tcBorders>
            <w:noWrap/>
            <w:vAlign w:val="center"/>
          </w:tcPr>
          <w:p w14:paraId="5DE527C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合计</w:t>
            </w:r>
          </w:p>
        </w:tc>
        <w:tc>
          <w:tcPr>
            <w:tcW w:w="920" w:type="dxa"/>
            <w:tcBorders>
              <w:tl2br w:val="nil"/>
              <w:tr2bl w:val="nil"/>
            </w:tcBorders>
            <w:noWrap/>
            <w:vAlign w:val="center"/>
          </w:tcPr>
          <w:p w14:paraId="13252E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17F7BD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8.54</w:t>
            </w:r>
          </w:p>
        </w:tc>
        <w:tc>
          <w:tcPr>
            <w:tcW w:w="1337" w:type="dxa"/>
            <w:tcBorders>
              <w:tl2br w:val="nil"/>
              <w:tr2bl w:val="nil"/>
            </w:tcBorders>
            <w:noWrap/>
            <w:vAlign w:val="center"/>
          </w:tcPr>
          <w:p w14:paraId="01F3C2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0.07</w:t>
            </w:r>
          </w:p>
        </w:tc>
        <w:tc>
          <w:tcPr>
            <w:tcW w:w="1382" w:type="dxa"/>
            <w:tcBorders>
              <w:tl2br w:val="nil"/>
              <w:tr2bl w:val="nil"/>
            </w:tcBorders>
            <w:noWrap/>
            <w:vAlign w:val="center"/>
          </w:tcPr>
          <w:p w14:paraId="6CB717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1.86</w:t>
            </w:r>
          </w:p>
        </w:tc>
        <w:tc>
          <w:tcPr>
            <w:tcW w:w="1097" w:type="dxa"/>
            <w:tcBorders>
              <w:tl2br w:val="nil"/>
              <w:tr2bl w:val="nil"/>
            </w:tcBorders>
            <w:noWrap/>
            <w:vAlign w:val="center"/>
          </w:tcPr>
          <w:p w14:paraId="2D07F0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6.61</w:t>
            </w:r>
          </w:p>
        </w:tc>
        <w:tc>
          <w:tcPr>
            <w:tcW w:w="4213" w:type="dxa"/>
            <w:tcBorders>
              <w:tl2br w:val="nil"/>
              <w:tr2bl w:val="nil"/>
            </w:tcBorders>
            <w:noWrap/>
            <w:vAlign w:val="center"/>
          </w:tcPr>
          <w:p w14:paraId="7B5005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全部为弃渣，直接运至渣场，运距6km</w:t>
            </w:r>
            <w:r>
              <w:rPr>
                <w:rFonts w:hint="eastAsia" w:ascii="Arial" w:hAnsi="Arial" w:cs="Arial"/>
                <w:color w:val="auto"/>
                <w:kern w:val="0"/>
                <w:sz w:val="22"/>
                <w:szCs w:val="22"/>
                <w:highlight w:val="none"/>
                <w:lang w:val="en-US" w:eastAsia="zh-CN"/>
              </w:rPr>
              <w:t>。</w:t>
            </w:r>
          </w:p>
        </w:tc>
      </w:tr>
    </w:tbl>
    <w:p w14:paraId="3E1AF371">
      <w:pPr>
        <w:tabs>
          <w:tab w:val="left" w:pos="3828"/>
        </w:tabs>
        <w:spacing w:line="240" w:lineRule="auto"/>
        <w:ind w:firstLine="0" w:firstLineChars="0"/>
        <w:rPr>
          <w:color w:val="auto"/>
          <w:sz w:val="21"/>
          <w:highlight w:val="none"/>
        </w:rPr>
      </w:pPr>
    </w:p>
    <w:p w14:paraId="7BAF7848">
      <w:pPr>
        <w:tabs>
          <w:tab w:val="left" w:pos="3828"/>
        </w:tabs>
        <w:spacing w:line="240" w:lineRule="auto"/>
        <w:ind w:firstLine="0" w:firstLineChars="0"/>
        <w:rPr>
          <w:color w:val="auto"/>
          <w:sz w:val="21"/>
          <w:highlight w:val="none"/>
        </w:rPr>
      </w:pPr>
    </w:p>
    <w:p w14:paraId="01AE54A6">
      <w:pPr>
        <w:tabs>
          <w:tab w:val="left" w:pos="3828"/>
        </w:tabs>
        <w:spacing w:line="240" w:lineRule="auto"/>
        <w:ind w:firstLine="0" w:firstLineChars="0"/>
        <w:rPr>
          <w:rFonts w:hint="eastAsia"/>
          <w:color w:val="auto"/>
          <w:sz w:val="21"/>
          <w:highlight w:val="none"/>
        </w:rPr>
      </w:pPr>
      <w:r>
        <w:rPr>
          <w:color w:val="auto"/>
          <w:sz w:val="21"/>
          <w:highlight w:val="none"/>
        </w:rPr>
        <w:t xml:space="preserve">                </w:t>
      </w:r>
    </w:p>
    <w:p w14:paraId="21E8542B">
      <w:pPr>
        <w:pStyle w:val="2107"/>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color w:val="auto"/>
          <w:sz w:val="26"/>
          <w:szCs w:val="26"/>
          <w:highlight w:val="none"/>
          <w:lang w:eastAsia="zh-CN"/>
        </w:rPr>
      </w:pPr>
      <w:r>
        <w:rPr>
          <w:rFonts w:hint="eastAsia"/>
          <w:color w:val="auto"/>
          <w:spacing w:val="-4"/>
          <w:kern w:val="0"/>
          <w:highlight w:val="none"/>
        </w:rPr>
        <w:br w:type="page"/>
      </w:r>
      <w:r>
        <w:rPr>
          <w:rFonts w:hint="default" w:ascii="Arial" w:hAnsi="Arial" w:cs="Arial"/>
          <w:color w:val="auto"/>
          <w:sz w:val="26"/>
          <w:szCs w:val="26"/>
          <w:highlight w:val="none"/>
          <w:lang w:eastAsia="zh-CN"/>
        </w:rPr>
        <w:t>表</w:t>
      </w:r>
      <w:r>
        <w:rPr>
          <w:rFonts w:hint="eastAsia" w:ascii="Arial" w:hAnsi="Arial" w:cs="Arial"/>
          <w:color w:val="auto"/>
          <w:sz w:val="26"/>
          <w:szCs w:val="26"/>
          <w:highlight w:val="none"/>
          <w:lang w:val="en-US" w:eastAsia="zh-CN"/>
        </w:rPr>
        <w:t xml:space="preserve">2.3-2  </w:t>
      </w:r>
      <w:r>
        <w:rPr>
          <w:rFonts w:hint="eastAsia" w:ascii="Arial" w:hAnsi="Arial" w:cs="Arial"/>
          <w:color w:val="auto"/>
          <w:sz w:val="26"/>
          <w:szCs w:val="26"/>
          <w:highlight w:val="none"/>
          <w:lang w:eastAsia="zh-CN"/>
        </w:rPr>
        <w:t>输水工程区</w:t>
      </w:r>
      <w:r>
        <w:rPr>
          <w:rFonts w:hint="default" w:ascii="Arial" w:hAnsi="Arial" w:cs="Arial"/>
          <w:color w:val="auto"/>
          <w:sz w:val="26"/>
          <w:szCs w:val="26"/>
          <w:highlight w:val="none"/>
          <w:lang w:eastAsia="zh-CN"/>
        </w:rPr>
        <w:t>土石平衡表</w:t>
      </w:r>
    </w:p>
    <w:tbl>
      <w:tblPr>
        <w:tblStyle w:val="77"/>
        <w:tblW w:w="1231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91"/>
        <w:gridCol w:w="2171"/>
        <w:gridCol w:w="1210"/>
        <w:gridCol w:w="1210"/>
        <w:gridCol w:w="1414"/>
        <w:gridCol w:w="1205"/>
        <w:gridCol w:w="1271"/>
        <w:gridCol w:w="2943"/>
      </w:tblGrid>
      <w:tr w14:paraId="5F176E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891" w:type="dxa"/>
            <w:vMerge w:val="restart"/>
            <w:tcBorders>
              <w:tl2br w:val="nil"/>
              <w:tr2bl w:val="nil"/>
            </w:tcBorders>
            <w:noWrap/>
            <w:vAlign w:val="center"/>
          </w:tcPr>
          <w:p w14:paraId="6C6388A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r>
              <w:rPr>
                <w:rFonts w:hint="default" w:ascii="Arial" w:hAnsi="Arial" w:eastAsia="宋体" w:cs="Arial"/>
                <w:color w:val="auto"/>
                <w:kern w:val="0"/>
                <w:sz w:val="22"/>
                <w:szCs w:val="22"/>
                <w:highlight w:val="none"/>
                <w:lang w:val="en-US" w:eastAsia="zh-CN"/>
              </w:rPr>
              <w:t>序号</w:t>
            </w:r>
          </w:p>
        </w:tc>
        <w:tc>
          <w:tcPr>
            <w:tcW w:w="2171" w:type="dxa"/>
            <w:vMerge w:val="restart"/>
            <w:tcBorders>
              <w:tl2br w:val="nil"/>
              <w:tr2bl w:val="nil"/>
            </w:tcBorders>
            <w:noWrap/>
            <w:vAlign w:val="center"/>
          </w:tcPr>
          <w:p w14:paraId="6C0257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r>
              <w:rPr>
                <w:rFonts w:hint="default" w:ascii="Arial" w:hAnsi="Arial" w:eastAsia="宋体" w:cs="Arial"/>
                <w:color w:val="auto"/>
                <w:kern w:val="0"/>
                <w:sz w:val="22"/>
                <w:szCs w:val="22"/>
                <w:highlight w:val="none"/>
                <w:lang w:val="en-US" w:eastAsia="zh-CN"/>
              </w:rPr>
              <w:t>名称</w:t>
            </w:r>
          </w:p>
        </w:tc>
        <w:tc>
          <w:tcPr>
            <w:tcW w:w="1210" w:type="dxa"/>
            <w:vMerge w:val="restart"/>
            <w:tcBorders>
              <w:tl2br w:val="nil"/>
              <w:tr2bl w:val="nil"/>
            </w:tcBorders>
            <w:noWrap/>
            <w:vAlign w:val="center"/>
          </w:tcPr>
          <w:p w14:paraId="044168C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单位</w:t>
            </w:r>
          </w:p>
        </w:tc>
        <w:tc>
          <w:tcPr>
            <w:tcW w:w="1210" w:type="dxa"/>
            <w:vMerge w:val="restart"/>
            <w:tcBorders>
              <w:tl2br w:val="nil"/>
              <w:tr2bl w:val="nil"/>
            </w:tcBorders>
            <w:noWrap/>
            <w:vAlign w:val="center"/>
          </w:tcPr>
          <w:p w14:paraId="63AE01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r>
              <w:rPr>
                <w:rFonts w:hint="default" w:ascii="Arial" w:hAnsi="Arial" w:eastAsia="宋体" w:cs="Arial"/>
                <w:color w:val="auto"/>
                <w:kern w:val="0"/>
                <w:sz w:val="22"/>
                <w:szCs w:val="22"/>
                <w:highlight w:val="none"/>
                <w:lang w:val="en-US" w:eastAsia="zh-CN"/>
              </w:rPr>
              <w:t>工程量</w:t>
            </w:r>
          </w:p>
        </w:tc>
        <w:tc>
          <w:tcPr>
            <w:tcW w:w="2619" w:type="dxa"/>
            <w:gridSpan w:val="2"/>
            <w:tcBorders>
              <w:tl2br w:val="nil"/>
              <w:tr2bl w:val="nil"/>
            </w:tcBorders>
            <w:noWrap w:val="0"/>
            <w:vAlign w:val="center"/>
          </w:tcPr>
          <w:p w14:paraId="7A4AB30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利用土石方</w:t>
            </w:r>
          </w:p>
        </w:tc>
        <w:tc>
          <w:tcPr>
            <w:tcW w:w="1271" w:type="dxa"/>
            <w:vMerge w:val="restart"/>
            <w:tcBorders>
              <w:tl2br w:val="nil"/>
              <w:tr2bl w:val="nil"/>
            </w:tcBorders>
            <w:noWrap w:val="0"/>
            <w:vAlign w:val="center"/>
          </w:tcPr>
          <w:p w14:paraId="23EA003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弃渣</w:t>
            </w:r>
          </w:p>
        </w:tc>
        <w:tc>
          <w:tcPr>
            <w:tcW w:w="2943" w:type="dxa"/>
            <w:vMerge w:val="restart"/>
            <w:tcBorders>
              <w:tl2br w:val="nil"/>
              <w:tr2bl w:val="nil"/>
            </w:tcBorders>
            <w:noWrap/>
            <w:vAlign w:val="center"/>
          </w:tcPr>
          <w:p w14:paraId="60EEEBB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说明</w:t>
            </w:r>
          </w:p>
        </w:tc>
      </w:tr>
      <w:tr w14:paraId="24E05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891" w:type="dxa"/>
            <w:vMerge w:val="continue"/>
            <w:tcBorders>
              <w:tl2br w:val="nil"/>
              <w:tr2bl w:val="nil"/>
            </w:tcBorders>
            <w:noWrap w:val="0"/>
            <w:vAlign w:val="center"/>
          </w:tcPr>
          <w:p w14:paraId="7547044E">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2171" w:type="dxa"/>
            <w:vMerge w:val="continue"/>
            <w:tcBorders>
              <w:tl2br w:val="nil"/>
              <w:tr2bl w:val="nil"/>
            </w:tcBorders>
            <w:noWrap w:val="0"/>
            <w:vAlign w:val="center"/>
          </w:tcPr>
          <w:p w14:paraId="3B00C2BE">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210" w:type="dxa"/>
            <w:vMerge w:val="continue"/>
            <w:tcBorders>
              <w:tl2br w:val="nil"/>
              <w:tr2bl w:val="nil"/>
            </w:tcBorders>
            <w:noWrap w:val="0"/>
            <w:vAlign w:val="center"/>
          </w:tcPr>
          <w:p w14:paraId="4F3DB601">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210" w:type="dxa"/>
            <w:vMerge w:val="continue"/>
            <w:tcBorders>
              <w:tl2br w:val="nil"/>
              <w:tr2bl w:val="nil"/>
            </w:tcBorders>
            <w:noWrap w:val="0"/>
            <w:vAlign w:val="center"/>
          </w:tcPr>
          <w:p w14:paraId="4C9BDF6C">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414" w:type="dxa"/>
            <w:tcBorders>
              <w:tl2br w:val="nil"/>
              <w:tr2bl w:val="nil"/>
            </w:tcBorders>
            <w:noWrap w:val="0"/>
            <w:vAlign w:val="center"/>
          </w:tcPr>
          <w:p w14:paraId="5F4021E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直接利用</w:t>
            </w:r>
          </w:p>
        </w:tc>
        <w:tc>
          <w:tcPr>
            <w:tcW w:w="1205" w:type="dxa"/>
            <w:tcBorders>
              <w:tl2br w:val="nil"/>
              <w:tr2bl w:val="nil"/>
            </w:tcBorders>
            <w:noWrap w:val="0"/>
            <w:vAlign w:val="center"/>
          </w:tcPr>
          <w:p w14:paraId="17D0A9F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间接利用</w:t>
            </w:r>
          </w:p>
        </w:tc>
        <w:tc>
          <w:tcPr>
            <w:tcW w:w="1271" w:type="dxa"/>
            <w:vMerge w:val="continue"/>
            <w:tcBorders>
              <w:tl2br w:val="nil"/>
              <w:tr2bl w:val="nil"/>
            </w:tcBorders>
            <w:noWrap w:val="0"/>
            <w:vAlign w:val="center"/>
          </w:tcPr>
          <w:p w14:paraId="1A9CC71E">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2943" w:type="dxa"/>
            <w:vMerge w:val="continue"/>
            <w:tcBorders>
              <w:tl2br w:val="nil"/>
              <w:tr2bl w:val="nil"/>
            </w:tcBorders>
            <w:noWrap w:val="0"/>
            <w:vAlign w:val="center"/>
          </w:tcPr>
          <w:p w14:paraId="3F7C7CA2">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r>
      <w:tr w14:paraId="14F57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01A9CB1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一</w:t>
            </w:r>
          </w:p>
        </w:tc>
        <w:tc>
          <w:tcPr>
            <w:tcW w:w="2171" w:type="dxa"/>
            <w:tcBorders>
              <w:tl2br w:val="nil"/>
              <w:tr2bl w:val="nil"/>
            </w:tcBorders>
            <w:noWrap/>
            <w:vAlign w:val="center"/>
          </w:tcPr>
          <w:p w14:paraId="65F5E1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主体工程</w:t>
            </w:r>
          </w:p>
        </w:tc>
        <w:tc>
          <w:tcPr>
            <w:tcW w:w="1210" w:type="dxa"/>
            <w:tcBorders>
              <w:tl2br w:val="nil"/>
              <w:tr2bl w:val="nil"/>
            </w:tcBorders>
            <w:noWrap/>
            <w:vAlign w:val="center"/>
          </w:tcPr>
          <w:p w14:paraId="2D9706FC">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210" w:type="dxa"/>
            <w:tcBorders>
              <w:tl2br w:val="nil"/>
              <w:tr2bl w:val="nil"/>
            </w:tcBorders>
            <w:noWrap/>
            <w:vAlign w:val="center"/>
          </w:tcPr>
          <w:p w14:paraId="1DAE99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自然方</w:t>
            </w:r>
          </w:p>
        </w:tc>
        <w:tc>
          <w:tcPr>
            <w:tcW w:w="2619" w:type="dxa"/>
            <w:gridSpan w:val="2"/>
            <w:tcBorders>
              <w:tl2br w:val="nil"/>
              <w:tr2bl w:val="nil"/>
            </w:tcBorders>
            <w:noWrap/>
            <w:vAlign w:val="center"/>
          </w:tcPr>
          <w:p w14:paraId="066276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eastAsia="宋体" w:cs="Arial"/>
                <w:i w:val="0"/>
                <w:iCs w:val="0"/>
                <w:color w:val="auto"/>
                <w:kern w:val="0"/>
                <w:sz w:val="22"/>
                <w:szCs w:val="22"/>
                <w:highlight w:val="none"/>
                <w:u w:val="none"/>
                <w:lang w:val="en-US" w:eastAsia="zh-CN" w:bidi="ar"/>
              </w:rPr>
            </w:pPr>
            <w:r>
              <w:rPr>
                <w:rFonts w:hint="default" w:ascii="Arial" w:hAnsi="Arial" w:eastAsia="宋体" w:cs="Arial"/>
                <w:i w:val="0"/>
                <w:iCs w:val="0"/>
                <w:color w:val="auto"/>
                <w:kern w:val="0"/>
                <w:sz w:val="22"/>
                <w:szCs w:val="22"/>
                <w:highlight w:val="none"/>
                <w:u w:val="none"/>
                <w:lang w:val="en-US" w:eastAsia="zh-CN" w:bidi="ar"/>
              </w:rPr>
              <w:t>自然方</w:t>
            </w:r>
          </w:p>
        </w:tc>
        <w:tc>
          <w:tcPr>
            <w:tcW w:w="1271" w:type="dxa"/>
            <w:tcBorders>
              <w:tl2br w:val="nil"/>
              <w:tr2bl w:val="nil"/>
            </w:tcBorders>
            <w:noWrap/>
            <w:vAlign w:val="center"/>
          </w:tcPr>
          <w:p w14:paraId="420DEDB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自然方</w:t>
            </w:r>
          </w:p>
        </w:tc>
        <w:tc>
          <w:tcPr>
            <w:tcW w:w="2943" w:type="dxa"/>
            <w:tcBorders>
              <w:tl2br w:val="nil"/>
              <w:tr2bl w:val="nil"/>
            </w:tcBorders>
            <w:noWrap/>
            <w:vAlign w:val="center"/>
          </w:tcPr>
          <w:p w14:paraId="0C3DF4AD">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r>
      <w:tr w14:paraId="08ABCA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3F0ACA6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1</w:t>
            </w:r>
          </w:p>
        </w:tc>
        <w:tc>
          <w:tcPr>
            <w:tcW w:w="11424" w:type="dxa"/>
            <w:gridSpan w:val="7"/>
            <w:tcBorders>
              <w:tl2br w:val="nil"/>
              <w:tr2bl w:val="nil"/>
            </w:tcBorders>
            <w:noWrap/>
            <w:vAlign w:val="center"/>
          </w:tcPr>
          <w:p w14:paraId="37D7AB44">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Arial" w:hAnsi="Arial" w:eastAsia="宋体" w:cs="Arial"/>
                <w:color w:val="auto"/>
                <w:kern w:val="0"/>
                <w:sz w:val="22"/>
                <w:szCs w:val="22"/>
                <w:highlight w:val="none"/>
                <w:lang w:val="en-US" w:eastAsia="zh-CN"/>
              </w:rPr>
            </w:pPr>
            <w:r>
              <w:rPr>
                <w:rFonts w:hint="default" w:ascii="Arial" w:hAnsi="Arial" w:eastAsia="宋体" w:cs="Arial"/>
                <w:i w:val="0"/>
                <w:iCs w:val="0"/>
                <w:color w:val="auto"/>
                <w:kern w:val="0"/>
                <w:sz w:val="22"/>
                <w:szCs w:val="22"/>
                <w:highlight w:val="none"/>
                <w:u w:val="none"/>
                <w:lang w:val="en-US" w:eastAsia="zh-CN" w:bidi="ar"/>
              </w:rPr>
              <w:t>管道工程</w:t>
            </w:r>
          </w:p>
        </w:tc>
      </w:tr>
      <w:tr w14:paraId="497DA7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19D0AB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lang w:val="en-US"/>
              </w:rPr>
            </w:pPr>
            <w:r>
              <w:rPr>
                <w:rFonts w:hint="eastAsia" w:ascii="Arial" w:hAnsi="Arial" w:cs="Arial"/>
                <w:i w:val="0"/>
                <w:iCs w:val="0"/>
                <w:color w:val="auto"/>
                <w:kern w:val="0"/>
                <w:sz w:val="22"/>
                <w:szCs w:val="22"/>
                <w:highlight w:val="none"/>
                <w:u w:val="none"/>
                <w:lang w:val="en-US" w:eastAsia="zh-CN" w:bidi="ar"/>
              </w:rPr>
              <w:t>（1）</w:t>
            </w:r>
          </w:p>
        </w:tc>
        <w:tc>
          <w:tcPr>
            <w:tcW w:w="2171" w:type="dxa"/>
            <w:tcBorders>
              <w:tl2br w:val="nil"/>
              <w:tr2bl w:val="nil"/>
            </w:tcBorders>
            <w:noWrap/>
            <w:vAlign w:val="center"/>
          </w:tcPr>
          <w:p w14:paraId="23BD804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土方开挖</w:t>
            </w:r>
          </w:p>
        </w:tc>
        <w:tc>
          <w:tcPr>
            <w:tcW w:w="1210" w:type="dxa"/>
            <w:tcBorders>
              <w:tl2br w:val="nil"/>
              <w:tr2bl w:val="nil"/>
            </w:tcBorders>
            <w:noWrap/>
            <w:vAlign w:val="center"/>
          </w:tcPr>
          <w:p w14:paraId="14C528A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32F2C7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2.31</w:t>
            </w:r>
          </w:p>
        </w:tc>
        <w:tc>
          <w:tcPr>
            <w:tcW w:w="1414" w:type="dxa"/>
            <w:tcBorders>
              <w:tl2br w:val="nil"/>
              <w:tr2bl w:val="nil"/>
            </w:tcBorders>
            <w:noWrap/>
            <w:vAlign w:val="center"/>
          </w:tcPr>
          <w:p w14:paraId="79B1B4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0.07</w:t>
            </w:r>
          </w:p>
        </w:tc>
        <w:tc>
          <w:tcPr>
            <w:tcW w:w="1205" w:type="dxa"/>
            <w:tcBorders>
              <w:tl2br w:val="nil"/>
              <w:tr2bl w:val="nil"/>
            </w:tcBorders>
            <w:noWrap/>
            <w:vAlign w:val="center"/>
          </w:tcPr>
          <w:p w14:paraId="5C95D8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2.24</w:t>
            </w:r>
          </w:p>
        </w:tc>
        <w:tc>
          <w:tcPr>
            <w:tcW w:w="1271" w:type="dxa"/>
            <w:tcBorders>
              <w:tl2br w:val="nil"/>
              <w:tr2bl w:val="nil"/>
            </w:tcBorders>
            <w:noWrap/>
            <w:vAlign w:val="center"/>
          </w:tcPr>
          <w:p w14:paraId="3D04E7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0.00</w:t>
            </w:r>
          </w:p>
        </w:tc>
        <w:tc>
          <w:tcPr>
            <w:tcW w:w="2943" w:type="dxa"/>
            <w:tcBorders>
              <w:tl2br w:val="nil"/>
              <w:tr2bl w:val="nil"/>
            </w:tcBorders>
            <w:noWrap/>
            <w:vAlign w:val="center"/>
          </w:tcPr>
          <w:p w14:paraId="191B24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100%直接利用料</w:t>
            </w:r>
          </w:p>
        </w:tc>
      </w:tr>
      <w:tr w14:paraId="106CC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40FF744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lang w:val="en-US"/>
              </w:rPr>
            </w:pPr>
            <w:r>
              <w:rPr>
                <w:rFonts w:hint="eastAsia" w:ascii="Arial" w:hAnsi="Arial" w:cs="Arial"/>
                <w:i w:val="0"/>
                <w:iCs w:val="0"/>
                <w:color w:val="auto"/>
                <w:kern w:val="0"/>
                <w:sz w:val="22"/>
                <w:szCs w:val="22"/>
                <w:highlight w:val="none"/>
                <w:u w:val="none"/>
                <w:lang w:val="en-US" w:eastAsia="zh-CN" w:bidi="ar"/>
              </w:rPr>
              <w:t>（2）</w:t>
            </w:r>
          </w:p>
        </w:tc>
        <w:tc>
          <w:tcPr>
            <w:tcW w:w="2171" w:type="dxa"/>
            <w:tcBorders>
              <w:tl2br w:val="nil"/>
              <w:tr2bl w:val="nil"/>
            </w:tcBorders>
            <w:noWrap/>
            <w:vAlign w:val="center"/>
          </w:tcPr>
          <w:p w14:paraId="4FC95AE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石方开挖</w:t>
            </w:r>
          </w:p>
        </w:tc>
        <w:tc>
          <w:tcPr>
            <w:tcW w:w="1210" w:type="dxa"/>
            <w:tcBorders>
              <w:tl2br w:val="nil"/>
              <w:tr2bl w:val="nil"/>
            </w:tcBorders>
            <w:noWrap/>
            <w:vAlign w:val="center"/>
          </w:tcPr>
          <w:p w14:paraId="2E30E7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481908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0.60</w:t>
            </w:r>
          </w:p>
        </w:tc>
        <w:tc>
          <w:tcPr>
            <w:tcW w:w="1414" w:type="dxa"/>
            <w:tcBorders>
              <w:tl2br w:val="nil"/>
              <w:tr2bl w:val="nil"/>
            </w:tcBorders>
            <w:noWrap/>
            <w:vAlign w:val="center"/>
          </w:tcPr>
          <w:p w14:paraId="2B9D195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05" w:type="dxa"/>
            <w:tcBorders>
              <w:tl2br w:val="nil"/>
              <w:tr2bl w:val="nil"/>
            </w:tcBorders>
            <w:noWrap/>
            <w:vAlign w:val="center"/>
          </w:tcPr>
          <w:p w14:paraId="0D4DCE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0.60</w:t>
            </w:r>
          </w:p>
        </w:tc>
        <w:tc>
          <w:tcPr>
            <w:tcW w:w="1271" w:type="dxa"/>
            <w:tcBorders>
              <w:tl2br w:val="nil"/>
              <w:tr2bl w:val="nil"/>
            </w:tcBorders>
            <w:noWrap/>
            <w:vAlign w:val="center"/>
          </w:tcPr>
          <w:p w14:paraId="7587016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0.00</w:t>
            </w:r>
          </w:p>
        </w:tc>
        <w:tc>
          <w:tcPr>
            <w:tcW w:w="2943" w:type="dxa"/>
            <w:tcBorders>
              <w:tl2br w:val="nil"/>
              <w:tr2bl w:val="nil"/>
            </w:tcBorders>
            <w:noWrap/>
            <w:vAlign w:val="center"/>
          </w:tcPr>
          <w:p w14:paraId="12849B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100%直接利用料</w:t>
            </w:r>
          </w:p>
        </w:tc>
      </w:tr>
      <w:tr w14:paraId="5332C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3" w:hRule="exact"/>
          <w:jc w:val="center"/>
        </w:trPr>
        <w:tc>
          <w:tcPr>
            <w:tcW w:w="891" w:type="dxa"/>
            <w:tcBorders>
              <w:tl2br w:val="nil"/>
              <w:tr2bl w:val="nil"/>
            </w:tcBorders>
            <w:noWrap/>
            <w:vAlign w:val="center"/>
          </w:tcPr>
          <w:p w14:paraId="3DEA2B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kern w:val="2"/>
                <w:sz w:val="22"/>
                <w:szCs w:val="22"/>
                <w:highlight w:val="none"/>
                <w:u w:val="none"/>
                <w:lang w:val="en-US" w:eastAsia="zh-CN" w:bidi="ar-SA"/>
              </w:rPr>
            </w:pPr>
            <w:r>
              <w:rPr>
                <w:rFonts w:hint="eastAsia" w:ascii="Arial" w:hAnsi="Arial" w:cs="Arial"/>
                <w:i w:val="0"/>
                <w:iCs w:val="0"/>
                <w:color w:val="auto"/>
                <w:kern w:val="0"/>
                <w:sz w:val="22"/>
                <w:szCs w:val="22"/>
                <w:highlight w:val="none"/>
                <w:u w:val="none"/>
                <w:lang w:val="en-US" w:eastAsia="zh-CN" w:bidi="ar"/>
              </w:rPr>
              <w:t>（3）</w:t>
            </w:r>
          </w:p>
        </w:tc>
        <w:tc>
          <w:tcPr>
            <w:tcW w:w="2171" w:type="dxa"/>
            <w:tcBorders>
              <w:tl2br w:val="nil"/>
              <w:tr2bl w:val="nil"/>
            </w:tcBorders>
            <w:noWrap/>
            <w:vAlign w:val="center"/>
          </w:tcPr>
          <w:p w14:paraId="7ECA718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kern w:val="2"/>
                <w:sz w:val="22"/>
                <w:szCs w:val="22"/>
                <w:highlight w:val="none"/>
                <w:u w:val="none"/>
                <w:lang w:val="en-US" w:eastAsia="zh-CN" w:bidi="ar-SA"/>
              </w:rPr>
            </w:pPr>
            <w:r>
              <w:rPr>
                <w:rFonts w:hint="default" w:ascii="Arial" w:hAnsi="Arial" w:eastAsia="宋体" w:cs="Arial"/>
                <w:i w:val="0"/>
                <w:iCs w:val="0"/>
                <w:color w:val="auto"/>
                <w:kern w:val="0"/>
                <w:sz w:val="22"/>
                <w:szCs w:val="22"/>
                <w:highlight w:val="none"/>
                <w:u w:val="none"/>
                <w:lang w:val="en-US" w:eastAsia="zh-CN" w:bidi="ar"/>
              </w:rPr>
              <w:t>拆除量</w:t>
            </w:r>
          </w:p>
        </w:tc>
        <w:tc>
          <w:tcPr>
            <w:tcW w:w="1210" w:type="dxa"/>
            <w:tcBorders>
              <w:tl2br w:val="nil"/>
              <w:tr2bl w:val="nil"/>
            </w:tcBorders>
            <w:noWrap/>
            <w:vAlign w:val="center"/>
          </w:tcPr>
          <w:p w14:paraId="27DC7D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kern w:val="2"/>
                <w:sz w:val="22"/>
                <w:szCs w:val="22"/>
                <w:highlight w:val="none"/>
                <w:u w:val="none"/>
                <w:lang w:val="en-US" w:eastAsia="zh-CN" w:bidi="ar-SA"/>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556A5F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0.26</w:t>
            </w:r>
          </w:p>
        </w:tc>
        <w:tc>
          <w:tcPr>
            <w:tcW w:w="1414" w:type="dxa"/>
            <w:tcBorders>
              <w:tl2br w:val="nil"/>
              <w:tr2bl w:val="nil"/>
            </w:tcBorders>
            <w:noWrap/>
            <w:vAlign w:val="center"/>
          </w:tcPr>
          <w:p w14:paraId="1DE519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05" w:type="dxa"/>
            <w:tcBorders>
              <w:tl2br w:val="nil"/>
              <w:tr2bl w:val="nil"/>
            </w:tcBorders>
            <w:noWrap/>
            <w:vAlign w:val="center"/>
          </w:tcPr>
          <w:p w14:paraId="5BC347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0.16</w:t>
            </w:r>
          </w:p>
        </w:tc>
        <w:tc>
          <w:tcPr>
            <w:tcW w:w="1271" w:type="dxa"/>
            <w:tcBorders>
              <w:tl2br w:val="nil"/>
              <w:tr2bl w:val="nil"/>
            </w:tcBorders>
            <w:noWrap/>
            <w:vAlign w:val="center"/>
          </w:tcPr>
          <w:p w14:paraId="782045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0.10</w:t>
            </w:r>
          </w:p>
        </w:tc>
        <w:tc>
          <w:tcPr>
            <w:tcW w:w="2943" w:type="dxa"/>
            <w:tcBorders>
              <w:tl2br w:val="nil"/>
              <w:tr2bl w:val="nil"/>
            </w:tcBorders>
            <w:noWrap/>
            <w:vAlign w:val="center"/>
          </w:tcPr>
          <w:p w14:paraId="5B3C5B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6</w:t>
            </w:r>
            <w:r>
              <w:rPr>
                <w:rFonts w:hint="eastAsia" w:ascii="Arial" w:hAnsi="Arial" w:cs="Arial"/>
                <w:color w:val="auto"/>
                <w:kern w:val="0"/>
                <w:sz w:val="22"/>
                <w:szCs w:val="22"/>
                <w:highlight w:val="none"/>
                <w:lang w:val="en-US" w:eastAsia="zh-CN"/>
              </w:rPr>
              <w:t>1.54</w:t>
            </w:r>
            <w:r>
              <w:rPr>
                <w:rFonts w:hint="default" w:ascii="Arial" w:hAnsi="Arial" w:eastAsia="宋体" w:cs="Arial"/>
                <w:color w:val="auto"/>
                <w:kern w:val="0"/>
                <w:sz w:val="22"/>
                <w:szCs w:val="22"/>
                <w:highlight w:val="none"/>
                <w:lang w:val="en-US" w:eastAsia="zh-CN"/>
              </w:rPr>
              <w:t>%直接利用料，剩余为弃渣，直接运至渣场，运距</w:t>
            </w:r>
            <w:r>
              <w:rPr>
                <w:rFonts w:hint="eastAsia" w:ascii="Arial" w:hAnsi="Arial" w:cs="Arial"/>
                <w:color w:val="auto"/>
                <w:kern w:val="0"/>
                <w:sz w:val="22"/>
                <w:szCs w:val="22"/>
                <w:highlight w:val="none"/>
                <w:lang w:val="en-US" w:eastAsia="zh-CN"/>
              </w:rPr>
              <w:t>9</w:t>
            </w:r>
            <w:r>
              <w:rPr>
                <w:rFonts w:hint="default" w:ascii="Arial" w:hAnsi="Arial" w:eastAsia="宋体" w:cs="Arial"/>
                <w:color w:val="auto"/>
                <w:kern w:val="0"/>
                <w:sz w:val="22"/>
                <w:szCs w:val="22"/>
                <w:highlight w:val="none"/>
                <w:lang w:val="en-US" w:eastAsia="zh-CN"/>
              </w:rPr>
              <w:t>km</w:t>
            </w:r>
            <w:r>
              <w:rPr>
                <w:rFonts w:hint="eastAsia" w:ascii="Arial" w:hAnsi="Arial" w:cs="Arial"/>
                <w:color w:val="auto"/>
                <w:kern w:val="0"/>
                <w:sz w:val="22"/>
                <w:szCs w:val="22"/>
                <w:highlight w:val="none"/>
                <w:lang w:val="en-US" w:eastAsia="zh-CN"/>
              </w:rPr>
              <w:t>。</w:t>
            </w:r>
          </w:p>
        </w:tc>
      </w:tr>
      <w:tr w14:paraId="00CF4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12AE622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2</w:t>
            </w:r>
          </w:p>
        </w:tc>
        <w:tc>
          <w:tcPr>
            <w:tcW w:w="11424" w:type="dxa"/>
            <w:gridSpan w:val="7"/>
            <w:tcBorders>
              <w:tl2br w:val="nil"/>
              <w:tr2bl w:val="nil"/>
            </w:tcBorders>
            <w:noWrap/>
            <w:vAlign w:val="center"/>
          </w:tcPr>
          <w:p w14:paraId="3A7CBCE1">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Arial" w:hAnsi="Arial" w:eastAsia="宋体" w:cs="Arial"/>
                <w:color w:val="auto"/>
                <w:kern w:val="0"/>
                <w:sz w:val="22"/>
                <w:szCs w:val="22"/>
                <w:highlight w:val="none"/>
                <w:lang w:val="en-US" w:eastAsia="zh-CN"/>
              </w:rPr>
            </w:pPr>
            <w:r>
              <w:rPr>
                <w:rFonts w:hint="default" w:ascii="Arial" w:hAnsi="Arial" w:eastAsia="宋体" w:cs="Arial"/>
                <w:i w:val="0"/>
                <w:iCs w:val="0"/>
                <w:color w:val="auto"/>
                <w:kern w:val="0"/>
                <w:sz w:val="22"/>
                <w:szCs w:val="22"/>
                <w:highlight w:val="none"/>
                <w:u w:val="none"/>
                <w:lang w:val="en-US" w:eastAsia="zh-CN" w:bidi="ar"/>
              </w:rPr>
              <w:t>临时工程</w:t>
            </w:r>
          </w:p>
        </w:tc>
      </w:tr>
      <w:tr w14:paraId="05CFE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2F0FBC3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lang w:val="en-US"/>
              </w:rPr>
            </w:pPr>
            <w:r>
              <w:rPr>
                <w:rFonts w:hint="eastAsia" w:ascii="Arial" w:hAnsi="Arial" w:cs="Arial"/>
                <w:i w:val="0"/>
                <w:iCs w:val="0"/>
                <w:color w:val="auto"/>
                <w:kern w:val="0"/>
                <w:sz w:val="22"/>
                <w:szCs w:val="22"/>
                <w:highlight w:val="none"/>
                <w:u w:val="none"/>
                <w:lang w:val="en-US" w:eastAsia="zh-CN" w:bidi="ar"/>
              </w:rPr>
              <w:t>（1）</w:t>
            </w:r>
          </w:p>
        </w:tc>
        <w:tc>
          <w:tcPr>
            <w:tcW w:w="2171" w:type="dxa"/>
            <w:tcBorders>
              <w:tl2br w:val="nil"/>
              <w:tr2bl w:val="nil"/>
            </w:tcBorders>
            <w:noWrap/>
            <w:vAlign w:val="center"/>
          </w:tcPr>
          <w:p w14:paraId="62A72AA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土方开挖</w:t>
            </w:r>
          </w:p>
        </w:tc>
        <w:tc>
          <w:tcPr>
            <w:tcW w:w="1210" w:type="dxa"/>
            <w:tcBorders>
              <w:tl2br w:val="nil"/>
              <w:tr2bl w:val="nil"/>
            </w:tcBorders>
            <w:noWrap/>
            <w:vAlign w:val="center"/>
          </w:tcPr>
          <w:p w14:paraId="54049DE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44938B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0.04</w:t>
            </w:r>
          </w:p>
        </w:tc>
        <w:tc>
          <w:tcPr>
            <w:tcW w:w="1414" w:type="dxa"/>
            <w:tcBorders>
              <w:tl2br w:val="nil"/>
              <w:tr2bl w:val="nil"/>
            </w:tcBorders>
            <w:noWrap/>
            <w:vAlign w:val="center"/>
          </w:tcPr>
          <w:p w14:paraId="263AAE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05" w:type="dxa"/>
            <w:tcBorders>
              <w:tl2br w:val="nil"/>
              <w:tr2bl w:val="nil"/>
            </w:tcBorders>
            <w:noWrap/>
            <w:vAlign w:val="center"/>
          </w:tcPr>
          <w:p w14:paraId="2160FB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71" w:type="dxa"/>
            <w:tcBorders>
              <w:tl2br w:val="nil"/>
              <w:tr2bl w:val="nil"/>
            </w:tcBorders>
            <w:noWrap/>
            <w:vAlign w:val="center"/>
          </w:tcPr>
          <w:p w14:paraId="39F5FA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0.04</w:t>
            </w:r>
          </w:p>
        </w:tc>
        <w:tc>
          <w:tcPr>
            <w:tcW w:w="2943" w:type="dxa"/>
            <w:vMerge w:val="restart"/>
            <w:tcBorders>
              <w:tl2br w:val="nil"/>
              <w:tr2bl w:val="nil"/>
            </w:tcBorders>
            <w:noWrap/>
            <w:vAlign w:val="center"/>
          </w:tcPr>
          <w:p w14:paraId="253CA0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全部为弃渣，直接运至渣场，运距</w:t>
            </w:r>
            <w:r>
              <w:rPr>
                <w:rFonts w:hint="eastAsia" w:ascii="Arial" w:hAnsi="Arial" w:cs="Arial"/>
                <w:color w:val="auto"/>
                <w:kern w:val="0"/>
                <w:sz w:val="22"/>
                <w:szCs w:val="22"/>
                <w:highlight w:val="none"/>
                <w:lang w:val="en-US" w:eastAsia="zh-CN"/>
              </w:rPr>
              <w:t>9</w:t>
            </w:r>
            <w:r>
              <w:rPr>
                <w:rFonts w:hint="default" w:ascii="Arial" w:hAnsi="Arial" w:eastAsia="宋体" w:cs="Arial"/>
                <w:color w:val="auto"/>
                <w:kern w:val="0"/>
                <w:sz w:val="22"/>
                <w:szCs w:val="22"/>
                <w:highlight w:val="none"/>
                <w:lang w:val="en-US" w:eastAsia="zh-CN"/>
              </w:rPr>
              <w:t>km</w:t>
            </w:r>
            <w:r>
              <w:rPr>
                <w:rFonts w:hint="eastAsia" w:ascii="Arial" w:hAnsi="Arial" w:cs="Arial"/>
                <w:color w:val="auto"/>
                <w:kern w:val="0"/>
                <w:sz w:val="22"/>
                <w:szCs w:val="22"/>
                <w:highlight w:val="none"/>
                <w:lang w:val="en-US" w:eastAsia="zh-CN"/>
              </w:rPr>
              <w:t>。</w:t>
            </w:r>
          </w:p>
        </w:tc>
      </w:tr>
      <w:tr w14:paraId="52538C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5F8D861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eastAsia="宋体" w:cs="Arial"/>
                <w:i w:val="0"/>
                <w:iCs w:val="0"/>
                <w:color w:val="auto"/>
                <w:kern w:val="0"/>
                <w:sz w:val="22"/>
                <w:szCs w:val="22"/>
                <w:highlight w:val="none"/>
                <w:u w:val="none"/>
                <w:lang w:val="en-US" w:eastAsia="zh-CN" w:bidi="ar"/>
              </w:rPr>
            </w:pPr>
            <w:r>
              <w:rPr>
                <w:rFonts w:hint="eastAsia" w:ascii="Arial" w:hAnsi="Arial" w:cs="Arial"/>
                <w:i w:val="0"/>
                <w:iCs w:val="0"/>
                <w:color w:val="auto"/>
                <w:kern w:val="0"/>
                <w:sz w:val="22"/>
                <w:szCs w:val="22"/>
                <w:highlight w:val="none"/>
                <w:u w:val="none"/>
                <w:lang w:val="en-US" w:eastAsia="zh-CN" w:bidi="ar"/>
              </w:rPr>
              <w:t>（2）</w:t>
            </w:r>
          </w:p>
        </w:tc>
        <w:tc>
          <w:tcPr>
            <w:tcW w:w="2171" w:type="dxa"/>
            <w:tcBorders>
              <w:tl2br w:val="nil"/>
              <w:tr2bl w:val="nil"/>
            </w:tcBorders>
            <w:noWrap/>
            <w:vAlign w:val="center"/>
          </w:tcPr>
          <w:p w14:paraId="03AE9C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eastAsia="宋体" w:cs="Arial"/>
                <w:i w:val="0"/>
                <w:iCs w:val="0"/>
                <w:color w:val="auto"/>
                <w:kern w:val="2"/>
                <w:sz w:val="22"/>
                <w:szCs w:val="22"/>
                <w:highlight w:val="none"/>
                <w:u w:val="none"/>
                <w:lang w:val="en-US" w:eastAsia="zh-CN" w:bidi="ar-SA"/>
              </w:rPr>
            </w:pPr>
            <w:r>
              <w:rPr>
                <w:rFonts w:hint="default" w:ascii="Arial" w:hAnsi="Arial" w:eastAsia="宋体" w:cs="Arial"/>
                <w:i w:val="0"/>
                <w:iCs w:val="0"/>
                <w:color w:val="auto"/>
                <w:kern w:val="0"/>
                <w:sz w:val="22"/>
                <w:szCs w:val="22"/>
                <w:highlight w:val="none"/>
                <w:u w:val="none"/>
                <w:lang w:val="en-US" w:eastAsia="zh-CN" w:bidi="ar"/>
              </w:rPr>
              <w:t>石方开挖</w:t>
            </w:r>
          </w:p>
        </w:tc>
        <w:tc>
          <w:tcPr>
            <w:tcW w:w="1210" w:type="dxa"/>
            <w:tcBorders>
              <w:tl2br w:val="nil"/>
              <w:tr2bl w:val="nil"/>
            </w:tcBorders>
            <w:noWrap/>
            <w:vAlign w:val="center"/>
          </w:tcPr>
          <w:p w14:paraId="5E0FA5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kern w:val="2"/>
                <w:sz w:val="22"/>
                <w:szCs w:val="22"/>
                <w:highlight w:val="none"/>
                <w:u w:val="none"/>
                <w:lang w:val="en-US" w:eastAsia="zh-CN" w:bidi="ar-SA"/>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26907B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w:t>
            </w:r>
            <w:r>
              <w:rPr>
                <w:rFonts w:hint="eastAsia" w:ascii="Arial" w:hAnsi="Arial" w:cs="Arial"/>
                <w:color w:val="auto"/>
                <w:kern w:val="0"/>
                <w:sz w:val="22"/>
                <w:szCs w:val="22"/>
                <w:highlight w:val="none"/>
                <w:lang w:val="en-US" w:eastAsia="zh-CN"/>
              </w:rPr>
              <w:t>9</w:t>
            </w:r>
          </w:p>
        </w:tc>
        <w:tc>
          <w:tcPr>
            <w:tcW w:w="1414" w:type="dxa"/>
            <w:tcBorders>
              <w:tl2br w:val="nil"/>
              <w:tr2bl w:val="nil"/>
            </w:tcBorders>
            <w:noWrap/>
            <w:vAlign w:val="center"/>
          </w:tcPr>
          <w:p w14:paraId="1EADFD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05" w:type="dxa"/>
            <w:tcBorders>
              <w:tl2br w:val="nil"/>
              <w:tr2bl w:val="nil"/>
            </w:tcBorders>
            <w:noWrap/>
            <w:vAlign w:val="center"/>
          </w:tcPr>
          <w:p w14:paraId="4EB8DEF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w:t>
            </w:r>
            <w:r>
              <w:rPr>
                <w:rFonts w:hint="eastAsia" w:ascii="Arial" w:hAnsi="Arial" w:cs="Arial"/>
                <w:color w:val="auto"/>
                <w:kern w:val="0"/>
                <w:sz w:val="22"/>
                <w:szCs w:val="22"/>
                <w:highlight w:val="none"/>
                <w:lang w:val="en-US" w:eastAsia="zh-CN"/>
              </w:rPr>
              <w:t>2</w:t>
            </w:r>
          </w:p>
        </w:tc>
        <w:tc>
          <w:tcPr>
            <w:tcW w:w="1271" w:type="dxa"/>
            <w:tcBorders>
              <w:tl2br w:val="nil"/>
              <w:tr2bl w:val="nil"/>
            </w:tcBorders>
            <w:noWrap/>
            <w:vAlign w:val="center"/>
          </w:tcPr>
          <w:p w14:paraId="04828A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w:t>
            </w:r>
            <w:r>
              <w:rPr>
                <w:rFonts w:hint="eastAsia" w:ascii="Arial" w:hAnsi="Arial" w:cs="Arial"/>
                <w:color w:val="auto"/>
                <w:kern w:val="0"/>
                <w:sz w:val="22"/>
                <w:szCs w:val="22"/>
                <w:highlight w:val="none"/>
                <w:lang w:val="en-US" w:eastAsia="zh-CN"/>
              </w:rPr>
              <w:t>7</w:t>
            </w:r>
          </w:p>
        </w:tc>
        <w:tc>
          <w:tcPr>
            <w:tcW w:w="2943" w:type="dxa"/>
            <w:vMerge w:val="continue"/>
            <w:tcBorders>
              <w:tl2br w:val="nil"/>
              <w:tr2bl w:val="nil"/>
            </w:tcBorders>
            <w:noWrap/>
            <w:vAlign w:val="center"/>
          </w:tcPr>
          <w:p w14:paraId="68BC91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p>
        </w:tc>
      </w:tr>
      <w:tr w14:paraId="2A8436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1" w:hRule="exact"/>
          <w:jc w:val="center"/>
        </w:trPr>
        <w:tc>
          <w:tcPr>
            <w:tcW w:w="891" w:type="dxa"/>
            <w:tcBorders>
              <w:tl2br w:val="nil"/>
              <w:tr2bl w:val="nil"/>
            </w:tcBorders>
            <w:noWrap/>
            <w:vAlign w:val="center"/>
          </w:tcPr>
          <w:p w14:paraId="622584F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eastAsia" w:ascii="Arial" w:hAnsi="Arial" w:cs="Arial"/>
                <w:i w:val="0"/>
                <w:iCs w:val="0"/>
                <w:color w:val="auto"/>
                <w:kern w:val="0"/>
                <w:sz w:val="22"/>
                <w:szCs w:val="22"/>
                <w:highlight w:val="none"/>
                <w:u w:val="none"/>
                <w:lang w:val="en-US" w:eastAsia="zh-CN" w:bidi="ar"/>
              </w:rPr>
              <w:t>3</w:t>
            </w:r>
          </w:p>
        </w:tc>
        <w:tc>
          <w:tcPr>
            <w:tcW w:w="2171" w:type="dxa"/>
            <w:tcBorders>
              <w:tl2br w:val="nil"/>
              <w:tr2bl w:val="nil"/>
            </w:tcBorders>
            <w:noWrap/>
            <w:vAlign w:val="center"/>
          </w:tcPr>
          <w:p w14:paraId="1BA2532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合计</w:t>
            </w:r>
          </w:p>
        </w:tc>
        <w:tc>
          <w:tcPr>
            <w:tcW w:w="1210" w:type="dxa"/>
            <w:tcBorders>
              <w:tl2br w:val="nil"/>
              <w:tr2bl w:val="nil"/>
            </w:tcBorders>
            <w:noWrap/>
            <w:vAlign w:val="center"/>
          </w:tcPr>
          <w:p w14:paraId="78D3CE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741CC4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3.30</w:t>
            </w:r>
          </w:p>
        </w:tc>
        <w:tc>
          <w:tcPr>
            <w:tcW w:w="1414" w:type="dxa"/>
            <w:tcBorders>
              <w:tl2br w:val="nil"/>
              <w:tr2bl w:val="nil"/>
            </w:tcBorders>
            <w:noWrap/>
            <w:vAlign w:val="center"/>
          </w:tcPr>
          <w:p w14:paraId="26AFEB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0.07</w:t>
            </w:r>
          </w:p>
        </w:tc>
        <w:tc>
          <w:tcPr>
            <w:tcW w:w="1205" w:type="dxa"/>
            <w:tcBorders>
              <w:tl2br w:val="nil"/>
              <w:tr2bl w:val="nil"/>
            </w:tcBorders>
            <w:noWrap/>
            <w:vAlign w:val="center"/>
          </w:tcPr>
          <w:p w14:paraId="13FD7C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3.0</w:t>
            </w:r>
            <w:r>
              <w:rPr>
                <w:rFonts w:hint="eastAsia" w:ascii="Arial" w:hAnsi="Arial" w:cs="Arial"/>
                <w:color w:val="auto"/>
                <w:kern w:val="0"/>
                <w:sz w:val="22"/>
                <w:szCs w:val="22"/>
                <w:highlight w:val="none"/>
                <w:lang w:val="en-US" w:eastAsia="zh-CN"/>
              </w:rPr>
              <w:t>2</w:t>
            </w:r>
          </w:p>
        </w:tc>
        <w:tc>
          <w:tcPr>
            <w:tcW w:w="1271" w:type="dxa"/>
            <w:tcBorders>
              <w:tl2br w:val="nil"/>
              <w:tr2bl w:val="nil"/>
            </w:tcBorders>
            <w:noWrap/>
            <w:vAlign w:val="center"/>
          </w:tcPr>
          <w:p w14:paraId="14633C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0.21</w:t>
            </w:r>
          </w:p>
        </w:tc>
        <w:tc>
          <w:tcPr>
            <w:tcW w:w="2943" w:type="dxa"/>
            <w:tcBorders>
              <w:tl2br w:val="nil"/>
              <w:tr2bl w:val="nil"/>
            </w:tcBorders>
            <w:noWrap/>
            <w:vAlign w:val="center"/>
          </w:tcPr>
          <w:p w14:paraId="02F978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p>
        </w:tc>
      </w:tr>
    </w:tbl>
    <w:p w14:paraId="5FF121CE">
      <w:pPr>
        <w:autoSpaceDE w:val="0"/>
        <w:autoSpaceDN w:val="0"/>
        <w:spacing w:line="440" w:lineRule="exact"/>
        <w:ind w:firstLine="482"/>
        <w:jc w:val="both"/>
        <w:rPr>
          <w:rFonts w:hint="eastAsia" w:ascii="Arial" w:hAnsi="Arial" w:cs="Arial"/>
          <w:color w:val="auto"/>
          <w:sz w:val="26"/>
          <w:szCs w:val="26"/>
          <w:lang w:val="en-US" w:eastAsia="zh-CN"/>
        </w:rPr>
        <w:sectPr>
          <w:pgSz w:w="15840" w:h="12240" w:orient="landscape"/>
          <w:pgMar w:top="1701" w:right="1440" w:bottom="1701" w:left="1440" w:header="1020" w:footer="794" w:gutter="0"/>
          <w:pgBorders>
            <w:top w:val="none" w:sz="0" w:space="0"/>
            <w:left w:val="none" w:sz="0" w:space="0"/>
            <w:bottom w:val="none" w:sz="0" w:space="0"/>
            <w:right w:val="none" w:sz="0" w:space="0"/>
          </w:pgBorders>
          <w:pgNumType w:fmt="decimal"/>
          <w:cols w:space="720" w:num="1"/>
        </w:sectPr>
      </w:pPr>
    </w:p>
    <w:p w14:paraId="084E4FBB">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2.4移民安置</w:t>
      </w:r>
    </w:p>
    <w:p w14:paraId="5EF59CC8">
      <w:pPr>
        <w:keepNext w:val="0"/>
        <w:keepLines w:val="0"/>
        <w:pageBreakBefore w:val="0"/>
        <w:kinsoku/>
        <w:wordWrap/>
        <w:overflowPunct/>
        <w:topLinePunct w:val="0"/>
        <w:autoSpaceDE w:val="0"/>
        <w:autoSpaceDN w:val="0"/>
        <w:bidi w:val="0"/>
        <w:spacing w:line="460" w:lineRule="exact"/>
        <w:ind w:firstLine="520"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根据《丰都县海螺沟水库工程建设征地移民安置规划报告》及其批</w:t>
      </w:r>
      <w:r>
        <w:rPr>
          <w:rFonts w:hint="eastAsia" w:ascii="Arial" w:cs="Arial"/>
          <w:bCs/>
          <w:color w:val="auto"/>
          <w:sz w:val="26"/>
          <w:lang w:val="en-US" w:eastAsia="zh-CN"/>
        </w:rPr>
        <w:t>复“丰都府〔2024〕14号”，海螺沟水库库区不会淹没居民房屋，不涉及道路、桥梁、输电线路、电杆等专项设施处理，但因征地需安置人口34人，均采取货币安置的方式。</w:t>
      </w:r>
    </w:p>
    <w:p w14:paraId="1FF43FE8">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2.5劳动定员及管理</w:t>
      </w:r>
    </w:p>
    <w:p w14:paraId="2ABF8503">
      <w:pPr>
        <w:keepNext w:val="0"/>
        <w:keepLines w:val="0"/>
        <w:pageBreakBefore w:val="0"/>
        <w:kinsoku/>
        <w:wordWrap/>
        <w:overflowPunct/>
        <w:topLinePunct w:val="0"/>
        <w:autoSpaceDE w:val="0"/>
        <w:autoSpaceDN w:val="0"/>
        <w:bidi w:val="0"/>
        <w:spacing w:line="460" w:lineRule="exact"/>
        <w:ind w:firstLine="482"/>
        <w:jc w:val="left"/>
        <w:textAlignment w:val="auto"/>
        <w:rPr>
          <w:rFonts w:hint="eastAsia" w:ascii="Arial" w:cs="Arial"/>
          <w:bCs/>
          <w:sz w:val="26"/>
        </w:rPr>
      </w:pPr>
      <w:r>
        <w:rPr>
          <w:rFonts w:hint="eastAsia" w:ascii="Arial" w:cs="Arial"/>
          <w:bCs/>
          <w:sz w:val="26"/>
          <w:lang w:eastAsia="zh-CN"/>
        </w:rPr>
        <w:t>海螺沟</w:t>
      </w:r>
      <w:r>
        <w:rPr>
          <w:rFonts w:hint="eastAsia" w:ascii="Arial" w:cs="Arial"/>
          <w:bCs/>
          <w:sz w:val="26"/>
        </w:rPr>
        <w:t>水库规模为小（</w:t>
      </w:r>
      <w:r>
        <w:rPr>
          <w:rFonts w:hint="eastAsia" w:ascii="Arial" w:cs="Arial"/>
          <w:bCs/>
          <w:sz w:val="26"/>
          <w:lang w:val="en-US" w:eastAsia="zh-CN"/>
        </w:rPr>
        <w:t>2</w:t>
      </w:r>
      <w:r>
        <w:rPr>
          <w:rFonts w:hint="eastAsia" w:ascii="Arial" w:cs="Arial"/>
          <w:bCs/>
          <w:sz w:val="26"/>
        </w:rPr>
        <w:t>）型水库，水库管理按小（</w:t>
      </w:r>
      <w:r>
        <w:rPr>
          <w:rFonts w:hint="eastAsia" w:ascii="Arial" w:cs="Arial"/>
          <w:bCs/>
          <w:sz w:val="26"/>
          <w:lang w:val="en-US" w:eastAsia="zh-CN"/>
        </w:rPr>
        <w:t>2</w:t>
      </w:r>
      <w:r>
        <w:rPr>
          <w:rFonts w:hint="eastAsia" w:ascii="Arial" w:cs="Arial"/>
          <w:bCs/>
          <w:sz w:val="26"/>
        </w:rPr>
        <w:t>）型水库标准Ⅳ等水库管理，</w:t>
      </w:r>
      <w:r>
        <w:rPr>
          <w:rFonts w:hint="eastAsia" w:ascii="Arial" w:cs="Arial"/>
          <w:bCs/>
          <w:sz w:val="26"/>
          <w:lang w:eastAsia="zh-CN"/>
        </w:rPr>
        <w:t>建成后由丰都县人民政府指定后期的运行管理单位，</w:t>
      </w:r>
      <w:r>
        <w:rPr>
          <w:rFonts w:hint="eastAsia" w:ascii="Arial" w:cs="Arial"/>
          <w:bCs/>
          <w:sz w:val="26"/>
        </w:rPr>
        <w:t>统一管理枢纽及输水工程、供水调度、防洪调度及水资源保护等。工程施工完成后，设水库管理区，生产管理及后勤人员共计</w:t>
      </w:r>
      <w:r>
        <w:rPr>
          <w:rFonts w:hint="eastAsia" w:ascii="Arial" w:cs="Arial"/>
          <w:bCs/>
          <w:sz w:val="26"/>
          <w:lang w:val="en-US" w:eastAsia="zh-CN"/>
        </w:rPr>
        <w:t>4</w:t>
      </w:r>
      <w:r>
        <w:rPr>
          <w:rFonts w:hint="eastAsia" w:ascii="Arial" w:cs="Arial"/>
          <w:bCs/>
          <w:sz w:val="26"/>
        </w:rPr>
        <w:t>人。</w:t>
      </w:r>
    </w:p>
    <w:p w14:paraId="1F9C61B3">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2.6工程特性指标</w:t>
      </w:r>
    </w:p>
    <w:p w14:paraId="68486B47">
      <w:pPr>
        <w:keepNext w:val="0"/>
        <w:keepLines w:val="0"/>
        <w:pageBreakBefore w:val="0"/>
        <w:kinsoku/>
        <w:wordWrap/>
        <w:overflowPunct/>
        <w:topLinePunct w:val="0"/>
        <w:autoSpaceDE w:val="0"/>
        <w:autoSpaceDN w:val="0"/>
        <w:bidi w:val="0"/>
        <w:spacing w:line="460" w:lineRule="exact"/>
        <w:ind w:firstLine="482"/>
        <w:jc w:val="both"/>
        <w:textAlignment w:val="auto"/>
        <w:rPr>
          <w:rFonts w:hint="eastAsia" w:ascii="Arial" w:cs="Arial"/>
          <w:bCs/>
          <w:color w:val="auto"/>
          <w:sz w:val="26"/>
          <w:lang w:val="en-US" w:eastAsia="zh-CN"/>
        </w:rPr>
      </w:pPr>
      <w:r>
        <w:rPr>
          <w:rFonts w:hint="eastAsia" w:ascii="Arial" w:cs="Arial"/>
          <w:bCs/>
          <w:color w:val="auto"/>
          <w:sz w:val="26"/>
          <w:lang w:val="en-US" w:eastAsia="zh-CN"/>
        </w:rPr>
        <w:t>海螺沟水库工程特性指标详见表2.6-1所示。</w:t>
      </w:r>
    </w:p>
    <w:p w14:paraId="5EAD593B">
      <w:pPr>
        <w:keepNext w:val="0"/>
        <w:keepLines w:val="0"/>
        <w:pageBreakBefore w:val="0"/>
        <w:widowControl w:val="0"/>
        <w:kinsoku/>
        <w:wordWrap/>
        <w:overflowPunct/>
        <w:topLinePunct w:val="0"/>
        <w:autoSpaceDE w:val="0"/>
        <w:autoSpaceDN w:val="0"/>
        <w:bidi w:val="0"/>
        <w:adjustRightInd/>
        <w:snapToGrid/>
        <w:spacing w:line="460" w:lineRule="exact"/>
        <w:ind w:firstLine="0"/>
        <w:jc w:val="center"/>
        <w:textAlignment w:val="auto"/>
        <w:rPr>
          <w:rFonts w:hint="eastAsia" w:ascii="Arial" w:cs="Arial"/>
          <w:b/>
          <w:bCs w:val="0"/>
          <w:color w:val="auto"/>
          <w:sz w:val="26"/>
          <w:lang w:val="en-US" w:eastAsia="zh-CN"/>
        </w:rPr>
      </w:pPr>
      <w:r>
        <w:rPr>
          <w:rFonts w:hint="eastAsia" w:ascii="Arial" w:cs="Arial"/>
          <w:b/>
          <w:bCs w:val="0"/>
          <w:color w:val="auto"/>
          <w:sz w:val="26"/>
          <w:lang w:val="en-US" w:eastAsia="zh-CN"/>
        </w:rPr>
        <w:t>表2.6-1 海螺沟水库工程特性指标一览表</w:t>
      </w:r>
    </w:p>
    <w:tbl>
      <w:tblPr>
        <w:tblStyle w:val="77"/>
        <w:tblW w:w="93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1050"/>
        <w:gridCol w:w="1391"/>
        <w:gridCol w:w="1167"/>
        <w:gridCol w:w="2789"/>
      </w:tblGrid>
      <w:tr w14:paraId="5808A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1" w:type="dxa"/>
            <w:tcBorders>
              <w:tl2br w:val="nil"/>
              <w:tr2bl w:val="nil"/>
            </w:tcBorders>
            <w:noWrap w:val="0"/>
            <w:vAlign w:val="center"/>
          </w:tcPr>
          <w:p w14:paraId="5C36253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名称</w:t>
            </w:r>
          </w:p>
        </w:tc>
        <w:tc>
          <w:tcPr>
            <w:tcW w:w="1050" w:type="dxa"/>
            <w:tcBorders>
              <w:tl2br w:val="nil"/>
              <w:tr2bl w:val="nil"/>
            </w:tcBorders>
            <w:noWrap w:val="0"/>
            <w:vAlign w:val="center"/>
          </w:tcPr>
          <w:p w14:paraId="548CC15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单位</w:t>
            </w:r>
          </w:p>
        </w:tc>
        <w:tc>
          <w:tcPr>
            <w:tcW w:w="2558" w:type="dxa"/>
            <w:gridSpan w:val="2"/>
            <w:tcBorders>
              <w:tl2br w:val="nil"/>
              <w:tr2bl w:val="nil"/>
            </w:tcBorders>
            <w:noWrap/>
            <w:vAlign w:val="center"/>
          </w:tcPr>
          <w:p w14:paraId="679F748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数据</w:t>
            </w:r>
          </w:p>
        </w:tc>
        <w:tc>
          <w:tcPr>
            <w:tcW w:w="2789" w:type="dxa"/>
            <w:tcBorders>
              <w:tl2br w:val="nil"/>
              <w:tr2bl w:val="nil"/>
            </w:tcBorders>
            <w:noWrap w:val="0"/>
            <w:vAlign w:val="center"/>
          </w:tcPr>
          <w:p w14:paraId="3AE392A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备注</w:t>
            </w:r>
          </w:p>
        </w:tc>
      </w:tr>
      <w:tr w14:paraId="3E099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E7CD96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一、水文</w:t>
            </w:r>
          </w:p>
        </w:tc>
        <w:tc>
          <w:tcPr>
            <w:tcW w:w="1050" w:type="dxa"/>
            <w:tcBorders>
              <w:tl2br w:val="nil"/>
              <w:tr2bl w:val="nil"/>
            </w:tcBorders>
            <w:noWrap w:val="0"/>
            <w:vAlign w:val="center"/>
          </w:tcPr>
          <w:p w14:paraId="2C437A6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6AE7431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581E534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764D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66926E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1、流域面积</w:t>
            </w:r>
          </w:p>
        </w:tc>
        <w:tc>
          <w:tcPr>
            <w:tcW w:w="1050" w:type="dxa"/>
            <w:tcBorders>
              <w:tl2br w:val="nil"/>
              <w:tr2bl w:val="nil"/>
            </w:tcBorders>
            <w:noWrap w:val="0"/>
            <w:vAlign w:val="center"/>
          </w:tcPr>
          <w:p w14:paraId="5E312A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7F6FA1D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5702830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99A4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B437C4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海螺沟流域</w:t>
            </w:r>
          </w:p>
        </w:tc>
        <w:tc>
          <w:tcPr>
            <w:tcW w:w="1050" w:type="dxa"/>
            <w:tcBorders>
              <w:tl2br w:val="nil"/>
              <w:tr2bl w:val="nil"/>
            </w:tcBorders>
            <w:noWrap w:val="0"/>
            <w:vAlign w:val="center"/>
          </w:tcPr>
          <w:p w14:paraId="09DEDD6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r>
              <w:rPr>
                <w:rFonts w:hint="default" w:ascii="Arial" w:hAnsi="Arial" w:cs="Arial"/>
                <w:sz w:val="22"/>
                <w:szCs w:val="22"/>
                <w:vertAlign w:val="superscript"/>
              </w:rPr>
              <w:t>2</w:t>
            </w:r>
          </w:p>
        </w:tc>
        <w:tc>
          <w:tcPr>
            <w:tcW w:w="2558" w:type="dxa"/>
            <w:gridSpan w:val="2"/>
            <w:tcBorders>
              <w:tl2br w:val="nil"/>
              <w:tr2bl w:val="nil"/>
            </w:tcBorders>
            <w:noWrap/>
            <w:vAlign w:val="center"/>
          </w:tcPr>
          <w:p w14:paraId="7EB4D30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3.48</w:t>
            </w:r>
          </w:p>
        </w:tc>
        <w:tc>
          <w:tcPr>
            <w:tcW w:w="2789" w:type="dxa"/>
            <w:tcBorders>
              <w:tl2br w:val="nil"/>
              <w:tr2bl w:val="nil"/>
            </w:tcBorders>
            <w:noWrap w:val="0"/>
            <w:vAlign w:val="center"/>
          </w:tcPr>
          <w:p w14:paraId="4EA283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FD80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6A340D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坝址以上流域面积</w:t>
            </w:r>
          </w:p>
        </w:tc>
        <w:tc>
          <w:tcPr>
            <w:tcW w:w="1050" w:type="dxa"/>
            <w:tcBorders>
              <w:tl2br w:val="nil"/>
              <w:tr2bl w:val="nil"/>
            </w:tcBorders>
            <w:noWrap w:val="0"/>
            <w:vAlign w:val="center"/>
          </w:tcPr>
          <w:p w14:paraId="756C8E6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r>
              <w:rPr>
                <w:rFonts w:hint="default" w:ascii="Arial" w:hAnsi="Arial" w:cs="Arial"/>
                <w:sz w:val="22"/>
                <w:szCs w:val="22"/>
                <w:vertAlign w:val="superscript"/>
              </w:rPr>
              <w:t>2</w:t>
            </w:r>
          </w:p>
        </w:tc>
        <w:tc>
          <w:tcPr>
            <w:tcW w:w="2558" w:type="dxa"/>
            <w:gridSpan w:val="2"/>
            <w:tcBorders>
              <w:tl2br w:val="nil"/>
              <w:tr2bl w:val="nil"/>
            </w:tcBorders>
            <w:noWrap/>
            <w:vAlign w:val="center"/>
          </w:tcPr>
          <w:p w14:paraId="487CEBA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2.04</w:t>
            </w:r>
          </w:p>
        </w:tc>
        <w:tc>
          <w:tcPr>
            <w:tcW w:w="2789" w:type="dxa"/>
            <w:tcBorders>
              <w:tl2br w:val="nil"/>
              <w:tr2bl w:val="nil"/>
            </w:tcBorders>
            <w:noWrap w:val="0"/>
            <w:vAlign w:val="center"/>
          </w:tcPr>
          <w:p w14:paraId="5E188F4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1B93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29FAD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2、利用的水文系列年限</w:t>
            </w:r>
          </w:p>
        </w:tc>
        <w:tc>
          <w:tcPr>
            <w:tcW w:w="1050" w:type="dxa"/>
            <w:tcBorders>
              <w:tl2br w:val="nil"/>
              <w:tr2bl w:val="nil"/>
            </w:tcBorders>
            <w:noWrap w:val="0"/>
            <w:vAlign w:val="center"/>
          </w:tcPr>
          <w:p w14:paraId="486C98D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年</w:t>
            </w:r>
          </w:p>
        </w:tc>
        <w:tc>
          <w:tcPr>
            <w:tcW w:w="2558" w:type="dxa"/>
            <w:gridSpan w:val="2"/>
            <w:tcBorders>
              <w:tl2br w:val="nil"/>
              <w:tr2bl w:val="nil"/>
            </w:tcBorders>
            <w:noWrap/>
            <w:vAlign w:val="center"/>
          </w:tcPr>
          <w:p w14:paraId="3077E26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59</w:t>
            </w:r>
          </w:p>
        </w:tc>
        <w:tc>
          <w:tcPr>
            <w:tcW w:w="2789" w:type="dxa"/>
            <w:tcBorders>
              <w:tl2br w:val="nil"/>
              <w:tr2bl w:val="nil"/>
            </w:tcBorders>
            <w:noWrap w:val="0"/>
            <w:vAlign w:val="center"/>
          </w:tcPr>
          <w:p w14:paraId="1708DD5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3C0D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031FA2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3、多年平均径流量</w:t>
            </w:r>
          </w:p>
        </w:tc>
        <w:tc>
          <w:tcPr>
            <w:tcW w:w="1050" w:type="dxa"/>
            <w:tcBorders>
              <w:tl2br w:val="nil"/>
              <w:tr2bl w:val="nil"/>
            </w:tcBorders>
            <w:noWrap w:val="0"/>
            <w:vAlign w:val="center"/>
          </w:tcPr>
          <w:p w14:paraId="077E26F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0912EC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105</w:t>
            </w:r>
          </w:p>
        </w:tc>
        <w:tc>
          <w:tcPr>
            <w:tcW w:w="2789" w:type="dxa"/>
            <w:tcBorders>
              <w:tl2br w:val="nil"/>
              <w:tr2bl w:val="nil"/>
            </w:tcBorders>
            <w:noWrap w:val="0"/>
            <w:vAlign w:val="center"/>
          </w:tcPr>
          <w:p w14:paraId="35E49BD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4C57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8EDB2E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4、多年平均径流深</w:t>
            </w:r>
          </w:p>
        </w:tc>
        <w:tc>
          <w:tcPr>
            <w:tcW w:w="1050" w:type="dxa"/>
            <w:tcBorders>
              <w:tl2br w:val="nil"/>
              <w:tr2bl w:val="nil"/>
            </w:tcBorders>
            <w:noWrap w:val="0"/>
            <w:vAlign w:val="center"/>
          </w:tcPr>
          <w:p w14:paraId="1796074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mm</w:t>
            </w:r>
          </w:p>
        </w:tc>
        <w:tc>
          <w:tcPr>
            <w:tcW w:w="2558" w:type="dxa"/>
            <w:gridSpan w:val="2"/>
            <w:tcBorders>
              <w:tl2br w:val="nil"/>
              <w:tr2bl w:val="nil"/>
            </w:tcBorders>
            <w:noWrap/>
            <w:vAlign w:val="center"/>
          </w:tcPr>
          <w:p w14:paraId="16BBF1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514</w:t>
            </w:r>
          </w:p>
        </w:tc>
        <w:tc>
          <w:tcPr>
            <w:tcW w:w="2789" w:type="dxa"/>
            <w:tcBorders>
              <w:tl2br w:val="nil"/>
              <w:tr2bl w:val="nil"/>
            </w:tcBorders>
            <w:noWrap w:val="0"/>
            <w:vAlign w:val="center"/>
          </w:tcPr>
          <w:p w14:paraId="133CD8F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89E4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6FCE21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5、代表性流量</w:t>
            </w:r>
          </w:p>
        </w:tc>
        <w:tc>
          <w:tcPr>
            <w:tcW w:w="1050" w:type="dxa"/>
            <w:tcBorders>
              <w:tl2br w:val="nil"/>
              <w:tr2bl w:val="nil"/>
            </w:tcBorders>
            <w:noWrap w:val="0"/>
            <w:vAlign w:val="center"/>
          </w:tcPr>
          <w:p w14:paraId="1383EBC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0CDF49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64A2C6A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2BAE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770C08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设计洪水标准及流量</w:t>
            </w:r>
          </w:p>
        </w:tc>
        <w:tc>
          <w:tcPr>
            <w:tcW w:w="1050" w:type="dxa"/>
            <w:tcBorders>
              <w:tl2br w:val="nil"/>
              <w:tr2bl w:val="nil"/>
            </w:tcBorders>
            <w:noWrap w:val="0"/>
            <w:vAlign w:val="center"/>
          </w:tcPr>
          <w:p w14:paraId="08ABF78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680AFD0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38.9</w:t>
            </w:r>
          </w:p>
        </w:tc>
        <w:tc>
          <w:tcPr>
            <w:tcW w:w="2789" w:type="dxa"/>
            <w:tcBorders>
              <w:tl2br w:val="nil"/>
              <w:tr2bl w:val="nil"/>
            </w:tcBorders>
            <w:noWrap w:val="0"/>
            <w:vAlign w:val="center"/>
          </w:tcPr>
          <w:p w14:paraId="0EC7C0C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P=5%</w:t>
            </w:r>
          </w:p>
        </w:tc>
      </w:tr>
      <w:tr w14:paraId="09A0F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ADF80A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校核洪水标准及流量</w:t>
            </w:r>
          </w:p>
        </w:tc>
        <w:tc>
          <w:tcPr>
            <w:tcW w:w="1050" w:type="dxa"/>
            <w:tcBorders>
              <w:tl2br w:val="nil"/>
              <w:tr2bl w:val="nil"/>
            </w:tcBorders>
            <w:noWrap w:val="0"/>
            <w:vAlign w:val="center"/>
          </w:tcPr>
          <w:p w14:paraId="2CCA3B2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3F46CB7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58.9</w:t>
            </w:r>
          </w:p>
        </w:tc>
        <w:tc>
          <w:tcPr>
            <w:tcW w:w="2789" w:type="dxa"/>
            <w:tcBorders>
              <w:tl2br w:val="nil"/>
              <w:tr2bl w:val="nil"/>
            </w:tcBorders>
            <w:noWrap w:val="0"/>
            <w:vAlign w:val="center"/>
          </w:tcPr>
          <w:p w14:paraId="2530206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P=0.5%</w:t>
            </w:r>
          </w:p>
        </w:tc>
      </w:tr>
      <w:tr w14:paraId="472F1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8EA0B4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枢纽区施工导流标准及流量</w:t>
            </w:r>
          </w:p>
        </w:tc>
        <w:tc>
          <w:tcPr>
            <w:tcW w:w="1050" w:type="dxa"/>
            <w:tcBorders>
              <w:tl2br w:val="nil"/>
              <w:tr2bl w:val="nil"/>
            </w:tcBorders>
            <w:noWrap w:val="0"/>
            <w:vAlign w:val="center"/>
          </w:tcPr>
          <w:p w14:paraId="25596A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0CE6A8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1.61</w:t>
            </w:r>
          </w:p>
        </w:tc>
        <w:tc>
          <w:tcPr>
            <w:tcW w:w="2789" w:type="dxa"/>
            <w:tcBorders>
              <w:tl2br w:val="nil"/>
              <w:tr2bl w:val="nil"/>
            </w:tcBorders>
            <w:noWrap w:val="0"/>
            <w:vAlign w:val="center"/>
          </w:tcPr>
          <w:p w14:paraId="5176B2E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11月～次年3月/5年一遇</w:t>
            </w:r>
          </w:p>
        </w:tc>
      </w:tr>
      <w:tr w14:paraId="51BFE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0C08EE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输水区施工导流标准及流量</w:t>
            </w:r>
          </w:p>
        </w:tc>
        <w:tc>
          <w:tcPr>
            <w:tcW w:w="1050" w:type="dxa"/>
            <w:tcBorders>
              <w:tl2br w:val="nil"/>
              <w:tr2bl w:val="nil"/>
            </w:tcBorders>
            <w:noWrap w:val="0"/>
            <w:vAlign w:val="center"/>
          </w:tcPr>
          <w:p w14:paraId="2C2868E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2EB5968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0.04~1.1</w:t>
            </w:r>
          </w:p>
        </w:tc>
        <w:tc>
          <w:tcPr>
            <w:tcW w:w="2789" w:type="dxa"/>
            <w:tcBorders>
              <w:tl2br w:val="nil"/>
              <w:tr2bl w:val="nil"/>
            </w:tcBorders>
            <w:noWrap w:val="0"/>
            <w:vAlign w:val="center"/>
          </w:tcPr>
          <w:p w14:paraId="78C3EE6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2月/5年一遇</w:t>
            </w:r>
          </w:p>
        </w:tc>
      </w:tr>
      <w:tr w14:paraId="18431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1EF30A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6、泥沙</w:t>
            </w:r>
          </w:p>
        </w:tc>
        <w:tc>
          <w:tcPr>
            <w:tcW w:w="1050" w:type="dxa"/>
            <w:tcBorders>
              <w:tl2br w:val="nil"/>
              <w:tr2bl w:val="nil"/>
            </w:tcBorders>
            <w:noWrap w:val="0"/>
            <w:vAlign w:val="center"/>
          </w:tcPr>
          <w:p w14:paraId="38463B0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7152142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79444BE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095D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0A2F035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多年平均年输沙量</w:t>
            </w:r>
          </w:p>
        </w:tc>
        <w:tc>
          <w:tcPr>
            <w:tcW w:w="1050" w:type="dxa"/>
            <w:tcBorders>
              <w:tl2br w:val="nil"/>
              <w:tr2bl w:val="nil"/>
            </w:tcBorders>
            <w:noWrap w:val="0"/>
            <w:vAlign w:val="center"/>
          </w:tcPr>
          <w:p w14:paraId="3869A8F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3837747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703.8</w:t>
            </w:r>
          </w:p>
        </w:tc>
        <w:tc>
          <w:tcPr>
            <w:tcW w:w="2789" w:type="dxa"/>
            <w:tcBorders>
              <w:tl2br w:val="nil"/>
              <w:tr2bl w:val="nil"/>
            </w:tcBorders>
            <w:noWrap w:val="0"/>
            <w:vAlign w:val="center"/>
          </w:tcPr>
          <w:p w14:paraId="267933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7379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2C1CC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多年平均悬移质年输沙量</w:t>
            </w:r>
          </w:p>
        </w:tc>
        <w:tc>
          <w:tcPr>
            <w:tcW w:w="1050" w:type="dxa"/>
            <w:tcBorders>
              <w:tl2br w:val="nil"/>
              <w:tr2bl w:val="nil"/>
            </w:tcBorders>
            <w:noWrap w:val="0"/>
            <w:vAlign w:val="center"/>
          </w:tcPr>
          <w:p w14:paraId="44D3066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1BDEC0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612</w:t>
            </w:r>
          </w:p>
        </w:tc>
        <w:tc>
          <w:tcPr>
            <w:tcW w:w="2789" w:type="dxa"/>
            <w:tcBorders>
              <w:tl2br w:val="nil"/>
              <w:tr2bl w:val="nil"/>
            </w:tcBorders>
            <w:noWrap w:val="0"/>
            <w:vAlign w:val="center"/>
          </w:tcPr>
          <w:p w14:paraId="5DFB3F5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B8C6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F230D2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多年平均推移质年输沙量</w:t>
            </w:r>
          </w:p>
        </w:tc>
        <w:tc>
          <w:tcPr>
            <w:tcW w:w="1050" w:type="dxa"/>
            <w:tcBorders>
              <w:tl2br w:val="nil"/>
              <w:tr2bl w:val="nil"/>
            </w:tcBorders>
            <w:noWrap w:val="0"/>
            <w:vAlign w:val="center"/>
          </w:tcPr>
          <w:p w14:paraId="5414946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16B3715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91.8</w:t>
            </w:r>
          </w:p>
        </w:tc>
        <w:tc>
          <w:tcPr>
            <w:tcW w:w="2789" w:type="dxa"/>
            <w:tcBorders>
              <w:tl2br w:val="nil"/>
              <w:tr2bl w:val="nil"/>
            </w:tcBorders>
            <w:noWrap w:val="0"/>
            <w:vAlign w:val="center"/>
          </w:tcPr>
          <w:p w14:paraId="7D318A7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E7EC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3238FE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二、水库</w:t>
            </w:r>
          </w:p>
        </w:tc>
        <w:tc>
          <w:tcPr>
            <w:tcW w:w="1050" w:type="dxa"/>
            <w:tcBorders>
              <w:tl2br w:val="nil"/>
              <w:tr2bl w:val="nil"/>
            </w:tcBorders>
            <w:noWrap w:val="0"/>
            <w:vAlign w:val="center"/>
          </w:tcPr>
          <w:p w14:paraId="6F61F40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7C219A2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02087C9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622B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781225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1、水库水位</w:t>
            </w:r>
          </w:p>
        </w:tc>
        <w:tc>
          <w:tcPr>
            <w:tcW w:w="1050" w:type="dxa"/>
            <w:tcBorders>
              <w:tl2br w:val="nil"/>
              <w:tr2bl w:val="nil"/>
            </w:tcBorders>
            <w:noWrap w:val="0"/>
            <w:vAlign w:val="center"/>
          </w:tcPr>
          <w:p w14:paraId="4CE9663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683B40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20E4C92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F4B5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752E5E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校核洪水位</w:t>
            </w:r>
          </w:p>
        </w:tc>
        <w:tc>
          <w:tcPr>
            <w:tcW w:w="1050" w:type="dxa"/>
            <w:tcBorders>
              <w:tl2br w:val="nil"/>
              <w:tr2bl w:val="nil"/>
            </w:tcBorders>
            <w:noWrap w:val="0"/>
            <w:vAlign w:val="center"/>
          </w:tcPr>
          <w:p w14:paraId="037702B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1BFDEE4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421.78</w:t>
            </w:r>
          </w:p>
        </w:tc>
        <w:tc>
          <w:tcPr>
            <w:tcW w:w="2789" w:type="dxa"/>
            <w:tcBorders>
              <w:tl2br w:val="nil"/>
              <w:tr2bl w:val="nil"/>
            </w:tcBorders>
            <w:noWrap w:val="0"/>
            <w:vAlign w:val="center"/>
          </w:tcPr>
          <w:p w14:paraId="663C63E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P=0.5%</w:t>
            </w:r>
          </w:p>
        </w:tc>
      </w:tr>
      <w:tr w14:paraId="71649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684D4B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设计洪水位</w:t>
            </w:r>
          </w:p>
        </w:tc>
        <w:tc>
          <w:tcPr>
            <w:tcW w:w="1050" w:type="dxa"/>
            <w:tcBorders>
              <w:tl2br w:val="nil"/>
              <w:tr2bl w:val="nil"/>
            </w:tcBorders>
            <w:noWrap w:val="0"/>
            <w:vAlign w:val="center"/>
          </w:tcPr>
          <w:p w14:paraId="076532B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19E88BA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421.3</w:t>
            </w:r>
          </w:p>
        </w:tc>
        <w:tc>
          <w:tcPr>
            <w:tcW w:w="2789" w:type="dxa"/>
            <w:tcBorders>
              <w:tl2br w:val="nil"/>
              <w:tr2bl w:val="nil"/>
            </w:tcBorders>
            <w:noWrap w:val="0"/>
            <w:vAlign w:val="center"/>
          </w:tcPr>
          <w:p w14:paraId="53BF9CD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P=5%</w:t>
            </w:r>
          </w:p>
        </w:tc>
      </w:tr>
      <w:tr w14:paraId="083B9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C20AAA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正常蓄水位</w:t>
            </w:r>
          </w:p>
        </w:tc>
        <w:tc>
          <w:tcPr>
            <w:tcW w:w="1050" w:type="dxa"/>
            <w:tcBorders>
              <w:tl2br w:val="nil"/>
              <w:tr2bl w:val="nil"/>
            </w:tcBorders>
            <w:noWrap w:val="0"/>
            <w:vAlign w:val="center"/>
          </w:tcPr>
          <w:p w14:paraId="38F215C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A65056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420.0</w:t>
            </w:r>
          </w:p>
        </w:tc>
        <w:tc>
          <w:tcPr>
            <w:tcW w:w="2789" w:type="dxa"/>
            <w:tcBorders>
              <w:tl2br w:val="nil"/>
              <w:tr2bl w:val="nil"/>
            </w:tcBorders>
            <w:noWrap w:val="0"/>
            <w:vAlign w:val="center"/>
          </w:tcPr>
          <w:p w14:paraId="1E607AD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B42D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1" w:type="dxa"/>
            <w:tcBorders>
              <w:tl2br w:val="nil"/>
              <w:tr2bl w:val="nil"/>
            </w:tcBorders>
            <w:noWrap w:val="0"/>
            <w:vAlign w:val="center"/>
          </w:tcPr>
          <w:p w14:paraId="45BC687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死水位</w:t>
            </w:r>
          </w:p>
        </w:tc>
        <w:tc>
          <w:tcPr>
            <w:tcW w:w="1050" w:type="dxa"/>
            <w:tcBorders>
              <w:tl2br w:val="nil"/>
              <w:tr2bl w:val="nil"/>
            </w:tcBorders>
            <w:noWrap w:val="0"/>
            <w:vAlign w:val="center"/>
          </w:tcPr>
          <w:p w14:paraId="58C608C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548938E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407.5</w:t>
            </w:r>
          </w:p>
        </w:tc>
        <w:tc>
          <w:tcPr>
            <w:tcW w:w="2789" w:type="dxa"/>
            <w:tcBorders>
              <w:tl2br w:val="nil"/>
              <w:tr2bl w:val="nil"/>
            </w:tcBorders>
            <w:noWrap w:val="0"/>
            <w:vAlign w:val="center"/>
          </w:tcPr>
          <w:p w14:paraId="5DE68B2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D75C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5D33C1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2、水库容积</w:t>
            </w:r>
          </w:p>
        </w:tc>
        <w:tc>
          <w:tcPr>
            <w:tcW w:w="1050" w:type="dxa"/>
            <w:tcBorders>
              <w:tl2br w:val="nil"/>
              <w:tr2bl w:val="nil"/>
            </w:tcBorders>
            <w:noWrap w:val="0"/>
            <w:vAlign w:val="center"/>
          </w:tcPr>
          <w:p w14:paraId="202F95B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4BF4DB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4C1ED4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918F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5DFF3B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总库容</w:t>
            </w:r>
          </w:p>
        </w:tc>
        <w:tc>
          <w:tcPr>
            <w:tcW w:w="1050" w:type="dxa"/>
            <w:tcBorders>
              <w:tl2br w:val="nil"/>
              <w:tr2bl w:val="nil"/>
            </w:tcBorders>
            <w:noWrap w:val="0"/>
            <w:vAlign w:val="center"/>
          </w:tcPr>
          <w:p w14:paraId="31BA1C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583439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80.51</w:t>
            </w:r>
          </w:p>
        </w:tc>
        <w:tc>
          <w:tcPr>
            <w:tcW w:w="2789" w:type="dxa"/>
            <w:tcBorders>
              <w:tl2br w:val="nil"/>
              <w:tr2bl w:val="nil"/>
            </w:tcBorders>
            <w:noWrap w:val="0"/>
            <w:vAlign w:val="center"/>
          </w:tcPr>
          <w:p w14:paraId="1AB1737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7540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D7D893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正常蓄水位以下库容</w:t>
            </w:r>
          </w:p>
        </w:tc>
        <w:tc>
          <w:tcPr>
            <w:tcW w:w="1050" w:type="dxa"/>
            <w:tcBorders>
              <w:tl2br w:val="nil"/>
              <w:tr2bl w:val="nil"/>
            </w:tcBorders>
            <w:noWrap w:val="0"/>
            <w:vAlign w:val="center"/>
          </w:tcPr>
          <w:p w14:paraId="756C533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855DF8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65.36</w:t>
            </w:r>
          </w:p>
        </w:tc>
        <w:tc>
          <w:tcPr>
            <w:tcW w:w="2789" w:type="dxa"/>
            <w:tcBorders>
              <w:tl2br w:val="nil"/>
              <w:tr2bl w:val="nil"/>
            </w:tcBorders>
            <w:noWrap w:val="0"/>
            <w:vAlign w:val="center"/>
          </w:tcPr>
          <w:p w14:paraId="54B322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F9F8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0614D5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调节库容</w:t>
            </w:r>
          </w:p>
        </w:tc>
        <w:tc>
          <w:tcPr>
            <w:tcW w:w="1050" w:type="dxa"/>
            <w:tcBorders>
              <w:tl2br w:val="nil"/>
              <w:tr2bl w:val="nil"/>
            </w:tcBorders>
            <w:noWrap w:val="0"/>
            <w:vAlign w:val="center"/>
          </w:tcPr>
          <w:p w14:paraId="54D4ABB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1895C4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59.74</w:t>
            </w:r>
          </w:p>
        </w:tc>
        <w:tc>
          <w:tcPr>
            <w:tcW w:w="2789" w:type="dxa"/>
            <w:tcBorders>
              <w:tl2br w:val="nil"/>
              <w:tr2bl w:val="nil"/>
            </w:tcBorders>
            <w:noWrap w:val="0"/>
            <w:vAlign w:val="center"/>
          </w:tcPr>
          <w:p w14:paraId="3922AF7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422F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4FB50C8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死库容</w:t>
            </w:r>
          </w:p>
        </w:tc>
        <w:tc>
          <w:tcPr>
            <w:tcW w:w="1050" w:type="dxa"/>
            <w:tcBorders>
              <w:tl2br w:val="nil"/>
              <w:tr2bl w:val="nil"/>
            </w:tcBorders>
            <w:noWrap w:val="0"/>
            <w:vAlign w:val="center"/>
          </w:tcPr>
          <w:p w14:paraId="4B9FF9E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5E75E2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5.62</w:t>
            </w:r>
          </w:p>
        </w:tc>
        <w:tc>
          <w:tcPr>
            <w:tcW w:w="2789" w:type="dxa"/>
            <w:tcBorders>
              <w:tl2br w:val="nil"/>
              <w:tr2bl w:val="nil"/>
            </w:tcBorders>
            <w:noWrap/>
            <w:vAlign w:val="center"/>
          </w:tcPr>
          <w:p w14:paraId="4352079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89D1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2C8E7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3、库容系数</w:t>
            </w:r>
          </w:p>
        </w:tc>
        <w:tc>
          <w:tcPr>
            <w:tcW w:w="1050" w:type="dxa"/>
            <w:tcBorders>
              <w:tl2br w:val="nil"/>
              <w:tr2bl w:val="nil"/>
            </w:tcBorders>
            <w:noWrap w:val="0"/>
            <w:vAlign w:val="center"/>
          </w:tcPr>
          <w:p w14:paraId="0D13A5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2558" w:type="dxa"/>
            <w:gridSpan w:val="2"/>
            <w:tcBorders>
              <w:tl2br w:val="nil"/>
              <w:tr2bl w:val="nil"/>
            </w:tcBorders>
            <w:noWrap/>
            <w:vAlign w:val="center"/>
          </w:tcPr>
          <w:p w14:paraId="18E07D3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56.89</w:t>
            </w:r>
          </w:p>
        </w:tc>
        <w:tc>
          <w:tcPr>
            <w:tcW w:w="2789" w:type="dxa"/>
            <w:tcBorders>
              <w:tl2br w:val="nil"/>
              <w:tr2bl w:val="nil"/>
            </w:tcBorders>
            <w:noWrap/>
            <w:vAlign w:val="center"/>
          </w:tcPr>
          <w:p w14:paraId="09F7705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5107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9C44B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4、水量利用系数</w:t>
            </w:r>
          </w:p>
        </w:tc>
        <w:tc>
          <w:tcPr>
            <w:tcW w:w="1050" w:type="dxa"/>
            <w:tcBorders>
              <w:tl2br w:val="nil"/>
              <w:tr2bl w:val="nil"/>
            </w:tcBorders>
            <w:noWrap w:val="0"/>
            <w:vAlign w:val="center"/>
          </w:tcPr>
          <w:p w14:paraId="0E8035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2558" w:type="dxa"/>
            <w:gridSpan w:val="2"/>
            <w:tcBorders>
              <w:tl2br w:val="nil"/>
              <w:tr2bl w:val="nil"/>
            </w:tcBorders>
            <w:noWrap/>
            <w:vAlign w:val="center"/>
          </w:tcPr>
          <w:p w14:paraId="174022C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72.65</w:t>
            </w:r>
          </w:p>
        </w:tc>
        <w:tc>
          <w:tcPr>
            <w:tcW w:w="2789" w:type="dxa"/>
            <w:tcBorders>
              <w:tl2br w:val="nil"/>
              <w:tr2bl w:val="nil"/>
            </w:tcBorders>
            <w:noWrap/>
            <w:vAlign w:val="center"/>
          </w:tcPr>
          <w:p w14:paraId="77DFBB5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3C2F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509F6F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三、下泄流量</w:t>
            </w:r>
          </w:p>
        </w:tc>
        <w:tc>
          <w:tcPr>
            <w:tcW w:w="1050" w:type="dxa"/>
            <w:tcBorders>
              <w:tl2br w:val="nil"/>
              <w:tr2bl w:val="nil"/>
            </w:tcBorders>
            <w:noWrap w:val="0"/>
            <w:vAlign w:val="center"/>
          </w:tcPr>
          <w:p w14:paraId="2CEC9FC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2EC31E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08E4BE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3397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6831B6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1、设计洪水位时最大泄量</w:t>
            </w:r>
          </w:p>
        </w:tc>
        <w:tc>
          <w:tcPr>
            <w:tcW w:w="1050" w:type="dxa"/>
            <w:tcBorders>
              <w:tl2br w:val="nil"/>
              <w:tr2bl w:val="nil"/>
            </w:tcBorders>
            <w:noWrap w:val="0"/>
            <w:vAlign w:val="center"/>
          </w:tcPr>
          <w:p w14:paraId="5FD20CB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025FAE1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21.1</w:t>
            </w:r>
          </w:p>
        </w:tc>
        <w:tc>
          <w:tcPr>
            <w:tcW w:w="2789" w:type="dxa"/>
            <w:tcBorders>
              <w:tl2br w:val="nil"/>
              <w:tr2bl w:val="nil"/>
            </w:tcBorders>
            <w:noWrap/>
            <w:vAlign w:val="center"/>
          </w:tcPr>
          <w:p w14:paraId="7766508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P=5%</w:t>
            </w:r>
          </w:p>
        </w:tc>
      </w:tr>
      <w:tr w14:paraId="5788A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220007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2、校核洪水位时最大泄量</w:t>
            </w:r>
          </w:p>
        </w:tc>
        <w:tc>
          <w:tcPr>
            <w:tcW w:w="1050" w:type="dxa"/>
            <w:tcBorders>
              <w:tl2br w:val="nil"/>
              <w:tr2bl w:val="nil"/>
            </w:tcBorders>
            <w:noWrap w:val="0"/>
            <w:vAlign w:val="center"/>
          </w:tcPr>
          <w:p w14:paraId="5CDBD7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22FD47F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34.0</w:t>
            </w:r>
          </w:p>
        </w:tc>
        <w:tc>
          <w:tcPr>
            <w:tcW w:w="2789" w:type="dxa"/>
            <w:tcBorders>
              <w:tl2br w:val="nil"/>
              <w:tr2bl w:val="nil"/>
            </w:tcBorders>
            <w:noWrap/>
            <w:vAlign w:val="center"/>
          </w:tcPr>
          <w:p w14:paraId="618D1A6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P=0.5%</w:t>
            </w:r>
          </w:p>
        </w:tc>
      </w:tr>
      <w:tr w14:paraId="799EF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D46742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四、规模指标</w:t>
            </w:r>
          </w:p>
        </w:tc>
        <w:tc>
          <w:tcPr>
            <w:tcW w:w="1050" w:type="dxa"/>
            <w:tcBorders>
              <w:tl2br w:val="nil"/>
              <w:tr2bl w:val="nil"/>
            </w:tcBorders>
            <w:noWrap w:val="0"/>
            <w:vAlign w:val="center"/>
          </w:tcPr>
          <w:p w14:paraId="4610FAF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4B66378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0D5476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4D82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DBFC3A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1、水库任务</w:t>
            </w:r>
          </w:p>
        </w:tc>
        <w:tc>
          <w:tcPr>
            <w:tcW w:w="1050" w:type="dxa"/>
            <w:tcBorders>
              <w:tl2br w:val="nil"/>
              <w:tr2bl w:val="nil"/>
            </w:tcBorders>
            <w:noWrap w:val="0"/>
            <w:vAlign w:val="center"/>
          </w:tcPr>
          <w:p w14:paraId="159426D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6C1103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供水、灌溉</w:t>
            </w:r>
          </w:p>
        </w:tc>
        <w:tc>
          <w:tcPr>
            <w:tcW w:w="2789" w:type="dxa"/>
            <w:tcBorders>
              <w:tl2br w:val="nil"/>
              <w:tr2bl w:val="nil"/>
            </w:tcBorders>
            <w:noWrap/>
            <w:vAlign w:val="center"/>
          </w:tcPr>
          <w:p w14:paraId="6059040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FF60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941" w:type="dxa"/>
            <w:tcBorders>
              <w:tl2br w:val="nil"/>
              <w:tr2bl w:val="nil"/>
            </w:tcBorders>
            <w:noWrap w:val="0"/>
            <w:vAlign w:val="center"/>
          </w:tcPr>
          <w:p w14:paraId="7219287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2、供水</w:t>
            </w:r>
          </w:p>
        </w:tc>
        <w:tc>
          <w:tcPr>
            <w:tcW w:w="1050" w:type="dxa"/>
            <w:tcBorders>
              <w:tl2br w:val="nil"/>
              <w:tr2bl w:val="nil"/>
            </w:tcBorders>
            <w:noWrap w:val="0"/>
            <w:vAlign w:val="center"/>
          </w:tcPr>
          <w:p w14:paraId="58D38F5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3C7EB79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双龙社区、回龙场村、田家山村</w:t>
            </w:r>
          </w:p>
        </w:tc>
        <w:tc>
          <w:tcPr>
            <w:tcW w:w="2789" w:type="dxa"/>
            <w:tcBorders>
              <w:tl2br w:val="nil"/>
              <w:tr2bl w:val="nil"/>
            </w:tcBorders>
            <w:noWrap/>
            <w:vAlign w:val="center"/>
          </w:tcPr>
          <w:p w14:paraId="35E8E6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AFB2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6638A5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供区人口</w:t>
            </w:r>
          </w:p>
        </w:tc>
        <w:tc>
          <w:tcPr>
            <w:tcW w:w="1050" w:type="dxa"/>
            <w:tcBorders>
              <w:tl2br w:val="nil"/>
              <w:tr2bl w:val="nil"/>
            </w:tcBorders>
            <w:noWrap w:val="0"/>
            <w:vAlign w:val="center"/>
          </w:tcPr>
          <w:p w14:paraId="2DD8D48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人</w:t>
            </w:r>
          </w:p>
        </w:tc>
        <w:tc>
          <w:tcPr>
            <w:tcW w:w="2558" w:type="dxa"/>
            <w:gridSpan w:val="2"/>
            <w:tcBorders>
              <w:tl2br w:val="nil"/>
              <w:tr2bl w:val="nil"/>
            </w:tcBorders>
            <w:noWrap/>
            <w:vAlign w:val="center"/>
          </w:tcPr>
          <w:p w14:paraId="0E84B9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7000</w:t>
            </w:r>
          </w:p>
        </w:tc>
        <w:tc>
          <w:tcPr>
            <w:tcW w:w="2789" w:type="dxa"/>
            <w:tcBorders>
              <w:tl2br w:val="nil"/>
              <w:tr2bl w:val="nil"/>
            </w:tcBorders>
            <w:noWrap/>
            <w:vAlign w:val="center"/>
          </w:tcPr>
          <w:p w14:paraId="43E57E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B1D2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3D4C8E0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供区牲畜</w:t>
            </w:r>
          </w:p>
        </w:tc>
        <w:tc>
          <w:tcPr>
            <w:tcW w:w="1050" w:type="dxa"/>
            <w:tcBorders>
              <w:tl2br w:val="nil"/>
              <w:tr2bl w:val="nil"/>
            </w:tcBorders>
            <w:noWrap w:val="0"/>
            <w:vAlign w:val="center"/>
          </w:tcPr>
          <w:p w14:paraId="3CB978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个</w:t>
            </w:r>
          </w:p>
        </w:tc>
        <w:tc>
          <w:tcPr>
            <w:tcW w:w="2558" w:type="dxa"/>
            <w:gridSpan w:val="2"/>
            <w:tcBorders>
              <w:tl2br w:val="nil"/>
              <w:tr2bl w:val="nil"/>
            </w:tcBorders>
            <w:noWrap/>
            <w:vAlign w:val="center"/>
          </w:tcPr>
          <w:p w14:paraId="0372DFF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1610</w:t>
            </w:r>
          </w:p>
        </w:tc>
        <w:tc>
          <w:tcPr>
            <w:tcW w:w="2789" w:type="dxa"/>
            <w:tcBorders>
              <w:tl2br w:val="nil"/>
              <w:tr2bl w:val="nil"/>
            </w:tcBorders>
            <w:noWrap/>
            <w:vAlign w:val="center"/>
          </w:tcPr>
          <w:p w14:paraId="4649E5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9FE2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1C5BFA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供水保证率</w:t>
            </w:r>
          </w:p>
        </w:tc>
        <w:tc>
          <w:tcPr>
            <w:tcW w:w="1050" w:type="dxa"/>
            <w:tcBorders>
              <w:tl2br w:val="nil"/>
              <w:tr2bl w:val="nil"/>
            </w:tcBorders>
            <w:noWrap w:val="0"/>
            <w:vAlign w:val="center"/>
          </w:tcPr>
          <w:p w14:paraId="5920D43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2558" w:type="dxa"/>
            <w:gridSpan w:val="2"/>
            <w:tcBorders>
              <w:tl2br w:val="nil"/>
              <w:tr2bl w:val="nil"/>
            </w:tcBorders>
            <w:noWrap/>
            <w:vAlign w:val="center"/>
          </w:tcPr>
          <w:p w14:paraId="2D40C85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95.63</w:t>
            </w:r>
          </w:p>
        </w:tc>
        <w:tc>
          <w:tcPr>
            <w:tcW w:w="2789" w:type="dxa"/>
            <w:tcBorders>
              <w:tl2br w:val="nil"/>
              <w:tr2bl w:val="nil"/>
            </w:tcBorders>
            <w:noWrap/>
            <w:vAlign w:val="center"/>
          </w:tcPr>
          <w:p w14:paraId="3D29ED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16CC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86F137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多年平均需水量</w:t>
            </w:r>
          </w:p>
        </w:tc>
        <w:tc>
          <w:tcPr>
            <w:tcW w:w="1050" w:type="dxa"/>
            <w:tcBorders>
              <w:tl2br w:val="nil"/>
              <w:tr2bl w:val="nil"/>
            </w:tcBorders>
            <w:noWrap w:val="0"/>
            <w:vAlign w:val="center"/>
          </w:tcPr>
          <w:p w14:paraId="6A097ED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66A5CB6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27.14</w:t>
            </w:r>
          </w:p>
        </w:tc>
        <w:tc>
          <w:tcPr>
            <w:tcW w:w="2789" w:type="dxa"/>
            <w:tcBorders>
              <w:tl2br w:val="nil"/>
              <w:tr2bl w:val="nil"/>
            </w:tcBorders>
            <w:noWrap/>
            <w:vAlign w:val="center"/>
          </w:tcPr>
          <w:p w14:paraId="4666C8B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AE4B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348C5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多年平均供水量</w:t>
            </w:r>
          </w:p>
        </w:tc>
        <w:tc>
          <w:tcPr>
            <w:tcW w:w="1050" w:type="dxa"/>
            <w:tcBorders>
              <w:tl2br w:val="nil"/>
              <w:tr2bl w:val="nil"/>
            </w:tcBorders>
            <w:noWrap w:val="0"/>
            <w:vAlign w:val="center"/>
          </w:tcPr>
          <w:p w14:paraId="6EA475F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609F1B4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26.87</w:t>
            </w:r>
          </w:p>
        </w:tc>
        <w:tc>
          <w:tcPr>
            <w:tcW w:w="2789" w:type="dxa"/>
            <w:tcBorders>
              <w:tl2br w:val="nil"/>
              <w:tr2bl w:val="nil"/>
            </w:tcBorders>
            <w:noWrap/>
            <w:vAlign w:val="center"/>
          </w:tcPr>
          <w:p w14:paraId="129624F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DAD5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D24C7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设计流量</w:t>
            </w:r>
          </w:p>
        </w:tc>
        <w:tc>
          <w:tcPr>
            <w:tcW w:w="1050" w:type="dxa"/>
            <w:tcBorders>
              <w:tl2br w:val="nil"/>
              <w:tr2bl w:val="nil"/>
            </w:tcBorders>
            <w:noWrap w:val="0"/>
            <w:vAlign w:val="center"/>
          </w:tcPr>
          <w:p w14:paraId="79D8611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2D38828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0.0087</w:t>
            </w:r>
          </w:p>
        </w:tc>
        <w:tc>
          <w:tcPr>
            <w:tcW w:w="2789" w:type="dxa"/>
            <w:tcBorders>
              <w:tl2br w:val="nil"/>
              <w:tr2bl w:val="nil"/>
            </w:tcBorders>
            <w:noWrap/>
            <w:vAlign w:val="center"/>
          </w:tcPr>
          <w:p w14:paraId="3852BBD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7BB7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1DCA1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3、灌溉</w:t>
            </w:r>
          </w:p>
        </w:tc>
        <w:tc>
          <w:tcPr>
            <w:tcW w:w="1050" w:type="dxa"/>
            <w:tcBorders>
              <w:tl2br w:val="nil"/>
              <w:tr2bl w:val="nil"/>
            </w:tcBorders>
            <w:noWrap w:val="0"/>
            <w:vAlign w:val="center"/>
          </w:tcPr>
          <w:p w14:paraId="7FA3BF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E5E39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双龙社区、回龙场村</w:t>
            </w:r>
          </w:p>
        </w:tc>
        <w:tc>
          <w:tcPr>
            <w:tcW w:w="2789" w:type="dxa"/>
            <w:tcBorders>
              <w:tl2br w:val="nil"/>
              <w:tr2bl w:val="nil"/>
            </w:tcBorders>
            <w:noWrap/>
            <w:vAlign w:val="center"/>
          </w:tcPr>
          <w:p w14:paraId="4917B0E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BEBC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81B1F1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灌溉面积</w:t>
            </w:r>
          </w:p>
        </w:tc>
        <w:tc>
          <w:tcPr>
            <w:tcW w:w="1050" w:type="dxa"/>
            <w:tcBorders>
              <w:tl2br w:val="nil"/>
              <w:tr2bl w:val="nil"/>
            </w:tcBorders>
            <w:noWrap w:val="0"/>
            <w:vAlign w:val="center"/>
          </w:tcPr>
          <w:p w14:paraId="4B23A24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亩</w:t>
            </w:r>
          </w:p>
        </w:tc>
        <w:tc>
          <w:tcPr>
            <w:tcW w:w="2558" w:type="dxa"/>
            <w:gridSpan w:val="2"/>
            <w:tcBorders>
              <w:tl2br w:val="nil"/>
              <w:tr2bl w:val="nil"/>
            </w:tcBorders>
            <w:noWrap/>
            <w:vAlign w:val="center"/>
          </w:tcPr>
          <w:p w14:paraId="2491075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2000</w:t>
            </w:r>
          </w:p>
        </w:tc>
        <w:tc>
          <w:tcPr>
            <w:tcW w:w="2789" w:type="dxa"/>
            <w:tcBorders>
              <w:tl2br w:val="nil"/>
              <w:tr2bl w:val="nil"/>
            </w:tcBorders>
            <w:noWrap/>
            <w:vAlign w:val="center"/>
          </w:tcPr>
          <w:p w14:paraId="75F321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B814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9827F9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灌溉保证率</w:t>
            </w:r>
          </w:p>
        </w:tc>
        <w:tc>
          <w:tcPr>
            <w:tcW w:w="1050" w:type="dxa"/>
            <w:tcBorders>
              <w:tl2br w:val="nil"/>
              <w:tr2bl w:val="nil"/>
            </w:tcBorders>
            <w:noWrap w:val="0"/>
            <w:vAlign w:val="center"/>
          </w:tcPr>
          <w:p w14:paraId="5638CB4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2558" w:type="dxa"/>
            <w:gridSpan w:val="2"/>
            <w:tcBorders>
              <w:tl2br w:val="nil"/>
              <w:tr2bl w:val="nil"/>
            </w:tcBorders>
            <w:noWrap/>
            <w:vAlign w:val="center"/>
          </w:tcPr>
          <w:p w14:paraId="7C5751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78.33</w:t>
            </w:r>
          </w:p>
        </w:tc>
        <w:tc>
          <w:tcPr>
            <w:tcW w:w="2789" w:type="dxa"/>
            <w:tcBorders>
              <w:tl2br w:val="nil"/>
              <w:tr2bl w:val="nil"/>
            </w:tcBorders>
            <w:noWrap/>
            <w:vAlign w:val="center"/>
          </w:tcPr>
          <w:p w14:paraId="7AD40B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FF26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34F8D8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灌溉利用系数</w:t>
            </w:r>
          </w:p>
        </w:tc>
        <w:tc>
          <w:tcPr>
            <w:tcW w:w="1050" w:type="dxa"/>
            <w:tcBorders>
              <w:tl2br w:val="nil"/>
              <w:tr2bl w:val="nil"/>
            </w:tcBorders>
            <w:noWrap w:val="0"/>
            <w:vAlign w:val="center"/>
          </w:tcPr>
          <w:p w14:paraId="7E0CB36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40317C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0.831</w:t>
            </w:r>
          </w:p>
        </w:tc>
        <w:tc>
          <w:tcPr>
            <w:tcW w:w="2789" w:type="dxa"/>
            <w:tcBorders>
              <w:tl2br w:val="nil"/>
              <w:tr2bl w:val="nil"/>
            </w:tcBorders>
            <w:noWrap/>
            <w:vAlign w:val="center"/>
          </w:tcPr>
          <w:p w14:paraId="1BAF470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3654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05A43A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多年平均需水量</w:t>
            </w:r>
          </w:p>
        </w:tc>
        <w:tc>
          <w:tcPr>
            <w:tcW w:w="1050" w:type="dxa"/>
            <w:tcBorders>
              <w:tl2br w:val="nil"/>
              <w:tr2bl w:val="nil"/>
            </w:tcBorders>
            <w:noWrap w:val="0"/>
            <w:vAlign w:val="center"/>
          </w:tcPr>
          <w:p w14:paraId="7EF3E72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AF4C2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51.41</w:t>
            </w:r>
          </w:p>
        </w:tc>
        <w:tc>
          <w:tcPr>
            <w:tcW w:w="2789" w:type="dxa"/>
            <w:tcBorders>
              <w:tl2br w:val="nil"/>
              <w:tr2bl w:val="nil"/>
            </w:tcBorders>
            <w:noWrap/>
            <w:vAlign w:val="center"/>
          </w:tcPr>
          <w:p w14:paraId="13AA11F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E2E9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B35DEB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多年平均供水量</w:t>
            </w:r>
          </w:p>
        </w:tc>
        <w:tc>
          <w:tcPr>
            <w:tcW w:w="1050" w:type="dxa"/>
            <w:tcBorders>
              <w:tl2br w:val="nil"/>
              <w:tr2bl w:val="nil"/>
            </w:tcBorders>
            <w:noWrap w:val="0"/>
            <w:vAlign w:val="center"/>
          </w:tcPr>
          <w:p w14:paraId="18D5863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8CE4F5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49.41</w:t>
            </w:r>
          </w:p>
        </w:tc>
        <w:tc>
          <w:tcPr>
            <w:tcW w:w="2789" w:type="dxa"/>
            <w:tcBorders>
              <w:tl2br w:val="nil"/>
              <w:tr2bl w:val="nil"/>
            </w:tcBorders>
            <w:noWrap/>
            <w:vAlign w:val="center"/>
          </w:tcPr>
          <w:p w14:paraId="08FC666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78B9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6886FB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设计流量</w:t>
            </w:r>
          </w:p>
        </w:tc>
        <w:tc>
          <w:tcPr>
            <w:tcW w:w="1050" w:type="dxa"/>
            <w:tcBorders>
              <w:tl2br w:val="nil"/>
              <w:tr2bl w:val="nil"/>
            </w:tcBorders>
            <w:noWrap w:val="0"/>
            <w:vAlign w:val="center"/>
          </w:tcPr>
          <w:p w14:paraId="5332B17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5B1D43C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0.0987</w:t>
            </w:r>
          </w:p>
        </w:tc>
        <w:tc>
          <w:tcPr>
            <w:tcW w:w="2789" w:type="dxa"/>
            <w:tcBorders>
              <w:tl2br w:val="nil"/>
              <w:tr2bl w:val="nil"/>
            </w:tcBorders>
            <w:noWrap/>
            <w:vAlign w:val="center"/>
          </w:tcPr>
          <w:p w14:paraId="745D658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D838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72652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4、生态流量</w:t>
            </w:r>
          </w:p>
        </w:tc>
        <w:tc>
          <w:tcPr>
            <w:tcW w:w="1050" w:type="dxa"/>
            <w:tcBorders>
              <w:tl2br w:val="nil"/>
              <w:tr2bl w:val="nil"/>
            </w:tcBorders>
            <w:noWrap w:val="0"/>
            <w:vAlign w:val="center"/>
          </w:tcPr>
          <w:p w14:paraId="76779F2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D75E0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750E09B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71F5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8CC8A8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年需下泄生态流量</w:t>
            </w:r>
          </w:p>
        </w:tc>
        <w:tc>
          <w:tcPr>
            <w:tcW w:w="1050" w:type="dxa"/>
            <w:tcBorders>
              <w:tl2br w:val="nil"/>
              <w:tr2bl w:val="nil"/>
            </w:tcBorders>
            <w:noWrap w:val="0"/>
            <w:vAlign w:val="center"/>
          </w:tcPr>
          <w:p w14:paraId="36F4AE3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77F5963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15.75</w:t>
            </w:r>
          </w:p>
        </w:tc>
        <w:tc>
          <w:tcPr>
            <w:tcW w:w="2789" w:type="dxa"/>
            <w:tcBorders>
              <w:tl2br w:val="nil"/>
              <w:tr2bl w:val="nil"/>
            </w:tcBorders>
            <w:noWrap/>
            <w:vAlign w:val="center"/>
          </w:tcPr>
          <w:p w14:paraId="6379BBE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8FB8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5B7D4E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设计流量</w:t>
            </w:r>
          </w:p>
        </w:tc>
        <w:tc>
          <w:tcPr>
            <w:tcW w:w="1050" w:type="dxa"/>
            <w:tcBorders>
              <w:tl2br w:val="nil"/>
              <w:tr2bl w:val="nil"/>
            </w:tcBorders>
            <w:noWrap w:val="0"/>
            <w:vAlign w:val="center"/>
          </w:tcPr>
          <w:p w14:paraId="1473FDF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6694BD3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0.005</w:t>
            </w:r>
          </w:p>
        </w:tc>
        <w:tc>
          <w:tcPr>
            <w:tcW w:w="2789" w:type="dxa"/>
            <w:tcBorders>
              <w:tl2br w:val="nil"/>
              <w:tr2bl w:val="nil"/>
            </w:tcBorders>
            <w:noWrap/>
            <w:vAlign w:val="center"/>
          </w:tcPr>
          <w:p w14:paraId="2C360A4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4D7D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90CD77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五、淹没及工程占地</w:t>
            </w:r>
          </w:p>
        </w:tc>
        <w:tc>
          <w:tcPr>
            <w:tcW w:w="1050" w:type="dxa"/>
            <w:tcBorders>
              <w:tl2br w:val="nil"/>
              <w:tr2bl w:val="nil"/>
            </w:tcBorders>
            <w:noWrap w:val="0"/>
            <w:vAlign w:val="center"/>
          </w:tcPr>
          <w:p w14:paraId="070C459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419CCD8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427CD34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C457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40DE17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1、永久征用土地</w:t>
            </w:r>
          </w:p>
        </w:tc>
        <w:tc>
          <w:tcPr>
            <w:tcW w:w="1050" w:type="dxa"/>
            <w:tcBorders>
              <w:tl2br w:val="nil"/>
              <w:tr2bl w:val="nil"/>
            </w:tcBorders>
            <w:noWrap w:val="0"/>
            <w:vAlign w:val="center"/>
          </w:tcPr>
          <w:p w14:paraId="3996730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5B581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11.3182</w:t>
            </w:r>
          </w:p>
        </w:tc>
        <w:tc>
          <w:tcPr>
            <w:tcW w:w="2789" w:type="dxa"/>
            <w:tcBorders>
              <w:tl2br w:val="nil"/>
              <w:tr2bl w:val="nil"/>
            </w:tcBorders>
            <w:noWrap/>
            <w:vAlign w:val="center"/>
          </w:tcPr>
          <w:p w14:paraId="0471257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F77B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0582166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水库淹没区</w:t>
            </w:r>
          </w:p>
        </w:tc>
        <w:tc>
          <w:tcPr>
            <w:tcW w:w="1050" w:type="dxa"/>
            <w:tcBorders>
              <w:tl2br w:val="nil"/>
              <w:tr2bl w:val="nil"/>
            </w:tcBorders>
            <w:noWrap w:val="0"/>
            <w:vAlign w:val="center"/>
          </w:tcPr>
          <w:p w14:paraId="5FD9DA0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hm</w:t>
            </w:r>
            <w:r>
              <w:rPr>
                <w:rFonts w:hint="eastAsia" w:ascii="Arial" w:hAnsi="Arial" w:cs="Arial"/>
                <w:sz w:val="22"/>
                <w:szCs w:val="22"/>
                <w:vertAlign w:val="superscript"/>
                <w:lang w:val="en-US" w:eastAsia="zh-CN"/>
              </w:rPr>
              <w:t>2</w:t>
            </w:r>
          </w:p>
        </w:tc>
        <w:tc>
          <w:tcPr>
            <w:tcW w:w="2558" w:type="dxa"/>
            <w:gridSpan w:val="2"/>
            <w:tcBorders>
              <w:tl2br w:val="nil"/>
              <w:tr2bl w:val="nil"/>
            </w:tcBorders>
            <w:noWrap/>
            <w:vAlign w:val="center"/>
          </w:tcPr>
          <w:p w14:paraId="1B7C63B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highlight w:val="none"/>
                <w:lang w:val="en-US" w:eastAsia="zh-CN"/>
              </w:rPr>
            </w:pPr>
            <w:r>
              <w:rPr>
                <w:rFonts w:hint="eastAsia" w:ascii="Arial" w:hAnsi="Arial" w:cs="Arial"/>
                <w:sz w:val="22"/>
                <w:szCs w:val="22"/>
                <w:highlight w:val="none"/>
                <w:lang w:val="en-US" w:eastAsia="zh-CN"/>
              </w:rPr>
              <w:t>8.3026</w:t>
            </w:r>
          </w:p>
        </w:tc>
        <w:tc>
          <w:tcPr>
            <w:tcW w:w="2789" w:type="dxa"/>
            <w:tcBorders>
              <w:tl2br w:val="nil"/>
              <w:tr2bl w:val="nil"/>
            </w:tcBorders>
            <w:noWrap/>
            <w:vAlign w:val="center"/>
          </w:tcPr>
          <w:p w14:paraId="2B692D5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95B2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0662F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枢纽工程建设区</w:t>
            </w:r>
          </w:p>
        </w:tc>
        <w:tc>
          <w:tcPr>
            <w:tcW w:w="1050" w:type="dxa"/>
            <w:tcBorders>
              <w:tl2br w:val="nil"/>
              <w:tr2bl w:val="nil"/>
            </w:tcBorders>
            <w:noWrap w:val="0"/>
            <w:vAlign w:val="center"/>
          </w:tcPr>
          <w:p w14:paraId="245BB42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eastAsia" w:ascii="Arial" w:hAnsi="Arial" w:cs="Arial"/>
                <w:sz w:val="22"/>
                <w:szCs w:val="22"/>
                <w:lang w:val="en-US" w:eastAsia="zh-CN"/>
              </w:rPr>
              <w:t>hm</w:t>
            </w:r>
            <w:r>
              <w:rPr>
                <w:rFonts w:hint="eastAsia" w:ascii="Arial" w:hAnsi="Arial" w:cs="Arial"/>
                <w:sz w:val="22"/>
                <w:szCs w:val="22"/>
                <w:vertAlign w:val="superscript"/>
                <w:lang w:val="en-US" w:eastAsia="zh-CN"/>
              </w:rPr>
              <w:t>2</w:t>
            </w:r>
          </w:p>
        </w:tc>
        <w:tc>
          <w:tcPr>
            <w:tcW w:w="2558" w:type="dxa"/>
            <w:gridSpan w:val="2"/>
            <w:tcBorders>
              <w:tl2br w:val="nil"/>
              <w:tr2bl w:val="nil"/>
            </w:tcBorders>
            <w:noWrap/>
            <w:vAlign w:val="center"/>
          </w:tcPr>
          <w:p w14:paraId="436CAF5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highlight w:val="none"/>
                <w:lang w:val="en-US" w:eastAsia="zh-CN"/>
              </w:rPr>
            </w:pPr>
            <w:r>
              <w:rPr>
                <w:rFonts w:hint="eastAsia" w:ascii="Arial" w:hAnsi="Arial" w:cs="Arial"/>
                <w:sz w:val="22"/>
                <w:szCs w:val="22"/>
                <w:highlight w:val="none"/>
                <w:lang w:val="en-US" w:eastAsia="zh-CN"/>
              </w:rPr>
              <w:t>3.0156</w:t>
            </w:r>
          </w:p>
        </w:tc>
        <w:tc>
          <w:tcPr>
            <w:tcW w:w="2789" w:type="dxa"/>
            <w:tcBorders>
              <w:tl2br w:val="nil"/>
              <w:tr2bl w:val="nil"/>
            </w:tcBorders>
            <w:noWrap/>
            <w:vAlign w:val="center"/>
          </w:tcPr>
          <w:p w14:paraId="014459F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01EB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891369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供水灌溉工程区</w:t>
            </w:r>
          </w:p>
        </w:tc>
        <w:tc>
          <w:tcPr>
            <w:tcW w:w="1050" w:type="dxa"/>
            <w:tcBorders>
              <w:tl2br w:val="nil"/>
              <w:tr2bl w:val="nil"/>
            </w:tcBorders>
            <w:noWrap w:val="0"/>
            <w:vAlign w:val="center"/>
          </w:tcPr>
          <w:p w14:paraId="7A10892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eastAsia" w:ascii="Arial" w:hAnsi="Arial" w:cs="Arial"/>
                <w:sz w:val="22"/>
                <w:szCs w:val="22"/>
                <w:lang w:val="en-US" w:eastAsia="zh-CN"/>
              </w:rPr>
              <w:t>hm</w:t>
            </w:r>
            <w:r>
              <w:rPr>
                <w:rFonts w:hint="eastAsia" w:ascii="Arial" w:hAnsi="Arial" w:cs="Arial"/>
                <w:sz w:val="22"/>
                <w:szCs w:val="22"/>
                <w:vertAlign w:val="superscript"/>
                <w:lang w:val="en-US" w:eastAsia="zh-CN"/>
              </w:rPr>
              <w:t>2</w:t>
            </w:r>
          </w:p>
        </w:tc>
        <w:tc>
          <w:tcPr>
            <w:tcW w:w="2558" w:type="dxa"/>
            <w:gridSpan w:val="2"/>
            <w:tcBorders>
              <w:tl2br w:val="nil"/>
              <w:tr2bl w:val="nil"/>
            </w:tcBorders>
            <w:noWrap/>
            <w:vAlign w:val="center"/>
          </w:tcPr>
          <w:p w14:paraId="714DA9F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sz w:val="22"/>
                <w:szCs w:val="22"/>
                <w:highlight w:val="yellow"/>
                <w:lang w:eastAsia="zh-CN"/>
              </w:rPr>
            </w:pPr>
            <w:r>
              <w:rPr>
                <w:rFonts w:hint="eastAsia" w:ascii="Arial" w:hAnsi="Arial" w:cs="Arial"/>
                <w:sz w:val="22"/>
                <w:szCs w:val="22"/>
                <w:highlight w:val="none"/>
                <w:lang w:val="en-US" w:eastAsia="zh-CN"/>
              </w:rPr>
              <w:t>/</w:t>
            </w:r>
          </w:p>
        </w:tc>
        <w:tc>
          <w:tcPr>
            <w:tcW w:w="2789" w:type="dxa"/>
            <w:tcBorders>
              <w:tl2br w:val="nil"/>
              <w:tr2bl w:val="nil"/>
            </w:tcBorders>
            <w:noWrap/>
            <w:vAlign w:val="center"/>
          </w:tcPr>
          <w:p w14:paraId="27B9B94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DD71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5DD843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2、临时占地</w:t>
            </w:r>
          </w:p>
        </w:tc>
        <w:tc>
          <w:tcPr>
            <w:tcW w:w="1050" w:type="dxa"/>
            <w:tcBorders>
              <w:tl2br w:val="nil"/>
              <w:tr2bl w:val="nil"/>
            </w:tcBorders>
            <w:noWrap w:val="0"/>
            <w:vAlign w:val="center"/>
          </w:tcPr>
          <w:p w14:paraId="0550B4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0F0C34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9F917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271C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5EE32B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highlight w:val="none"/>
              </w:rPr>
            </w:pPr>
            <w:r>
              <w:rPr>
                <w:rFonts w:hint="default" w:ascii="Arial" w:hAnsi="Arial" w:cs="Arial"/>
                <w:sz w:val="22"/>
                <w:szCs w:val="22"/>
                <w:highlight w:val="none"/>
              </w:rPr>
              <w:t>枢纽工程建设区</w:t>
            </w:r>
          </w:p>
        </w:tc>
        <w:tc>
          <w:tcPr>
            <w:tcW w:w="1050" w:type="dxa"/>
            <w:tcBorders>
              <w:tl2br w:val="nil"/>
              <w:tr2bl w:val="nil"/>
            </w:tcBorders>
            <w:noWrap w:val="0"/>
            <w:vAlign w:val="center"/>
          </w:tcPr>
          <w:p w14:paraId="01C4F1D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highlight w:val="none"/>
              </w:rPr>
            </w:pPr>
            <w:r>
              <w:rPr>
                <w:rFonts w:hint="eastAsia" w:ascii="Arial" w:hAnsi="Arial" w:cs="Arial"/>
                <w:sz w:val="22"/>
                <w:szCs w:val="22"/>
                <w:highlight w:val="none"/>
                <w:lang w:val="en-US" w:eastAsia="zh-CN"/>
              </w:rPr>
              <w:t>hm</w:t>
            </w:r>
            <w:r>
              <w:rPr>
                <w:rFonts w:hint="eastAsia" w:ascii="Arial" w:hAnsi="Arial" w:cs="Arial"/>
                <w:sz w:val="22"/>
                <w:szCs w:val="22"/>
                <w:highlight w:val="none"/>
                <w:vertAlign w:val="superscript"/>
                <w:lang w:val="en-US" w:eastAsia="zh-CN"/>
              </w:rPr>
              <w:t>2</w:t>
            </w:r>
          </w:p>
        </w:tc>
        <w:tc>
          <w:tcPr>
            <w:tcW w:w="2558" w:type="dxa"/>
            <w:gridSpan w:val="2"/>
            <w:tcBorders>
              <w:tl2br w:val="nil"/>
              <w:tr2bl w:val="nil"/>
            </w:tcBorders>
            <w:noWrap/>
            <w:vAlign w:val="center"/>
          </w:tcPr>
          <w:p w14:paraId="59C2523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highlight w:val="none"/>
                <w:lang w:val="en-US" w:eastAsia="zh-CN"/>
              </w:rPr>
            </w:pPr>
            <w:r>
              <w:rPr>
                <w:rFonts w:hint="eastAsia" w:ascii="Arial" w:hAnsi="Arial" w:cs="Arial"/>
                <w:sz w:val="22"/>
                <w:szCs w:val="22"/>
                <w:highlight w:val="none"/>
                <w:lang w:val="en-US" w:eastAsia="zh-CN"/>
              </w:rPr>
              <w:t>4.7817</w:t>
            </w:r>
          </w:p>
        </w:tc>
        <w:tc>
          <w:tcPr>
            <w:tcW w:w="2789" w:type="dxa"/>
            <w:tcBorders>
              <w:tl2br w:val="nil"/>
              <w:tr2bl w:val="nil"/>
            </w:tcBorders>
            <w:noWrap/>
            <w:vAlign w:val="center"/>
          </w:tcPr>
          <w:p w14:paraId="0882A26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B6AE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CB1F4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highlight w:val="none"/>
              </w:rPr>
            </w:pPr>
            <w:r>
              <w:rPr>
                <w:rFonts w:hint="default" w:ascii="Arial" w:hAnsi="Arial" w:cs="Arial"/>
                <w:sz w:val="22"/>
                <w:szCs w:val="22"/>
                <w:highlight w:val="none"/>
              </w:rPr>
              <w:t>供水灌溉工程区</w:t>
            </w:r>
          </w:p>
        </w:tc>
        <w:tc>
          <w:tcPr>
            <w:tcW w:w="1050" w:type="dxa"/>
            <w:tcBorders>
              <w:tl2br w:val="nil"/>
              <w:tr2bl w:val="nil"/>
            </w:tcBorders>
            <w:noWrap w:val="0"/>
            <w:vAlign w:val="center"/>
          </w:tcPr>
          <w:p w14:paraId="59005DE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highlight w:val="none"/>
              </w:rPr>
            </w:pPr>
            <w:r>
              <w:rPr>
                <w:rFonts w:hint="eastAsia" w:ascii="Arial" w:hAnsi="Arial" w:cs="Arial"/>
                <w:sz w:val="22"/>
                <w:szCs w:val="22"/>
                <w:highlight w:val="none"/>
                <w:lang w:val="en-US" w:eastAsia="zh-CN"/>
              </w:rPr>
              <w:t>hm</w:t>
            </w:r>
            <w:r>
              <w:rPr>
                <w:rFonts w:hint="eastAsia" w:ascii="Arial" w:hAnsi="Arial" w:cs="Arial"/>
                <w:sz w:val="22"/>
                <w:szCs w:val="22"/>
                <w:highlight w:val="none"/>
                <w:vertAlign w:val="superscript"/>
                <w:lang w:val="en-US" w:eastAsia="zh-CN"/>
              </w:rPr>
              <w:t>2</w:t>
            </w:r>
          </w:p>
        </w:tc>
        <w:tc>
          <w:tcPr>
            <w:tcW w:w="2558" w:type="dxa"/>
            <w:gridSpan w:val="2"/>
            <w:tcBorders>
              <w:tl2br w:val="nil"/>
              <w:tr2bl w:val="nil"/>
            </w:tcBorders>
            <w:noWrap/>
            <w:vAlign w:val="center"/>
          </w:tcPr>
          <w:p w14:paraId="20CFCFB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highlight w:val="none"/>
                <w:lang w:val="en-US" w:eastAsia="zh-CN"/>
              </w:rPr>
            </w:pPr>
            <w:r>
              <w:rPr>
                <w:rFonts w:hint="eastAsia" w:ascii="Arial" w:hAnsi="Arial" w:cs="Arial"/>
                <w:sz w:val="22"/>
                <w:szCs w:val="22"/>
                <w:highlight w:val="none"/>
                <w:lang w:val="en-US" w:eastAsia="zh-CN"/>
              </w:rPr>
              <w:t>8.3410</w:t>
            </w:r>
          </w:p>
        </w:tc>
        <w:tc>
          <w:tcPr>
            <w:tcW w:w="2789" w:type="dxa"/>
            <w:tcBorders>
              <w:tl2br w:val="nil"/>
              <w:tr2bl w:val="nil"/>
            </w:tcBorders>
            <w:noWrap/>
            <w:vAlign w:val="center"/>
          </w:tcPr>
          <w:p w14:paraId="2925755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86EB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429365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六、主要建筑物及设备</w:t>
            </w:r>
          </w:p>
        </w:tc>
        <w:tc>
          <w:tcPr>
            <w:tcW w:w="1050" w:type="dxa"/>
            <w:tcBorders>
              <w:tl2br w:val="nil"/>
              <w:tr2bl w:val="nil"/>
            </w:tcBorders>
            <w:noWrap w:val="0"/>
            <w:vAlign w:val="center"/>
          </w:tcPr>
          <w:p w14:paraId="0F283D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4343B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0221CA1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C0D0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806EB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1、挡水建筑</w:t>
            </w:r>
          </w:p>
        </w:tc>
        <w:tc>
          <w:tcPr>
            <w:tcW w:w="1050" w:type="dxa"/>
            <w:tcBorders>
              <w:tl2br w:val="nil"/>
              <w:tr2bl w:val="nil"/>
            </w:tcBorders>
            <w:noWrap w:val="0"/>
            <w:vAlign w:val="center"/>
          </w:tcPr>
          <w:p w14:paraId="556D8C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0542E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非溢流坝段</w:t>
            </w:r>
          </w:p>
        </w:tc>
        <w:tc>
          <w:tcPr>
            <w:tcW w:w="2789" w:type="dxa"/>
            <w:tcBorders>
              <w:tl2br w:val="nil"/>
              <w:tr2bl w:val="nil"/>
            </w:tcBorders>
            <w:noWrap/>
            <w:vAlign w:val="center"/>
          </w:tcPr>
          <w:p w14:paraId="743047B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E11B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1" w:type="dxa"/>
            <w:tcBorders>
              <w:tl2br w:val="nil"/>
              <w:tr2bl w:val="nil"/>
            </w:tcBorders>
            <w:noWrap w:val="0"/>
            <w:vAlign w:val="center"/>
          </w:tcPr>
          <w:p w14:paraId="7A95228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型式</w:t>
            </w:r>
          </w:p>
        </w:tc>
        <w:tc>
          <w:tcPr>
            <w:tcW w:w="1050" w:type="dxa"/>
            <w:tcBorders>
              <w:tl2br w:val="nil"/>
              <w:tr2bl w:val="nil"/>
            </w:tcBorders>
            <w:noWrap w:val="0"/>
            <w:vAlign w:val="center"/>
          </w:tcPr>
          <w:p w14:paraId="1C88147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64A6722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C20埋石砼重力坝</w:t>
            </w:r>
          </w:p>
        </w:tc>
        <w:tc>
          <w:tcPr>
            <w:tcW w:w="2789" w:type="dxa"/>
            <w:tcBorders>
              <w:tl2br w:val="nil"/>
              <w:tr2bl w:val="nil"/>
            </w:tcBorders>
            <w:noWrap/>
            <w:vAlign w:val="center"/>
          </w:tcPr>
          <w:p w14:paraId="408C0B5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埋石率20%</w:t>
            </w:r>
          </w:p>
        </w:tc>
      </w:tr>
      <w:tr w14:paraId="5B61E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D7A8E1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地基特性</w:t>
            </w:r>
          </w:p>
        </w:tc>
        <w:tc>
          <w:tcPr>
            <w:tcW w:w="1050" w:type="dxa"/>
            <w:tcBorders>
              <w:tl2br w:val="nil"/>
              <w:tr2bl w:val="nil"/>
            </w:tcBorders>
            <w:noWrap w:val="0"/>
            <w:vAlign w:val="center"/>
          </w:tcPr>
          <w:p w14:paraId="0D83613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60EF95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砂泥岩互层</w:t>
            </w:r>
          </w:p>
        </w:tc>
        <w:tc>
          <w:tcPr>
            <w:tcW w:w="2789" w:type="dxa"/>
            <w:tcBorders>
              <w:tl2br w:val="nil"/>
              <w:tr2bl w:val="nil"/>
            </w:tcBorders>
            <w:noWrap/>
            <w:vAlign w:val="center"/>
          </w:tcPr>
          <w:p w14:paraId="1B33F4F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10F9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46A236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地震基本烈度/设防烈度</w:t>
            </w:r>
          </w:p>
        </w:tc>
        <w:tc>
          <w:tcPr>
            <w:tcW w:w="1050" w:type="dxa"/>
            <w:tcBorders>
              <w:tl2br w:val="nil"/>
              <w:tr2bl w:val="nil"/>
            </w:tcBorders>
            <w:noWrap w:val="0"/>
            <w:vAlign w:val="center"/>
          </w:tcPr>
          <w:p w14:paraId="2B49651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度</w:t>
            </w:r>
          </w:p>
        </w:tc>
        <w:tc>
          <w:tcPr>
            <w:tcW w:w="2558" w:type="dxa"/>
            <w:gridSpan w:val="2"/>
            <w:tcBorders>
              <w:tl2br w:val="nil"/>
              <w:tr2bl w:val="nil"/>
            </w:tcBorders>
            <w:noWrap/>
            <w:vAlign w:val="center"/>
          </w:tcPr>
          <w:p w14:paraId="4CE9FA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Ⅵ</w:t>
            </w:r>
          </w:p>
        </w:tc>
        <w:tc>
          <w:tcPr>
            <w:tcW w:w="2789" w:type="dxa"/>
            <w:tcBorders>
              <w:tl2br w:val="nil"/>
              <w:tr2bl w:val="nil"/>
            </w:tcBorders>
            <w:noWrap/>
            <w:vAlign w:val="center"/>
          </w:tcPr>
          <w:p w14:paraId="26DB7C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7877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851F3A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地震加速度</w:t>
            </w:r>
          </w:p>
        </w:tc>
        <w:tc>
          <w:tcPr>
            <w:tcW w:w="1050" w:type="dxa"/>
            <w:tcBorders>
              <w:tl2br w:val="nil"/>
              <w:tr2bl w:val="nil"/>
            </w:tcBorders>
            <w:noWrap w:val="0"/>
            <w:vAlign w:val="center"/>
          </w:tcPr>
          <w:p w14:paraId="631CB14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g</w:t>
            </w:r>
          </w:p>
        </w:tc>
        <w:tc>
          <w:tcPr>
            <w:tcW w:w="2558" w:type="dxa"/>
            <w:gridSpan w:val="2"/>
            <w:tcBorders>
              <w:tl2br w:val="nil"/>
              <w:tr2bl w:val="nil"/>
            </w:tcBorders>
            <w:noWrap/>
            <w:vAlign w:val="center"/>
          </w:tcPr>
          <w:p w14:paraId="1F48721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0.05</w:t>
            </w:r>
          </w:p>
        </w:tc>
        <w:tc>
          <w:tcPr>
            <w:tcW w:w="2789" w:type="dxa"/>
            <w:tcBorders>
              <w:tl2br w:val="nil"/>
              <w:tr2bl w:val="nil"/>
            </w:tcBorders>
            <w:noWrap/>
            <w:vAlign w:val="center"/>
          </w:tcPr>
          <w:p w14:paraId="751D828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5ACC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A1A57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坝项高程</w:t>
            </w:r>
          </w:p>
        </w:tc>
        <w:tc>
          <w:tcPr>
            <w:tcW w:w="1050" w:type="dxa"/>
            <w:tcBorders>
              <w:tl2br w:val="nil"/>
              <w:tr2bl w:val="nil"/>
            </w:tcBorders>
            <w:noWrap w:val="0"/>
            <w:vAlign w:val="center"/>
          </w:tcPr>
          <w:p w14:paraId="3417B30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887B66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424.0</w:t>
            </w:r>
          </w:p>
        </w:tc>
        <w:tc>
          <w:tcPr>
            <w:tcW w:w="2789" w:type="dxa"/>
            <w:tcBorders>
              <w:tl2br w:val="nil"/>
              <w:tr2bl w:val="nil"/>
            </w:tcBorders>
            <w:noWrap/>
            <w:vAlign w:val="center"/>
          </w:tcPr>
          <w:p w14:paraId="5A9F8E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6812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FC3252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最大坝高</w:t>
            </w:r>
          </w:p>
        </w:tc>
        <w:tc>
          <w:tcPr>
            <w:tcW w:w="1050" w:type="dxa"/>
            <w:tcBorders>
              <w:tl2br w:val="nil"/>
              <w:tr2bl w:val="nil"/>
            </w:tcBorders>
            <w:noWrap w:val="0"/>
            <w:vAlign w:val="center"/>
          </w:tcPr>
          <w:p w14:paraId="3012B0C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39FC6BE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30.5</w:t>
            </w:r>
          </w:p>
        </w:tc>
        <w:tc>
          <w:tcPr>
            <w:tcW w:w="2789" w:type="dxa"/>
            <w:tcBorders>
              <w:tl2br w:val="nil"/>
              <w:tr2bl w:val="nil"/>
            </w:tcBorders>
            <w:noWrap/>
            <w:vAlign w:val="center"/>
          </w:tcPr>
          <w:p w14:paraId="47D5AFB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重力坝段</w:t>
            </w:r>
          </w:p>
        </w:tc>
      </w:tr>
      <w:tr w14:paraId="51FF2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EF96D5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坝顶长度</w:t>
            </w:r>
          </w:p>
        </w:tc>
        <w:tc>
          <w:tcPr>
            <w:tcW w:w="1050" w:type="dxa"/>
            <w:tcBorders>
              <w:tl2br w:val="nil"/>
              <w:tr2bl w:val="nil"/>
            </w:tcBorders>
            <w:noWrap w:val="0"/>
            <w:vAlign w:val="center"/>
          </w:tcPr>
          <w:p w14:paraId="50B5AC7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396F7F4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112.0</w:t>
            </w:r>
          </w:p>
        </w:tc>
        <w:tc>
          <w:tcPr>
            <w:tcW w:w="2789" w:type="dxa"/>
            <w:tcBorders>
              <w:tl2br w:val="nil"/>
              <w:tr2bl w:val="nil"/>
            </w:tcBorders>
            <w:noWrap/>
            <w:vAlign w:val="center"/>
          </w:tcPr>
          <w:p w14:paraId="4969EEF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3FF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863588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2、泄水建筑物</w:t>
            </w:r>
          </w:p>
        </w:tc>
        <w:tc>
          <w:tcPr>
            <w:tcW w:w="1050" w:type="dxa"/>
            <w:tcBorders>
              <w:tl2br w:val="nil"/>
              <w:tr2bl w:val="nil"/>
            </w:tcBorders>
            <w:noWrap w:val="0"/>
            <w:vAlign w:val="center"/>
          </w:tcPr>
          <w:p w14:paraId="672987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5C068A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溢流坝段</w:t>
            </w:r>
          </w:p>
        </w:tc>
        <w:tc>
          <w:tcPr>
            <w:tcW w:w="2789" w:type="dxa"/>
            <w:tcBorders>
              <w:tl2br w:val="nil"/>
              <w:tr2bl w:val="nil"/>
            </w:tcBorders>
            <w:noWrap/>
            <w:vAlign w:val="center"/>
          </w:tcPr>
          <w:p w14:paraId="0FAFE94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03E0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6EE9571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型式</w:t>
            </w:r>
          </w:p>
        </w:tc>
        <w:tc>
          <w:tcPr>
            <w:tcW w:w="1050" w:type="dxa"/>
            <w:tcBorders>
              <w:tl2br w:val="nil"/>
              <w:tr2bl w:val="nil"/>
            </w:tcBorders>
            <w:noWrap w:val="0"/>
            <w:vAlign w:val="center"/>
          </w:tcPr>
          <w:p w14:paraId="7F689CB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DBD0D4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宽顶堰</w:t>
            </w:r>
          </w:p>
        </w:tc>
        <w:tc>
          <w:tcPr>
            <w:tcW w:w="2789" w:type="dxa"/>
            <w:tcBorders>
              <w:tl2br w:val="nil"/>
              <w:tr2bl w:val="nil"/>
            </w:tcBorders>
            <w:noWrap/>
            <w:vAlign w:val="center"/>
          </w:tcPr>
          <w:p w14:paraId="31F26CD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842C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26043A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堰顶高程</w:t>
            </w:r>
          </w:p>
        </w:tc>
        <w:tc>
          <w:tcPr>
            <w:tcW w:w="1050" w:type="dxa"/>
            <w:tcBorders>
              <w:tl2br w:val="nil"/>
              <w:tr2bl w:val="nil"/>
            </w:tcBorders>
            <w:noWrap w:val="0"/>
            <w:vAlign w:val="center"/>
          </w:tcPr>
          <w:p w14:paraId="7F23AF5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29EDEC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420.0</w:t>
            </w:r>
          </w:p>
        </w:tc>
        <w:tc>
          <w:tcPr>
            <w:tcW w:w="2789" w:type="dxa"/>
            <w:tcBorders>
              <w:tl2br w:val="nil"/>
              <w:tr2bl w:val="nil"/>
            </w:tcBorders>
            <w:noWrap/>
            <w:vAlign w:val="center"/>
          </w:tcPr>
          <w:p w14:paraId="66BE06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123B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31DFF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溢流净宽</w:t>
            </w:r>
          </w:p>
        </w:tc>
        <w:tc>
          <w:tcPr>
            <w:tcW w:w="1050" w:type="dxa"/>
            <w:tcBorders>
              <w:tl2br w:val="nil"/>
              <w:tr2bl w:val="nil"/>
            </w:tcBorders>
            <w:noWrap w:val="0"/>
            <w:vAlign w:val="center"/>
          </w:tcPr>
          <w:p w14:paraId="1BCF27B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E655C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9.0</w:t>
            </w:r>
          </w:p>
        </w:tc>
        <w:tc>
          <w:tcPr>
            <w:tcW w:w="2789" w:type="dxa"/>
            <w:tcBorders>
              <w:tl2br w:val="nil"/>
              <w:tr2bl w:val="nil"/>
            </w:tcBorders>
            <w:noWrap/>
            <w:vAlign w:val="center"/>
          </w:tcPr>
          <w:p w14:paraId="25CE63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5846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EE5ED4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孔口数量、尺寸</w:t>
            </w:r>
          </w:p>
        </w:tc>
        <w:tc>
          <w:tcPr>
            <w:tcW w:w="1050" w:type="dxa"/>
            <w:tcBorders>
              <w:tl2br w:val="nil"/>
              <w:tr2bl w:val="nil"/>
            </w:tcBorders>
            <w:noWrap w:val="0"/>
            <w:vAlign w:val="center"/>
          </w:tcPr>
          <w:p w14:paraId="0CAA42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孔-m×m</w:t>
            </w:r>
          </w:p>
        </w:tc>
        <w:tc>
          <w:tcPr>
            <w:tcW w:w="2558" w:type="dxa"/>
            <w:gridSpan w:val="2"/>
            <w:tcBorders>
              <w:tl2br w:val="nil"/>
              <w:tr2bl w:val="nil"/>
            </w:tcBorders>
            <w:noWrap/>
            <w:vAlign w:val="center"/>
          </w:tcPr>
          <w:p w14:paraId="4B26B0C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2-4.5×3.3</w:t>
            </w:r>
          </w:p>
        </w:tc>
        <w:tc>
          <w:tcPr>
            <w:tcW w:w="2789" w:type="dxa"/>
            <w:tcBorders>
              <w:tl2br w:val="nil"/>
              <w:tr2bl w:val="nil"/>
            </w:tcBorders>
            <w:noWrap/>
            <w:vAlign w:val="center"/>
          </w:tcPr>
          <w:p w14:paraId="7162F7C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F2CF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BBDCAF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最大单宽流量</w:t>
            </w:r>
          </w:p>
        </w:tc>
        <w:tc>
          <w:tcPr>
            <w:tcW w:w="1050" w:type="dxa"/>
            <w:tcBorders>
              <w:tl2br w:val="nil"/>
              <w:tr2bl w:val="nil"/>
            </w:tcBorders>
            <w:noWrap w:val="0"/>
            <w:vAlign w:val="center"/>
          </w:tcPr>
          <w:p w14:paraId="0FFFE37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/s·m</w:t>
            </w:r>
          </w:p>
        </w:tc>
        <w:tc>
          <w:tcPr>
            <w:tcW w:w="2558" w:type="dxa"/>
            <w:gridSpan w:val="2"/>
            <w:tcBorders>
              <w:tl2br w:val="nil"/>
              <w:tr2bl w:val="nil"/>
            </w:tcBorders>
            <w:noWrap/>
            <w:vAlign w:val="center"/>
          </w:tcPr>
          <w:p w14:paraId="28BEF14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3.33</w:t>
            </w:r>
          </w:p>
        </w:tc>
        <w:tc>
          <w:tcPr>
            <w:tcW w:w="2789" w:type="dxa"/>
            <w:tcBorders>
              <w:tl2br w:val="nil"/>
              <w:tr2bl w:val="nil"/>
            </w:tcBorders>
            <w:noWrap/>
            <w:vAlign w:val="center"/>
          </w:tcPr>
          <w:p w14:paraId="2486ECA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1A7C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BC7A7C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消能方式</w:t>
            </w:r>
          </w:p>
        </w:tc>
        <w:tc>
          <w:tcPr>
            <w:tcW w:w="1050" w:type="dxa"/>
            <w:tcBorders>
              <w:tl2br w:val="nil"/>
              <w:tr2bl w:val="nil"/>
            </w:tcBorders>
            <w:noWrap w:val="0"/>
            <w:vAlign w:val="center"/>
          </w:tcPr>
          <w:p w14:paraId="2178041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660E69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阶梯消能+底流消能</w:t>
            </w:r>
          </w:p>
        </w:tc>
        <w:tc>
          <w:tcPr>
            <w:tcW w:w="2789" w:type="dxa"/>
            <w:tcBorders>
              <w:tl2br w:val="nil"/>
              <w:tr2bl w:val="nil"/>
            </w:tcBorders>
            <w:noWrap/>
            <w:vAlign w:val="center"/>
          </w:tcPr>
          <w:p w14:paraId="3C332F4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3C11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AC86E6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3、放水设施</w:t>
            </w:r>
          </w:p>
        </w:tc>
        <w:tc>
          <w:tcPr>
            <w:tcW w:w="1050" w:type="dxa"/>
            <w:tcBorders>
              <w:tl2br w:val="nil"/>
              <w:tr2bl w:val="nil"/>
            </w:tcBorders>
            <w:noWrap w:val="0"/>
            <w:vAlign w:val="center"/>
          </w:tcPr>
          <w:p w14:paraId="5048575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4220E4D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9C58B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B861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FDA69F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型式</w:t>
            </w:r>
          </w:p>
        </w:tc>
        <w:tc>
          <w:tcPr>
            <w:tcW w:w="1050" w:type="dxa"/>
            <w:tcBorders>
              <w:tl2br w:val="nil"/>
              <w:tr2bl w:val="nil"/>
            </w:tcBorders>
            <w:noWrap w:val="0"/>
            <w:vAlign w:val="center"/>
          </w:tcPr>
          <w:p w14:paraId="606BE87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871A8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管道</w:t>
            </w:r>
          </w:p>
        </w:tc>
        <w:tc>
          <w:tcPr>
            <w:tcW w:w="2789" w:type="dxa"/>
            <w:tcBorders>
              <w:tl2br w:val="nil"/>
              <w:tr2bl w:val="nil"/>
            </w:tcBorders>
            <w:noWrap/>
            <w:vAlign w:val="center"/>
          </w:tcPr>
          <w:p w14:paraId="6003A35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B17B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941" w:type="dxa"/>
            <w:tcBorders>
              <w:tl2br w:val="nil"/>
              <w:tr2bl w:val="nil"/>
            </w:tcBorders>
            <w:noWrap w:val="0"/>
            <w:vAlign w:val="center"/>
          </w:tcPr>
          <w:p w14:paraId="6B6E5D8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取水口高程</w:t>
            </w:r>
          </w:p>
        </w:tc>
        <w:tc>
          <w:tcPr>
            <w:tcW w:w="1050" w:type="dxa"/>
            <w:tcBorders>
              <w:tl2br w:val="nil"/>
              <w:tr2bl w:val="nil"/>
            </w:tcBorders>
            <w:noWrap w:val="0"/>
            <w:vAlign w:val="center"/>
          </w:tcPr>
          <w:p w14:paraId="1D59096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5794442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418.0、415.0、412.0、409.0、405.5</w:t>
            </w:r>
          </w:p>
        </w:tc>
        <w:tc>
          <w:tcPr>
            <w:tcW w:w="2789" w:type="dxa"/>
            <w:tcBorders>
              <w:tl2br w:val="nil"/>
              <w:tr2bl w:val="nil"/>
            </w:tcBorders>
            <w:noWrap/>
            <w:vAlign w:val="center"/>
          </w:tcPr>
          <w:p w14:paraId="029995F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管顶高程</w:t>
            </w:r>
          </w:p>
        </w:tc>
      </w:tr>
      <w:tr w14:paraId="0312F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941" w:type="dxa"/>
            <w:tcBorders>
              <w:tl2br w:val="nil"/>
              <w:tr2bl w:val="nil"/>
            </w:tcBorders>
            <w:noWrap w:val="0"/>
            <w:vAlign w:val="center"/>
          </w:tcPr>
          <w:p w14:paraId="3EAC98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取水口尺寸</w:t>
            </w:r>
          </w:p>
        </w:tc>
        <w:tc>
          <w:tcPr>
            <w:tcW w:w="1050" w:type="dxa"/>
            <w:tcBorders>
              <w:tl2br w:val="nil"/>
              <w:tr2bl w:val="nil"/>
            </w:tcBorders>
            <w:noWrap w:val="0"/>
            <w:vAlign w:val="center"/>
          </w:tcPr>
          <w:p w14:paraId="2C66FE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mm</w:t>
            </w:r>
          </w:p>
        </w:tc>
        <w:tc>
          <w:tcPr>
            <w:tcW w:w="2558" w:type="dxa"/>
            <w:gridSpan w:val="2"/>
            <w:tcBorders>
              <w:tl2br w:val="nil"/>
              <w:tr2bl w:val="nil"/>
            </w:tcBorders>
            <w:noWrap/>
            <w:vAlign w:val="center"/>
          </w:tcPr>
          <w:p w14:paraId="6D9A768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D</w:t>
            </w:r>
            <w:r>
              <w:rPr>
                <w:rFonts w:hint="eastAsia" w:ascii="Arial" w:hAnsi="Arial" w:cs="Arial"/>
                <w:sz w:val="22"/>
                <w:szCs w:val="22"/>
                <w:lang w:val="en-US" w:eastAsia="zh-CN"/>
              </w:rPr>
              <w:t>N</w:t>
            </w:r>
            <w:r>
              <w:rPr>
                <w:rFonts w:hint="default" w:ascii="Arial" w:hAnsi="Arial" w:cs="Arial"/>
                <w:sz w:val="22"/>
                <w:szCs w:val="22"/>
              </w:rPr>
              <w:t>400（8mm）/D</w:t>
            </w:r>
            <w:r>
              <w:rPr>
                <w:rFonts w:hint="eastAsia" w:ascii="Arial" w:hAnsi="Arial" w:cs="Arial"/>
                <w:sz w:val="22"/>
                <w:szCs w:val="22"/>
                <w:lang w:val="en-US" w:eastAsia="zh-CN"/>
              </w:rPr>
              <w:t>N</w:t>
            </w:r>
            <w:r>
              <w:rPr>
                <w:rFonts w:hint="default" w:ascii="Arial" w:hAnsi="Arial" w:cs="Arial"/>
                <w:sz w:val="22"/>
                <w:szCs w:val="22"/>
              </w:rPr>
              <w:t>1000（8mm）</w:t>
            </w:r>
          </w:p>
        </w:tc>
        <w:tc>
          <w:tcPr>
            <w:tcW w:w="2789" w:type="dxa"/>
            <w:tcBorders>
              <w:tl2br w:val="nil"/>
              <w:tr2bl w:val="nil"/>
            </w:tcBorders>
            <w:noWrap/>
            <w:vAlign w:val="center"/>
          </w:tcPr>
          <w:p w14:paraId="544A041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钢管</w:t>
            </w:r>
          </w:p>
        </w:tc>
      </w:tr>
      <w:tr w14:paraId="71195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9494C9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取水流量</w:t>
            </w:r>
          </w:p>
        </w:tc>
        <w:tc>
          <w:tcPr>
            <w:tcW w:w="1050" w:type="dxa"/>
            <w:tcBorders>
              <w:tl2br w:val="nil"/>
              <w:tr2bl w:val="nil"/>
            </w:tcBorders>
            <w:noWrap w:val="0"/>
            <w:vAlign w:val="center"/>
          </w:tcPr>
          <w:p w14:paraId="2DDDE29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6479626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default" w:ascii="Arial" w:hAnsi="Arial" w:cs="Arial"/>
                <w:sz w:val="22"/>
                <w:szCs w:val="22"/>
              </w:rPr>
              <w:t>0.</w:t>
            </w:r>
            <w:r>
              <w:rPr>
                <w:rFonts w:hint="eastAsia" w:ascii="Arial" w:hAnsi="Arial" w:cs="Arial"/>
                <w:sz w:val="22"/>
                <w:szCs w:val="22"/>
                <w:lang w:val="en-US" w:eastAsia="zh-CN"/>
              </w:rPr>
              <w:t>1124</w:t>
            </w:r>
          </w:p>
        </w:tc>
        <w:tc>
          <w:tcPr>
            <w:tcW w:w="2789" w:type="dxa"/>
            <w:tcBorders>
              <w:tl2br w:val="nil"/>
              <w:tr2bl w:val="nil"/>
            </w:tcBorders>
            <w:noWrap/>
            <w:vAlign w:val="center"/>
          </w:tcPr>
          <w:p w14:paraId="6C6C00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D8FA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BDB396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4、输水工程</w:t>
            </w:r>
          </w:p>
        </w:tc>
        <w:tc>
          <w:tcPr>
            <w:tcW w:w="1050" w:type="dxa"/>
            <w:tcBorders>
              <w:tl2br w:val="nil"/>
              <w:tr2bl w:val="nil"/>
            </w:tcBorders>
            <w:noWrap w:val="0"/>
            <w:vAlign w:val="center"/>
          </w:tcPr>
          <w:p w14:paraId="5D7E51A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98F572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24DC78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98FB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BC59D3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输水流量</w:t>
            </w:r>
          </w:p>
        </w:tc>
        <w:tc>
          <w:tcPr>
            <w:tcW w:w="1050" w:type="dxa"/>
            <w:tcBorders>
              <w:tl2br w:val="nil"/>
              <w:tr2bl w:val="nil"/>
            </w:tcBorders>
            <w:noWrap w:val="0"/>
            <w:vAlign w:val="center"/>
          </w:tcPr>
          <w:p w14:paraId="1403804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3A7882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default" w:ascii="Arial" w:hAnsi="Arial" w:cs="Arial"/>
                <w:sz w:val="22"/>
                <w:szCs w:val="22"/>
              </w:rPr>
              <w:t>0.1</w:t>
            </w:r>
            <w:r>
              <w:rPr>
                <w:rFonts w:hint="eastAsia" w:ascii="Arial" w:hAnsi="Arial" w:cs="Arial"/>
                <w:sz w:val="22"/>
                <w:szCs w:val="22"/>
                <w:lang w:val="en-US" w:eastAsia="zh-CN"/>
              </w:rPr>
              <w:t>074</w:t>
            </w:r>
          </w:p>
        </w:tc>
        <w:tc>
          <w:tcPr>
            <w:tcW w:w="2789" w:type="dxa"/>
            <w:tcBorders>
              <w:tl2br w:val="nil"/>
              <w:tr2bl w:val="nil"/>
            </w:tcBorders>
            <w:noWrap/>
            <w:vAlign w:val="center"/>
          </w:tcPr>
          <w:p w14:paraId="2C27DC8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干管</w:t>
            </w:r>
          </w:p>
        </w:tc>
      </w:tr>
      <w:tr w14:paraId="7061C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41" w:type="dxa"/>
            <w:tcBorders>
              <w:tl2br w:val="nil"/>
              <w:tr2bl w:val="nil"/>
            </w:tcBorders>
            <w:noWrap w:val="0"/>
            <w:vAlign w:val="center"/>
          </w:tcPr>
          <w:p w14:paraId="1B8A4A1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管道尺寸</w:t>
            </w:r>
          </w:p>
        </w:tc>
        <w:tc>
          <w:tcPr>
            <w:tcW w:w="1050" w:type="dxa"/>
            <w:tcBorders>
              <w:tl2br w:val="nil"/>
              <w:tr2bl w:val="nil"/>
            </w:tcBorders>
            <w:noWrap w:val="0"/>
            <w:vAlign w:val="center"/>
          </w:tcPr>
          <w:p w14:paraId="50B59C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mm</w:t>
            </w:r>
          </w:p>
        </w:tc>
        <w:tc>
          <w:tcPr>
            <w:tcW w:w="2558" w:type="dxa"/>
            <w:gridSpan w:val="2"/>
            <w:tcBorders>
              <w:tl2br w:val="nil"/>
              <w:tr2bl w:val="nil"/>
            </w:tcBorders>
            <w:noWrap/>
            <w:vAlign w:val="center"/>
          </w:tcPr>
          <w:p w14:paraId="2A1C6B0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eastAsia" w:ascii="Arial" w:hAnsi="Arial" w:cs="Arial"/>
                <w:sz w:val="22"/>
                <w:szCs w:val="22"/>
                <w:lang w:val="en-US" w:eastAsia="zh-CN"/>
              </w:rPr>
              <w:t>DN</w:t>
            </w:r>
            <w:r>
              <w:rPr>
                <w:rFonts w:hint="default" w:ascii="Arial" w:hAnsi="Arial" w:cs="Arial"/>
                <w:sz w:val="22"/>
                <w:szCs w:val="22"/>
              </w:rPr>
              <w:t>400、</w:t>
            </w:r>
            <w:r>
              <w:rPr>
                <w:rFonts w:hint="eastAsia" w:ascii="Arial" w:hAnsi="Arial" w:cs="Arial"/>
                <w:sz w:val="22"/>
                <w:szCs w:val="22"/>
                <w:lang w:val="en-US" w:eastAsia="zh-CN"/>
              </w:rPr>
              <w:t>DN</w:t>
            </w:r>
            <w:r>
              <w:rPr>
                <w:rFonts w:hint="default" w:ascii="Arial" w:hAnsi="Arial" w:cs="Arial"/>
                <w:sz w:val="22"/>
                <w:szCs w:val="22"/>
              </w:rPr>
              <w:t>325、</w:t>
            </w:r>
            <w:r>
              <w:rPr>
                <w:rFonts w:hint="eastAsia" w:ascii="Arial" w:hAnsi="Arial" w:cs="Arial"/>
                <w:sz w:val="22"/>
                <w:szCs w:val="22"/>
                <w:lang w:val="en-US" w:eastAsia="zh-CN"/>
              </w:rPr>
              <w:t>DN</w:t>
            </w:r>
            <w:r>
              <w:rPr>
                <w:rFonts w:hint="default" w:ascii="Arial" w:hAnsi="Arial" w:cs="Arial"/>
                <w:sz w:val="22"/>
                <w:szCs w:val="22"/>
              </w:rPr>
              <w:t>273、</w:t>
            </w:r>
            <w:r>
              <w:rPr>
                <w:rFonts w:hint="eastAsia" w:ascii="Arial" w:hAnsi="Arial" w:cs="Arial"/>
                <w:sz w:val="22"/>
                <w:szCs w:val="22"/>
                <w:lang w:val="en-US" w:eastAsia="zh-CN"/>
              </w:rPr>
              <w:t>DN</w:t>
            </w:r>
            <w:r>
              <w:rPr>
                <w:rFonts w:hint="default" w:ascii="Arial" w:hAnsi="Arial" w:cs="Arial"/>
                <w:sz w:val="22"/>
                <w:szCs w:val="22"/>
              </w:rPr>
              <w:t>108/</w:t>
            </w:r>
            <w:r>
              <w:rPr>
                <w:rFonts w:hint="eastAsia" w:ascii="Arial" w:hAnsi="Arial" w:cs="Arial"/>
                <w:sz w:val="22"/>
                <w:szCs w:val="22"/>
                <w:lang w:val="en-US" w:eastAsia="zh-CN"/>
              </w:rPr>
              <w:t>DN</w:t>
            </w:r>
            <w:r>
              <w:rPr>
                <w:rFonts w:hint="default" w:ascii="Arial" w:hAnsi="Arial" w:cs="Arial"/>
                <w:sz w:val="22"/>
                <w:szCs w:val="22"/>
              </w:rPr>
              <w:t>48、</w:t>
            </w:r>
            <w:r>
              <w:rPr>
                <w:rFonts w:hint="eastAsia" w:ascii="Arial" w:hAnsi="Arial" w:cs="Arial"/>
                <w:sz w:val="22"/>
                <w:szCs w:val="22"/>
                <w:lang w:val="en-US" w:eastAsia="zh-CN"/>
              </w:rPr>
              <w:t>DN</w:t>
            </w:r>
            <w:r>
              <w:rPr>
                <w:rFonts w:hint="default" w:ascii="Arial" w:hAnsi="Arial" w:cs="Arial"/>
                <w:sz w:val="22"/>
                <w:szCs w:val="22"/>
              </w:rPr>
              <w:t>32、</w:t>
            </w:r>
            <w:r>
              <w:rPr>
                <w:rFonts w:hint="eastAsia" w:ascii="Arial" w:hAnsi="Arial" w:cs="Arial"/>
                <w:sz w:val="22"/>
                <w:szCs w:val="22"/>
                <w:lang w:val="en-US" w:eastAsia="zh-CN"/>
              </w:rPr>
              <w:t>DN</w:t>
            </w:r>
            <w:r>
              <w:rPr>
                <w:rFonts w:hint="default" w:ascii="Arial" w:hAnsi="Arial" w:cs="Arial"/>
                <w:sz w:val="22"/>
                <w:szCs w:val="22"/>
              </w:rPr>
              <w:t>32</w:t>
            </w:r>
          </w:p>
        </w:tc>
        <w:tc>
          <w:tcPr>
            <w:tcW w:w="2789" w:type="dxa"/>
            <w:tcBorders>
              <w:tl2br w:val="nil"/>
              <w:tr2bl w:val="nil"/>
            </w:tcBorders>
            <w:noWrap/>
            <w:vAlign w:val="center"/>
          </w:tcPr>
          <w:p w14:paraId="44FD8F8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干管/5条支管</w:t>
            </w:r>
          </w:p>
        </w:tc>
      </w:tr>
      <w:tr w14:paraId="62D72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65BD61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管道长度</w:t>
            </w:r>
          </w:p>
        </w:tc>
        <w:tc>
          <w:tcPr>
            <w:tcW w:w="1050" w:type="dxa"/>
            <w:tcBorders>
              <w:tl2br w:val="nil"/>
              <w:tr2bl w:val="nil"/>
            </w:tcBorders>
            <w:noWrap w:val="0"/>
            <w:vAlign w:val="center"/>
          </w:tcPr>
          <w:p w14:paraId="0B6C323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2558" w:type="dxa"/>
            <w:gridSpan w:val="2"/>
            <w:tcBorders>
              <w:tl2br w:val="nil"/>
              <w:tr2bl w:val="nil"/>
            </w:tcBorders>
            <w:noWrap/>
            <w:vAlign w:val="center"/>
          </w:tcPr>
          <w:p w14:paraId="740BF0E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5.27/3.63</w:t>
            </w:r>
          </w:p>
        </w:tc>
        <w:tc>
          <w:tcPr>
            <w:tcW w:w="2789" w:type="dxa"/>
            <w:tcBorders>
              <w:tl2br w:val="nil"/>
              <w:tr2bl w:val="nil"/>
            </w:tcBorders>
            <w:noWrap/>
            <w:vAlign w:val="center"/>
          </w:tcPr>
          <w:p w14:paraId="7B00423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干管/5条支管</w:t>
            </w:r>
          </w:p>
        </w:tc>
      </w:tr>
      <w:tr w14:paraId="736CC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65EDF4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管道材质</w:t>
            </w:r>
          </w:p>
        </w:tc>
        <w:tc>
          <w:tcPr>
            <w:tcW w:w="1050" w:type="dxa"/>
            <w:tcBorders>
              <w:tl2br w:val="nil"/>
              <w:tr2bl w:val="nil"/>
            </w:tcBorders>
            <w:noWrap w:val="0"/>
            <w:vAlign w:val="center"/>
          </w:tcPr>
          <w:p w14:paraId="057A5DA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3D865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PE管、涂塑钢管</w:t>
            </w:r>
          </w:p>
        </w:tc>
        <w:tc>
          <w:tcPr>
            <w:tcW w:w="2789" w:type="dxa"/>
            <w:tcBorders>
              <w:tl2br w:val="nil"/>
              <w:tr2bl w:val="nil"/>
            </w:tcBorders>
            <w:noWrap/>
            <w:vAlign w:val="center"/>
          </w:tcPr>
          <w:p w14:paraId="57FF293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097C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E2E3F7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5、附属建筑物</w:t>
            </w:r>
          </w:p>
        </w:tc>
        <w:tc>
          <w:tcPr>
            <w:tcW w:w="1050" w:type="dxa"/>
            <w:tcBorders>
              <w:tl2br w:val="nil"/>
              <w:tr2bl w:val="nil"/>
            </w:tcBorders>
            <w:noWrap w:val="0"/>
            <w:vAlign w:val="center"/>
          </w:tcPr>
          <w:p w14:paraId="047985E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7F2C9C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1AC62F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DDA8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C79EC2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水库管理房</w:t>
            </w:r>
          </w:p>
        </w:tc>
        <w:tc>
          <w:tcPr>
            <w:tcW w:w="1050" w:type="dxa"/>
            <w:tcBorders>
              <w:tl2br w:val="nil"/>
              <w:tr2bl w:val="nil"/>
            </w:tcBorders>
            <w:noWrap w:val="0"/>
            <w:vAlign w:val="center"/>
          </w:tcPr>
          <w:p w14:paraId="68923F1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2</w:t>
            </w:r>
          </w:p>
        </w:tc>
        <w:tc>
          <w:tcPr>
            <w:tcW w:w="2558" w:type="dxa"/>
            <w:gridSpan w:val="2"/>
            <w:tcBorders>
              <w:tl2br w:val="nil"/>
              <w:tr2bl w:val="nil"/>
            </w:tcBorders>
            <w:noWrap/>
            <w:vAlign w:val="center"/>
          </w:tcPr>
          <w:p w14:paraId="6386F8D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184</w:t>
            </w:r>
          </w:p>
        </w:tc>
        <w:tc>
          <w:tcPr>
            <w:tcW w:w="2789" w:type="dxa"/>
            <w:tcBorders>
              <w:tl2br w:val="nil"/>
              <w:tr2bl w:val="nil"/>
            </w:tcBorders>
            <w:noWrap/>
            <w:vAlign w:val="center"/>
          </w:tcPr>
          <w:p w14:paraId="001550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2E1B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AC72AE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放空及取水管理房</w:t>
            </w:r>
          </w:p>
        </w:tc>
        <w:tc>
          <w:tcPr>
            <w:tcW w:w="1050" w:type="dxa"/>
            <w:tcBorders>
              <w:tl2br w:val="nil"/>
              <w:tr2bl w:val="nil"/>
            </w:tcBorders>
            <w:noWrap w:val="0"/>
            <w:vAlign w:val="center"/>
          </w:tcPr>
          <w:p w14:paraId="060180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2</w:t>
            </w:r>
          </w:p>
        </w:tc>
        <w:tc>
          <w:tcPr>
            <w:tcW w:w="2558" w:type="dxa"/>
            <w:gridSpan w:val="2"/>
            <w:tcBorders>
              <w:tl2br w:val="nil"/>
              <w:tr2bl w:val="nil"/>
            </w:tcBorders>
            <w:noWrap/>
            <w:vAlign w:val="center"/>
          </w:tcPr>
          <w:p w14:paraId="7482ED5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w:t>
            </w:r>
          </w:p>
        </w:tc>
        <w:tc>
          <w:tcPr>
            <w:tcW w:w="2789" w:type="dxa"/>
            <w:tcBorders>
              <w:tl2br w:val="nil"/>
              <w:tr2bl w:val="nil"/>
            </w:tcBorders>
            <w:noWrap/>
            <w:vAlign w:val="center"/>
          </w:tcPr>
          <w:p w14:paraId="63D2C2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61C2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0BFA0A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上坝公路</w:t>
            </w:r>
          </w:p>
        </w:tc>
        <w:tc>
          <w:tcPr>
            <w:tcW w:w="1050" w:type="dxa"/>
            <w:tcBorders>
              <w:tl2br w:val="nil"/>
              <w:tr2bl w:val="nil"/>
            </w:tcBorders>
            <w:noWrap w:val="0"/>
            <w:vAlign w:val="center"/>
          </w:tcPr>
          <w:p w14:paraId="0EB081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CD1316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1762，宽4.5</w:t>
            </w:r>
          </w:p>
        </w:tc>
        <w:tc>
          <w:tcPr>
            <w:tcW w:w="2789" w:type="dxa"/>
            <w:tcBorders>
              <w:tl2br w:val="nil"/>
              <w:tr2bl w:val="nil"/>
            </w:tcBorders>
            <w:noWrap/>
            <w:vAlign w:val="center"/>
          </w:tcPr>
          <w:p w14:paraId="5E2ED67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C25砼路面</w:t>
            </w:r>
          </w:p>
        </w:tc>
      </w:tr>
      <w:tr w14:paraId="03DB0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A599D4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环库巡检步道</w:t>
            </w:r>
          </w:p>
        </w:tc>
        <w:tc>
          <w:tcPr>
            <w:tcW w:w="1050" w:type="dxa"/>
            <w:tcBorders>
              <w:tl2br w:val="nil"/>
              <w:tr2bl w:val="nil"/>
            </w:tcBorders>
            <w:noWrap w:val="0"/>
            <w:vAlign w:val="center"/>
          </w:tcPr>
          <w:p w14:paraId="2A2FECF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43DE523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2504，宽1.5</w:t>
            </w:r>
          </w:p>
        </w:tc>
        <w:tc>
          <w:tcPr>
            <w:tcW w:w="2789" w:type="dxa"/>
            <w:tcBorders>
              <w:tl2br w:val="nil"/>
              <w:tr2bl w:val="nil"/>
            </w:tcBorders>
            <w:noWrap/>
            <w:vAlign w:val="center"/>
          </w:tcPr>
          <w:p w14:paraId="423ECFE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C20砼路面</w:t>
            </w:r>
          </w:p>
        </w:tc>
      </w:tr>
      <w:tr w14:paraId="2A707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B7CDF0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监测设施</w:t>
            </w:r>
          </w:p>
        </w:tc>
        <w:tc>
          <w:tcPr>
            <w:tcW w:w="1050" w:type="dxa"/>
            <w:tcBorders>
              <w:tl2br w:val="nil"/>
              <w:tr2bl w:val="nil"/>
            </w:tcBorders>
            <w:noWrap w:val="0"/>
            <w:vAlign w:val="center"/>
          </w:tcPr>
          <w:p w14:paraId="745C907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套</w:t>
            </w:r>
          </w:p>
        </w:tc>
        <w:tc>
          <w:tcPr>
            <w:tcW w:w="2558" w:type="dxa"/>
            <w:gridSpan w:val="2"/>
            <w:tcBorders>
              <w:tl2br w:val="nil"/>
              <w:tr2bl w:val="nil"/>
            </w:tcBorders>
            <w:noWrap/>
            <w:vAlign w:val="center"/>
          </w:tcPr>
          <w:p w14:paraId="7B1A67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w:t>
            </w:r>
          </w:p>
        </w:tc>
        <w:tc>
          <w:tcPr>
            <w:tcW w:w="2789" w:type="dxa"/>
            <w:tcBorders>
              <w:tl2br w:val="nil"/>
              <w:tr2bl w:val="nil"/>
            </w:tcBorders>
            <w:noWrap/>
            <w:vAlign w:val="center"/>
          </w:tcPr>
          <w:p w14:paraId="1589D1F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D379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616418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七、施工</w:t>
            </w:r>
          </w:p>
        </w:tc>
        <w:tc>
          <w:tcPr>
            <w:tcW w:w="1050" w:type="dxa"/>
            <w:tcBorders>
              <w:tl2br w:val="nil"/>
              <w:tr2bl w:val="nil"/>
            </w:tcBorders>
            <w:noWrap w:val="0"/>
            <w:vAlign w:val="center"/>
          </w:tcPr>
          <w:p w14:paraId="0A1A02D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5EEFD1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409F1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AC63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367FA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1、工程总工程量</w:t>
            </w:r>
          </w:p>
        </w:tc>
        <w:tc>
          <w:tcPr>
            <w:tcW w:w="1050" w:type="dxa"/>
            <w:tcBorders>
              <w:tl2br w:val="nil"/>
              <w:tr2bl w:val="nil"/>
            </w:tcBorders>
            <w:noWrap w:val="0"/>
            <w:vAlign w:val="center"/>
          </w:tcPr>
          <w:p w14:paraId="3895F85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6B0DC3B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4C136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D600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3F1BFF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土方明挖</w:t>
            </w:r>
          </w:p>
        </w:tc>
        <w:tc>
          <w:tcPr>
            <w:tcW w:w="1050" w:type="dxa"/>
            <w:tcBorders>
              <w:tl2br w:val="nil"/>
              <w:tr2bl w:val="nil"/>
            </w:tcBorders>
            <w:noWrap w:val="0"/>
            <w:vAlign w:val="center"/>
          </w:tcPr>
          <w:p w14:paraId="7E7D38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5D5E8EE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5.17</w:t>
            </w:r>
          </w:p>
        </w:tc>
        <w:tc>
          <w:tcPr>
            <w:tcW w:w="2789" w:type="dxa"/>
            <w:tcBorders>
              <w:tl2br w:val="nil"/>
              <w:tr2bl w:val="nil"/>
            </w:tcBorders>
            <w:noWrap/>
            <w:vAlign w:val="center"/>
          </w:tcPr>
          <w:p w14:paraId="65D5825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1ACC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5AE1E0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石方明挖</w:t>
            </w:r>
          </w:p>
        </w:tc>
        <w:tc>
          <w:tcPr>
            <w:tcW w:w="1050" w:type="dxa"/>
            <w:tcBorders>
              <w:tl2br w:val="nil"/>
              <w:tr2bl w:val="nil"/>
            </w:tcBorders>
            <w:noWrap w:val="0"/>
            <w:vAlign w:val="center"/>
          </w:tcPr>
          <w:p w14:paraId="49F6A84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67B26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6.67</w:t>
            </w:r>
          </w:p>
        </w:tc>
        <w:tc>
          <w:tcPr>
            <w:tcW w:w="2789" w:type="dxa"/>
            <w:tcBorders>
              <w:tl2br w:val="nil"/>
              <w:tr2bl w:val="nil"/>
            </w:tcBorders>
            <w:noWrap/>
            <w:vAlign w:val="center"/>
          </w:tcPr>
          <w:p w14:paraId="4402526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9644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B5B192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土石回填</w:t>
            </w:r>
          </w:p>
        </w:tc>
        <w:tc>
          <w:tcPr>
            <w:tcW w:w="1050" w:type="dxa"/>
            <w:tcBorders>
              <w:tl2br w:val="nil"/>
              <w:tr2bl w:val="nil"/>
            </w:tcBorders>
            <w:noWrap w:val="0"/>
            <w:vAlign w:val="center"/>
          </w:tcPr>
          <w:p w14:paraId="00BDBB0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139DB27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4.30</w:t>
            </w:r>
          </w:p>
        </w:tc>
        <w:tc>
          <w:tcPr>
            <w:tcW w:w="2789" w:type="dxa"/>
            <w:tcBorders>
              <w:tl2br w:val="nil"/>
              <w:tr2bl w:val="nil"/>
            </w:tcBorders>
            <w:noWrap/>
            <w:vAlign w:val="center"/>
          </w:tcPr>
          <w:p w14:paraId="0C5AB66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3E63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8CCC0F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混凝土</w:t>
            </w:r>
          </w:p>
        </w:tc>
        <w:tc>
          <w:tcPr>
            <w:tcW w:w="1050" w:type="dxa"/>
            <w:tcBorders>
              <w:tl2br w:val="nil"/>
              <w:tr2bl w:val="nil"/>
            </w:tcBorders>
            <w:noWrap w:val="0"/>
            <w:vAlign w:val="center"/>
          </w:tcPr>
          <w:p w14:paraId="0FE890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7CB432F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3.81</w:t>
            </w:r>
          </w:p>
        </w:tc>
        <w:tc>
          <w:tcPr>
            <w:tcW w:w="2789" w:type="dxa"/>
            <w:tcBorders>
              <w:tl2br w:val="nil"/>
              <w:tr2bl w:val="nil"/>
            </w:tcBorders>
            <w:noWrap/>
            <w:vAlign w:val="center"/>
          </w:tcPr>
          <w:p w14:paraId="296A66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F26C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E249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帷幕灌浆</w:t>
            </w:r>
          </w:p>
        </w:tc>
        <w:tc>
          <w:tcPr>
            <w:tcW w:w="1050" w:type="dxa"/>
            <w:tcBorders>
              <w:tl2br w:val="nil"/>
              <w:tr2bl w:val="nil"/>
            </w:tcBorders>
            <w:noWrap w:val="0"/>
            <w:vAlign w:val="center"/>
          </w:tcPr>
          <w:p w14:paraId="148973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69F7AF8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1905</w:t>
            </w:r>
          </w:p>
        </w:tc>
        <w:tc>
          <w:tcPr>
            <w:tcW w:w="2789" w:type="dxa"/>
            <w:tcBorders>
              <w:tl2br w:val="nil"/>
              <w:tr2bl w:val="nil"/>
            </w:tcBorders>
            <w:noWrap/>
            <w:vAlign w:val="center"/>
          </w:tcPr>
          <w:p w14:paraId="4713E81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E60D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1FF947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固结灌浆</w:t>
            </w:r>
          </w:p>
        </w:tc>
        <w:tc>
          <w:tcPr>
            <w:tcW w:w="1050" w:type="dxa"/>
            <w:tcBorders>
              <w:tl2br w:val="nil"/>
              <w:tr2bl w:val="nil"/>
            </w:tcBorders>
            <w:noWrap w:val="0"/>
            <w:vAlign w:val="center"/>
          </w:tcPr>
          <w:p w14:paraId="405727A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FCEB35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2454</w:t>
            </w:r>
          </w:p>
        </w:tc>
        <w:tc>
          <w:tcPr>
            <w:tcW w:w="2789" w:type="dxa"/>
            <w:tcBorders>
              <w:tl2br w:val="nil"/>
              <w:tr2bl w:val="nil"/>
            </w:tcBorders>
            <w:noWrap/>
            <w:vAlign w:val="center"/>
          </w:tcPr>
          <w:p w14:paraId="3BDC201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9F92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1" w:type="dxa"/>
            <w:tcBorders>
              <w:tl2br w:val="nil"/>
              <w:tr2bl w:val="nil"/>
            </w:tcBorders>
            <w:noWrap w:val="0"/>
            <w:vAlign w:val="center"/>
          </w:tcPr>
          <w:p w14:paraId="03DC575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2、主要建筑材料</w:t>
            </w:r>
          </w:p>
        </w:tc>
        <w:tc>
          <w:tcPr>
            <w:tcW w:w="1050" w:type="dxa"/>
            <w:tcBorders>
              <w:tl2br w:val="nil"/>
              <w:tr2bl w:val="nil"/>
            </w:tcBorders>
            <w:noWrap w:val="0"/>
            <w:vAlign w:val="center"/>
          </w:tcPr>
          <w:p w14:paraId="1AA2DC3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8AA3CA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44F78CC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7C8E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7D650F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水泥</w:t>
            </w:r>
          </w:p>
        </w:tc>
        <w:tc>
          <w:tcPr>
            <w:tcW w:w="1050" w:type="dxa"/>
            <w:tcBorders>
              <w:tl2br w:val="nil"/>
              <w:tr2bl w:val="nil"/>
            </w:tcBorders>
            <w:noWrap w:val="0"/>
            <w:vAlign w:val="center"/>
          </w:tcPr>
          <w:p w14:paraId="546C71D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06AB68A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13931.39</w:t>
            </w:r>
          </w:p>
        </w:tc>
        <w:tc>
          <w:tcPr>
            <w:tcW w:w="2789" w:type="dxa"/>
            <w:tcBorders>
              <w:tl2br w:val="nil"/>
              <w:tr2bl w:val="nil"/>
            </w:tcBorders>
            <w:noWrap/>
            <w:vAlign w:val="center"/>
          </w:tcPr>
          <w:p w14:paraId="0A12D3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AF22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46AD7F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钢筋</w:t>
            </w:r>
          </w:p>
        </w:tc>
        <w:tc>
          <w:tcPr>
            <w:tcW w:w="1050" w:type="dxa"/>
            <w:tcBorders>
              <w:tl2br w:val="nil"/>
              <w:tr2bl w:val="nil"/>
            </w:tcBorders>
            <w:noWrap w:val="0"/>
            <w:vAlign w:val="center"/>
          </w:tcPr>
          <w:p w14:paraId="650BBA2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7924AFC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496.79</w:t>
            </w:r>
          </w:p>
        </w:tc>
        <w:tc>
          <w:tcPr>
            <w:tcW w:w="2789" w:type="dxa"/>
            <w:tcBorders>
              <w:tl2br w:val="nil"/>
              <w:tr2bl w:val="nil"/>
            </w:tcBorders>
            <w:noWrap/>
            <w:vAlign w:val="center"/>
          </w:tcPr>
          <w:p w14:paraId="4A62485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81EE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AC407E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砂料</w:t>
            </w:r>
          </w:p>
        </w:tc>
        <w:tc>
          <w:tcPr>
            <w:tcW w:w="1050" w:type="dxa"/>
            <w:tcBorders>
              <w:tl2br w:val="nil"/>
              <w:tr2bl w:val="nil"/>
            </w:tcBorders>
            <w:noWrap w:val="0"/>
            <w:vAlign w:val="center"/>
          </w:tcPr>
          <w:p w14:paraId="68863DB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34A3DA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23355.51</w:t>
            </w:r>
          </w:p>
        </w:tc>
        <w:tc>
          <w:tcPr>
            <w:tcW w:w="2789" w:type="dxa"/>
            <w:tcBorders>
              <w:tl2br w:val="nil"/>
              <w:tr2bl w:val="nil"/>
            </w:tcBorders>
            <w:noWrap/>
            <w:vAlign w:val="center"/>
          </w:tcPr>
          <w:p w14:paraId="1946963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FFA9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3A02C6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碎石</w:t>
            </w:r>
          </w:p>
        </w:tc>
        <w:tc>
          <w:tcPr>
            <w:tcW w:w="1050" w:type="dxa"/>
            <w:tcBorders>
              <w:tl2br w:val="nil"/>
              <w:tr2bl w:val="nil"/>
            </w:tcBorders>
            <w:noWrap w:val="0"/>
            <w:vAlign w:val="center"/>
          </w:tcPr>
          <w:p w14:paraId="7581054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E756EF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33765.10</w:t>
            </w:r>
          </w:p>
        </w:tc>
        <w:tc>
          <w:tcPr>
            <w:tcW w:w="2789" w:type="dxa"/>
            <w:tcBorders>
              <w:tl2br w:val="nil"/>
              <w:tr2bl w:val="nil"/>
            </w:tcBorders>
            <w:noWrap/>
            <w:vAlign w:val="center"/>
          </w:tcPr>
          <w:p w14:paraId="2822D65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959B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2B0F85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条块石</w:t>
            </w:r>
          </w:p>
        </w:tc>
        <w:tc>
          <w:tcPr>
            <w:tcW w:w="1050" w:type="dxa"/>
            <w:tcBorders>
              <w:tl2br w:val="nil"/>
              <w:tr2bl w:val="nil"/>
            </w:tcBorders>
            <w:noWrap w:val="0"/>
            <w:vAlign w:val="center"/>
          </w:tcPr>
          <w:p w14:paraId="4CCBCD6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E4F59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13457.30</w:t>
            </w:r>
          </w:p>
        </w:tc>
        <w:tc>
          <w:tcPr>
            <w:tcW w:w="2789" w:type="dxa"/>
            <w:tcBorders>
              <w:tl2br w:val="nil"/>
              <w:tr2bl w:val="nil"/>
            </w:tcBorders>
            <w:noWrap/>
            <w:vAlign w:val="center"/>
          </w:tcPr>
          <w:p w14:paraId="4D76EC6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E237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941" w:type="dxa"/>
            <w:tcBorders>
              <w:tl2br w:val="nil"/>
              <w:tr2bl w:val="nil"/>
            </w:tcBorders>
            <w:noWrap w:val="0"/>
            <w:vAlign w:val="center"/>
          </w:tcPr>
          <w:p w14:paraId="2043E2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汽油</w:t>
            </w:r>
          </w:p>
        </w:tc>
        <w:tc>
          <w:tcPr>
            <w:tcW w:w="1050" w:type="dxa"/>
            <w:tcBorders>
              <w:tl2br w:val="nil"/>
              <w:tr2bl w:val="nil"/>
            </w:tcBorders>
            <w:noWrap w:val="0"/>
            <w:vAlign w:val="center"/>
          </w:tcPr>
          <w:p w14:paraId="4181B28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6EA6937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310.64</w:t>
            </w:r>
          </w:p>
        </w:tc>
        <w:tc>
          <w:tcPr>
            <w:tcW w:w="2789" w:type="dxa"/>
            <w:tcBorders>
              <w:tl2br w:val="nil"/>
              <w:tr2bl w:val="nil"/>
            </w:tcBorders>
            <w:noWrap/>
            <w:vAlign w:val="center"/>
          </w:tcPr>
          <w:p w14:paraId="157B0B96">
            <w:pPr>
              <w:pStyle w:val="130"/>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p>
        </w:tc>
      </w:tr>
      <w:tr w14:paraId="5E942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5B2770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柴油</w:t>
            </w:r>
          </w:p>
        </w:tc>
        <w:tc>
          <w:tcPr>
            <w:tcW w:w="1050" w:type="dxa"/>
            <w:tcBorders>
              <w:tl2br w:val="nil"/>
              <w:tr2bl w:val="nil"/>
            </w:tcBorders>
            <w:noWrap w:val="0"/>
            <w:vAlign w:val="center"/>
          </w:tcPr>
          <w:p w14:paraId="35F0D95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56BA59C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374.96</w:t>
            </w:r>
          </w:p>
        </w:tc>
        <w:tc>
          <w:tcPr>
            <w:tcW w:w="2789" w:type="dxa"/>
            <w:tcBorders>
              <w:tl2br w:val="nil"/>
              <w:tr2bl w:val="nil"/>
            </w:tcBorders>
            <w:noWrap/>
            <w:vAlign w:val="center"/>
          </w:tcPr>
          <w:p w14:paraId="4EC6895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FC3F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941" w:type="dxa"/>
            <w:tcBorders>
              <w:tl2br w:val="nil"/>
              <w:tr2bl w:val="nil"/>
            </w:tcBorders>
            <w:noWrap w:val="0"/>
            <w:vAlign w:val="center"/>
          </w:tcPr>
          <w:p w14:paraId="7F1B0FE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3、对外交通</w:t>
            </w:r>
          </w:p>
        </w:tc>
        <w:tc>
          <w:tcPr>
            <w:tcW w:w="1050" w:type="dxa"/>
            <w:tcBorders>
              <w:tl2br w:val="nil"/>
              <w:tr2bl w:val="nil"/>
            </w:tcBorders>
            <w:noWrap w:val="0"/>
            <w:vAlign w:val="center"/>
          </w:tcPr>
          <w:p w14:paraId="0C7205A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1391" w:type="dxa"/>
            <w:tcBorders>
              <w:tl2br w:val="nil"/>
              <w:tr2bl w:val="nil"/>
            </w:tcBorders>
            <w:noWrap/>
            <w:vAlign w:val="center"/>
          </w:tcPr>
          <w:p w14:paraId="002600C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枢纽工程</w:t>
            </w:r>
          </w:p>
        </w:tc>
        <w:tc>
          <w:tcPr>
            <w:tcW w:w="1167" w:type="dxa"/>
            <w:tcBorders>
              <w:tl2br w:val="nil"/>
              <w:tr2bl w:val="nil"/>
            </w:tcBorders>
            <w:noWrap w:val="0"/>
            <w:vAlign w:val="center"/>
          </w:tcPr>
          <w:p w14:paraId="2B50960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输水工程</w:t>
            </w:r>
          </w:p>
        </w:tc>
        <w:tc>
          <w:tcPr>
            <w:tcW w:w="2789" w:type="dxa"/>
            <w:tcBorders>
              <w:tl2br w:val="nil"/>
              <w:tr2bl w:val="nil"/>
            </w:tcBorders>
            <w:noWrap/>
            <w:vAlign w:val="center"/>
          </w:tcPr>
          <w:p w14:paraId="55D3700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6BF8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B73903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水泥</w:t>
            </w:r>
          </w:p>
        </w:tc>
        <w:tc>
          <w:tcPr>
            <w:tcW w:w="1050" w:type="dxa"/>
            <w:tcBorders>
              <w:tl2br w:val="nil"/>
              <w:tr2bl w:val="nil"/>
            </w:tcBorders>
            <w:noWrap w:val="0"/>
            <w:vAlign w:val="center"/>
          </w:tcPr>
          <w:p w14:paraId="3E9A5D3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66F2115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112</w:t>
            </w:r>
          </w:p>
        </w:tc>
        <w:tc>
          <w:tcPr>
            <w:tcW w:w="1167" w:type="dxa"/>
            <w:tcBorders>
              <w:tl2br w:val="nil"/>
              <w:tr2bl w:val="nil"/>
            </w:tcBorders>
            <w:noWrap w:val="0"/>
            <w:vAlign w:val="center"/>
          </w:tcPr>
          <w:p w14:paraId="7F00A75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107</w:t>
            </w:r>
          </w:p>
        </w:tc>
        <w:tc>
          <w:tcPr>
            <w:tcW w:w="2789" w:type="dxa"/>
            <w:tcBorders>
              <w:tl2br w:val="nil"/>
              <w:tr2bl w:val="nil"/>
            </w:tcBorders>
            <w:noWrap/>
            <w:vAlign w:val="center"/>
          </w:tcPr>
          <w:p w14:paraId="61D1FFC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54180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F506F5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钢材</w:t>
            </w:r>
          </w:p>
        </w:tc>
        <w:tc>
          <w:tcPr>
            <w:tcW w:w="1050" w:type="dxa"/>
            <w:tcBorders>
              <w:tl2br w:val="nil"/>
              <w:tr2bl w:val="nil"/>
            </w:tcBorders>
            <w:noWrap w:val="0"/>
            <w:vAlign w:val="center"/>
          </w:tcPr>
          <w:p w14:paraId="72B2E78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13BC86D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75</w:t>
            </w:r>
          </w:p>
        </w:tc>
        <w:tc>
          <w:tcPr>
            <w:tcW w:w="1167" w:type="dxa"/>
            <w:tcBorders>
              <w:tl2br w:val="nil"/>
              <w:tr2bl w:val="nil"/>
            </w:tcBorders>
            <w:noWrap w:val="0"/>
            <w:vAlign w:val="center"/>
          </w:tcPr>
          <w:p w14:paraId="01309E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70</w:t>
            </w:r>
          </w:p>
        </w:tc>
        <w:tc>
          <w:tcPr>
            <w:tcW w:w="2789" w:type="dxa"/>
            <w:tcBorders>
              <w:tl2br w:val="nil"/>
              <w:tr2bl w:val="nil"/>
            </w:tcBorders>
            <w:noWrap/>
            <w:vAlign w:val="center"/>
          </w:tcPr>
          <w:p w14:paraId="7B93857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74622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9D0DB4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油料</w:t>
            </w:r>
          </w:p>
        </w:tc>
        <w:tc>
          <w:tcPr>
            <w:tcW w:w="1050" w:type="dxa"/>
            <w:tcBorders>
              <w:tl2br w:val="nil"/>
              <w:tr2bl w:val="nil"/>
            </w:tcBorders>
            <w:noWrap w:val="0"/>
            <w:vAlign w:val="center"/>
          </w:tcPr>
          <w:p w14:paraId="68D16E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2AEC96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30</w:t>
            </w:r>
          </w:p>
        </w:tc>
        <w:tc>
          <w:tcPr>
            <w:tcW w:w="1167" w:type="dxa"/>
            <w:tcBorders>
              <w:tl2br w:val="nil"/>
              <w:tr2bl w:val="nil"/>
            </w:tcBorders>
            <w:noWrap w:val="0"/>
            <w:vAlign w:val="center"/>
          </w:tcPr>
          <w:p w14:paraId="33D65F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25</w:t>
            </w:r>
          </w:p>
        </w:tc>
        <w:tc>
          <w:tcPr>
            <w:tcW w:w="2789" w:type="dxa"/>
            <w:tcBorders>
              <w:tl2br w:val="nil"/>
              <w:tr2bl w:val="nil"/>
            </w:tcBorders>
            <w:noWrap/>
            <w:vAlign w:val="center"/>
          </w:tcPr>
          <w:p w14:paraId="2D832CE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204E7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108DF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火工材料</w:t>
            </w:r>
          </w:p>
        </w:tc>
        <w:tc>
          <w:tcPr>
            <w:tcW w:w="1050" w:type="dxa"/>
            <w:tcBorders>
              <w:tl2br w:val="nil"/>
              <w:tr2bl w:val="nil"/>
            </w:tcBorders>
            <w:noWrap w:val="0"/>
            <w:vAlign w:val="center"/>
          </w:tcPr>
          <w:p w14:paraId="0302A57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26A73D3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75</w:t>
            </w:r>
          </w:p>
        </w:tc>
        <w:tc>
          <w:tcPr>
            <w:tcW w:w="1167" w:type="dxa"/>
            <w:tcBorders>
              <w:tl2br w:val="nil"/>
              <w:tr2bl w:val="nil"/>
            </w:tcBorders>
            <w:noWrap w:val="0"/>
            <w:vAlign w:val="center"/>
          </w:tcPr>
          <w:p w14:paraId="7DDA7F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70</w:t>
            </w:r>
          </w:p>
        </w:tc>
        <w:tc>
          <w:tcPr>
            <w:tcW w:w="2789" w:type="dxa"/>
            <w:tcBorders>
              <w:tl2br w:val="nil"/>
              <w:tr2bl w:val="nil"/>
            </w:tcBorders>
            <w:noWrap/>
            <w:vAlign w:val="center"/>
          </w:tcPr>
          <w:p w14:paraId="4A0CAA8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2E739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989334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特细砂</w:t>
            </w:r>
          </w:p>
        </w:tc>
        <w:tc>
          <w:tcPr>
            <w:tcW w:w="1050" w:type="dxa"/>
            <w:tcBorders>
              <w:tl2br w:val="nil"/>
              <w:tr2bl w:val="nil"/>
            </w:tcBorders>
            <w:noWrap w:val="0"/>
            <w:vAlign w:val="center"/>
          </w:tcPr>
          <w:p w14:paraId="2756FD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75CDEC9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77</w:t>
            </w:r>
          </w:p>
        </w:tc>
        <w:tc>
          <w:tcPr>
            <w:tcW w:w="1167" w:type="dxa"/>
            <w:tcBorders>
              <w:tl2br w:val="nil"/>
              <w:tr2bl w:val="nil"/>
            </w:tcBorders>
            <w:noWrap w:val="0"/>
            <w:vAlign w:val="center"/>
          </w:tcPr>
          <w:p w14:paraId="6633E6E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72</w:t>
            </w:r>
          </w:p>
        </w:tc>
        <w:tc>
          <w:tcPr>
            <w:tcW w:w="2789" w:type="dxa"/>
            <w:tcBorders>
              <w:tl2br w:val="nil"/>
              <w:tr2bl w:val="nil"/>
            </w:tcBorders>
            <w:noWrap/>
            <w:vAlign w:val="center"/>
          </w:tcPr>
          <w:p w14:paraId="1B135C8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27A97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53EC78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碎石</w:t>
            </w:r>
          </w:p>
        </w:tc>
        <w:tc>
          <w:tcPr>
            <w:tcW w:w="1050" w:type="dxa"/>
            <w:tcBorders>
              <w:tl2br w:val="nil"/>
              <w:tr2bl w:val="nil"/>
            </w:tcBorders>
            <w:noWrap w:val="0"/>
            <w:vAlign w:val="center"/>
          </w:tcPr>
          <w:p w14:paraId="6A50EA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17E5147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25</w:t>
            </w:r>
          </w:p>
        </w:tc>
        <w:tc>
          <w:tcPr>
            <w:tcW w:w="1167" w:type="dxa"/>
            <w:tcBorders>
              <w:tl2br w:val="nil"/>
              <w:tr2bl w:val="nil"/>
            </w:tcBorders>
            <w:noWrap w:val="0"/>
            <w:vAlign w:val="center"/>
          </w:tcPr>
          <w:p w14:paraId="7A58CFE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w:t>
            </w:r>
          </w:p>
        </w:tc>
        <w:tc>
          <w:tcPr>
            <w:tcW w:w="2789" w:type="dxa"/>
            <w:tcBorders>
              <w:tl2br w:val="nil"/>
              <w:tr2bl w:val="nil"/>
            </w:tcBorders>
            <w:noWrap/>
            <w:vAlign w:val="center"/>
          </w:tcPr>
          <w:p w14:paraId="18C4CF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4A1AD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A13B31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块石</w:t>
            </w:r>
          </w:p>
        </w:tc>
        <w:tc>
          <w:tcPr>
            <w:tcW w:w="1050" w:type="dxa"/>
            <w:tcBorders>
              <w:tl2br w:val="nil"/>
              <w:tr2bl w:val="nil"/>
            </w:tcBorders>
            <w:noWrap w:val="0"/>
            <w:vAlign w:val="center"/>
          </w:tcPr>
          <w:p w14:paraId="287A1D9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4B81ADE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25</w:t>
            </w:r>
          </w:p>
        </w:tc>
        <w:tc>
          <w:tcPr>
            <w:tcW w:w="1167" w:type="dxa"/>
            <w:tcBorders>
              <w:tl2br w:val="nil"/>
              <w:tr2bl w:val="nil"/>
            </w:tcBorders>
            <w:noWrap w:val="0"/>
            <w:vAlign w:val="center"/>
          </w:tcPr>
          <w:p w14:paraId="121F698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w:t>
            </w:r>
          </w:p>
        </w:tc>
        <w:tc>
          <w:tcPr>
            <w:tcW w:w="2789" w:type="dxa"/>
            <w:tcBorders>
              <w:tl2br w:val="nil"/>
              <w:tr2bl w:val="nil"/>
            </w:tcBorders>
            <w:noWrap/>
            <w:vAlign w:val="center"/>
          </w:tcPr>
          <w:p w14:paraId="2116E0E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67D2E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68781D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4、施工导流</w:t>
            </w:r>
          </w:p>
        </w:tc>
        <w:tc>
          <w:tcPr>
            <w:tcW w:w="1050" w:type="dxa"/>
            <w:tcBorders>
              <w:tl2br w:val="nil"/>
              <w:tr2bl w:val="nil"/>
            </w:tcBorders>
            <w:noWrap w:val="0"/>
            <w:vAlign w:val="center"/>
          </w:tcPr>
          <w:p w14:paraId="2100279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31CDCC4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25B741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F75C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941" w:type="dxa"/>
            <w:tcBorders>
              <w:tl2br w:val="nil"/>
              <w:tr2bl w:val="nil"/>
            </w:tcBorders>
            <w:noWrap w:val="0"/>
            <w:vAlign w:val="center"/>
          </w:tcPr>
          <w:p w14:paraId="0B52E62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导流方式</w:t>
            </w:r>
          </w:p>
        </w:tc>
        <w:tc>
          <w:tcPr>
            <w:tcW w:w="1050" w:type="dxa"/>
            <w:tcBorders>
              <w:tl2br w:val="nil"/>
              <w:tr2bl w:val="nil"/>
            </w:tcBorders>
            <w:noWrap w:val="0"/>
            <w:vAlign w:val="center"/>
          </w:tcPr>
          <w:p w14:paraId="5031CA5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0"/>
            <w:vAlign w:val="center"/>
          </w:tcPr>
          <w:p w14:paraId="1B3C31B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枯期围堰挡水、导流涵管泄流</w:t>
            </w:r>
          </w:p>
        </w:tc>
        <w:tc>
          <w:tcPr>
            <w:tcW w:w="2789" w:type="dxa"/>
            <w:tcBorders>
              <w:tl2br w:val="nil"/>
              <w:tr2bl w:val="nil"/>
            </w:tcBorders>
            <w:noWrap/>
            <w:vAlign w:val="center"/>
          </w:tcPr>
          <w:p w14:paraId="0E8C798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2B29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1968C5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5、施工工期</w:t>
            </w:r>
          </w:p>
        </w:tc>
        <w:tc>
          <w:tcPr>
            <w:tcW w:w="1050" w:type="dxa"/>
            <w:tcBorders>
              <w:tl2br w:val="nil"/>
              <w:tr2bl w:val="nil"/>
            </w:tcBorders>
            <w:noWrap w:val="0"/>
            <w:vAlign w:val="center"/>
          </w:tcPr>
          <w:p w14:paraId="0006400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7AB71C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793D64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B292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C83621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总工期</w:t>
            </w:r>
          </w:p>
        </w:tc>
        <w:tc>
          <w:tcPr>
            <w:tcW w:w="1050" w:type="dxa"/>
            <w:tcBorders>
              <w:tl2br w:val="nil"/>
              <w:tr2bl w:val="nil"/>
            </w:tcBorders>
            <w:noWrap w:val="0"/>
            <w:vAlign w:val="center"/>
          </w:tcPr>
          <w:p w14:paraId="54F6BD5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月</w:t>
            </w:r>
          </w:p>
        </w:tc>
        <w:tc>
          <w:tcPr>
            <w:tcW w:w="2558" w:type="dxa"/>
            <w:gridSpan w:val="2"/>
            <w:tcBorders>
              <w:tl2br w:val="nil"/>
              <w:tr2bl w:val="nil"/>
            </w:tcBorders>
            <w:noWrap/>
            <w:vAlign w:val="center"/>
          </w:tcPr>
          <w:p w14:paraId="0F747E5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24</w:t>
            </w:r>
          </w:p>
        </w:tc>
        <w:tc>
          <w:tcPr>
            <w:tcW w:w="2789" w:type="dxa"/>
            <w:tcBorders>
              <w:tl2br w:val="nil"/>
              <w:tr2bl w:val="nil"/>
            </w:tcBorders>
            <w:noWrap/>
            <w:vAlign w:val="center"/>
          </w:tcPr>
          <w:p w14:paraId="51B7A66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B58F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9CE6FE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主体工程施工期</w:t>
            </w:r>
          </w:p>
        </w:tc>
        <w:tc>
          <w:tcPr>
            <w:tcW w:w="1050" w:type="dxa"/>
            <w:tcBorders>
              <w:tl2br w:val="nil"/>
              <w:tr2bl w:val="nil"/>
            </w:tcBorders>
            <w:noWrap w:val="0"/>
            <w:vAlign w:val="center"/>
          </w:tcPr>
          <w:p w14:paraId="467180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月</w:t>
            </w:r>
          </w:p>
        </w:tc>
        <w:tc>
          <w:tcPr>
            <w:tcW w:w="2558" w:type="dxa"/>
            <w:gridSpan w:val="2"/>
            <w:tcBorders>
              <w:tl2br w:val="nil"/>
              <w:tr2bl w:val="nil"/>
            </w:tcBorders>
            <w:noWrap/>
            <w:vAlign w:val="center"/>
          </w:tcPr>
          <w:p w14:paraId="5AB1B92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18</w:t>
            </w:r>
          </w:p>
        </w:tc>
        <w:tc>
          <w:tcPr>
            <w:tcW w:w="2789" w:type="dxa"/>
            <w:tcBorders>
              <w:tl2br w:val="nil"/>
              <w:tr2bl w:val="nil"/>
            </w:tcBorders>
            <w:noWrap/>
            <w:vAlign w:val="center"/>
          </w:tcPr>
          <w:p w14:paraId="4AE3057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253A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A6B1CA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八、工程投资</w:t>
            </w:r>
          </w:p>
        </w:tc>
        <w:tc>
          <w:tcPr>
            <w:tcW w:w="1050" w:type="dxa"/>
            <w:tcBorders>
              <w:tl2br w:val="nil"/>
              <w:tr2bl w:val="nil"/>
            </w:tcBorders>
            <w:noWrap w:val="0"/>
            <w:vAlign w:val="center"/>
          </w:tcPr>
          <w:p w14:paraId="072BFB5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3BAA879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4D5507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A0EF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941" w:type="dxa"/>
            <w:tcBorders>
              <w:tl2br w:val="nil"/>
              <w:tr2bl w:val="nil"/>
            </w:tcBorders>
            <w:noWrap w:val="0"/>
            <w:vAlign w:val="center"/>
          </w:tcPr>
          <w:p w14:paraId="00B47D9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总投资</w:t>
            </w:r>
          </w:p>
        </w:tc>
        <w:tc>
          <w:tcPr>
            <w:tcW w:w="1050" w:type="dxa"/>
            <w:tcBorders>
              <w:tl2br w:val="nil"/>
              <w:tr2bl w:val="nil"/>
            </w:tcBorders>
            <w:noWrap w:val="0"/>
            <w:vAlign w:val="center"/>
          </w:tcPr>
          <w:p w14:paraId="2CA5C17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万元</w:t>
            </w:r>
          </w:p>
        </w:tc>
        <w:tc>
          <w:tcPr>
            <w:tcW w:w="2558" w:type="dxa"/>
            <w:gridSpan w:val="2"/>
            <w:tcBorders>
              <w:tl2br w:val="nil"/>
              <w:tr2bl w:val="nil"/>
            </w:tcBorders>
            <w:noWrap/>
            <w:vAlign w:val="center"/>
          </w:tcPr>
          <w:p w14:paraId="4F6EFD7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14499.60</w:t>
            </w:r>
          </w:p>
        </w:tc>
        <w:tc>
          <w:tcPr>
            <w:tcW w:w="2789" w:type="dxa"/>
            <w:tcBorders>
              <w:tl2br w:val="nil"/>
              <w:tr2bl w:val="nil"/>
            </w:tcBorders>
            <w:noWrap/>
            <w:vAlign w:val="center"/>
          </w:tcPr>
          <w:p w14:paraId="5828F6B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bl>
    <w:p w14:paraId="75C654D2">
      <w:pPr>
        <w:autoSpaceDE w:val="0"/>
        <w:autoSpaceDN w:val="0"/>
        <w:spacing w:line="440" w:lineRule="exact"/>
        <w:ind w:firstLine="482"/>
        <w:jc w:val="both"/>
        <w:rPr>
          <w:rFonts w:hint="default" w:ascii="Arial" w:cs="Arial"/>
          <w:bCs/>
          <w:color w:val="auto"/>
          <w:sz w:val="26"/>
          <w:lang w:val="en-US" w:eastAsia="zh-CN"/>
        </w:rPr>
      </w:pPr>
    </w:p>
    <w:p w14:paraId="581ADA16">
      <w:pPr>
        <w:autoSpaceDE w:val="0"/>
        <w:autoSpaceDN w:val="0"/>
        <w:spacing w:line="440" w:lineRule="exact"/>
        <w:ind w:firstLine="482"/>
        <w:jc w:val="both"/>
        <w:rPr>
          <w:rFonts w:hint="eastAsia" w:ascii="Arial" w:cs="Arial"/>
          <w:bCs/>
          <w:color w:val="auto"/>
          <w:sz w:val="26"/>
          <w:lang w:val="en-US" w:eastAsia="zh-CN"/>
        </w:rPr>
      </w:pPr>
    </w:p>
    <w:p w14:paraId="027B3207">
      <w:pPr>
        <w:autoSpaceDE w:val="0"/>
        <w:autoSpaceDN w:val="0"/>
        <w:spacing w:line="440" w:lineRule="exact"/>
        <w:ind w:firstLine="482"/>
        <w:jc w:val="both"/>
        <w:rPr>
          <w:rFonts w:hint="default" w:ascii="Arial" w:cs="Arial"/>
          <w:bCs/>
          <w:color w:val="auto"/>
          <w:sz w:val="26"/>
          <w:lang w:val="en-US" w:eastAsia="zh-CN"/>
        </w:rPr>
      </w:pPr>
    </w:p>
    <w:p w14:paraId="0B5712FB">
      <w:pPr>
        <w:autoSpaceDE w:val="0"/>
        <w:autoSpaceDN w:val="0"/>
        <w:spacing w:line="440" w:lineRule="exact"/>
        <w:ind w:firstLine="482"/>
        <w:jc w:val="both"/>
        <w:rPr>
          <w:rFonts w:hint="eastAsia" w:ascii="Arial" w:cs="Arial"/>
          <w:bCs/>
          <w:color w:val="auto"/>
          <w:sz w:val="26"/>
          <w:lang w:val="en-US" w:eastAsia="zh-CN"/>
        </w:rPr>
      </w:pPr>
    </w:p>
    <w:p w14:paraId="0E03FDE5">
      <w:pPr>
        <w:autoSpaceDE w:val="0"/>
        <w:autoSpaceDN w:val="0"/>
        <w:spacing w:line="440" w:lineRule="exact"/>
        <w:ind w:firstLine="482"/>
        <w:jc w:val="both"/>
        <w:rPr>
          <w:rFonts w:hint="eastAsia" w:ascii="Arial" w:cs="Arial"/>
          <w:bCs/>
          <w:color w:val="auto"/>
          <w:sz w:val="26"/>
          <w:lang w:val="en-US" w:eastAsia="zh-CN"/>
        </w:rPr>
      </w:pPr>
    </w:p>
    <w:bookmarkEnd w:id="80"/>
    <w:p w14:paraId="0D42C1F3">
      <w:pPr>
        <w:snapToGrid w:val="0"/>
        <w:spacing w:line="348" w:lineRule="auto"/>
        <w:ind w:firstLine="602" w:firstLineChars="250"/>
        <w:jc w:val="center"/>
        <w:rPr>
          <w:b/>
          <w:kern w:val="0"/>
          <w:sz w:val="24"/>
          <w:szCs w:val="24"/>
        </w:rPr>
      </w:pPr>
    </w:p>
    <w:p w14:paraId="6468F169">
      <w:pPr>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0" w:charSpace="0"/>
        </w:sectPr>
      </w:pPr>
      <w:bookmarkStart w:id="81" w:name="_Toc401309565"/>
      <w:bookmarkStart w:id="82" w:name="_Toc327715387"/>
    </w:p>
    <w:bookmarkEnd w:id="81"/>
    <w:bookmarkEnd w:id="82"/>
    <w:p w14:paraId="0A2C41B3">
      <w:pPr>
        <w:keepNext w:val="0"/>
        <w:keepLines w:val="0"/>
        <w:pageBreakBefore w:val="0"/>
        <w:widowControl w:val="0"/>
        <w:kinsoku/>
        <w:wordWrap/>
        <w:overflowPunct/>
        <w:topLinePunct w:val="0"/>
        <w:autoSpaceDE/>
        <w:autoSpaceDN/>
        <w:bidi w:val="0"/>
        <w:adjustRightInd/>
        <w:snapToGrid/>
        <w:spacing w:before="0" w:beforeLines="100" w:after="0" w:afterLines="100" w:line="460" w:lineRule="exact"/>
        <w:jc w:val="center"/>
        <w:textAlignment w:val="auto"/>
        <w:outlineLvl w:val="0"/>
        <w:rPr>
          <w:rFonts w:hint="default" w:ascii="Arial" w:hAnsi="Arial" w:cs="Arial"/>
          <w:b/>
          <w:sz w:val="26"/>
          <w:szCs w:val="26"/>
          <w:highlight w:val="none"/>
        </w:rPr>
      </w:pPr>
      <w:bookmarkStart w:id="83" w:name="_Toc13059"/>
      <w:r>
        <w:rPr>
          <w:rFonts w:hint="default" w:ascii="Arial" w:hAnsi="Arial" w:cs="Arial"/>
          <w:b/>
          <w:sz w:val="26"/>
          <w:szCs w:val="26"/>
          <w:highlight w:val="none"/>
        </w:rPr>
        <w:t>3 工程分析</w:t>
      </w:r>
      <w:bookmarkEnd w:id="83"/>
    </w:p>
    <w:p w14:paraId="18DEA24F">
      <w:pPr>
        <w:pStyle w:val="1291"/>
        <w:keepNext w:val="0"/>
        <w:keepLines w:val="0"/>
        <w:pageBreakBefore w:val="0"/>
        <w:widowControl/>
        <w:kinsoku/>
        <w:wordWrap/>
        <w:overflowPunct/>
        <w:topLinePunct w:val="0"/>
        <w:autoSpaceDE/>
        <w:autoSpaceDN/>
        <w:bidi w:val="0"/>
        <w:adjustRightInd w:val="0"/>
        <w:snapToGrid w:val="0"/>
        <w:spacing w:line="440" w:lineRule="exact"/>
        <w:ind w:firstLine="522" w:firstLineChars="200"/>
        <w:jc w:val="both"/>
        <w:textAlignment w:val="auto"/>
        <w:rPr>
          <w:rFonts w:hint="eastAsia" w:ascii="Arial" w:hAnsi="Arial" w:eastAsia="宋体" w:cs="Arial"/>
          <w:sz w:val="26"/>
          <w:szCs w:val="26"/>
          <w:lang w:val="en-US" w:eastAsia="zh-CN"/>
        </w:rPr>
      </w:pPr>
      <w:bookmarkStart w:id="84" w:name="_Toc2262"/>
      <w:bookmarkStart w:id="85" w:name="_Toc401309573"/>
      <w:bookmarkStart w:id="86" w:name="_Toc306729619"/>
      <w:bookmarkStart w:id="87" w:name="_Toc327715405"/>
      <w:r>
        <w:rPr>
          <w:rFonts w:hint="eastAsia" w:ascii="Arial" w:hAnsi="Arial" w:eastAsia="宋体" w:cs="Arial"/>
          <w:sz w:val="26"/>
          <w:szCs w:val="26"/>
          <w:lang w:val="en-US" w:eastAsia="zh-CN"/>
        </w:rPr>
        <w:t>3.1</w:t>
      </w:r>
      <w:bookmarkEnd w:id="84"/>
      <w:r>
        <w:rPr>
          <w:rFonts w:hint="eastAsia" w:ascii="Arial" w:hAnsi="Arial" w:cs="Arial"/>
          <w:sz w:val="26"/>
          <w:szCs w:val="26"/>
          <w:lang w:val="en-US" w:eastAsia="zh-CN"/>
        </w:rPr>
        <w:t>施工期环境影响因素分析</w:t>
      </w:r>
    </w:p>
    <w:p w14:paraId="5B4B401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val="0"/>
          <w:sz w:val="26"/>
          <w:szCs w:val="26"/>
          <w:lang w:val="en-US" w:eastAsia="zh-CN"/>
        </w:rPr>
      </w:pPr>
      <w:r>
        <w:rPr>
          <w:rFonts w:hint="eastAsia" w:ascii="Arial" w:hAnsi="Arial" w:cs="Arial"/>
          <w:b/>
          <w:bCs w:val="0"/>
          <w:sz w:val="26"/>
          <w:szCs w:val="26"/>
          <w:lang w:val="en-US" w:eastAsia="zh-CN"/>
        </w:rPr>
        <w:t>3.1.1施工工艺</w:t>
      </w:r>
    </w:p>
    <w:p w14:paraId="404860BF">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本项目主要建设内</w:t>
      </w:r>
      <w:r>
        <w:rPr>
          <w:rFonts w:hint="eastAsia" w:ascii="Arial" w:hAnsi="Arial" w:eastAsia="宋体" w:cs="Arial"/>
          <w:b w:val="0"/>
          <w:bCs/>
          <w:sz w:val="26"/>
          <w:szCs w:val="26"/>
          <w:lang w:val="en-US" w:eastAsia="zh-CN"/>
        </w:rPr>
        <w:t>容包括枢纽工程、输水工程和附属设施工程三部分，主要施工工艺流程如下：</w:t>
      </w:r>
    </w:p>
    <w:p w14:paraId="3DF3E336">
      <w:pPr>
        <w:spacing w:line="440" w:lineRule="exact"/>
        <w:ind w:firstLine="392" w:firstLineChars="150"/>
        <w:jc w:val="left"/>
        <w:outlineLvl w:val="3"/>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（1）枢纽工程</w:t>
      </w:r>
    </w:p>
    <w:p w14:paraId="36BF7B1D">
      <w:pPr>
        <w:spacing w:line="440" w:lineRule="exact"/>
        <w:ind w:firstLine="520" w:firstLineChars="200"/>
        <w:rPr>
          <w:rFonts w:hint="eastAsia" w:ascii="Arial" w:hAnsi="宋体" w:cs="Arial"/>
          <w:bCs/>
          <w:sz w:val="26"/>
          <w:szCs w:val="26"/>
        </w:rPr>
      </w:pPr>
      <w:r>
        <w:rPr>
          <w:rFonts w:hint="eastAsia" w:ascii="Arial" w:hAnsi="宋体" w:cs="Arial"/>
          <w:bCs/>
          <w:sz w:val="26"/>
          <w:szCs w:val="26"/>
        </w:rPr>
        <w:t>水库枢纽工程施工工艺流程及产污环节详见图3.</w:t>
      </w:r>
      <w:r>
        <w:rPr>
          <w:rFonts w:hint="eastAsia" w:ascii="Arial" w:hAnsi="宋体" w:cs="Arial"/>
          <w:bCs/>
          <w:sz w:val="26"/>
          <w:szCs w:val="26"/>
          <w:lang w:val="en-US" w:eastAsia="zh-CN"/>
        </w:rPr>
        <w:t>1</w:t>
      </w:r>
      <w:r>
        <w:rPr>
          <w:rFonts w:hint="eastAsia" w:ascii="Arial" w:hAnsi="宋体" w:cs="Arial"/>
          <w:bCs/>
          <w:sz w:val="26"/>
          <w:szCs w:val="26"/>
        </w:rPr>
        <w:t>-1所示。</w:t>
      </w:r>
    </w:p>
    <w:p w14:paraId="3F6C49DE">
      <w:pPr>
        <w:spacing w:line="440" w:lineRule="exact"/>
        <w:ind w:firstLine="420" w:firstLineChars="200"/>
        <w:rPr>
          <w:rFonts w:hint="eastAsia" w:ascii="Arial" w:hAnsi="宋体" w:cs="Arial"/>
          <w:bCs/>
          <w:sz w:val="26"/>
          <w:szCs w:val="26"/>
        </w:rPr>
      </w:pPr>
      <w:r>
        <w:drawing>
          <wp:anchor distT="0" distB="0" distL="114300" distR="114300" simplePos="0" relativeHeight="251680768" behindDoc="0" locked="0" layoutInCell="1" allowOverlap="1">
            <wp:simplePos x="0" y="0"/>
            <wp:positionH relativeFrom="column">
              <wp:posOffset>-286385</wp:posOffset>
            </wp:positionH>
            <wp:positionV relativeFrom="paragraph">
              <wp:posOffset>149225</wp:posOffset>
            </wp:positionV>
            <wp:extent cx="5953125" cy="3228340"/>
            <wp:effectExtent l="0" t="0" r="9525" b="1016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r:link="rId28"/>
                    <a:stretch>
                      <a:fillRect/>
                    </a:stretch>
                  </pic:blipFill>
                  <pic:spPr>
                    <a:xfrm>
                      <a:off x="0" y="0"/>
                      <a:ext cx="5953125" cy="3228340"/>
                    </a:xfrm>
                    <a:prstGeom prst="rect">
                      <a:avLst/>
                    </a:prstGeom>
                    <a:noFill/>
                    <a:ln>
                      <a:noFill/>
                    </a:ln>
                  </pic:spPr>
                </pic:pic>
              </a:graphicData>
            </a:graphic>
          </wp:anchor>
        </w:drawing>
      </w:r>
    </w:p>
    <w:p w14:paraId="281852F8">
      <w:pPr>
        <w:spacing w:line="440" w:lineRule="exact"/>
        <w:ind w:firstLine="520" w:firstLineChars="200"/>
        <w:rPr>
          <w:rFonts w:hint="eastAsia" w:ascii="Arial" w:hAnsi="宋体" w:cs="Arial"/>
          <w:bCs/>
          <w:sz w:val="26"/>
          <w:szCs w:val="26"/>
        </w:rPr>
      </w:pPr>
    </w:p>
    <w:p w14:paraId="26B8B15D">
      <w:pPr>
        <w:spacing w:line="440" w:lineRule="exact"/>
        <w:ind w:firstLine="520" w:firstLineChars="200"/>
        <w:rPr>
          <w:rFonts w:hint="eastAsia" w:ascii="Arial" w:hAnsi="宋体" w:cs="Arial"/>
          <w:bCs/>
          <w:sz w:val="26"/>
          <w:szCs w:val="26"/>
        </w:rPr>
      </w:pPr>
    </w:p>
    <w:p w14:paraId="1979B50A">
      <w:pPr>
        <w:spacing w:line="440" w:lineRule="exact"/>
        <w:ind w:firstLine="520" w:firstLineChars="200"/>
        <w:rPr>
          <w:rFonts w:hint="eastAsia" w:ascii="Arial" w:hAnsi="宋体" w:cs="Arial"/>
          <w:bCs/>
          <w:sz w:val="26"/>
          <w:szCs w:val="26"/>
        </w:rPr>
      </w:pPr>
    </w:p>
    <w:p w14:paraId="2C8C1247">
      <w:pPr>
        <w:spacing w:line="440" w:lineRule="exact"/>
        <w:ind w:firstLine="520" w:firstLineChars="200"/>
        <w:rPr>
          <w:rFonts w:hint="eastAsia" w:ascii="Arial" w:hAnsi="宋体" w:cs="Arial"/>
          <w:bCs/>
          <w:sz w:val="26"/>
          <w:szCs w:val="26"/>
        </w:rPr>
      </w:pPr>
    </w:p>
    <w:p w14:paraId="2AE6C31D">
      <w:pPr>
        <w:spacing w:line="440" w:lineRule="exact"/>
        <w:ind w:firstLine="520" w:firstLineChars="200"/>
        <w:rPr>
          <w:rFonts w:hint="eastAsia" w:ascii="Arial" w:hAnsi="宋体" w:cs="Arial"/>
          <w:bCs/>
          <w:sz w:val="26"/>
          <w:szCs w:val="26"/>
        </w:rPr>
      </w:pPr>
    </w:p>
    <w:p w14:paraId="73D3DB49">
      <w:pPr>
        <w:spacing w:line="440" w:lineRule="exact"/>
        <w:ind w:firstLine="520" w:firstLineChars="200"/>
        <w:rPr>
          <w:rFonts w:hint="eastAsia" w:ascii="Arial" w:hAnsi="宋体" w:cs="Arial"/>
          <w:bCs/>
          <w:sz w:val="26"/>
          <w:szCs w:val="26"/>
        </w:rPr>
      </w:pPr>
    </w:p>
    <w:p w14:paraId="25DB51E0">
      <w:pPr>
        <w:spacing w:line="440" w:lineRule="exact"/>
        <w:ind w:firstLine="520" w:firstLineChars="200"/>
        <w:rPr>
          <w:rFonts w:hint="eastAsia" w:ascii="Arial" w:hAnsi="宋体" w:cs="Arial"/>
          <w:bCs/>
          <w:sz w:val="26"/>
          <w:szCs w:val="26"/>
        </w:rPr>
      </w:pPr>
    </w:p>
    <w:p w14:paraId="5E207380">
      <w:pPr>
        <w:spacing w:line="440" w:lineRule="exact"/>
        <w:ind w:firstLine="520" w:firstLineChars="200"/>
        <w:rPr>
          <w:rFonts w:hint="eastAsia" w:ascii="Arial" w:hAnsi="宋体" w:cs="Arial"/>
          <w:bCs/>
          <w:sz w:val="26"/>
          <w:szCs w:val="26"/>
        </w:rPr>
      </w:pPr>
    </w:p>
    <w:p w14:paraId="054067A9">
      <w:pPr>
        <w:spacing w:line="440" w:lineRule="exact"/>
        <w:ind w:firstLine="520" w:firstLineChars="200"/>
        <w:rPr>
          <w:rFonts w:hint="eastAsia" w:ascii="Arial" w:hAnsi="宋体" w:cs="Arial"/>
          <w:bCs/>
          <w:sz w:val="26"/>
          <w:szCs w:val="26"/>
        </w:rPr>
      </w:pPr>
    </w:p>
    <w:p w14:paraId="6D0DC64A">
      <w:pPr>
        <w:spacing w:line="440" w:lineRule="exact"/>
        <w:ind w:firstLine="520" w:firstLineChars="200"/>
        <w:rPr>
          <w:rFonts w:hint="eastAsia" w:ascii="Arial" w:hAnsi="宋体" w:cs="Arial"/>
          <w:bCs/>
          <w:sz w:val="26"/>
          <w:szCs w:val="26"/>
        </w:rPr>
      </w:pPr>
    </w:p>
    <w:p w14:paraId="54B2197E">
      <w:pPr>
        <w:spacing w:line="440" w:lineRule="exact"/>
        <w:ind w:firstLine="520" w:firstLineChars="200"/>
        <w:rPr>
          <w:rFonts w:hint="eastAsia" w:ascii="Arial" w:hAnsi="宋体" w:cs="Arial"/>
          <w:bCs/>
          <w:sz w:val="26"/>
          <w:szCs w:val="26"/>
        </w:rPr>
      </w:pPr>
    </w:p>
    <w:p w14:paraId="2FB6BD28">
      <w:pPr>
        <w:spacing w:line="440" w:lineRule="exact"/>
        <w:jc w:val="center"/>
        <w:rPr>
          <w:rFonts w:hint="eastAsia" w:ascii="Arial" w:hAnsi="宋体" w:cs="Arial"/>
          <w:b/>
          <w:bCs/>
          <w:sz w:val="26"/>
          <w:szCs w:val="26"/>
        </w:rPr>
      </w:pPr>
      <w:r>
        <w:rPr>
          <w:rFonts w:hint="eastAsia" w:ascii="Arial" w:hAnsi="宋体" w:cs="Arial"/>
          <w:b/>
          <w:bCs/>
          <w:sz w:val="26"/>
          <w:szCs w:val="26"/>
        </w:rPr>
        <w:t>图3.4-1 水库枢纽工程施工工艺流程及产污环节示意图</w:t>
      </w:r>
    </w:p>
    <w:p w14:paraId="052A0626">
      <w:pPr>
        <w:spacing w:line="440" w:lineRule="exact"/>
        <w:ind w:firstLine="392" w:firstLineChars="150"/>
        <w:jc w:val="left"/>
        <w:outlineLvl w:val="3"/>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w:t>
      </w:r>
      <w:r>
        <w:rPr>
          <w:rFonts w:hint="eastAsia" w:ascii="Arial" w:hAnsi="宋体" w:cs="Arial"/>
          <w:b/>
          <w:sz w:val="26"/>
          <w:szCs w:val="26"/>
          <w:lang w:val="en-US" w:eastAsia="zh-CN"/>
        </w:rPr>
        <w:t>2</w:t>
      </w:r>
      <w:r>
        <w:rPr>
          <w:rFonts w:hint="eastAsia" w:ascii="Arial" w:hAnsi="宋体" w:eastAsia="宋体" w:cs="Arial"/>
          <w:b/>
          <w:sz w:val="26"/>
          <w:szCs w:val="26"/>
          <w:lang w:val="en-US" w:eastAsia="zh-CN"/>
        </w:rPr>
        <w:t>）</w:t>
      </w:r>
      <w:r>
        <w:rPr>
          <w:rFonts w:hint="eastAsia" w:ascii="Arial" w:hAnsi="宋体" w:cs="Arial"/>
          <w:b/>
          <w:sz w:val="26"/>
          <w:szCs w:val="26"/>
          <w:lang w:val="en-US" w:eastAsia="zh-CN"/>
        </w:rPr>
        <w:t>输水</w:t>
      </w:r>
      <w:r>
        <w:rPr>
          <w:rFonts w:hint="eastAsia" w:ascii="Arial" w:hAnsi="宋体" w:eastAsia="宋体" w:cs="Arial"/>
          <w:b/>
          <w:sz w:val="26"/>
          <w:szCs w:val="26"/>
          <w:lang w:val="en-US" w:eastAsia="zh-CN"/>
        </w:rPr>
        <w:t>工程</w:t>
      </w:r>
    </w:p>
    <w:p w14:paraId="7407F10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eastAsia="宋体" w:cs="Arial"/>
          <w:b w:val="0"/>
          <w:bCs/>
          <w:sz w:val="26"/>
          <w:szCs w:val="26"/>
          <w:lang w:val="en-US" w:eastAsia="zh-CN"/>
        </w:rPr>
        <w:t>本项目输水管道陆域段施工工艺流程及产污环节详见图3.4-2所示。</w:t>
      </w:r>
    </w:p>
    <w:p w14:paraId="65D8F3DD">
      <w:pPr>
        <w:spacing w:line="460" w:lineRule="exact"/>
        <w:ind w:firstLine="520" w:firstLineChars="200"/>
        <w:rPr>
          <w:rFonts w:hint="eastAsia" w:ascii="Arial" w:hAnsi="宋体" w:cs="Arial"/>
          <w:bCs/>
          <w:sz w:val="26"/>
          <w:szCs w:val="26"/>
        </w:rPr>
      </w:pPr>
    </w:p>
    <w:p w14:paraId="40C0E55A">
      <w:pPr>
        <w:spacing w:line="460" w:lineRule="exact"/>
        <w:ind w:firstLine="520" w:firstLineChars="200"/>
        <w:rPr>
          <w:rFonts w:hint="eastAsia" w:ascii="Arial" w:hAnsi="宋体" w:cs="Arial"/>
          <w:bCs/>
          <w:sz w:val="26"/>
          <w:szCs w:val="26"/>
        </w:rPr>
      </w:pPr>
    </w:p>
    <w:p w14:paraId="75C07678">
      <w:pPr>
        <w:spacing w:line="460" w:lineRule="exact"/>
        <w:ind w:firstLine="520" w:firstLineChars="200"/>
        <w:rPr>
          <w:rFonts w:hint="eastAsia" w:ascii="Arial" w:hAnsi="宋体" w:cs="Arial"/>
          <w:bCs/>
          <w:sz w:val="26"/>
          <w:szCs w:val="26"/>
        </w:rPr>
      </w:pPr>
    </w:p>
    <w:p w14:paraId="5362CC71">
      <w:pPr>
        <w:spacing w:line="460" w:lineRule="exact"/>
        <w:ind w:firstLine="520" w:firstLineChars="200"/>
        <w:rPr>
          <w:rFonts w:hint="eastAsia" w:ascii="Arial" w:hAnsi="宋体" w:cs="Arial"/>
          <w:bCs/>
          <w:sz w:val="26"/>
          <w:szCs w:val="26"/>
        </w:rPr>
      </w:pPr>
    </w:p>
    <w:p w14:paraId="05B41840">
      <w:pPr>
        <w:spacing w:line="460" w:lineRule="exact"/>
        <w:ind w:firstLine="520" w:firstLineChars="200"/>
        <w:rPr>
          <w:rFonts w:hint="eastAsia" w:ascii="Arial" w:hAnsi="宋体" w:cs="Arial"/>
          <w:bCs/>
          <w:sz w:val="26"/>
          <w:szCs w:val="26"/>
        </w:rPr>
      </w:pPr>
    </w:p>
    <w:p w14:paraId="5F9AEB6B">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3056" behindDoc="0" locked="0" layoutInCell="1" allowOverlap="1">
                <wp:simplePos x="0" y="0"/>
                <wp:positionH relativeFrom="column">
                  <wp:posOffset>595630</wp:posOffset>
                </wp:positionH>
                <wp:positionV relativeFrom="paragraph">
                  <wp:posOffset>170180</wp:posOffset>
                </wp:positionV>
                <wp:extent cx="1471930" cy="321945"/>
                <wp:effectExtent l="0" t="0" r="13970" b="1905"/>
                <wp:wrapNone/>
                <wp:docPr id="92" name="矩形 92"/>
                <wp:cNvGraphicFramePr/>
                <a:graphic xmlns:a="http://schemas.openxmlformats.org/drawingml/2006/main">
                  <a:graphicData uri="http://schemas.microsoft.com/office/word/2010/wordprocessingShape">
                    <wps:wsp>
                      <wps:cNvSpPr/>
                      <wps:spPr>
                        <a:xfrm>
                          <a:off x="0" y="0"/>
                          <a:ext cx="1471930" cy="321945"/>
                        </a:xfrm>
                        <a:prstGeom prst="rect">
                          <a:avLst/>
                        </a:prstGeom>
                        <a:solidFill>
                          <a:srgbClr val="FFFFFF"/>
                        </a:solidFill>
                        <a:ln>
                          <a:noFill/>
                        </a:ln>
                      </wps:spPr>
                      <wps:txbx>
                        <w:txbxContent>
                          <w:p w14:paraId="492856F0">
                            <w:r>
                              <w:rPr>
                                <w:rFonts w:hint="eastAsia"/>
                              </w:rPr>
                              <w:t>噪声、扬尘、弃土弃渣</w:t>
                            </w:r>
                          </w:p>
                        </w:txbxContent>
                      </wps:txbx>
                      <wps:bodyPr upright="1"/>
                    </wps:wsp>
                  </a:graphicData>
                </a:graphic>
              </wp:anchor>
            </w:drawing>
          </mc:Choice>
          <mc:Fallback>
            <w:pict>
              <v:rect id="_x0000_s1026" o:spid="_x0000_s1026" o:spt="1" style="position:absolute;left:0pt;margin-left:46.9pt;margin-top:13.4pt;height:25.35pt;width:115.9pt;z-index:251693056;mso-width-relative:page;mso-height-relative:page;" fillcolor="#FFFFFF" filled="t" stroked="f" coordsize="21600,21600" o:gfxdata="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aBc49cAAAAIAQAADwAAAAAAAAABACAAAAAiAAAAZHJzL2Rvd25yZXYueG1sUEsBAhQAFAAA&#10;AAgAh07iQBoCjDO3AQAAbAMAAA4AAAAAAAAAAQAgAAAAJgEAAGRycy9lMm9Eb2MueG1sUEsFBgAA&#10;AAAGAAYAWQEAAE8FAAAAAA==&#10;">
                <v:fill on="t" focussize="0,0"/>
                <v:stroke on="f"/>
                <v:imagedata o:title=""/>
                <o:lock v:ext="edit" aspectratio="f"/>
                <v:textbox>
                  <w:txbxContent>
                    <w:p w14:paraId="492856F0">
                      <w:r>
                        <w:rPr>
                          <w:rFonts w:hint="eastAsia"/>
                        </w:rPr>
                        <w:t>噪声、扬尘、弃土弃渣</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87936" behindDoc="0" locked="0" layoutInCell="1" allowOverlap="1">
                <wp:simplePos x="0" y="0"/>
                <wp:positionH relativeFrom="column">
                  <wp:posOffset>3783965</wp:posOffset>
                </wp:positionH>
                <wp:positionV relativeFrom="paragraph">
                  <wp:posOffset>170180</wp:posOffset>
                </wp:positionV>
                <wp:extent cx="1064895" cy="321945"/>
                <wp:effectExtent l="0" t="0" r="1905" b="1905"/>
                <wp:wrapNone/>
                <wp:docPr id="61" name="矩形 61"/>
                <wp:cNvGraphicFramePr/>
                <a:graphic xmlns:a="http://schemas.openxmlformats.org/drawingml/2006/main">
                  <a:graphicData uri="http://schemas.microsoft.com/office/word/2010/wordprocessingShape">
                    <wps:wsp>
                      <wps:cNvSpPr/>
                      <wps:spPr>
                        <a:xfrm>
                          <a:off x="0" y="0"/>
                          <a:ext cx="1064895" cy="321945"/>
                        </a:xfrm>
                        <a:prstGeom prst="rect">
                          <a:avLst/>
                        </a:prstGeom>
                        <a:solidFill>
                          <a:srgbClr val="FFFFFF"/>
                        </a:solidFill>
                        <a:ln>
                          <a:noFill/>
                        </a:ln>
                      </wps:spPr>
                      <wps:txbx>
                        <w:txbxContent>
                          <w:p w14:paraId="092A5A33">
                            <w:r>
                              <w:rPr>
                                <w:rFonts w:hint="eastAsia"/>
                              </w:rPr>
                              <w:t>破坏陆生生态</w:t>
                            </w:r>
                          </w:p>
                        </w:txbxContent>
                      </wps:txbx>
                      <wps:bodyPr upright="1"/>
                    </wps:wsp>
                  </a:graphicData>
                </a:graphic>
              </wp:anchor>
            </w:drawing>
          </mc:Choice>
          <mc:Fallback>
            <w:pict>
              <v:rect id="_x0000_s1026" o:spid="_x0000_s1026" o:spt="1" style="position:absolute;left:0pt;margin-left:297.95pt;margin-top:13.4pt;height:25.35pt;width:83.85pt;z-index:251687936;mso-width-relative:page;mso-height-relative:page;" fillcolor="#FFFFFF" filled="t" stroked="f" coordsize="21600,21600" o:gfxdata="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c8cg9cAAAAJAQAADwAAAAAAAAABACAAAAAiAAAAZHJzL2Rvd25yZXYueG1sUEsBAhQAFAAA&#10;AAgAh07iQI3JR/K3AQAAbAMAAA4AAAAAAAAAAQAgAAAAJgEAAGRycy9lMm9Eb2MueG1sUEsFBgAA&#10;AAAGAAYAWQEAAE8FAAAAAA==&#10;">
                <v:fill on="t" focussize="0,0"/>
                <v:stroke on="f"/>
                <v:imagedata o:title=""/>
                <o:lock v:ext="edit" aspectratio="f"/>
                <v:textbox>
                  <w:txbxContent>
                    <w:p w14:paraId="092A5A33">
                      <w:r>
                        <w:rPr>
                          <w:rFonts w:hint="eastAsia"/>
                        </w:rPr>
                        <w:t>破坏陆生生态</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83840" behindDoc="0" locked="0" layoutInCell="1" allowOverlap="1">
                <wp:simplePos x="0" y="0"/>
                <wp:positionH relativeFrom="column">
                  <wp:posOffset>2395855</wp:posOffset>
                </wp:positionH>
                <wp:positionV relativeFrom="paragraph">
                  <wp:posOffset>170180</wp:posOffset>
                </wp:positionV>
                <wp:extent cx="1012825" cy="321945"/>
                <wp:effectExtent l="5080" t="4445" r="10795" b="16510"/>
                <wp:wrapNone/>
                <wp:docPr id="64" name="矩形 64"/>
                <wp:cNvGraphicFramePr/>
                <a:graphic xmlns:a="http://schemas.openxmlformats.org/drawingml/2006/main">
                  <a:graphicData uri="http://schemas.microsoft.com/office/word/2010/wordprocessingShape">
                    <wps:wsp>
                      <wps:cNvSpPr/>
                      <wps:spPr>
                        <a:xfrm>
                          <a:off x="0" y="0"/>
                          <a:ext cx="1012825" cy="32194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5001991">
                            <w:r>
                              <w:rPr>
                                <w:rFonts w:hint="eastAsia"/>
                              </w:rPr>
                              <w:t>作业线路清理</w:t>
                            </w:r>
                          </w:p>
                        </w:txbxContent>
                      </wps:txbx>
                      <wps:bodyPr upright="1"/>
                    </wps:wsp>
                  </a:graphicData>
                </a:graphic>
              </wp:anchor>
            </w:drawing>
          </mc:Choice>
          <mc:Fallback>
            <w:pict>
              <v:rect id="_x0000_s1026" o:spid="_x0000_s1026" o:spt="1" style="position:absolute;left:0pt;margin-left:188.65pt;margin-top:13.4pt;height:25.35pt;width:79.75pt;z-index:251683840;mso-width-relative:page;mso-height-relative:page;" fillcolor="#FFC000" filled="t" stroked="t" coordsize="21600,21600" o:gfxdata="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5zNq1gAAAAkBAAAPAAAAAAAAAAEAIAAAACIAAABk&#10;cnMvZG93bnJldi54bWxQSwECFAAUAAAACACHTuJAt6gi1QgCAAArBAAADgAAAAAAAAABACAAAAAl&#10;AQAAZHJzL2Uyb0RvYy54bWxQSwUGAAAAAAYABgBZAQAAnwUAAAAA&#10;">
                <v:fill on="t" focussize="0,0"/>
                <v:stroke color="#7030A0" joinstyle="miter"/>
                <v:imagedata o:title=""/>
                <o:lock v:ext="edit" aspectratio="f"/>
                <v:textbox>
                  <w:txbxContent>
                    <w:p w14:paraId="55001991">
                      <w:r>
                        <w:rPr>
                          <w:rFonts w:hint="eastAsia"/>
                        </w:rPr>
                        <w:t>作业线路清理</w:t>
                      </w:r>
                    </w:p>
                  </w:txbxContent>
                </v:textbox>
              </v:rect>
            </w:pict>
          </mc:Fallback>
        </mc:AlternateContent>
      </w:r>
    </w:p>
    <w:p w14:paraId="18ED78D7">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7152" behindDoc="0" locked="0" layoutInCell="1" allowOverlap="1">
                <wp:simplePos x="0" y="0"/>
                <wp:positionH relativeFrom="column">
                  <wp:posOffset>2896870</wp:posOffset>
                </wp:positionH>
                <wp:positionV relativeFrom="paragraph">
                  <wp:posOffset>200025</wp:posOffset>
                </wp:positionV>
                <wp:extent cx="0" cy="199390"/>
                <wp:effectExtent l="38100" t="0" r="38100" b="10160"/>
                <wp:wrapNone/>
                <wp:docPr id="90" name="直接箭头连接符 90"/>
                <wp:cNvGraphicFramePr/>
                <a:graphic xmlns:a="http://schemas.openxmlformats.org/drawingml/2006/main">
                  <a:graphicData uri="http://schemas.microsoft.com/office/word/2010/wordprocessingShape">
                    <wps:wsp>
                      <wps:cNvCnPr/>
                      <wps:spPr>
                        <a:xfrm>
                          <a:off x="0" y="0"/>
                          <a:ext cx="0" cy="199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15.75pt;height:15.7pt;width:0pt;z-index:251697152;mso-width-relative:page;mso-height-relative:page;" filled="f" stroked="t" coordsize="21600,21600" o:gfxdata="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bcxv2QAAAAkBAAAPAAAAAAAAAAEAIAAAACIAAABkcnMv&#10;ZG93bnJldi54bWxQSwECFAAUAAAACACHTuJAW8JAEQICAADxAwAADgAAAAAAAAABACAAAAAoAQAA&#10;ZHJzL2Uyb0RvYy54bWxQSwUGAAAAAAYABgBZAQAAnAUAAAAA&#10;">
                <v:fill on="f" focussize="0,0"/>
                <v:stroke color="#000000" joinstyle="round" endarrow="block"/>
                <v:imagedata o:title=""/>
                <o:lock v:ext="edit" aspectratio="f"/>
              </v:shape>
            </w:pict>
          </mc:Fallback>
        </mc:AlternateContent>
      </w:r>
      <w:r>
        <w:rPr>
          <w:rFonts w:hint="eastAsia" w:ascii="Arial" w:hAnsi="宋体" w:cs="Arial"/>
          <w:bCs/>
          <w:sz w:val="26"/>
          <w:szCs w:val="26"/>
        </w:rPr>
        <mc:AlternateContent>
          <mc:Choice Requires="wps">
            <w:drawing>
              <wp:anchor distT="0" distB="0" distL="114300" distR="114300" simplePos="0" relativeHeight="251688960" behindDoc="0" locked="0" layoutInCell="1" allowOverlap="1">
                <wp:simplePos x="0" y="0"/>
                <wp:positionH relativeFrom="column">
                  <wp:posOffset>2067560</wp:posOffset>
                </wp:positionH>
                <wp:positionV relativeFrom="paragraph">
                  <wp:posOffset>25400</wp:posOffset>
                </wp:positionV>
                <wp:extent cx="328295" cy="0"/>
                <wp:effectExtent l="0" t="38100" r="14605" b="38100"/>
                <wp:wrapNone/>
                <wp:docPr id="86" name="直接连接符 86"/>
                <wp:cNvGraphicFramePr/>
                <a:graphic xmlns:a="http://schemas.openxmlformats.org/drawingml/2006/main">
                  <a:graphicData uri="http://schemas.microsoft.com/office/word/2010/wordprocessingShape">
                    <wps:wsp>
                      <wps:cNvCnPr/>
                      <wps:spPr>
                        <a:xfrm flipH="1" flipV="1">
                          <a:off x="0" y="0"/>
                          <a:ext cx="328295" cy="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162.8pt;margin-top:2pt;height:0pt;width:25.85pt;z-index:251688960;mso-width-relative:page;mso-height-relative:page;" filled="f" stroked="t" coordsize="21600,21600" o:gfxdata="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NQBY1gAAAAcBAAAPAAAAAAAAAAEAIAAAACIA&#10;AABkcnMvZG93bnJldi54bWxQSwECFAAUAAAACACHTuJAwO9VQgsCAAD9AwAADgAAAAAAAAABACAA&#10;AAAlAQAAZHJzL2Uyb0RvYy54bWxQSwUGAAAAAAYABgBZAQAAogUAAAAA&#10;">
                <v:fill on="f" focussize="0,0"/>
                <v:stroke color="#000000" joinstyle="round" dashstyle="1 1" endcap="round"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686912" behindDoc="0" locked="0" layoutInCell="1" allowOverlap="1">
                <wp:simplePos x="0" y="0"/>
                <wp:positionH relativeFrom="column">
                  <wp:posOffset>3408680</wp:posOffset>
                </wp:positionH>
                <wp:positionV relativeFrom="paragraph">
                  <wp:posOffset>19050</wp:posOffset>
                </wp:positionV>
                <wp:extent cx="375285" cy="6350"/>
                <wp:effectExtent l="0" t="36830" r="5715" b="33020"/>
                <wp:wrapNone/>
                <wp:docPr id="91" name="直接连接符 91"/>
                <wp:cNvGraphicFramePr/>
                <a:graphic xmlns:a="http://schemas.openxmlformats.org/drawingml/2006/main">
                  <a:graphicData uri="http://schemas.microsoft.com/office/word/2010/wordprocessingShape">
                    <wps:wsp>
                      <wps:cNvCnPr/>
                      <wps:spPr>
                        <a:xfrm flipV="1">
                          <a:off x="0" y="0"/>
                          <a:ext cx="375285" cy="635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68.4pt;margin-top:1.5pt;height:0.5pt;width:29.55pt;z-index:251686912;mso-width-relative:page;mso-height-relative:page;" filled="f" stroked="t" coordsize="21600,21600" o:gfxdata="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ovzNQAAAAHAQAADwAAAAAAAAABACAAAAAiAAAAZHJz&#10;L2Rvd25yZXYueG1sUEsBAhQAFAAAAAgAh07iQN75qmoIAgAA9QMAAA4AAAAAAAAAAQAgAAAAIwEA&#10;AGRycy9lMm9Eb2MueG1sUEsFBgAAAAAGAAYAWQEAAJ0FAAAAAA==&#10;">
                <v:fill on="f" focussize="0,0"/>
                <v:stroke color="#000000" joinstyle="round" dashstyle="dash" endarrow="block"/>
                <v:imagedata o:title=""/>
                <o:lock v:ext="edit" aspectratio="f"/>
              </v:line>
            </w:pict>
          </mc:Fallback>
        </mc:AlternateContent>
      </w:r>
    </w:p>
    <w:p w14:paraId="4722C0A1">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4080" behindDoc="0" locked="0" layoutInCell="1" allowOverlap="1">
                <wp:simplePos x="0" y="0"/>
                <wp:positionH relativeFrom="column">
                  <wp:posOffset>257810</wp:posOffset>
                </wp:positionH>
                <wp:positionV relativeFrom="paragraph">
                  <wp:posOffset>51435</wp:posOffset>
                </wp:positionV>
                <wp:extent cx="1944370" cy="322580"/>
                <wp:effectExtent l="0" t="0" r="17780" b="1270"/>
                <wp:wrapNone/>
                <wp:docPr id="63" name="矩形 63"/>
                <wp:cNvGraphicFramePr/>
                <a:graphic xmlns:a="http://schemas.openxmlformats.org/drawingml/2006/main">
                  <a:graphicData uri="http://schemas.microsoft.com/office/word/2010/wordprocessingShape">
                    <wps:wsp>
                      <wps:cNvSpPr/>
                      <wps:spPr>
                        <a:xfrm>
                          <a:off x="0" y="0"/>
                          <a:ext cx="1944370" cy="322580"/>
                        </a:xfrm>
                        <a:prstGeom prst="rect">
                          <a:avLst/>
                        </a:prstGeom>
                        <a:solidFill>
                          <a:srgbClr val="FFFFFF"/>
                        </a:solidFill>
                        <a:ln>
                          <a:noFill/>
                        </a:ln>
                      </wps:spPr>
                      <wps:txbx>
                        <w:txbxContent>
                          <w:p w14:paraId="054BBFCF">
                            <w:r>
                              <w:rPr>
                                <w:rFonts w:hint="eastAsia"/>
                              </w:rPr>
                              <w:t>噪声、扬尘、弃土、基坑废水</w:t>
                            </w:r>
                          </w:p>
                        </w:txbxContent>
                      </wps:txbx>
                      <wps:bodyPr upright="1"/>
                    </wps:wsp>
                  </a:graphicData>
                </a:graphic>
              </wp:anchor>
            </w:drawing>
          </mc:Choice>
          <mc:Fallback>
            <w:pict>
              <v:rect id="_x0000_s1026" o:spid="_x0000_s1026" o:spt="1" style="position:absolute;left:0pt;margin-left:20.3pt;margin-top:4.05pt;height:25.4pt;width:153.1pt;z-index:251694080;mso-width-relative:page;mso-height-relative:page;" fillcolor="#FFFFFF" filled="t" stroked="f" coordsize="21600,21600" o:gfxdata="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NJsHLWAAAABwEAAA8AAAAAAAAAAQAgAAAAIgAAAGRycy9kb3ducmV2LnhtbFBLAQIUABQA&#10;AAAIAIdO4kAprrN/uQEAAGwDAAAOAAAAAAAAAAEAIAAAACUBAABkcnMvZTJvRG9jLnhtbFBLBQYA&#10;AAAABgAGAFkBAABQBQAAAAA=&#10;">
                <v:fill on="t" focussize="0,0"/>
                <v:stroke on="f"/>
                <v:imagedata o:title=""/>
                <o:lock v:ext="edit" aspectratio="f"/>
                <v:textbox>
                  <w:txbxContent>
                    <w:p w14:paraId="054BBFCF">
                      <w:r>
                        <w:rPr>
                          <w:rFonts w:hint="eastAsia"/>
                        </w:rPr>
                        <w:t>噪声、扬尘、弃土、基坑废水</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04320" behindDoc="0" locked="0" layoutInCell="1" allowOverlap="1">
                <wp:simplePos x="0" y="0"/>
                <wp:positionH relativeFrom="column">
                  <wp:posOffset>3594735</wp:posOffset>
                </wp:positionH>
                <wp:positionV relativeFrom="paragraph">
                  <wp:posOffset>51435</wp:posOffset>
                </wp:positionV>
                <wp:extent cx="1541145" cy="321945"/>
                <wp:effectExtent l="0" t="0" r="1905" b="1905"/>
                <wp:wrapNone/>
                <wp:docPr id="32" name="矩形 32"/>
                <wp:cNvGraphicFramePr/>
                <a:graphic xmlns:a="http://schemas.openxmlformats.org/drawingml/2006/main">
                  <a:graphicData uri="http://schemas.microsoft.com/office/word/2010/wordprocessingShape">
                    <wps:wsp>
                      <wps:cNvSpPr/>
                      <wps:spPr>
                        <a:xfrm>
                          <a:off x="0" y="0"/>
                          <a:ext cx="1541145" cy="321945"/>
                        </a:xfrm>
                        <a:prstGeom prst="rect">
                          <a:avLst/>
                        </a:prstGeom>
                        <a:solidFill>
                          <a:srgbClr val="FFFFFF"/>
                        </a:solidFill>
                        <a:ln>
                          <a:noFill/>
                        </a:ln>
                      </wps:spPr>
                      <wps:txbx>
                        <w:txbxContent>
                          <w:p w14:paraId="2B897768">
                            <w:r>
                              <w:rPr>
                                <w:rFonts w:hint="eastAsia"/>
                              </w:rPr>
                              <w:t>破坏陆、水生生态</w:t>
                            </w:r>
                          </w:p>
                        </w:txbxContent>
                      </wps:txbx>
                      <wps:bodyPr upright="1"/>
                    </wps:wsp>
                  </a:graphicData>
                </a:graphic>
              </wp:anchor>
            </w:drawing>
          </mc:Choice>
          <mc:Fallback>
            <w:pict>
              <v:rect id="_x0000_s1026" o:spid="_x0000_s1026" o:spt="1" style="position:absolute;left:0pt;margin-left:283.05pt;margin-top:4.05pt;height:25.35pt;width:121.35pt;z-index:251704320;mso-width-relative:page;mso-height-relative:page;" fillcolor="#FFFFFF" filled="t" stroked="f" coordsize="21600,21600" o:gfxdata="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6&#10;qr1O1AAAAAgBAAAPAAAAAAAAAAEAIAAAACIAAABkcnMvZG93bnJldi54bWxQSwECFAAUAAAACACH&#10;TuJAUjZUm7YBAABsAwAADgAAAAAAAAABACAAAAAjAQAAZHJzL2Uyb0RvYy54bWxQSwUGAAAAAAYA&#10;BgBZAQAASwUAAAAA&#10;">
                <v:fill on="t" focussize="0,0"/>
                <v:stroke on="f"/>
                <v:imagedata o:title=""/>
                <o:lock v:ext="edit" aspectratio="f"/>
                <v:textbox>
                  <w:txbxContent>
                    <w:p w14:paraId="2B897768">
                      <w:r>
                        <w:rPr>
                          <w:rFonts w:hint="eastAsia"/>
                        </w:rPr>
                        <w:t>破坏陆、水生生态</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03296" behindDoc="0" locked="0" layoutInCell="1" allowOverlap="1">
                <wp:simplePos x="0" y="0"/>
                <wp:positionH relativeFrom="column">
                  <wp:posOffset>3239135</wp:posOffset>
                </wp:positionH>
                <wp:positionV relativeFrom="paragraph">
                  <wp:posOffset>212725</wp:posOffset>
                </wp:positionV>
                <wp:extent cx="374650" cy="6350"/>
                <wp:effectExtent l="0" t="36830" r="6350" b="33020"/>
                <wp:wrapNone/>
                <wp:docPr id="58" name="直接连接符 58"/>
                <wp:cNvGraphicFramePr/>
                <a:graphic xmlns:a="http://schemas.openxmlformats.org/drawingml/2006/main">
                  <a:graphicData uri="http://schemas.microsoft.com/office/word/2010/wordprocessingShape">
                    <wps:wsp>
                      <wps:cNvCnPr/>
                      <wps:spPr>
                        <a:xfrm flipV="1">
                          <a:off x="0" y="0"/>
                          <a:ext cx="374650" cy="635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55.05pt;margin-top:16.75pt;height:0.5pt;width:29.5pt;z-index:251703296;mso-width-relative:page;mso-height-relative:page;" filled="f" stroked="t" coordsize="21600,21600" o:gfxdata="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g1az9YAAAAJAQAADwAAAAAAAAABACAAAAAiAAAAZHJz&#10;L2Rvd25yZXYueG1sUEsBAhQAFAAAAAgAh07iQPft6joGAgAA9QMAAA4AAAAAAAAAAQAgAAAAJQEA&#10;AGRycy9lMm9Eb2MueG1sUEsFBgAAAAAGAAYAWQEAAJ0FAAAAAA==&#10;">
                <v:fill on="f" focussize="0,0"/>
                <v:stroke color="#000000" joinstyle="round" dashstyle="dash"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689984" behindDoc="0" locked="0" layoutInCell="1" allowOverlap="1">
                <wp:simplePos x="0" y="0"/>
                <wp:positionH relativeFrom="column">
                  <wp:posOffset>2219325</wp:posOffset>
                </wp:positionH>
                <wp:positionV relativeFrom="paragraph">
                  <wp:posOffset>218440</wp:posOffset>
                </wp:positionV>
                <wp:extent cx="339090" cy="0"/>
                <wp:effectExtent l="0" t="38100" r="3810" b="38100"/>
                <wp:wrapNone/>
                <wp:docPr id="73" name="直接连接符 73"/>
                <wp:cNvGraphicFramePr/>
                <a:graphic xmlns:a="http://schemas.openxmlformats.org/drawingml/2006/main">
                  <a:graphicData uri="http://schemas.microsoft.com/office/word/2010/wordprocessingShape">
                    <wps:wsp>
                      <wps:cNvCnPr/>
                      <wps:spPr>
                        <a:xfrm flipH="1">
                          <a:off x="0" y="0"/>
                          <a:ext cx="339090" cy="0"/>
                        </a:xfrm>
                        <a:prstGeom prst="line">
                          <a:avLst/>
                        </a:prstGeom>
                        <a:ln w="9525" cap="flat"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margin-left:174.75pt;margin-top:17.2pt;height:0pt;width:26.7pt;z-index:251689984;mso-width-relative:page;mso-height-relative:page;" filled="f" stroked="t" coordsize="21600,21600" o:gfxdata="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EXPg2QAAAAkBAAAPAAAAAAAAAAEAIAAAACIA&#10;AABkcnMvZG93bnJldi54bWxQSwECFAAUAAAACACHTuJAivhkHQgCAAD0AwAADgAAAAAAAAABACAA&#10;AAAoAQAAZHJzL2Uyb0RvYy54bWxQSwUGAAAAAAYABgBZAQAAogUAAAAA&#10;">
                <v:fill on="f" focussize="0,0"/>
                <v:stroke color="#000000" joinstyle="round" dashstyle="1 1"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684864" behindDoc="0" locked="0" layoutInCell="1" allowOverlap="1">
                <wp:simplePos x="0" y="0"/>
                <wp:positionH relativeFrom="column">
                  <wp:posOffset>2570480</wp:posOffset>
                </wp:positionH>
                <wp:positionV relativeFrom="paragraph">
                  <wp:posOffset>107315</wp:posOffset>
                </wp:positionV>
                <wp:extent cx="668655" cy="322580"/>
                <wp:effectExtent l="4445" t="4445" r="12700" b="15875"/>
                <wp:wrapNone/>
                <wp:docPr id="80" name="矩形 80"/>
                <wp:cNvGraphicFramePr/>
                <a:graphic xmlns:a="http://schemas.openxmlformats.org/drawingml/2006/main">
                  <a:graphicData uri="http://schemas.microsoft.com/office/word/2010/wordprocessingShape">
                    <wps:wsp>
                      <wps:cNvSpPr/>
                      <wps:spPr>
                        <a:xfrm>
                          <a:off x="0" y="0"/>
                          <a:ext cx="668655" cy="3225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48D142E8">
                            <w:r>
                              <w:rPr>
                                <w:rFonts w:hint="eastAsia"/>
                              </w:rPr>
                              <w:t>管沟开挖</w:t>
                            </w:r>
                          </w:p>
                        </w:txbxContent>
                      </wps:txbx>
                      <wps:bodyPr lIns="18000" tIns="45720" rIns="18000" bIns="45720" upright="1"/>
                    </wps:wsp>
                  </a:graphicData>
                </a:graphic>
              </wp:anchor>
            </w:drawing>
          </mc:Choice>
          <mc:Fallback>
            <w:pict>
              <v:rect id="_x0000_s1026" o:spid="_x0000_s1026" o:spt="1" style="position:absolute;left:0pt;margin-left:202.4pt;margin-top:8.45pt;height:25.4pt;width:52.65pt;z-index:251684864;mso-width-relative:page;mso-height-relative:page;" fillcolor="#FFC000" filled="t" stroked="t" coordsize="21600,21600" o:gfxdata="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QSWi1QAAAAkB&#10;AAAPAAAAAAAAAAEAIAAAACIAAABkcnMvZG93bnJldi54bWxQSwECFAAUAAAACACHTuJAZKMmhh4C&#10;AABeBAAADgAAAAAAAAABACAAAAAkAQAAZHJzL2Uyb0RvYy54bWxQSwUGAAAAAAYABgBZAQAAtAUA&#10;AAAA&#10;">
                <v:fill on="t" focussize="0,0"/>
                <v:stroke color="#7030A0" joinstyle="miter"/>
                <v:imagedata o:title=""/>
                <o:lock v:ext="edit" aspectratio="f"/>
                <v:textbox inset="0.5mm,1.27mm,0.5mm,1.27mm">
                  <w:txbxContent>
                    <w:p w14:paraId="48D142E8">
                      <w:r>
                        <w:rPr>
                          <w:rFonts w:hint="eastAsia"/>
                        </w:rPr>
                        <w:t>管沟开挖</w:t>
                      </w:r>
                    </w:p>
                  </w:txbxContent>
                </v:textbox>
              </v:rect>
            </w:pict>
          </mc:Fallback>
        </mc:AlternateContent>
      </w:r>
    </w:p>
    <w:p w14:paraId="1AB37A0A">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8176" behindDoc="0" locked="0" layoutInCell="1" allowOverlap="1">
                <wp:simplePos x="0" y="0"/>
                <wp:positionH relativeFrom="column">
                  <wp:posOffset>2896870</wp:posOffset>
                </wp:positionH>
                <wp:positionV relativeFrom="paragraph">
                  <wp:posOffset>123190</wp:posOffset>
                </wp:positionV>
                <wp:extent cx="0" cy="198755"/>
                <wp:effectExtent l="38100" t="0" r="38100" b="10795"/>
                <wp:wrapNone/>
                <wp:docPr id="87" name="直接箭头连接符 87"/>
                <wp:cNvGraphicFramePr/>
                <a:graphic xmlns:a="http://schemas.openxmlformats.org/drawingml/2006/main">
                  <a:graphicData uri="http://schemas.microsoft.com/office/word/2010/wordprocessingShape">
                    <wps:wsp>
                      <wps:cNvCnPr/>
                      <wps:spPr>
                        <a:xfrm>
                          <a:off x="0" y="0"/>
                          <a:ext cx="0" cy="198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9.7pt;height:15.65pt;width:0pt;z-index:251698176;mso-width-relative:page;mso-height-relative:page;" filled="f" stroked="t" coordsize="21600,21600" o:gfxdata="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C9fD2AAAAAkBAAAPAAAAAAAAAAEAIAAAACIAAABkcnMv&#10;ZG93bnJldi54bWxQSwECFAAUAAAACACHTuJAzi9/ewMCAADxAwAADgAAAAAAAAABACAAAAAnAQAA&#10;ZHJzL2Uyb0RvYy54bWxQSwUGAAAAAAYABgBZAQAAnAUAAAAA&#10;">
                <v:fill on="f" focussize="0,0"/>
                <v:stroke color="#000000" joinstyle="round" endarrow="block"/>
                <v:imagedata o:title=""/>
                <o:lock v:ext="edit" aspectratio="f"/>
              </v:shape>
            </w:pict>
          </mc:Fallback>
        </mc:AlternateContent>
      </w:r>
    </w:p>
    <w:p w14:paraId="08DC50F7">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5104" behindDoc="0" locked="0" layoutInCell="1" allowOverlap="1">
                <wp:simplePos x="0" y="0"/>
                <wp:positionH relativeFrom="column">
                  <wp:posOffset>859155</wp:posOffset>
                </wp:positionH>
                <wp:positionV relativeFrom="paragraph">
                  <wp:posOffset>44450</wp:posOffset>
                </wp:positionV>
                <wp:extent cx="1299210" cy="321945"/>
                <wp:effectExtent l="0" t="0" r="15240" b="1905"/>
                <wp:wrapNone/>
                <wp:docPr id="94" name="矩形 94"/>
                <wp:cNvGraphicFramePr/>
                <a:graphic xmlns:a="http://schemas.openxmlformats.org/drawingml/2006/main">
                  <a:graphicData uri="http://schemas.microsoft.com/office/word/2010/wordprocessingShape">
                    <wps:wsp>
                      <wps:cNvSpPr/>
                      <wps:spPr>
                        <a:xfrm>
                          <a:off x="0" y="0"/>
                          <a:ext cx="1299210" cy="321945"/>
                        </a:xfrm>
                        <a:prstGeom prst="rect">
                          <a:avLst/>
                        </a:prstGeom>
                        <a:solidFill>
                          <a:srgbClr val="FFFFFF"/>
                        </a:solidFill>
                        <a:ln>
                          <a:noFill/>
                        </a:ln>
                      </wps:spPr>
                      <wps:txbx>
                        <w:txbxContent>
                          <w:p w14:paraId="18140AC5">
                            <w:r>
                              <w:rPr>
                                <w:rFonts w:hint="eastAsia"/>
                              </w:rPr>
                              <w:t>噪声、扬尘、废水</w:t>
                            </w:r>
                          </w:p>
                        </w:txbxContent>
                      </wps:txbx>
                      <wps:bodyPr upright="1"/>
                    </wps:wsp>
                  </a:graphicData>
                </a:graphic>
              </wp:anchor>
            </w:drawing>
          </mc:Choice>
          <mc:Fallback>
            <w:pict>
              <v:rect id="_x0000_s1026" o:spid="_x0000_s1026" o:spt="1" style="position:absolute;left:0pt;margin-left:67.65pt;margin-top:3.5pt;height:25.35pt;width:102.3pt;z-index:251695104;mso-width-relative:page;mso-height-relative:page;" fillcolor="#FFFFFF" filled="t" stroked="f" coordsize="21600,21600" o:gfxdata="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qTqLtYAAAAIAQAADwAAAAAAAAABACAAAAAiAAAAZHJzL2Rvd25yZXYueG1sUEsBAhQAFAAAAAgA&#10;h07iQHNEtDi1AQAAbAMAAA4AAAAAAAAAAQAgAAAAJQEAAGRycy9lMm9Eb2MueG1sUEsFBgAAAAAG&#10;AAYAWQEAAEwFAAAAAA==&#10;">
                <v:fill on="t" focussize="0,0"/>
                <v:stroke on="f"/>
                <v:imagedata o:title=""/>
                <o:lock v:ext="edit" aspectratio="f"/>
                <v:textbox>
                  <w:txbxContent>
                    <w:p w14:paraId="18140AC5">
                      <w:r>
                        <w:rPr>
                          <w:rFonts w:hint="eastAsia"/>
                        </w:rPr>
                        <w:t>噪声、扬尘、废水</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91008" behindDoc="0" locked="0" layoutInCell="1" allowOverlap="1">
                <wp:simplePos x="0" y="0"/>
                <wp:positionH relativeFrom="column">
                  <wp:posOffset>2158365</wp:posOffset>
                </wp:positionH>
                <wp:positionV relativeFrom="paragraph">
                  <wp:posOffset>161290</wp:posOffset>
                </wp:positionV>
                <wp:extent cx="327660" cy="0"/>
                <wp:effectExtent l="0" t="38100" r="15240" b="38100"/>
                <wp:wrapNone/>
                <wp:docPr id="50" name="直接连接符 50"/>
                <wp:cNvGraphicFramePr/>
                <a:graphic xmlns:a="http://schemas.openxmlformats.org/drawingml/2006/main">
                  <a:graphicData uri="http://schemas.microsoft.com/office/word/2010/wordprocessingShape">
                    <wps:wsp>
                      <wps:cNvCnPr/>
                      <wps:spPr>
                        <a:xfrm flipH="1" flipV="1">
                          <a:off x="0" y="0"/>
                          <a:ext cx="327660" cy="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169.95pt;margin-top:12.7pt;height:0pt;width:25.8pt;z-index:251691008;mso-width-relative:page;mso-height-relative:page;" filled="f" stroked="t" coordsize="21600,21600" o:gfxdata="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aB9RY2QAAAAkBAAAPAAAAAAAAAAEAIAAA&#10;ACIAAABkcnMvZG93bnJldi54bWxQSwECFAAUAAAACACHTuJAh4Ti9gsCAAD9AwAADgAAAAAAAAAB&#10;ACAAAAAoAQAAZHJzL2Uyb0RvYy54bWxQSwUGAAAAAAYABgBZAQAApQUAAAAA&#10;">
                <v:fill on="f" focussize="0,0"/>
                <v:stroke color="#000000" joinstyle="round" dashstyle="1 1" endcap="round"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682816" behindDoc="0" locked="0" layoutInCell="1" allowOverlap="1">
                <wp:simplePos x="0" y="0"/>
                <wp:positionH relativeFrom="column">
                  <wp:posOffset>2505710</wp:posOffset>
                </wp:positionH>
                <wp:positionV relativeFrom="paragraph">
                  <wp:posOffset>44450</wp:posOffset>
                </wp:positionV>
                <wp:extent cx="864870" cy="327025"/>
                <wp:effectExtent l="4445" t="4445" r="6985" b="11430"/>
                <wp:wrapNone/>
                <wp:docPr id="71" name="矩形 71"/>
                <wp:cNvGraphicFramePr/>
                <a:graphic xmlns:a="http://schemas.openxmlformats.org/drawingml/2006/main">
                  <a:graphicData uri="http://schemas.microsoft.com/office/word/2010/wordprocessingShape">
                    <wps:wsp>
                      <wps:cNvSpPr/>
                      <wps:spPr>
                        <a:xfrm>
                          <a:off x="0" y="0"/>
                          <a:ext cx="864870" cy="32702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1D28D54C">
                            <w:r>
                              <w:rPr>
                                <w:rFonts w:hint="eastAsia"/>
                              </w:rPr>
                              <w:t>管沟修砌</w:t>
                            </w:r>
                          </w:p>
                          <w:p w14:paraId="31F2FC8D"/>
                        </w:txbxContent>
                      </wps:txbx>
                      <wps:bodyPr upright="1"/>
                    </wps:wsp>
                  </a:graphicData>
                </a:graphic>
              </wp:anchor>
            </w:drawing>
          </mc:Choice>
          <mc:Fallback>
            <w:pict>
              <v:rect id="_x0000_s1026" o:spid="_x0000_s1026" o:spt="1" style="position:absolute;left:0pt;margin-left:197.3pt;margin-top:3.5pt;height:25.75pt;width:68.1pt;z-index:251682816;mso-width-relative:page;mso-height-relative:page;" fillcolor="#FFC000" filled="t" stroked="t" coordsize="21600,21600" o:gfxdata="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8gtx9YAAAAIAQAADwAAAAAAAAABACAAAAAiAAAAZHJz&#10;L2Rvd25yZXYueG1sUEsBAhQAFAAAAAgAh07iQKvwO1gGAgAAKgQAAA4AAAAAAAAAAQAgAAAAJQEA&#10;AGRycy9lMm9Eb2MueG1sUEsFBgAAAAAGAAYAWQEAAJ0FAAAAAA==&#10;">
                <v:fill on="t" focussize="0,0"/>
                <v:stroke color="#7030A0" joinstyle="miter"/>
                <v:imagedata o:title=""/>
                <o:lock v:ext="edit" aspectratio="f"/>
                <v:textbox>
                  <w:txbxContent>
                    <w:p w14:paraId="1D28D54C">
                      <w:r>
                        <w:rPr>
                          <w:rFonts w:hint="eastAsia"/>
                        </w:rPr>
                        <w:t>管沟修砌</w:t>
                      </w:r>
                    </w:p>
                    <w:p w14:paraId="31F2FC8D"/>
                  </w:txbxContent>
                </v:textbox>
              </v:rect>
            </w:pict>
          </mc:Fallback>
        </mc:AlternateContent>
      </w:r>
    </w:p>
    <w:p w14:paraId="2EDAD6B7">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06368" behindDoc="0" locked="0" layoutInCell="1" allowOverlap="1">
                <wp:simplePos x="0" y="0"/>
                <wp:positionH relativeFrom="column">
                  <wp:posOffset>859155</wp:posOffset>
                </wp:positionH>
                <wp:positionV relativeFrom="paragraph">
                  <wp:posOffset>246380</wp:posOffset>
                </wp:positionV>
                <wp:extent cx="1299210" cy="322580"/>
                <wp:effectExtent l="0" t="0" r="15240" b="1270"/>
                <wp:wrapNone/>
                <wp:docPr id="72" name="矩形 72"/>
                <wp:cNvGraphicFramePr/>
                <a:graphic xmlns:a="http://schemas.openxmlformats.org/drawingml/2006/main">
                  <a:graphicData uri="http://schemas.microsoft.com/office/word/2010/wordprocessingShape">
                    <wps:wsp>
                      <wps:cNvSpPr/>
                      <wps:spPr>
                        <a:xfrm>
                          <a:off x="0" y="0"/>
                          <a:ext cx="1299210" cy="322580"/>
                        </a:xfrm>
                        <a:prstGeom prst="rect">
                          <a:avLst/>
                        </a:prstGeom>
                        <a:solidFill>
                          <a:srgbClr val="FFFFFF"/>
                        </a:solidFill>
                        <a:ln>
                          <a:noFill/>
                        </a:ln>
                      </wps:spPr>
                      <wps:txbx>
                        <w:txbxContent>
                          <w:p w14:paraId="08BA8B84">
                            <w:r>
                              <w:rPr>
                                <w:rFonts w:hint="eastAsia"/>
                              </w:rPr>
                              <w:t>噪声、扬尘、废水</w:t>
                            </w:r>
                          </w:p>
                        </w:txbxContent>
                      </wps:txbx>
                      <wps:bodyPr upright="1"/>
                    </wps:wsp>
                  </a:graphicData>
                </a:graphic>
              </wp:anchor>
            </w:drawing>
          </mc:Choice>
          <mc:Fallback>
            <w:pict>
              <v:rect id="_x0000_s1026" o:spid="_x0000_s1026" o:spt="1" style="position:absolute;left:0pt;margin-left:67.65pt;margin-top:19.4pt;height:25.4pt;width:102.3pt;z-index:251706368;mso-width-relative:page;mso-height-relative:page;" fillcolor="#FFFFFF" filled="t" stroked="f" coordsize="21600,21600" o:gfxdata="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m/6XNYAAAAJAQAADwAAAAAAAAABACAAAAAiAAAAZHJzL2Rvd25yZXYueG1sUEsBAhQAFAAA&#10;AAgAh07iQEIMxKK4AQAAbAMAAA4AAAAAAAAAAQAgAAAAJQEAAGRycy9lMm9Eb2MueG1sUEsFBgAA&#10;AAAGAAYAWQEAAE8FAAAAAA==&#10;">
                <v:fill on="t" focussize="0,0"/>
                <v:stroke on="f"/>
                <v:imagedata o:title=""/>
                <o:lock v:ext="edit" aspectratio="f"/>
                <v:textbox>
                  <w:txbxContent>
                    <w:p w14:paraId="08BA8B84">
                      <w:r>
                        <w:rPr>
                          <w:rFonts w:hint="eastAsia"/>
                        </w:rPr>
                        <w:t>噪声、扬尘、废水</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01248" behindDoc="0" locked="0" layoutInCell="1" allowOverlap="1">
                <wp:simplePos x="0" y="0"/>
                <wp:positionH relativeFrom="column">
                  <wp:posOffset>2505710</wp:posOffset>
                </wp:positionH>
                <wp:positionV relativeFrom="paragraph">
                  <wp:posOffset>246380</wp:posOffset>
                </wp:positionV>
                <wp:extent cx="864870" cy="281940"/>
                <wp:effectExtent l="4445" t="4445" r="6985" b="18415"/>
                <wp:wrapNone/>
                <wp:docPr id="8" name="矩形 8"/>
                <wp:cNvGraphicFramePr/>
                <a:graphic xmlns:a="http://schemas.openxmlformats.org/drawingml/2006/main">
                  <a:graphicData uri="http://schemas.microsoft.com/office/word/2010/wordprocessingShape">
                    <wps:wsp>
                      <wps:cNvSpPr/>
                      <wps:spPr>
                        <a:xfrm>
                          <a:off x="0" y="0"/>
                          <a:ext cx="864870" cy="28194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9A00F07">
                            <w:r>
                              <w:rPr>
                                <w:rFonts w:hint="eastAsia"/>
                              </w:rPr>
                              <w:t>管道安装</w:t>
                            </w:r>
                          </w:p>
                          <w:p w14:paraId="154DC639"/>
                        </w:txbxContent>
                      </wps:txbx>
                      <wps:bodyPr upright="1"/>
                    </wps:wsp>
                  </a:graphicData>
                </a:graphic>
              </wp:anchor>
            </w:drawing>
          </mc:Choice>
          <mc:Fallback>
            <w:pict>
              <v:rect id="_x0000_s1026" o:spid="_x0000_s1026" o:spt="1" style="position:absolute;left:0pt;margin-left:197.3pt;margin-top:19.4pt;height:22.2pt;width:68.1pt;z-index:251701248;mso-width-relative:page;mso-height-relative:page;" fillcolor="#FFC000" filled="t" stroked="t" coordsize="21600,21600" o:gfxdata="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AIzs1gAAAAkBAAAPAAAAAAAAAAEAIAAAACIAAABkcnMv&#10;ZG93bnJldi54bWxQSwECFAAUAAAACACHTuJA/dlavwUCAAAoBAAADgAAAAAAAAABACAAAAAlAQAA&#10;ZHJzL2Uyb0RvYy54bWxQSwUGAAAAAAYABgBZAQAAnAUAAAAA&#10;">
                <v:fill on="t" focussize="0,0"/>
                <v:stroke color="#7030A0" joinstyle="miter"/>
                <v:imagedata o:title=""/>
                <o:lock v:ext="edit" aspectratio="f"/>
                <v:textbox>
                  <w:txbxContent>
                    <w:p w14:paraId="59A00F07">
                      <w:r>
                        <w:rPr>
                          <w:rFonts w:hint="eastAsia"/>
                        </w:rPr>
                        <w:t>管道安装</w:t>
                      </w:r>
                    </w:p>
                    <w:p w14:paraId="154DC639"/>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99200" behindDoc="0" locked="0" layoutInCell="1" allowOverlap="1">
                <wp:simplePos x="0" y="0"/>
                <wp:positionH relativeFrom="column">
                  <wp:posOffset>2896870</wp:posOffset>
                </wp:positionH>
                <wp:positionV relativeFrom="paragraph">
                  <wp:posOffset>68580</wp:posOffset>
                </wp:positionV>
                <wp:extent cx="0" cy="199390"/>
                <wp:effectExtent l="38100" t="0" r="38100" b="10160"/>
                <wp:wrapNone/>
                <wp:docPr id="85" name="直接箭头连接符 85"/>
                <wp:cNvGraphicFramePr/>
                <a:graphic xmlns:a="http://schemas.openxmlformats.org/drawingml/2006/main">
                  <a:graphicData uri="http://schemas.microsoft.com/office/word/2010/wordprocessingShape">
                    <wps:wsp>
                      <wps:cNvCnPr/>
                      <wps:spPr>
                        <a:xfrm>
                          <a:off x="0" y="0"/>
                          <a:ext cx="0" cy="199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5.4pt;height:15.7pt;width:0pt;z-index:251699200;mso-width-relative:page;mso-height-relative:page;" filled="f" stroked="t" coordsize="21600,21600" o:gfxdata="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0g77zWAAAACQEAAA8AAAAAAAAAAQAgAAAAIgAAAGRycy9k&#10;b3ducmV2LnhtbFBLAQIUABQAAAAIAIdO4kBor2C9BAIAAPEDAAAOAAAAAAAAAAEAIAAAACUBAABk&#10;cnMvZTJvRG9jLnhtbFBLBQYAAAAABgAGAFkBAACbBQAAAAA=&#10;">
                <v:fill on="f" focussize="0,0"/>
                <v:stroke color="#000000" joinstyle="round" endarrow="block"/>
                <v:imagedata o:title=""/>
                <o:lock v:ext="edit" aspectratio="f"/>
              </v:shape>
            </w:pict>
          </mc:Fallback>
        </mc:AlternateContent>
      </w:r>
    </w:p>
    <w:p w14:paraId="25A5F334">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05344" behindDoc="0" locked="0" layoutInCell="1" allowOverlap="1">
                <wp:simplePos x="0" y="0"/>
                <wp:positionH relativeFrom="column">
                  <wp:posOffset>2158365</wp:posOffset>
                </wp:positionH>
                <wp:positionV relativeFrom="paragraph">
                  <wp:posOffset>70485</wp:posOffset>
                </wp:positionV>
                <wp:extent cx="327660" cy="0"/>
                <wp:effectExtent l="0" t="38100" r="15240" b="38100"/>
                <wp:wrapNone/>
                <wp:docPr id="62" name="直接连接符 62"/>
                <wp:cNvGraphicFramePr/>
                <a:graphic xmlns:a="http://schemas.openxmlformats.org/drawingml/2006/main">
                  <a:graphicData uri="http://schemas.microsoft.com/office/word/2010/wordprocessingShape">
                    <wps:wsp>
                      <wps:cNvCnPr/>
                      <wps:spPr>
                        <a:xfrm flipH="1" flipV="1">
                          <a:off x="0" y="0"/>
                          <a:ext cx="327660" cy="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169.95pt;margin-top:5.55pt;height:0pt;width:25.8pt;z-index:251705344;mso-width-relative:page;mso-height-relative:page;" filled="f" stroked="t" coordsize="21600,21600" o:gfxdata="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k23dcAAAAJAQAADwAAAAAAAAABACAAAAAi&#10;AAAAZHJzL2Rvd25yZXYueG1sUEsBAhQAFAAAAAgAh07iQAGFMcALAgAA/QMAAA4AAAAAAAAAAQAg&#10;AAAAJgEAAGRycy9lMm9Eb2MueG1sUEsFBgAAAAAGAAYAWQEAAKMFAAAAAA==&#10;">
                <v:fill on="f" focussize="0,0"/>
                <v:stroke color="#000000" joinstyle="round" dashstyle="1 1" endcap="round"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702272" behindDoc="0" locked="0" layoutInCell="1" allowOverlap="1">
                <wp:simplePos x="0" y="0"/>
                <wp:positionH relativeFrom="column">
                  <wp:posOffset>2896870</wp:posOffset>
                </wp:positionH>
                <wp:positionV relativeFrom="paragraph">
                  <wp:posOffset>257175</wp:posOffset>
                </wp:positionV>
                <wp:extent cx="0" cy="199390"/>
                <wp:effectExtent l="38100" t="0" r="38100" b="10160"/>
                <wp:wrapNone/>
                <wp:docPr id="93" name="直接箭头连接符 93"/>
                <wp:cNvGraphicFramePr/>
                <a:graphic xmlns:a="http://schemas.openxmlformats.org/drawingml/2006/main">
                  <a:graphicData uri="http://schemas.microsoft.com/office/word/2010/wordprocessingShape">
                    <wps:wsp>
                      <wps:cNvCnPr/>
                      <wps:spPr>
                        <a:xfrm>
                          <a:off x="0" y="0"/>
                          <a:ext cx="0" cy="199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20.25pt;height:15.7pt;width:0pt;z-index:251702272;mso-width-relative:page;mso-height-relative:page;" filled="f" stroked="t" coordsize="21600,21600" o:gfxdata="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UkXydgAAAAJAQAADwAAAAAAAAABACAAAAAiAAAAZHJz&#10;L2Rvd25yZXYueG1sUEsBAhQAFAAAAAgAh07iQE2IIEQEAgAA8QMAAA4AAAAAAAAAAQAgAAAAJwEA&#10;AGRycy9lMm9Eb2MueG1sUEsFBgAAAAAGAAYAWQEAAJ0FAAAAAA==&#10;">
                <v:fill on="f" focussize="0,0"/>
                <v:stroke color="#000000" joinstyle="round" endarrow="block"/>
                <v:imagedata o:title=""/>
                <o:lock v:ext="edit" aspectratio="f"/>
              </v:shape>
            </w:pict>
          </mc:Fallback>
        </mc:AlternateContent>
      </w:r>
    </w:p>
    <w:p w14:paraId="38E41B24">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6128" behindDoc="0" locked="0" layoutInCell="1" allowOverlap="1">
                <wp:simplePos x="0" y="0"/>
                <wp:positionH relativeFrom="column">
                  <wp:posOffset>1386840</wp:posOffset>
                </wp:positionH>
                <wp:positionV relativeFrom="paragraph">
                  <wp:posOffset>181610</wp:posOffset>
                </wp:positionV>
                <wp:extent cx="832485" cy="321945"/>
                <wp:effectExtent l="0" t="0" r="5715" b="1905"/>
                <wp:wrapNone/>
                <wp:docPr id="60" name="矩形 60"/>
                <wp:cNvGraphicFramePr/>
                <a:graphic xmlns:a="http://schemas.openxmlformats.org/drawingml/2006/main">
                  <a:graphicData uri="http://schemas.microsoft.com/office/word/2010/wordprocessingShape">
                    <wps:wsp>
                      <wps:cNvSpPr/>
                      <wps:spPr>
                        <a:xfrm>
                          <a:off x="0" y="0"/>
                          <a:ext cx="832485" cy="321945"/>
                        </a:xfrm>
                        <a:prstGeom prst="rect">
                          <a:avLst/>
                        </a:prstGeom>
                        <a:solidFill>
                          <a:srgbClr val="FFFFFF"/>
                        </a:solidFill>
                        <a:ln>
                          <a:noFill/>
                        </a:ln>
                      </wps:spPr>
                      <wps:txbx>
                        <w:txbxContent>
                          <w:p w14:paraId="436D40FD">
                            <w:r>
                              <w:rPr>
                                <w:rFonts w:hint="eastAsia"/>
                              </w:rPr>
                              <w:t>噪声、扬尘</w:t>
                            </w:r>
                          </w:p>
                        </w:txbxContent>
                      </wps:txbx>
                      <wps:bodyPr upright="1"/>
                    </wps:wsp>
                  </a:graphicData>
                </a:graphic>
              </wp:anchor>
            </w:drawing>
          </mc:Choice>
          <mc:Fallback>
            <w:pict>
              <v:rect id="_x0000_s1026" o:spid="_x0000_s1026" o:spt="1" style="position:absolute;left:0pt;margin-left:109.2pt;margin-top:14.3pt;height:25.35pt;width:65.55pt;z-index:251696128;mso-width-relative:page;mso-height-relative:page;" fillcolor="#FFFFFF" filled="t" stroked="f" coordsize="21600,21600" o:gfxdata="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zNThdgAAAAJAQAADwAAAAAAAAABACAAAAAiAAAAZHJzL2Rvd25yZXYueG1sUEsBAhQAFAAA&#10;AAgAh07iQBqfL0u2AQAAawMAAA4AAAAAAAAAAQAgAAAAJwEAAGRycy9lMm9Eb2MueG1sUEsFBgAA&#10;AAAGAAYAWQEAAE8FAAAAAA==&#10;">
                <v:fill on="t" focussize="0,0"/>
                <v:stroke on="f"/>
                <v:imagedata o:title=""/>
                <o:lock v:ext="edit" aspectratio="f"/>
                <v:textbox>
                  <w:txbxContent>
                    <w:p w14:paraId="436D40FD">
                      <w:r>
                        <w:rPr>
                          <w:rFonts w:hint="eastAsia"/>
                        </w:rPr>
                        <w:t>噪声、扬尘</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85888" behindDoc="0" locked="0" layoutInCell="1" allowOverlap="1">
                <wp:simplePos x="0" y="0"/>
                <wp:positionH relativeFrom="column">
                  <wp:posOffset>2570480</wp:posOffset>
                </wp:positionH>
                <wp:positionV relativeFrom="paragraph">
                  <wp:posOffset>167640</wp:posOffset>
                </wp:positionV>
                <wp:extent cx="668655" cy="295275"/>
                <wp:effectExtent l="4445" t="4445" r="12700" b="5080"/>
                <wp:wrapNone/>
                <wp:docPr id="59" name="文本框 59"/>
                <wp:cNvGraphicFramePr/>
                <a:graphic xmlns:a="http://schemas.openxmlformats.org/drawingml/2006/main">
                  <a:graphicData uri="http://schemas.microsoft.com/office/word/2010/wordprocessingShape">
                    <wps:wsp>
                      <wps:cNvSpPr txBox="1"/>
                      <wps:spPr>
                        <a:xfrm>
                          <a:off x="0" y="0"/>
                          <a:ext cx="668655" cy="29527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CCF25C6">
                            <w:r>
                              <w:rPr>
                                <w:rFonts w:hint="eastAsia"/>
                              </w:rPr>
                              <w:t>覆土回填</w:t>
                            </w:r>
                          </w:p>
                        </w:txbxContent>
                      </wps:txbx>
                      <wps:bodyPr lIns="18000" tIns="45720" rIns="18000" bIns="45720" upright="1"/>
                    </wps:wsp>
                  </a:graphicData>
                </a:graphic>
              </wp:anchor>
            </w:drawing>
          </mc:Choice>
          <mc:Fallback>
            <w:pict>
              <v:shape id="_x0000_s1026" o:spid="_x0000_s1026" o:spt="202" type="#_x0000_t202" style="position:absolute;left:0pt;margin-left:202.4pt;margin-top:13.2pt;height:23.25pt;width:52.65pt;z-index:251685888;mso-width-relative:page;mso-height-relative:page;" fillcolor="#FFC000" filled="t" stroked="t" coordsize="21600,21600" o:gfxdata="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LKhF/ZAAAACQEAAA8AAAAAAAAAAQAgAAAAIgAAAGRycy9kb3ducmV2LnhtbFBLAQIUABQA&#10;AAAIAIdO4kCJ8vekKAIAAGsEAAAOAAAAAAAAAAEAIAAAACgBAABkcnMvZTJvRG9jLnhtbFBLBQYA&#10;AAAABgAGAFkBAADCBQAAAAA=&#10;">
                <v:fill on="t" focussize="0,0"/>
                <v:stroke color="#7030A0" joinstyle="miter"/>
                <v:imagedata o:title=""/>
                <o:lock v:ext="edit" aspectratio="f"/>
                <v:textbox inset="0.5mm,1.27mm,0.5mm,1.27mm">
                  <w:txbxContent>
                    <w:p w14:paraId="5CCF25C6">
                      <w:r>
                        <w:rPr>
                          <w:rFonts w:hint="eastAsia"/>
                        </w:rPr>
                        <w:t>覆土回填</w:t>
                      </w:r>
                    </w:p>
                  </w:txbxContent>
                </v:textbox>
              </v:shape>
            </w:pict>
          </mc:Fallback>
        </mc:AlternateContent>
      </w:r>
    </w:p>
    <w:p w14:paraId="1924C23E">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00224" behindDoc="0" locked="0" layoutInCell="1" allowOverlap="1">
                <wp:simplePos x="0" y="0"/>
                <wp:positionH relativeFrom="column">
                  <wp:posOffset>2896870</wp:posOffset>
                </wp:positionH>
                <wp:positionV relativeFrom="paragraph">
                  <wp:posOffset>168910</wp:posOffset>
                </wp:positionV>
                <wp:extent cx="0" cy="198755"/>
                <wp:effectExtent l="38100" t="0" r="38100" b="10795"/>
                <wp:wrapNone/>
                <wp:docPr id="51" name="直接箭头连接符 51"/>
                <wp:cNvGraphicFramePr/>
                <a:graphic xmlns:a="http://schemas.openxmlformats.org/drawingml/2006/main">
                  <a:graphicData uri="http://schemas.microsoft.com/office/word/2010/wordprocessingShape">
                    <wps:wsp>
                      <wps:cNvCnPr/>
                      <wps:spPr>
                        <a:xfrm>
                          <a:off x="0" y="0"/>
                          <a:ext cx="0" cy="198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13.3pt;height:15.65pt;width:0pt;z-index:251700224;mso-width-relative:page;mso-height-relative:page;" filled="f" stroked="t" coordsize="21600,21600" o:gfxdata="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QAuLYAAAACQEAAA8AAAAAAAAAAQAgAAAAIgAAAGRycy9k&#10;b3ducmV2LnhtbFBLAQIUABQAAAAIAIdO4kAFUNrmAgIAAPEDAAAOAAAAAAAAAAEAIAAAACcBAABk&#10;cnMvZTJvRG9jLnhtbFBLBQYAAAAABgAGAFkBAACbBQAAAAA=&#10;">
                <v:fill on="f" focussize="0,0"/>
                <v:stroke color="#000000" joinstyle="round" endarrow="block"/>
                <v:imagedata o:title=""/>
                <o:lock v:ext="edit" aspectratio="f"/>
              </v:shape>
            </w:pict>
          </mc:Fallback>
        </mc:AlternateContent>
      </w:r>
      <w:r>
        <w:rPr>
          <w:rFonts w:hint="eastAsia" w:ascii="Arial" w:hAnsi="宋体" w:cs="Arial"/>
          <w:bCs/>
          <w:sz w:val="26"/>
          <w:szCs w:val="26"/>
        </w:rPr>
        <mc:AlternateContent>
          <mc:Choice Requires="wps">
            <w:drawing>
              <wp:anchor distT="0" distB="0" distL="114300" distR="114300" simplePos="0" relativeHeight="251692032" behindDoc="0" locked="0" layoutInCell="1" allowOverlap="1">
                <wp:simplePos x="0" y="0"/>
                <wp:positionH relativeFrom="column">
                  <wp:posOffset>2230755</wp:posOffset>
                </wp:positionH>
                <wp:positionV relativeFrom="paragraph">
                  <wp:posOffset>33020</wp:posOffset>
                </wp:positionV>
                <wp:extent cx="327660" cy="0"/>
                <wp:effectExtent l="0" t="38100" r="15240" b="38100"/>
                <wp:wrapNone/>
                <wp:docPr id="55" name="直接连接符 55"/>
                <wp:cNvGraphicFramePr/>
                <a:graphic xmlns:a="http://schemas.openxmlformats.org/drawingml/2006/main">
                  <a:graphicData uri="http://schemas.microsoft.com/office/word/2010/wordprocessingShape">
                    <wps:wsp>
                      <wps:cNvCnPr/>
                      <wps:spPr>
                        <a:xfrm flipH="1" flipV="1">
                          <a:off x="0" y="0"/>
                          <a:ext cx="327660" cy="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175.65pt;margin-top:2.6pt;height:0pt;width:25.8pt;z-index:251692032;mso-width-relative:page;mso-height-relative:page;" filled="f" stroked="t" coordsize="21600,21600" o:gfxdata="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8IV41gAAAAcBAAAPAAAAAAAAAAEAIAAAACIA&#10;AABkcnMvZG93bnJldi54bWxQSwECFAAUAAAACACHTuJAG7bh6AsCAAD9AwAADgAAAAAAAAABACAA&#10;AAAlAQAAZHJzL2Uyb0RvYy54bWxQSwUGAAAAAAYABgBZAQAAogUAAAAA&#10;">
                <v:fill on="f" focussize="0,0"/>
                <v:stroke color="#000000" joinstyle="round" dashstyle="1 1" endcap="round" endarrow="block"/>
                <v:imagedata o:title=""/>
                <o:lock v:ext="edit" aspectratio="f"/>
              </v:line>
            </w:pict>
          </mc:Fallback>
        </mc:AlternateContent>
      </w:r>
    </w:p>
    <w:p w14:paraId="09A3E6DF">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81792" behindDoc="0" locked="0" layoutInCell="1" allowOverlap="1">
                <wp:simplePos x="0" y="0"/>
                <wp:positionH relativeFrom="column">
                  <wp:posOffset>2400935</wp:posOffset>
                </wp:positionH>
                <wp:positionV relativeFrom="paragraph">
                  <wp:posOffset>76835</wp:posOffset>
                </wp:positionV>
                <wp:extent cx="1016635" cy="321945"/>
                <wp:effectExtent l="4445" t="4445" r="7620" b="16510"/>
                <wp:wrapNone/>
                <wp:docPr id="56" name="文本框 56"/>
                <wp:cNvGraphicFramePr/>
                <a:graphic xmlns:a="http://schemas.openxmlformats.org/drawingml/2006/main">
                  <a:graphicData uri="http://schemas.microsoft.com/office/word/2010/wordprocessingShape">
                    <wps:wsp>
                      <wps:cNvSpPr txBox="1"/>
                      <wps:spPr>
                        <a:xfrm>
                          <a:off x="0" y="0"/>
                          <a:ext cx="1016635" cy="32194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0161480F">
                            <w:r>
                              <w:rPr>
                                <w:rFonts w:hint="eastAsia"/>
                              </w:rPr>
                              <w:t>作业带植被恢复</w:t>
                            </w:r>
                          </w:p>
                        </w:txbxContent>
                      </wps:txbx>
                      <wps:bodyPr lIns="18000" tIns="45720" rIns="18000" bIns="45720" upright="1"/>
                    </wps:wsp>
                  </a:graphicData>
                </a:graphic>
              </wp:anchor>
            </w:drawing>
          </mc:Choice>
          <mc:Fallback>
            <w:pict>
              <v:shape id="_x0000_s1026" o:spid="_x0000_s1026" o:spt="202" type="#_x0000_t202" style="position:absolute;left:0pt;margin-left:189.05pt;margin-top:6.05pt;height:25.35pt;width:80.05pt;z-index:251681792;mso-width-relative:page;mso-height-relative:page;" fillcolor="#FFC000" filled="t" stroked="t" coordsize="21600,21600" o:gfxdata="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JE139kAAAAJAQAADwAAAAAAAAABACAAAAAiAAAAZHJzL2Rvd25yZXYueG1sUEsBAhQA&#10;FAAAAAgAh07iQP5ybHIqAgAAbAQAAA4AAAAAAAAAAQAgAAAAKAEAAGRycy9lMm9Eb2MueG1sUEsF&#10;BgAAAAAGAAYAWQEAAMQFAAAAAA==&#10;">
                <v:fill on="t" focussize="0,0"/>
                <v:stroke color="#7030A0" joinstyle="miter"/>
                <v:imagedata o:title=""/>
                <o:lock v:ext="edit" aspectratio="f"/>
                <v:textbox inset="0.5mm,1.27mm,0.5mm,1.27mm">
                  <w:txbxContent>
                    <w:p w14:paraId="0161480F">
                      <w:r>
                        <w:rPr>
                          <w:rFonts w:hint="eastAsia"/>
                        </w:rPr>
                        <w:t>作业带植被恢复</w:t>
                      </w:r>
                    </w:p>
                  </w:txbxContent>
                </v:textbox>
              </v:shape>
            </w:pict>
          </mc:Fallback>
        </mc:AlternateContent>
      </w:r>
    </w:p>
    <w:p w14:paraId="1E80A23D">
      <w:pPr>
        <w:spacing w:line="240" w:lineRule="exact"/>
        <w:ind w:firstLine="522" w:firstLineChars="200"/>
        <w:jc w:val="center"/>
        <w:rPr>
          <w:rFonts w:hint="eastAsia" w:ascii="Arial" w:hAnsi="宋体" w:cs="Arial"/>
          <w:b/>
          <w:bCs/>
          <w:sz w:val="26"/>
          <w:szCs w:val="26"/>
        </w:rPr>
      </w:pPr>
    </w:p>
    <w:p w14:paraId="32D6775E">
      <w:pPr>
        <w:spacing w:line="240" w:lineRule="exact"/>
        <w:ind w:firstLine="522" w:firstLineChars="200"/>
        <w:jc w:val="center"/>
        <w:rPr>
          <w:rFonts w:hint="eastAsia" w:ascii="Arial" w:hAnsi="宋体" w:cs="Arial"/>
          <w:b/>
          <w:bCs/>
          <w:sz w:val="26"/>
          <w:szCs w:val="26"/>
        </w:rPr>
      </w:pPr>
    </w:p>
    <w:p w14:paraId="4634C933">
      <w:pPr>
        <w:spacing w:line="460" w:lineRule="exact"/>
        <w:ind w:firstLine="522" w:firstLineChars="200"/>
        <w:jc w:val="center"/>
        <w:rPr>
          <w:rFonts w:hint="eastAsia" w:ascii="Arial" w:hAnsi="宋体" w:cs="Arial"/>
          <w:bCs/>
          <w:sz w:val="26"/>
          <w:szCs w:val="26"/>
        </w:rPr>
      </w:pPr>
      <w:r>
        <w:rPr>
          <w:rFonts w:hint="eastAsia" w:ascii="Arial" w:hAnsi="宋体" w:cs="Arial"/>
          <w:b/>
          <w:bCs/>
          <w:sz w:val="26"/>
          <w:szCs w:val="26"/>
        </w:rPr>
        <w:t>图3.4-</w:t>
      </w:r>
      <w:r>
        <w:rPr>
          <w:rFonts w:hint="eastAsia" w:ascii="Arial" w:hAnsi="宋体" w:cs="Arial"/>
          <w:b/>
          <w:bCs/>
          <w:sz w:val="26"/>
          <w:szCs w:val="26"/>
          <w:lang w:val="en-US" w:eastAsia="zh-CN"/>
        </w:rPr>
        <w:t>2</w:t>
      </w:r>
      <w:r>
        <w:rPr>
          <w:rFonts w:hint="eastAsia" w:ascii="Arial" w:hAnsi="宋体" w:cs="Arial"/>
          <w:b/>
          <w:bCs/>
          <w:sz w:val="26"/>
          <w:szCs w:val="26"/>
        </w:rPr>
        <w:t xml:space="preserve"> 输水工程</w:t>
      </w:r>
      <w:r>
        <w:rPr>
          <w:rFonts w:hint="eastAsia" w:ascii="Arial" w:hAnsi="宋体" w:cs="Arial"/>
          <w:b/>
          <w:bCs/>
          <w:sz w:val="26"/>
          <w:szCs w:val="26"/>
          <w:lang w:eastAsia="zh-CN"/>
        </w:rPr>
        <w:t>陆域段</w:t>
      </w:r>
      <w:r>
        <w:rPr>
          <w:rFonts w:hint="eastAsia" w:ascii="Arial" w:hAnsi="宋体" w:cs="Arial"/>
          <w:b/>
          <w:bCs/>
          <w:sz w:val="26"/>
          <w:szCs w:val="26"/>
        </w:rPr>
        <w:t>施工工艺流程及产污环节示意图</w:t>
      </w:r>
    </w:p>
    <w:p w14:paraId="74E8B34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b w:val="0"/>
          <w:bCs/>
          <w:sz w:val="26"/>
          <w:szCs w:val="26"/>
          <w:lang w:val="en-US" w:eastAsia="zh-CN"/>
        </w:rPr>
        <w:t>本项目输水管线</w:t>
      </w:r>
      <w:r>
        <w:rPr>
          <w:rFonts w:hint="eastAsia" w:ascii="Arial" w:hAnsi="Arial" w:cs="Arial"/>
          <w:sz w:val="26"/>
          <w:szCs w:val="26"/>
          <w:lang w:eastAsia="zh-CN"/>
        </w:rPr>
        <w:t>共有</w:t>
      </w:r>
      <w:r>
        <w:rPr>
          <w:rFonts w:hint="eastAsia" w:ascii="Arial" w:hAnsi="Arial" w:cs="Arial"/>
          <w:sz w:val="26"/>
          <w:szCs w:val="26"/>
          <w:lang w:val="en-US" w:eastAsia="zh-CN"/>
        </w:rPr>
        <w:t>5处穿越现状河道，其中1次穿越海螺沟、3次穿越高洞桥河、1次穿越双龙河，采用顶管、定向钻</w:t>
      </w:r>
      <w:r>
        <w:rPr>
          <w:rFonts w:hint="eastAsia" w:ascii="Arial" w:hAnsi="Arial" w:cs="Arial"/>
          <w:color w:val="auto"/>
          <w:sz w:val="26"/>
          <w:szCs w:val="26"/>
          <w:lang w:val="en-US" w:eastAsia="zh-CN"/>
        </w:rPr>
        <w:t>等不涉水施工工艺</w:t>
      </w:r>
      <w:r>
        <w:rPr>
          <w:rFonts w:hint="eastAsia" w:ascii="Arial" w:hAnsi="宋体" w:cs="Arial"/>
          <w:color w:val="auto"/>
          <w:sz w:val="26"/>
          <w:szCs w:val="26"/>
        </w:rPr>
        <w:t>，减小水质扰动。</w:t>
      </w:r>
      <w:r>
        <w:rPr>
          <w:rFonts w:hint="eastAsia" w:ascii="Arial" w:hAnsi="宋体" w:cs="Arial"/>
          <w:bCs/>
          <w:color w:val="auto"/>
          <w:sz w:val="26"/>
          <w:szCs w:val="26"/>
        </w:rPr>
        <w:t>施工工艺流程及产污环节详见图3.4-</w:t>
      </w:r>
      <w:r>
        <w:rPr>
          <w:rFonts w:hint="eastAsia" w:ascii="Arial" w:hAnsi="宋体" w:cs="Arial"/>
          <w:bCs/>
          <w:color w:val="auto"/>
          <w:sz w:val="26"/>
          <w:szCs w:val="26"/>
          <w:lang w:val="en-US" w:eastAsia="zh-CN"/>
        </w:rPr>
        <w:t>3</w:t>
      </w:r>
      <w:r>
        <w:rPr>
          <w:rFonts w:hint="eastAsia" w:ascii="Arial" w:hAnsi="宋体" w:cs="Arial"/>
          <w:bCs/>
          <w:color w:val="auto"/>
          <w:sz w:val="26"/>
          <w:szCs w:val="26"/>
        </w:rPr>
        <w:t>所示</w:t>
      </w:r>
      <w:r>
        <w:rPr>
          <w:rFonts w:hint="eastAsia" w:ascii="Arial" w:hAnsi="Arial" w:cs="Arial"/>
          <w:color w:val="auto"/>
          <w:sz w:val="26"/>
          <w:szCs w:val="26"/>
          <w:lang w:val="en-US" w:eastAsia="zh-CN"/>
        </w:rPr>
        <w:t>。</w:t>
      </w:r>
    </w:p>
    <w:p w14:paraId="50673B97">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23776" behindDoc="0" locked="0" layoutInCell="1" allowOverlap="1">
                <wp:simplePos x="0" y="0"/>
                <wp:positionH relativeFrom="column">
                  <wp:posOffset>5177155</wp:posOffset>
                </wp:positionH>
                <wp:positionV relativeFrom="paragraph">
                  <wp:posOffset>83185</wp:posOffset>
                </wp:positionV>
                <wp:extent cx="514350" cy="487045"/>
                <wp:effectExtent l="4445" t="4445" r="14605" b="22860"/>
                <wp:wrapNone/>
                <wp:docPr id="95" name="矩形 95"/>
                <wp:cNvGraphicFramePr/>
                <a:graphic xmlns:a="http://schemas.openxmlformats.org/drawingml/2006/main">
                  <a:graphicData uri="http://schemas.microsoft.com/office/word/2010/wordprocessingShape">
                    <wps:wsp>
                      <wps:cNvSpPr/>
                      <wps:spPr>
                        <a:xfrm>
                          <a:off x="0" y="0"/>
                          <a:ext cx="514350" cy="48704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3ED39F6E">
                            <w:pPr>
                              <w:jc w:val="center"/>
                              <w:rPr>
                                <w:rFonts w:hint="eastAsia"/>
                              </w:rPr>
                            </w:pPr>
                            <w:r>
                              <w:rPr>
                                <w:rFonts w:hint="eastAsia"/>
                              </w:rPr>
                              <w:t>管内运土</w:t>
                            </w:r>
                          </w:p>
                        </w:txbxContent>
                      </wps:txbx>
                      <wps:bodyPr upright="1"/>
                    </wps:wsp>
                  </a:graphicData>
                </a:graphic>
              </wp:anchor>
            </w:drawing>
          </mc:Choice>
          <mc:Fallback>
            <w:pict>
              <v:rect id="_x0000_s1026" o:spid="_x0000_s1026" o:spt="1" style="position:absolute;left:0pt;margin-left:407.65pt;margin-top:6.55pt;height:38.35pt;width:40.5pt;z-index:251723776;mso-width-relative:page;mso-height-relative:page;" fillcolor="#FFC000" filled="t" stroked="t" coordsize="21600,21600" o:gfxdata="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ikGo9YAAAAJAQAADwAAAAAAAAABACAAAAAiAAAAZHJz&#10;L2Rvd25yZXYueG1sUEsBAhQAFAAAAAgAh07iQDzW9kUGAgAAKgQAAA4AAAAAAAAAAQAgAAAAJQEA&#10;AGRycy9lMm9Eb2MueG1sUEsFBgAAAAAGAAYAWQEAAJ0FAAAAAA==&#10;">
                <v:fill on="t" focussize="0,0"/>
                <v:stroke color="#7030A0" joinstyle="miter"/>
                <v:imagedata o:title=""/>
                <o:lock v:ext="edit" aspectratio="f"/>
                <v:textbox>
                  <w:txbxContent>
                    <w:p w14:paraId="3ED39F6E">
                      <w:pPr>
                        <w:jc w:val="center"/>
                        <w:rPr>
                          <w:rFonts w:hint="eastAsia"/>
                        </w:rPr>
                      </w:pPr>
                      <w:r>
                        <w:rPr>
                          <w:rFonts w:hint="eastAsia"/>
                        </w:rPr>
                        <w:t>管内运土</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11488" behindDoc="0" locked="0" layoutInCell="1" allowOverlap="1">
                <wp:simplePos x="0" y="0"/>
                <wp:positionH relativeFrom="column">
                  <wp:posOffset>2148840</wp:posOffset>
                </wp:positionH>
                <wp:positionV relativeFrom="paragraph">
                  <wp:posOffset>225425</wp:posOffset>
                </wp:positionV>
                <wp:extent cx="730885" cy="284480"/>
                <wp:effectExtent l="4445" t="4445" r="7620" b="15875"/>
                <wp:wrapNone/>
                <wp:docPr id="193" name="矩形 193"/>
                <wp:cNvGraphicFramePr/>
                <a:graphic xmlns:a="http://schemas.openxmlformats.org/drawingml/2006/main">
                  <a:graphicData uri="http://schemas.microsoft.com/office/word/2010/wordprocessingShape">
                    <wps:wsp>
                      <wps:cNvSpPr/>
                      <wps:spPr>
                        <a:xfrm>
                          <a:off x="0" y="0"/>
                          <a:ext cx="73088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6C247355">
                            <w:pPr>
                              <w:rPr>
                                <w:rFonts w:hint="eastAsia"/>
                              </w:rPr>
                            </w:pPr>
                            <w:r>
                              <w:rPr>
                                <w:rFonts w:hint="eastAsia"/>
                              </w:rPr>
                              <w:t>安装管节</w:t>
                            </w:r>
                          </w:p>
                        </w:txbxContent>
                      </wps:txbx>
                      <wps:bodyPr upright="1"/>
                    </wps:wsp>
                  </a:graphicData>
                </a:graphic>
              </wp:anchor>
            </w:drawing>
          </mc:Choice>
          <mc:Fallback>
            <w:pict>
              <v:rect id="_x0000_s1026" o:spid="_x0000_s1026" o:spt="1" style="position:absolute;left:0pt;margin-left:169.2pt;margin-top:17.75pt;height:22.4pt;width:57.55pt;z-index:251711488;mso-width-relative:page;mso-height-relative:page;" fillcolor="#FFC000" filled="t" stroked="t" coordsize="21600,21600" o:gfxdata="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&#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45IF1wAAAAkBAAAPAAAAAAAAAAEAIAAAACIAAABk&#10;cnMvZG93bnJldi54bWxQSwECFAAUAAAACACHTuJAzbYjxgcCAAAsBAAADgAAAAAAAAABACAAAAAm&#10;AQAAZHJzL2Uyb0RvYy54bWxQSwUGAAAAAAYABgBZAQAAnwUAAAAA&#10;">
                <v:fill on="t" focussize="0,0"/>
                <v:stroke color="#7030A0" joinstyle="miter"/>
                <v:imagedata o:title=""/>
                <o:lock v:ext="edit" aspectratio="f"/>
                <v:textbox>
                  <w:txbxContent>
                    <w:p w14:paraId="6C247355">
                      <w:pPr>
                        <w:rPr>
                          <w:rFonts w:hint="eastAsia"/>
                        </w:rPr>
                      </w:pPr>
                      <w:r>
                        <w:rPr>
                          <w:rFonts w:hint="eastAsia"/>
                        </w:rPr>
                        <w:t>安装管节</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09440" behindDoc="0" locked="0" layoutInCell="1" allowOverlap="1">
                <wp:simplePos x="0" y="0"/>
                <wp:positionH relativeFrom="column">
                  <wp:posOffset>906780</wp:posOffset>
                </wp:positionH>
                <wp:positionV relativeFrom="paragraph">
                  <wp:posOffset>225425</wp:posOffset>
                </wp:positionV>
                <wp:extent cx="1002665" cy="284480"/>
                <wp:effectExtent l="4445" t="4445" r="21590" b="15875"/>
                <wp:wrapNone/>
                <wp:docPr id="194" name="矩形 194"/>
                <wp:cNvGraphicFramePr/>
                <a:graphic xmlns:a="http://schemas.openxmlformats.org/drawingml/2006/main">
                  <a:graphicData uri="http://schemas.microsoft.com/office/word/2010/wordprocessingShape">
                    <wps:wsp>
                      <wps:cNvSpPr/>
                      <wps:spPr>
                        <a:xfrm>
                          <a:off x="0" y="0"/>
                          <a:ext cx="100266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107084C6">
                            <w:pPr>
                              <w:rPr>
                                <w:rFonts w:hint="eastAsia"/>
                              </w:rPr>
                            </w:pPr>
                            <w:r>
                              <w:rPr>
                                <w:rFonts w:hint="eastAsia"/>
                              </w:rPr>
                              <w:t>安装顶进设备</w:t>
                            </w:r>
                          </w:p>
                        </w:txbxContent>
                      </wps:txbx>
                      <wps:bodyPr upright="1"/>
                    </wps:wsp>
                  </a:graphicData>
                </a:graphic>
              </wp:anchor>
            </w:drawing>
          </mc:Choice>
          <mc:Fallback>
            <w:pict>
              <v:rect id="_x0000_s1026" o:spid="_x0000_s1026" o:spt="1" style="position:absolute;left:0pt;margin-left:71.4pt;margin-top:17.75pt;height:22.4pt;width:78.95pt;z-index:251709440;mso-width-relative:page;mso-height-relative:page;" fillcolor="#FFC000" filled="t" stroked="t" coordsize="21600,21600" o:gfxdata="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DHLj9cAAAAJAQAADwAAAAAAAAABACAAAAAiAAAA&#10;ZHJzL2Rvd25yZXYueG1sUEsBAhQAFAAAAAgAh07iQIfY2J0IAgAALQQAAA4AAAAAAAAAAQAgAAAA&#10;JgEAAGRycy9lMm9Eb2MueG1sUEsFBgAAAAAGAAYAWQEAAKAFAAAAAA==&#10;">
                <v:fill on="t" focussize="0,0"/>
                <v:stroke color="#7030A0" joinstyle="miter"/>
                <v:imagedata o:title=""/>
                <o:lock v:ext="edit" aspectratio="f"/>
                <v:textbox>
                  <w:txbxContent>
                    <w:p w14:paraId="107084C6">
                      <w:pPr>
                        <w:rPr>
                          <w:rFonts w:hint="eastAsia"/>
                        </w:rPr>
                      </w:pPr>
                      <w:r>
                        <w:rPr>
                          <w:rFonts w:hint="eastAsia"/>
                        </w:rPr>
                        <w:t>安装顶进设备</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07392" behindDoc="0" locked="0" layoutInCell="1" allowOverlap="1">
                <wp:simplePos x="0" y="0"/>
                <wp:positionH relativeFrom="column">
                  <wp:posOffset>-186690</wp:posOffset>
                </wp:positionH>
                <wp:positionV relativeFrom="paragraph">
                  <wp:posOffset>225425</wp:posOffset>
                </wp:positionV>
                <wp:extent cx="860425" cy="284480"/>
                <wp:effectExtent l="4445" t="4445" r="11430" b="15875"/>
                <wp:wrapNone/>
                <wp:docPr id="98" name="矩形 98"/>
                <wp:cNvGraphicFramePr/>
                <a:graphic xmlns:a="http://schemas.openxmlformats.org/drawingml/2006/main">
                  <a:graphicData uri="http://schemas.microsoft.com/office/word/2010/wordprocessingShape">
                    <wps:wsp>
                      <wps:cNvSpPr/>
                      <wps:spPr>
                        <a:xfrm>
                          <a:off x="0" y="0"/>
                          <a:ext cx="86042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731B85BF">
                            <w:pPr>
                              <w:rPr>
                                <w:rFonts w:hint="eastAsia"/>
                              </w:rPr>
                            </w:pPr>
                            <w:r>
                              <w:rPr>
                                <w:rFonts w:hint="eastAsia"/>
                              </w:rPr>
                              <w:t>工作井开挖</w:t>
                            </w:r>
                          </w:p>
                        </w:txbxContent>
                      </wps:txbx>
                      <wps:bodyPr upright="1"/>
                    </wps:wsp>
                  </a:graphicData>
                </a:graphic>
              </wp:anchor>
            </w:drawing>
          </mc:Choice>
          <mc:Fallback>
            <w:pict>
              <v:rect id="_x0000_s1026" o:spid="_x0000_s1026" o:spt="1" style="position:absolute;left:0pt;margin-left:-14.7pt;margin-top:17.75pt;height:22.4pt;width:67.75pt;z-index:251707392;mso-width-relative:page;mso-height-relative:page;" fillcolor="#FFC000" filled="t" stroked="t" coordsize="21600,21600" o:gfxdata="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JQw21wAAAAkBAAAPAAAAAAAAAAEAIAAAACIAAABkcnMv&#10;ZG93bnJldi54bWxQSwECFAAUAAAACACHTuJAwjBtlQQCAAAqBAAADgAAAAAAAAABACAAAAAmAQAA&#10;ZHJzL2Uyb0RvYy54bWxQSwUGAAAAAAYABgBZAQAAnAUAAAAA&#10;">
                <v:fill on="t" focussize="0,0"/>
                <v:stroke color="#7030A0" joinstyle="miter"/>
                <v:imagedata o:title=""/>
                <o:lock v:ext="edit" aspectratio="f"/>
                <v:textbox>
                  <w:txbxContent>
                    <w:p w14:paraId="731B85BF">
                      <w:pPr>
                        <w:rPr>
                          <w:rFonts w:hint="eastAsia"/>
                        </w:rPr>
                      </w:pPr>
                      <w:r>
                        <w:rPr>
                          <w:rFonts w:hint="eastAsia"/>
                        </w:rPr>
                        <w:t>工作井开挖</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15584" behindDoc="0" locked="0" layoutInCell="1" allowOverlap="1">
                <wp:simplePos x="0" y="0"/>
                <wp:positionH relativeFrom="column">
                  <wp:posOffset>4093210</wp:posOffset>
                </wp:positionH>
                <wp:positionV relativeFrom="paragraph">
                  <wp:posOffset>221615</wp:posOffset>
                </wp:positionV>
                <wp:extent cx="860425" cy="284480"/>
                <wp:effectExtent l="4445" t="4445" r="11430" b="15875"/>
                <wp:wrapNone/>
                <wp:docPr id="116" name="矩形 116"/>
                <wp:cNvGraphicFramePr/>
                <a:graphic xmlns:a="http://schemas.openxmlformats.org/drawingml/2006/main">
                  <a:graphicData uri="http://schemas.microsoft.com/office/word/2010/wordprocessingShape">
                    <wps:wsp>
                      <wps:cNvSpPr/>
                      <wps:spPr>
                        <a:xfrm>
                          <a:off x="0" y="0"/>
                          <a:ext cx="86042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35A70796">
                            <w:pPr>
                              <w:rPr>
                                <w:rFonts w:hint="eastAsia"/>
                              </w:rPr>
                            </w:pPr>
                            <w:r>
                              <w:rPr>
                                <w:rFonts w:hint="eastAsia"/>
                              </w:rPr>
                              <w:t>工作面开挖</w:t>
                            </w:r>
                          </w:p>
                        </w:txbxContent>
                      </wps:txbx>
                      <wps:bodyPr upright="1"/>
                    </wps:wsp>
                  </a:graphicData>
                </a:graphic>
              </wp:anchor>
            </w:drawing>
          </mc:Choice>
          <mc:Fallback>
            <w:pict>
              <v:rect id="_x0000_s1026" o:spid="_x0000_s1026" o:spt="1" style="position:absolute;left:0pt;margin-left:322.3pt;margin-top:17.45pt;height:22.4pt;width:67.75pt;z-index:251715584;mso-width-relative:page;mso-height-relative:page;" fillcolor="#FFC000" filled="t" stroked="t" coordsize="21600,21600" o:gfxdata="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orRDXXAAAACQEAAA8AAAAAAAAAAQAgAAAAIgAAAGRy&#10;cy9kb3ducmV2LnhtbFBLAQIUABQAAAAIAIdO4kDglq33BgIAACwEAAAOAAAAAAAAAAEAIAAAACYB&#10;AABkcnMvZTJvRG9jLnhtbFBLBQYAAAAABgAGAFkBAACeBQAAAAA=&#10;">
                <v:fill on="t" focussize="0,0"/>
                <v:stroke color="#7030A0" joinstyle="miter"/>
                <v:imagedata o:title=""/>
                <o:lock v:ext="edit" aspectratio="f"/>
                <v:textbox>
                  <w:txbxContent>
                    <w:p w14:paraId="35A70796">
                      <w:pPr>
                        <w:rPr>
                          <w:rFonts w:hint="eastAsia"/>
                        </w:rPr>
                      </w:pPr>
                      <w:r>
                        <w:rPr>
                          <w:rFonts w:hint="eastAsia"/>
                        </w:rPr>
                        <w:t>工作面开挖</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13536" behindDoc="0" locked="0" layoutInCell="1" allowOverlap="1">
                <wp:simplePos x="0" y="0"/>
                <wp:positionH relativeFrom="column">
                  <wp:posOffset>3109595</wp:posOffset>
                </wp:positionH>
                <wp:positionV relativeFrom="paragraph">
                  <wp:posOffset>223520</wp:posOffset>
                </wp:positionV>
                <wp:extent cx="759460" cy="284480"/>
                <wp:effectExtent l="4445" t="4445" r="17145" b="15875"/>
                <wp:wrapNone/>
                <wp:docPr id="102" name="矩形 102"/>
                <wp:cNvGraphicFramePr/>
                <a:graphic xmlns:a="http://schemas.openxmlformats.org/drawingml/2006/main">
                  <a:graphicData uri="http://schemas.microsoft.com/office/word/2010/wordprocessingShape">
                    <wps:wsp>
                      <wps:cNvSpPr/>
                      <wps:spPr>
                        <a:xfrm>
                          <a:off x="0" y="0"/>
                          <a:ext cx="75946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09101879">
                            <w:pPr>
                              <w:rPr>
                                <w:rFonts w:hint="eastAsia"/>
                              </w:rPr>
                            </w:pPr>
                            <w:r>
                              <w:rPr>
                                <w:rFonts w:hint="eastAsia"/>
                              </w:rPr>
                              <w:t>布设顶铁</w:t>
                            </w:r>
                          </w:p>
                        </w:txbxContent>
                      </wps:txbx>
                      <wps:bodyPr upright="1"/>
                    </wps:wsp>
                  </a:graphicData>
                </a:graphic>
              </wp:anchor>
            </w:drawing>
          </mc:Choice>
          <mc:Fallback>
            <w:pict>
              <v:rect id="_x0000_s1026" o:spid="_x0000_s1026" o:spt="1" style="position:absolute;left:0pt;margin-left:244.85pt;margin-top:17.6pt;height:22.4pt;width:59.8pt;z-index:251713536;mso-width-relative:page;mso-height-relative:page;" fillcolor="#FFC000" filled="t" stroked="t" coordsize="21600,21600" o:gfxdata="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&#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5F1NcAAAAJAQAADwAAAAAAAAABACAAAAAiAAAA&#10;ZHJzL2Rvd25yZXYueG1sUEsBAhQAFAAAAAgAh07iQA5BQS4IAgAALAQAAA4AAAAAAAAAAQAgAAAA&#10;JgEAAGRycy9lMm9Eb2MueG1sUEsFBgAAAAAGAAYAWQEAAKAFAAAAAA==&#10;">
                <v:fill on="t" focussize="0,0"/>
                <v:stroke color="#7030A0" joinstyle="miter"/>
                <v:imagedata o:title=""/>
                <o:lock v:ext="edit" aspectratio="f"/>
                <v:textbox>
                  <w:txbxContent>
                    <w:p w14:paraId="09101879">
                      <w:pPr>
                        <w:rPr>
                          <w:rFonts w:hint="eastAsia"/>
                        </w:rPr>
                      </w:pPr>
                      <w:r>
                        <w:rPr>
                          <w:rFonts w:hint="eastAsia"/>
                        </w:rPr>
                        <w:t>布设顶铁</w:t>
                      </w:r>
                    </w:p>
                  </w:txbxContent>
                </v:textbox>
              </v:rect>
            </w:pict>
          </mc:Fallback>
        </mc:AlternateContent>
      </w:r>
    </w:p>
    <w:p w14:paraId="0A365454">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14560" behindDoc="0" locked="0" layoutInCell="1" allowOverlap="1">
                <wp:simplePos x="0" y="0"/>
                <wp:positionH relativeFrom="column">
                  <wp:posOffset>3877310</wp:posOffset>
                </wp:positionH>
                <wp:positionV relativeFrom="paragraph">
                  <wp:posOffset>90170</wp:posOffset>
                </wp:positionV>
                <wp:extent cx="215900" cy="0"/>
                <wp:effectExtent l="0" t="38100" r="12700" b="38100"/>
                <wp:wrapNone/>
                <wp:docPr id="110" name="直接连接符 110"/>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5.3pt;margin-top:7.1pt;height:0pt;width:17pt;z-index:251714560;mso-width-relative:page;mso-height-relative:page;" filled="f" stroked="t" coordsize="21600,21600" o:gfxdata="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FPlz9cAAAAJAQAADwAAAAAAAAABACAAAAAiAAAAZHJzL2Rvd25yZXYu&#10;eG1sUEsBAhQAFAAAAAgAh07iQJBeCmv8AQAA6wMAAA4AAAAAAAAAAQAgAAAAJgEAAGRycy9lMm9E&#10;b2MueG1sUEsFBgAAAAAGAAYAWQEAAJQFA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12512" behindDoc="0" locked="0" layoutInCell="1" allowOverlap="1">
                <wp:simplePos x="0" y="0"/>
                <wp:positionH relativeFrom="column">
                  <wp:posOffset>2899410</wp:posOffset>
                </wp:positionH>
                <wp:positionV relativeFrom="paragraph">
                  <wp:posOffset>82550</wp:posOffset>
                </wp:positionV>
                <wp:extent cx="215900" cy="0"/>
                <wp:effectExtent l="0" t="38100" r="12700" b="38100"/>
                <wp:wrapNone/>
                <wp:docPr id="100" name="直接连接符 100"/>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8.3pt;margin-top:6.5pt;height:0pt;width:17pt;z-index:251712512;mso-width-relative:page;mso-height-relative:page;" filled="f" stroked="t" coordsize="21600,21600" o:gfxdata="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j6J/LYAAAACQEAAA8AAAAAAAAAAQAgAAAAIgAAAGRycy9kb3ducmV2&#10;LnhtbFBLAQIUABQAAAAIAIdO4kCuunXj/AEAAOsDAAAOAAAAAAAAAAEAIAAAACc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10464" behindDoc="0" locked="0" layoutInCell="1" allowOverlap="1">
                <wp:simplePos x="0" y="0"/>
                <wp:positionH relativeFrom="column">
                  <wp:posOffset>1914525</wp:posOffset>
                </wp:positionH>
                <wp:positionV relativeFrom="paragraph">
                  <wp:posOffset>73025</wp:posOffset>
                </wp:positionV>
                <wp:extent cx="215900" cy="0"/>
                <wp:effectExtent l="0" t="38100" r="12700" b="38100"/>
                <wp:wrapNone/>
                <wp:docPr id="103" name="直接连接符 103"/>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0.75pt;margin-top:5.75pt;height:0pt;width:17pt;z-index:251710464;mso-width-relative:page;mso-height-relative:page;" filled="f" stroked="t" coordsize="21600,21600" o:gfxdata="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8HLSTXAAAACQEAAA8AAAAAAAAAAQAgAAAAIgAAAGRycy9kb3ducmV2&#10;LnhtbFBLAQIUABQAAAAIAIdO4kDG07Z7/QEAAOsDAAAOAAAAAAAAAAEAIAAAACY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08416" behindDoc="0" locked="0" layoutInCell="1" allowOverlap="1">
                <wp:simplePos x="0" y="0"/>
                <wp:positionH relativeFrom="column">
                  <wp:posOffset>677545</wp:posOffset>
                </wp:positionH>
                <wp:positionV relativeFrom="paragraph">
                  <wp:posOffset>73025</wp:posOffset>
                </wp:positionV>
                <wp:extent cx="215900" cy="0"/>
                <wp:effectExtent l="0" t="38100" r="12700" b="38100"/>
                <wp:wrapNone/>
                <wp:docPr id="96" name="直接连接符 96"/>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3.35pt;margin-top:5.75pt;height:0pt;width:17pt;z-index:251708416;mso-width-relative:page;mso-height-relative:page;" filled="f" stroked="t" coordsize="21600,21600" o:gfxdata="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URSLtcAAAAJAQAADwAAAAAAAAABACAAAAAiAAAAZHJzL2Rvd25yZXYu&#10;eG1sUEsBAhQAFAAAAAgAh07iQNEMCW38AQAA6QMAAA4AAAAAAAAAAQAgAAAAJgEAAGRycy9lMm9E&#10;b2MueG1sUEsFBgAAAAAGAAYAWQEAAJQFA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6848" behindDoc="0" locked="0" layoutInCell="1" allowOverlap="1">
                <wp:simplePos x="0" y="0"/>
                <wp:positionH relativeFrom="column">
                  <wp:posOffset>234315</wp:posOffset>
                </wp:positionH>
                <wp:positionV relativeFrom="paragraph">
                  <wp:posOffset>222250</wp:posOffset>
                </wp:positionV>
                <wp:extent cx="0" cy="212090"/>
                <wp:effectExtent l="38100" t="0" r="38100" b="16510"/>
                <wp:wrapNone/>
                <wp:docPr id="137" name="直接连接符 137"/>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45pt;margin-top:17.5pt;height:16.7pt;width:0pt;z-index:251726848;mso-width-relative:page;mso-height-relative:page;" filled="f" stroked="t" coordsize="21600,21600" o:gfxdata="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CjWojXAAAABwEAAA8AAAAAAAAAAQAgAAAAIgAAAGRycy9kb3ducmV2&#10;LnhtbFBLAQIUABQAAAAIAIdO4kBTZm50/QEAAOsDAAAOAAAAAAAAAAEAIAAAACY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2752" behindDoc="0" locked="0" layoutInCell="1" allowOverlap="1">
                <wp:simplePos x="0" y="0"/>
                <wp:positionH relativeFrom="column">
                  <wp:posOffset>4957445</wp:posOffset>
                </wp:positionH>
                <wp:positionV relativeFrom="paragraph">
                  <wp:posOffset>99695</wp:posOffset>
                </wp:positionV>
                <wp:extent cx="215900" cy="0"/>
                <wp:effectExtent l="0" t="38100" r="12700" b="38100"/>
                <wp:wrapNone/>
                <wp:docPr id="99" name="直接连接符 99"/>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0.35pt;margin-top:7.85pt;height:0pt;width:17pt;z-index:251722752;mso-width-relative:page;mso-height-relative:page;" filled="f" stroked="t" coordsize="21600,21600" o:gfxdata="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8j8m1wAAAAkBAAAPAAAAAAAAAAEAIAAAACIAAABkcnMvZG93bnJldi54&#10;bWxQSwECFAAUAAAACACHTuJAnW/3xfsBAADpAwAADgAAAAAAAAABACAAAAAmAQAAZHJzL2Uyb0Rv&#10;Yy54bWxQSwUGAAAAAAYABgBZAQAAkwU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1728" behindDoc="0" locked="0" layoutInCell="1" allowOverlap="1">
                <wp:simplePos x="0" y="0"/>
                <wp:positionH relativeFrom="column">
                  <wp:posOffset>2516505</wp:posOffset>
                </wp:positionH>
                <wp:positionV relativeFrom="paragraph">
                  <wp:posOffset>250825</wp:posOffset>
                </wp:positionV>
                <wp:extent cx="0" cy="925195"/>
                <wp:effectExtent l="38100" t="0" r="38100" b="8255"/>
                <wp:wrapNone/>
                <wp:docPr id="133" name="直接连接符 133"/>
                <wp:cNvGraphicFramePr/>
                <a:graphic xmlns:a="http://schemas.openxmlformats.org/drawingml/2006/main">
                  <a:graphicData uri="http://schemas.microsoft.com/office/word/2010/wordprocessingShape">
                    <wps:wsp>
                      <wps:cNvCnPr/>
                      <wps:spPr>
                        <a:xfrm flipV="1">
                          <a:off x="0" y="0"/>
                          <a:ext cx="0" cy="925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98.15pt;margin-top:19.75pt;height:72.85pt;width:0pt;z-index:251721728;mso-width-relative:page;mso-height-relative:page;" filled="f" stroked="t" coordsize="21600,21600" o:gfxdata="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yhfjYAAAACgEAAA8AAAAAAAAAAQAgAAAAIgAAAGRycy9k&#10;b3ducmV2LnhtbFBLAQIUABQAAAAIAIdO4kDu6VlkAgIAAPUDAAAOAAAAAAAAAAEAIAAAACcBAABk&#10;cnMvZTJvRG9jLnhtbFBLBQYAAAAABgAGAFkBAACb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4800" behindDoc="0" locked="0" layoutInCell="1" allowOverlap="1">
                <wp:simplePos x="0" y="0"/>
                <wp:positionH relativeFrom="column">
                  <wp:posOffset>5462270</wp:posOffset>
                </wp:positionH>
                <wp:positionV relativeFrom="paragraph">
                  <wp:posOffset>287020</wp:posOffset>
                </wp:positionV>
                <wp:extent cx="0" cy="212090"/>
                <wp:effectExtent l="38100" t="0" r="38100" b="16510"/>
                <wp:wrapNone/>
                <wp:docPr id="115" name="直接连接符 115"/>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30.1pt;margin-top:22.6pt;height:16.7pt;width:0pt;z-index:251724800;mso-width-relative:page;mso-height-relative:page;" filled="f" stroked="t" coordsize="21600,21600" o:gfxdata="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RwMY2AAAAAkBAAAPAAAAAAAAAAEAIAAAACIAAABkcnMvZG93bnJl&#10;di54bWxQSwECFAAUAAAACACHTuJA3hmdUP0BAADrAwAADgAAAAAAAAABACAAAAAnAQAAZHJzL2Uy&#10;b0RvYy54bWxQSwUGAAAAAAYABgBZAQAAlgU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16608" behindDoc="0" locked="0" layoutInCell="1" allowOverlap="1">
                <wp:simplePos x="0" y="0"/>
                <wp:positionH relativeFrom="column">
                  <wp:posOffset>4360545</wp:posOffset>
                </wp:positionH>
                <wp:positionV relativeFrom="paragraph">
                  <wp:posOffset>235585</wp:posOffset>
                </wp:positionV>
                <wp:extent cx="0" cy="212090"/>
                <wp:effectExtent l="38100" t="0" r="38100" b="16510"/>
                <wp:wrapNone/>
                <wp:docPr id="105" name="直接连接符 105"/>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35pt;margin-top:18.55pt;height:16.7pt;width:0pt;z-index:251716608;mso-width-relative:page;mso-height-relative:page;" filled="f" stroked="t" coordsize="21600,21600" o:gfxdata="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HZjXYAAAACQEAAA8AAAAAAAAAAQAgAAAAIgAAAGRycy9kb3ducmV2&#10;LnhtbFBLAQIUABQAAAAIAIdO4kDg/eLY/AEAAOsDAAAOAAAAAAAAAAEAIAAAACc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8896" behindDoc="0" locked="0" layoutInCell="1" allowOverlap="1">
                <wp:simplePos x="0" y="0"/>
                <wp:positionH relativeFrom="column">
                  <wp:posOffset>1426845</wp:posOffset>
                </wp:positionH>
                <wp:positionV relativeFrom="paragraph">
                  <wp:posOffset>222250</wp:posOffset>
                </wp:positionV>
                <wp:extent cx="0" cy="212090"/>
                <wp:effectExtent l="38100" t="0" r="38100" b="16510"/>
                <wp:wrapNone/>
                <wp:docPr id="104" name="直接连接符 104"/>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17.5pt;height:16.7pt;width:0pt;z-index:251728896;mso-width-relative:page;mso-height-relative:page;" filled="f" stroked="t" coordsize="21600,21600" o:gfxdata="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PWqYNkAAAAJAQAADwAAAAAAAAABACAAAAAiAAAAZHJzL2Rvd25y&#10;ZXYueG1sUEsBAhQAFAAAAAgAh07iQDglXK/9AQAA6wMAAA4AAAAAAAAAAQAgAAAAKAEAAGRycy9l&#10;Mm9Eb2MueG1sUEsFBgAAAAAGAAYAWQEAAJcFAAAAAA==&#10;">
                <v:fill on="f" focussize="0,0"/>
                <v:stroke color="#000000" joinstyle="round" endarrow="block"/>
                <v:imagedata o:title=""/>
                <o:lock v:ext="edit" aspectratio="f"/>
              </v:line>
            </w:pict>
          </mc:Fallback>
        </mc:AlternateContent>
      </w:r>
    </w:p>
    <w:p w14:paraId="386CE6F8">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29920" behindDoc="0" locked="0" layoutInCell="1" allowOverlap="1">
                <wp:simplePos x="0" y="0"/>
                <wp:positionH relativeFrom="column">
                  <wp:posOffset>1151255</wp:posOffset>
                </wp:positionH>
                <wp:positionV relativeFrom="paragraph">
                  <wp:posOffset>163195</wp:posOffset>
                </wp:positionV>
                <wp:extent cx="500380" cy="28067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500380" cy="280670"/>
                        </a:xfrm>
                        <a:prstGeom prst="rect">
                          <a:avLst/>
                        </a:prstGeom>
                        <a:noFill/>
                        <a:ln>
                          <a:noFill/>
                        </a:ln>
                      </wps:spPr>
                      <wps:txbx>
                        <w:txbxContent>
                          <w:p w14:paraId="23D51539">
                            <w:pPr>
                              <w:jc w:val="center"/>
                              <w:rPr>
                                <w:rFonts w:hint="eastAsia"/>
                              </w:rPr>
                            </w:pPr>
                            <w:r>
                              <w:rPr>
                                <w:rFonts w:hint="eastAsia"/>
                              </w:rPr>
                              <w:t>噪声</w:t>
                            </w:r>
                          </w:p>
                        </w:txbxContent>
                      </wps:txbx>
                      <wps:bodyPr upright="1"/>
                    </wps:wsp>
                  </a:graphicData>
                </a:graphic>
              </wp:anchor>
            </w:drawing>
          </mc:Choice>
          <mc:Fallback>
            <w:pict>
              <v:shape id="_x0000_s1026" o:spid="_x0000_s1026" o:spt="202" type="#_x0000_t202" style="position:absolute;left:0pt;margin-left:90.65pt;margin-top:12.85pt;height:22.1pt;width:39.4pt;z-index:251729920;mso-width-relative:page;mso-height-relative:page;" filled="f" stroked="f" coordsize="21600,21600" o:gfxdata="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sG7edcA&#10;AAAJAQAADwAAAAAAAAABACAAAAAiAAAAZHJzL2Rvd25yZXYueG1sUEsBAhQAFAAAAAgAh07iQN7O&#10;gyquAQAAUQMAAA4AAAAAAAAAAQAgAAAAJgEAAGRycy9lMm9Eb2MueG1sUEsFBgAAAAAGAAYAWQEA&#10;AEYFAAAAAA==&#10;">
                <v:fill on="f" focussize="0,0"/>
                <v:stroke on="f"/>
                <v:imagedata o:title=""/>
                <o:lock v:ext="edit" aspectratio="f"/>
                <v:textbox>
                  <w:txbxContent>
                    <w:p w14:paraId="23D51539">
                      <w:pPr>
                        <w:jc w:val="center"/>
                        <w:rPr>
                          <w:rFonts w:hint="eastAsia"/>
                        </w:rPr>
                      </w:pPr>
                      <w:r>
                        <w:rPr>
                          <w:rFonts w:hint="eastAsia"/>
                        </w:rPr>
                        <w:t>噪声</w:t>
                      </w:r>
                    </w:p>
                  </w:txbxContent>
                </v:textbox>
              </v:shape>
            </w:pict>
          </mc:Fallback>
        </mc:AlternateContent>
      </w:r>
      <w:r>
        <w:rPr>
          <w:rFonts w:ascii="Arial" w:hAnsi="Arial" w:eastAsia="黑体" w:cs="Arial"/>
          <w:b/>
          <w:sz w:val="24"/>
        </w:rPr>
        <mc:AlternateContent>
          <mc:Choice Requires="wps">
            <w:drawing>
              <wp:anchor distT="0" distB="0" distL="114300" distR="114300" simplePos="0" relativeHeight="251725824" behindDoc="0" locked="0" layoutInCell="1" allowOverlap="1">
                <wp:simplePos x="0" y="0"/>
                <wp:positionH relativeFrom="column">
                  <wp:posOffset>5222240</wp:posOffset>
                </wp:positionH>
                <wp:positionV relativeFrom="paragraph">
                  <wp:posOffset>210820</wp:posOffset>
                </wp:positionV>
                <wp:extent cx="514350" cy="424815"/>
                <wp:effectExtent l="4445" t="4445" r="14605" b="8890"/>
                <wp:wrapNone/>
                <wp:docPr id="111" name="矩形 111"/>
                <wp:cNvGraphicFramePr/>
                <a:graphic xmlns:a="http://schemas.openxmlformats.org/drawingml/2006/main">
                  <a:graphicData uri="http://schemas.microsoft.com/office/word/2010/wordprocessingShape">
                    <wps:wsp>
                      <wps:cNvSpPr/>
                      <wps:spPr>
                        <a:xfrm>
                          <a:off x="0" y="0"/>
                          <a:ext cx="514350" cy="42481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30F3D73C">
                            <w:pPr>
                              <w:spacing w:line="240" w:lineRule="exact"/>
                              <w:jc w:val="center"/>
                              <w:rPr>
                                <w:rFonts w:hint="eastAsia"/>
                              </w:rPr>
                            </w:pPr>
                            <w:r>
                              <w:rPr>
                                <w:rFonts w:hint="eastAsia"/>
                              </w:rPr>
                              <w:t>土方提升</w:t>
                            </w:r>
                          </w:p>
                        </w:txbxContent>
                      </wps:txbx>
                      <wps:bodyPr upright="1"/>
                    </wps:wsp>
                  </a:graphicData>
                </a:graphic>
              </wp:anchor>
            </w:drawing>
          </mc:Choice>
          <mc:Fallback>
            <w:pict>
              <v:rect id="_x0000_s1026" o:spid="_x0000_s1026" o:spt="1" style="position:absolute;left:0pt;margin-left:411.2pt;margin-top:16.6pt;height:33.45pt;width:40.5pt;z-index:251725824;mso-width-relative:page;mso-height-relative:page;" fillcolor="#FFC000" filled="t" stroked="t" coordsize="21600,21600" o:gfxdata="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EI1sNcAAAAKAQAADwAAAAAAAAABACAAAAAiAAAA&#10;ZHJzL2Rvd25yZXYueG1sUEsBAhQAFAAAAAgAh07iQJPCTQAIAgAALAQAAA4AAAAAAAAAAQAgAAAA&#10;JgEAAGRycy9lMm9Eb2MueG1sUEsFBgAAAAAGAAYAWQEAAKAFAAAAAA==&#10;">
                <v:fill on="t" focussize="0,0"/>
                <v:stroke color="#7030A0" joinstyle="miter"/>
                <v:imagedata o:title=""/>
                <o:lock v:ext="edit" aspectratio="f"/>
                <v:textbox>
                  <w:txbxContent>
                    <w:p w14:paraId="30F3D73C">
                      <w:pPr>
                        <w:spacing w:line="240" w:lineRule="exact"/>
                        <w:jc w:val="center"/>
                        <w:rPr>
                          <w:rFonts w:hint="eastAsia"/>
                        </w:rPr>
                      </w:pPr>
                      <w:r>
                        <w:rPr>
                          <w:rFonts w:hint="eastAsia"/>
                        </w:rPr>
                        <w:t>土方提升</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17632" behindDoc="0" locked="0" layoutInCell="1" allowOverlap="1">
                <wp:simplePos x="0" y="0"/>
                <wp:positionH relativeFrom="column">
                  <wp:posOffset>3950335</wp:posOffset>
                </wp:positionH>
                <wp:positionV relativeFrom="paragraph">
                  <wp:posOffset>174625</wp:posOffset>
                </wp:positionV>
                <wp:extent cx="730885" cy="284480"/>
                <wp:effectExtent l="4445" t="4445" r="7620" b="15875"/>
                <wp:wrapNone/>
                <wp:docPr id="108" name="矩形 108"/>
                <wp:cNvGraphicFramePr/>
                <a:graphic xmlns:a="http://schemas.openxmlformats.org/drawingml/2006/main">
                  <a:graphicData uri="http://schemas.microsoft.com/office/word/2010/wordprocessingShape">
                    <wps:wsp>
                      <wps:cNvSpPr/>
                      <wps:spPr>
                        <a:xfrm>
                          <a:off x="0" y="0"/>
                          <a:ext cx="73088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3DD512D">
                            <w:pPr>
                              <w:rPr>
                                <w:rFonts w:hint="eastAsia"/>
                              </w:rPr>
                            </w:pPr>
                            <w:r>
                              <w:rPr>
                                <w:rFonts w:hint="eastAsia"/>
                              </w:rPr>
                              <w:t>管道顶进</w:t>
                            </w:r>
                          </w:p>
                        </w:txbxContent>
                      </wps:txbx>
                      <wps:bodyPr upright="1"/>
                    </wps:wsp>
                  </a:graphicData>
                </a:graphic>
              </wp:anchor>
            </w:drawing>
          </mc:Choice>
          <mc:Fallback>
            <w:pict>
              <v:rect id="_x0000_s1026" o:spid="_x0000_s1026" o:spt="1" style="position:absolute;left:0pt;margin-left:311.05pt;margin-top:13.75pt;height:22.4pt;width:57.55pt;z-index:251717632;mso-width-relative:page;mso-height-relative:page;" fillcolor="#FFC000" filled="t" stroked="t" coordsize="21600,21600" o:gfxdata="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7YS/1wAAAAkBAAAPAAAAAAAAAAEAIAAAACIAAABk&#10;cnMvZG93bnJldi54bWxQSwECFAAUAAAACACHTuJAUyiz9wcCAAAsBAAADgAAAAAAAAABACAAAAAm&#10;AQAAZHJzL2Uyb0RvYy54bWxQSwUGAAAAAAYABgBZAQAAnwUAAAAA&#10;">
                <v:fill on="t" focussize="0,0"/>
                <v:stroke color="#7030A0" joinstyle="miter"/>
                <v:imagedata o:title=""/>
                <o:lock v:ext="edit" aspectratio="f"/>
                <v:textbox>
                  <w:txbxContent>
                    <w:p w14:paraId="53DD512D">
                      <w:pPr>
                        <w:rPr>
                          <w:rFonts w:hint="eastAsia"/>
                        </w:rPr>
                      </w:pPr>
                      <w:r>
                        <w:rPr>
                          <w:rFonts w:hint="eastAsia"/>
                        </w:rPr>
                        <w:t>管道顶进</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27872" behindDoc="0" locked="0" layoutInCell="1" allowOverlap="1">
                <wp:simplePos x="0" y="0"/>
                <wp:positionH relativeFrom="column">
                  <wp:posOffset>-216535</wp:posOffset>
                </wp:positionH>
                <wp:positionV relativeFrom="paragraph">
                  <wp:posOffset>153670</wp:posOffset>
                </wp:positionV>
                <wp:extent cx="1080135" cy="42100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080135" cy="421005"/>
                        </a:xfrm>
                        <a:prstGeom prst="rect">
                          <a:avLst/>
                        </a:prstGeom>
                        <a:noFill/>
                        <a:ln>
                          <a:noFill/>
                        </a:ln>
                      </wps:spPr>
                      <wps:txbx>
                        <w:txbxContent>
                          <w:p w14:paraId="44C9CA10">
                            <w:pPr>
                              <w:spacing w:line="240" w:lineRule="exact"/>
                              <w:jc w:val="center"/>
                              <w:rPr>
                                <w:rFonts w:hint="eastAsia"/>
                              </w:rPr>
                            </w:pPr>
                            <w:r>
                              <w:rPr>
                                <w:rFonts w:hint="eastAsia"/>
                              </w:rPr>
                              <w:t>噪声、燃油废气、粉尘、固废</w:t>
                            </w:r>
                          </w:p>
                        </w:txbxContent>
                      </wps:txbx>
                      <wps:bodyPr upright="1"/>
                    </wps:wsp>
                  </a:graphicData>
                </a:graphic>
              </wp:anchor>
            </w:drawing>
          </mc:Choice>
          <mc:Fallback>
            <w:pict>
              <v:shape id="_x0000_s1026" o:spid="_x0000_s1026" o:spt="202" type="#_x0000_t202" style="position:absolute;left:0pt;margin-left:-17.05pt;margin-top:12.1pt;height:33.15pt;width:85.05pt;z-index:251727872;mso-width-relative:page;mso-height-relative:page;" filled="f" stroked="f" coordsize="21600,21600" o:gfxdata="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vmQZdcA&#10;AAAJAQAADwAAAAAAAAABACAAAAAiAAAAZHJzL2Rvd25yZXYueG1sUEsBAhQAFAAAAAgAh07iQB3I&#10;3POuAQAAUgMAAA4AAAAAAAAAAQAgAAAAJgEAAGRycy9lMm9Eb2MueG1sUEsFBgAAAAAGAAYAWQEA&#10;AEYFAAAAAA==&#10;">
                <v:fill on="f" focussize="0,0"/>
                <v:stroke on="f"/>
                <v:imagedata o:title=""/>
                <o:lock v:ext="edit" aspectratio="f"/>
                <v:textbox>
                  <w:txbxContent>
                    <w:p w14:paraId="44C9CA10">
                      <w:pPr>
                        <w:spacing w:line="240" w:lineRule="exact"/>
                        <w:jc w:val="center"/>
                        <w:rPr>
                          <w:rFonts w:hint="eastAsia"/>
                        </w:rPr>
                      </w:pPr>
                      <w:r>
                        <w:rPr>
                          <w:rFonts w:hint="eastAsia"/>
                        </w:rPr>
                        <w:t>噪声、燃油废气、粉尘、固废</w:t>
                      </w:r>
                    </w:p>
                  </w:txbxContent>
                </v:textbox>
              </v:shape>
            </w:pict>
          </mc:Fallback>
        </mc:AlternateContent>
      </w:r>
    </w:p>
    <w:p w14:paraId="2A8098C2">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18656" behindDoc="0" locked="0" layoutInCell="1" allowOverlap="1">
                <wp:simplePos x="0" y="0"/>
                <wp:positionH relativeFrom="column">
                  <wp:posOffset>4349115</wp:posOffset>
                </wp:positionH>
                <wp:positionV relativeFrom="paragraph">
                  <wp:posOffset>169545</wp:posOffset>
                </wp:positionV>
                <wp:extent cx="0" cy="212090"/>
                <wp:effectExtent l="38100" t="0" r="38100" b="16510"/>
                <wp:wrapNone/>
                <wp:docPr id="107" name="直接连接符 107"/>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45pt;margin-top:13.35pt;height:16.7pt;width:0pt;z-index:251718656;mso-width-relative:page;mso-height-relative:page;" filled="f" stroked="t" coordsize="21600,21600" o:gfxdata="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p0EQ2AAAAAkBAAAPAAAAAAAAAAEAIAAAACIAAABkcnMvZG93bnJl&#10;di54bWxQSwECFAAUAAAACACHTuJAUEyfN/0BAADrAwAADgAAAAAAAAABACAAAAAnAQAAZHJzL2Uy&#10;b0RvYy54bWxQSwUGAAAAAAYABgBZAQAAlgUAAAAA&#10;">
                <v:fill on="f" focussize="0,0"/>
                <v:stroke color="#000000" joinstyle="round" endarrow="block"/>
                <v:imagedata o:title=""/>
                <o:lock v:ext="edit" aspectratio="f"/>
              </v:line>
            </w:pict>
          </mc:Fallback>
        </mc:AlternateContent>
      </w:r>
    </w:p>
    <w:p w14:paraId="593A1F2E">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30944" behindDoc="0" locked="0" layoutInCell="1" allowOverlap="1">
                <wp:simplePos x="0" y="0"/>
                <wp:positionH relativeFrom="column">
                  <wp:posOffset>5471795</wp:posOffset>
                </wp:positionH>
                <wp:positionV relativeFrom="paragraph">
                  <wp:posOffset>55245</wp:posOffset>
                </wp:positionV>
                <wp:extent cx="0" cy="212090"/>
                <wp:effectExtent l="38100" t="0" r="38100" b="16510"/>
                <wp:wrapNone/>
                <wp:docPr id="106" name="直接连接符 106"/>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30.85pt;margin-top:4.35pt;height:16.7pt;width:0pt;z-index:251730944;mso-width-relative:page;mso-height-relative:page;" filled="f" stroked="t" coordsize="21600,21600" o:gfxdata="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UiRTXAAAACAEAAA8AAAAAAAAAAQAgAAAAIgAAAGRycy9kb3ducmV2&#10;LnhtbFBLAQIUABQAAAAIAIdO4kCIlCFA/QEAAOsDAAAOAAAAAAAAAAEAIAAAACY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0704" behindDoc="0" locked="0" layoutInCell="1" allowOverlap="1">
                <wp:simplePos x="0" y="0"/>
                <wp:positionH relativeFrom="column">
                  <wp:posOffset>2519045</wp:posOffset>
                </wp:positionH>
                <wp:positionV relativeFrom="paragraph">
                  <wp:posOffset>290195</wp:posOffset>
                </wp:positionV>
                <wp:extent cx="1468755" cy="0"/>
                <wp:effectExtent l="0" t="38100" r="17145" b="38100"/>
                <wp:wrapNone/>
                <wp:docPr id="114" name="直接连接符 114"/>
                <wp:cNvGraphicFramePr/>
                <a:graphic xmlns:a="http://schemas.openxmlformats.org/drawingml/2006/main">
                  <a:graphicData uri="http://schemas.microsoft.com/office/word/2010/wordprocessingShape">
                    <wps:wsp>
                      <wps:cNvCnPr/>
                      <wps:spPr>
                        <a:xfrm flipH="1" flipV="1">
                          <a:off x="0" y="0"/>
                          <a:ext cx="146875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98.35pt;margin-top:22.85pt;height:0pt;width:115.65pt;z-index:251720704;mso-width-relative:page;mso-height-relative:page;" filled="f" stroked="t" coordsize="21600,21600" o:gfxdata="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X/U9HYAAAACQEAAA8AAAAAAAAAAQAgAAAA&#10;IgAAAGRycy9kb3ducmV2LnhtbFBLAQIUABQAAAAIAIdO4kBG8+JrCwIAAAAEAAAOAAAAAAAAAAEA&#10;IAAAACcBAABkcnMvZTJvRG9jLnhtbFBLBQYAAAAABgAGAFkBAACk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31968" behindDoc="0" locked="0" layoutInCell="1" allowOverlap="1">
                <wp:simplePos x="0" y="0"/>
                <wp:positionH relativeFrom="column">
                  <wp:posOffset>4906010</wp:posOffset>
                </wp:positionH>
                <wp:positionV relativeFrom="paragraph">
                  <wp:posOffset>273050</wp:posOffset>
                </wp:positionV>
                <wp:extent cx="879475" cy="42291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879475" cy="422910"/>
                        </a:xfrm>
                        <a:prstGeom prst="rect">
                          <a:avLst/>
                        </a:prstGeom>
                        <a:noFill/>
                        <a:ln>
                          <a:noFill/>
                        </a:ln>
                      </wps:spPr>
                      <wps:txbx>
                        <w:txbxContent>
                          <w:p w14:paraId="5BB9AE28">
                            <w:pPr>
                              <w:spacing w:line="240" w:lineRule="exact"/>
                              <w:jc w:val="center"/>
                              <w:rPr>
                                <w:rFonts w:hint="eastAsia"/>
                              </w:rPr>
                            </w:pPr>
                            <w:r>
                              <w:rPr>
                                <w:rFonts w:hint="eastAsia"/>
                              </w:rPr>
                              <w:t>弃土、粉尘、噪声</w:t>
                            </w:r>
                          </w:p>
                        </w:txbxContent>
                      </wps:txbx>
                      <wps:bodyPr upright="1"/>
                    </wps:wsp>
                  </a:graphicData>
                </a:graphic>
              </wp:anchor>
            </w:drawing>
          </mc:Choice>
          <mc:Fallback>
            <w:pict>
              <v:shape id="_x0000_s1026" o:spid="_x0000_s1026" o:spt="202" type="#_x0000_t202" style="position:absolute;left:0pt;margin-left:386.3pt;margin-top:21.5pt;height:33.3pt;width:69.25pt;z-index:251731968;mso-width-relative:page;mso-height-relative:page;" filled="f" stroked="f" coordsize="21600,21600" o:gfxdata="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6t0ErX&#10;AAAACgEAAA8AAAAAAAAAAQAgAAAAIgAAAGRycy9kb3ducmV2LnhtbFBLAQIUABQAAAAIAIdO4kBO&#10;h6t3rwEAAFEDAAAOAAAAAAAAAAEAIAAAACYBAABkcnMvZTJvRG9jLnhtbFBLBQYAAAAABgAGAFkB&#10;AABHBQAAAAA=&#10;">
                <v:fill on="f" focussize="0,0"/>
                <v:stroke on="f"/>
                <v:imagedata o:title=""/>
                <o:lock v:ext="edit" aspectratio="f"/>
                <v:textbox>
                  <w:txbxContent>
                    <w:p w14:paraId="5BB9AE28">
                      <w:pPr>
                        <w:spacing w:line="240" w:lineRule="exact"/>
                        <w:jc w:val="center"/>
                        <w:rPr>
                          <w:rFonts w:hint="eastAsia"/>
                        </w:rPr>
                      </w:pPr>
                      <w:r>
                        <w:rPr>
                          <w:rFonts w:hint="eastAsia"/>
                        </w:rPr>
                        <w:t>弃土、粉尘、噪声</w:t>
                      </w:r>
                    </w:p>
                  </w:txbxContent>
                </v:textbox>
              </v:shape>
            </w:pict>
          </mc:Fallback>
        </mc:AlternateContent>
      </w:r>
      <w:r>
        <w:rPr>
          <w:rFonts w:ascii="Arial" w:hAnsi="Arial" w:eastAsia="黑体" w:cs="Arial"/>
          <w:b/>
          <w:sz w:val="24"/>
        </w:rPr>
        <mc:AlternateContent>
          <mc:Choice Requires="wps">
            <w:drawing>
              <wp:anchor distT="0" distB="0" distL="114300" distR="114300" simplePos="0" relativeHeight="251719680" behindDoc="0" locked="0" layoutInCell="1" allowOverlap="1">
                <wp:simplePos x="0" y="0"/>
                <wp:positionH relativeFrom="column">
                  <wp:posOffset>4022090</wp:posOffset>
                </wp:positionH>
                <wp:positionV relativeFrom="paragraph">
                  <wp:posOffset>97155</wp:posOffset>
                </wp:positionV>
                <wp:extent cx="593725" cy="286385"/>
                <wp:effectExtent l="4445" t="5080" r="11430" b="13335"/>
                <wp:wrapNone/>
                <wp:docPr id="117" name="矩形 117"/>
                <wp:cNvGraphicFramePr/>
                <a:graphic xmlns:a="http://schemas.openxmlformats.org/drawingml/2006/main">
                  <a:graphicData uri="http://schemas.microsoft.com/office/word/2010/wordprocessingShape">
                    <wps:wsp>
                      <wps:cNvSpPr/>
                      <wps:spPr>
                        <a:xfrm>
                          <a:off x="0" y="0"/>
                          <a:ext cx="593725" cy="28638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E920571">
                            <w:pPr>
                              <w:rPr>
                                <w:rFonts w:hint="eastAsia"/>
                              </w:rPr>
                            </w:pPr>
                            <w:r>
                              <w:rPr>
                                <w:rFonts w:hint="eastAsia"/>
                              </w:rPr>
                              <w:t>加顶铁</w:t>
                            </w:r>
                          </w:p>
                        </w:txbxContent>
                      </wps:txbx>
                      <wps:bodyPr upright="1"/>
                    </wps:wsp>
                  </a:graphicData>
                </a:graphic>
              </wp:anchor>
            </w:drawing>
          </mc:Choice>
          <mc:Fallback>
            <w:pict>
              <v:rect id="_x0000_s1026" o:spid="_x0000_s1026" o:spt="1" style="position:absolute;left:0pt;margin-left:316.7pt;margin-top:7.65pt;height:22.55pt;width:46.75pt;z-index:251719680;mso-width-relative:page;mso-height-relative:page;" fillcolor="#FFC000" filled="t" stroked="t" coordsize="21600,21600" o:gfxdata="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WSz1gAAAAkBAAAPAAAAAAAAAAEAIAAAACIAAABk&#10;cnMvZG93bnJldi54bWxQSwECFAAUAAAACACHTuJALkpXtQgCAAAsBAAADgAAAAAAAAABACAAAAAl&#10;AQAAZHJzL2Uyb0RvYy54bWxQSwUGAAAAAAYABgBZAQAAnwUAAAAA&#10;">
                <v:fill on="t" focussize="0,0"/>
                <v:stroke color="#7030A0" joinstyle="miter"/>
                <v:imagedata o:title=""/>
                <o:lock v:ext="edit" aspectratio="f"/>
                <v:textbox>
                  <w:txbxContent>
                    <w:p w14:paraId="5E920571">
                      <w:pPr>
                        <w:rPr>
                          <w:rFonts w:hint="eastAsia"/>
                        </w:rPr>
                      </w:pPr>
                      <w:r>
                        <w:rPr>
                          <w:rFonts w:hint="eastAsia"/>
                        </w:rPr>
                        <w:t>加顶铁</w:t>
                      </w:r>
                    </w:p>
                  </w:txbxContent>
                </v:textbox>
              </v:rect>
            </w:pict>
          </mc:Fallback>
        </mc:AlternateContent>
      </w:r>
    </w:p>
    <w:p w14:paraId="62C859FA">
      <w:pPr>
        <w:pStyle w:val="41"/>
        <w:adjustRightInd w:val="0"/>
        <w:snapToGrid w:val="0"/>
        <w:spacing w:line="460" w:lineRule="exact"/>
        <w:ind w:firstLine="480" w:firstLineChars="200"/>
        <w:rPr>
          <w:rFonts w:hint="eastAsia" w:ascii="Arial" w:hAnsi="Arial" w:eastAsia="仿宋_GB2312" w:cs="Arial"/>
          <w:color w:val="000000"/>
          <w:sz w:val="24"/>
        </w:rPr>
      </w:pPr>
    </w:p>
    <w:p w14:paraId="1FE11687">
      <w:pPr>
        <w:pStyle w:val="41"/>
        <w:adjustRightInd w:val="0"/>
        <w:snapToGrid w:val="0"/>
        <w:spacing w:line="240" w:lineRule="exact"/>
        <w:ind w:firstLine="480" w:firstLineChars="200"/>
        <w:rPr>
          <w:rFonts w:hint="eastAsia" w:ascii="Arial" w:hAnsi="Arial" w:eastAsia="仿宋_GB2312" w:cs="Arial"/>
          <w:color w:val="000000"/>
          <w:sz w:val="24"/>
        </w:rPr>
      </w:pPr>
    </w:p>
    <w:p w14:paraId="0F66FA0D">
      <w:pPr>
        <w:keepNext w:val="0"/>
        <w:keepLines w:val="0"/>
        <w:pageBreakBefore w:val="0"/>
        <w:widowControl w:val="0"/>
        <w:kinsoku/>
        <w:wordWrap/>
        <w:overflowPunct/>
        <w:topLinePunct w:val="0"/>
        <w:autoSpaceDE/>
        <w:autoSpaceDN/>
        <w:bidi w:val="0"/>
        <w:adjustRightInd/>
        <w:snapToGrid/>
        <w:spacing w:line="460" w:lineRule="exact"/>
        <w:ind w:firstLine="522" w:firstLineChars="200"/>
        <w:jc w:val="center"/>
        <w:textAlignment w:val="auto"/>
        <w:rPr>
          <w:rFonts w:ascii="Arial" w:hAnsi="宋体" w:cs="Arial"/>
          <w:b/>
          <w:bCs/>
          <w:color w:val="FF0000"/>
          <w:sz w:val="26"/>
          <w:szCs w:val="26"/>
        </w:rPr>
      </w:pPr>
      <w:r>
        <w:rPr>
          <w:rFonts w:ascii="Arial" w:hAnsi="宋体" w:cs="Arial"/>
          <w:b/>
          <w:bCs/>
          <w:color w:val="auto"/>
          <w:sz w:val="26"/>
          <w:szCs w:val="26"/>
        </w:rPr>
        <w:t>图</w:t>
      </w:r>
      <w:r>
        <w:rPr>
          <w:rFonts w:hint="eastAsia" w:ascii="Arial" w:hAnsi="宋体" w:cs="Arial"/>
          <w:b/>
          <w:bCs/>
          <w:color w:val="auto"/>
          <w:sz w:val="26"/>
          <w:szCs w:val="26"/>
        </w:rPr>
        <w:t>3.4-</w:t>
      </w:r>
      <w:r>
        <w:rPr>
          <w:rFonts w:hint="eastAsia" w:ascii="Arial" w:hAnsi="宋体" w:cs="Arial"/>
          <w:b/>
          <w:bCs/>
          <w:color w:val="auto"/>
          <w:sz w:val="26"/>
          <w:szCs w:val="26"/>
          <w:lang w:val="en-US" w:eastAsia="zh-CN"/>
        </w:rPr>
        <w:t>3</w:t>
      </w:r>
      <w:r>
        <w:rPr>
          <w:rFonts w:hint="eastAsia" w:ascii="Arial" w:hAnsi="宋体" w:cs="Arial"/>
          <w:b/>
          <w:bCs/>
          <w:color w:val="auto"/>
          <w:sz w:val="26"/>
          <w:szCs w:val="26"/>
        </w:rPr>
        <w:t xml:space="preserve"> </w:t>
      </w:r>
      <w:r>
        <w:rPr>
          <w:rFonts w:hint="eastAsia" w:ascii="Arial" w:hAnsi="宋体" w:cs="Arial"/>
          <w:b/>
          <w:bCs/>
          <w:sz w:val="26"/>
          <w:szCs w:val="26"/>
        </w:rPr>
        <w:t>输水工程</w:t>
      </w:r>
      <w:r>
        <w:rPr>
          <w:rFonts w:hint="eastAsia" w:ascii="Arial" w:hAnsi="宋体" w:cs="Arial"/>
          <w:b/>
          <w:bCs/>
          <w:sz w:val="26"/>
          <w:szCs w:val="26"/>
          <w:lang w:eastAsia="zh-CN"/>
        </w:rPr>
        <w:t>水域段</w:t>
      </w:r>
      <w:r>
        <w:rPr>
          <w:rFonts w:hint="eastAsia" w:ascii="Arial" w:hAnsi="宋体" w:cs="Arial"/>
          <w:b/>
          <w:bCs/>
          <w:color w:val="auto"/>
          <w:sz w:val="26"/>
          <w:szCs w:val="26"/>
        </w:rPr>
        <w:t>施工</w:t>
      </w:r>
      <w:r>
        <w:rPr>
          <w:rFonts w:ascii="Arial" w:hAnsi="宋体" w:cs="Arial"/>
          <w:b/>
          <w:bCs/>
          <w:color w:val="auto"/>
          <w:sz w:val="26"/>
          <w:szCs w:val="26"/>
        </w:rPr>
        <w:t>工艺流程及产排污环节图</w:t>
      </w:r>
    </w:p>
    <w:p w14:paraId="6753AAE6">
      <w:pPr>
        <w:keepNext w:val="0"/>
        <w:keepLines w:val="0"/>
        <w:pageBreakBefore w:val="0"/>
        <w:widowControl w:val="0"/>
        <w:kinsoku/>
        <w:wordWrap/>
        <w:overflowPunct/>
        <w:topLinePunct w:val="0"/>
        <w:autoSpaceDE/>
        <w:autoSpaceDN/>
        <w:bidi w:val="0"/>
        <w:adjustRightInd/>
        <w:snapToGrid/>
        <w:spacing w:line="460" w:lineRule="exact"/>
        <w:ind w:firstLine="392" w:firstLineChars="150"/>
        <w:jc w:val="left"/>
        <w:textAlignment w:val="auto"/>
        <w:outlineLvl w:val="3"/>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w:t>
      </w:r>
      <w:r>
        <w:rPr>
          <w:rFonts w:hint="eastAsia" w:ascii="Arial" w:hAnsi="宋体" w:cs="Arial"/>
          <w:b/>
          <w:sz w:val="26"/>
          <w:szCs w:val="26"/>
          <w:lang w:val="en-US" w:eastAsia="zh-CN"/>
        </w:rPr>
        <w:t>3</w:t>
      </w:r>
      <w:r>
        <w:rPr>
          <w:rFonts w:hint="eastAsia" w:ascii="Arial" w:hAnsi="宋体" w:eastAsia="宋体" w:cs="Arial"/>
          <w:b/>
          <w:sz w:val="26"/>
          <w:szCs w:val="26"/>
          <w:lang w:val="en-US" w:eastAsia="zh-CN"/>
        </w:rPr>
        <w:t>）附属设施工程</w:t>
      </w:r>
    </w:p>
    <w:p w14:paraId="35046F2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本项目附属设施主要为管理房、闸阀房、上坝道路、环</w:t>
      </w:r>
      <w:r>
        <w:rPr>
          <w:rFonts w:hint="eastAsia" w:ascii="Arial" w:hAnsi="Arial" w:cs="Arial"/>
          <w:b w:val="0"/>
          <w:bCs/>
          <w:color w:val="auto"/>
          <w:sz w:val="26"/>
          <w:szCs w:val="26"/>
          <w:lang w:val="en-US" w:eastAsia="zh-CN"/>
        </w:rPr>
        <w:t>库巡检步道等，</w:t>
      </w:r>
      <w:r>
        <w:rPr>
          <w:rFonts w:hint="eastAsia" w:ascii="Arial" w:hAnsi="宋体" w:cs="Arial"/>
          <w:b w:val="0"/>
          <w:bCs/>
          <w:color w:val="auto"/>
          <w:sz w:val="26"/>
          <w:szCs w:val="26"/>
        </w:rPr>
        <w:t>施工工艺流程及产污环节详见图3.4-</w:t>
      </w:r>
      <w:r>
        <w:rPr>
          <w:rFonts w:hint="eastAsia" w:ascii="Arial" w:hAnsi="宋体" w:cs="Arial"/>
          <w:b w:val="0"/>
          <w:bCs/>
          <w:color w:val="auto"/>
          <w:sz w:val="26"/>
          <w:szCs w:val="26"/>
          <w:lang w:val="en-US" w:eastAsia="zh-CN"/>
        </w:rPr>
        <w:t>4~5</w:t>
      </w:r>
      <w:r>
        <w:rPr>
          <w:rFonts w:hint="eastAsia" w:ascii="Arial" w:hAnsi="宋体" w:cs="Arial"/>
          <w:b w:val="0"/>
          <w:bCs/>
          <w:color w:val="auto"/>
          <w:sz w:val="26"/>
          <w:szCs w:val="26"/>
        </w:rPr>
        <w:t>所示</w:t>
      </w:r>
      <w:r>
        <w:rPr>
          <w:rFonts w:hint="eastAsia" w:ascii="Arial" w:hAnsi="Arial" w:cs="Arial"/>
          <w:b w:val="0"/>
          <w:bCs/>
          <w:color w:val="auto"/>
          <w:sz w:val="26"/>
          <w:szCs w:val="26"/>
          <w:lang w:val="en-US" w:eastAsia="zh-CN"/>
        </w:rPr>
        <w:t>。</w:t>
      </w:r>
    </w:p>
    <w:p w14:paraId="06590BB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p>
    <w:p w14:paraId="51A68C98">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p>
    <w:p w14:paraId="7902B957">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39136" behindDoc="0" locked="0" layoutInCell="1" allowOverlap="1">
                <wp:simplePos x="0" y="0"/>
                <wp:positionH relativeFrom="column">
                  <wp:posOffset>2753995</wp:posOffset>
                </wp:positionH>
                <wp:positionV relativeFrom="paragraph">
                  <wp:posOffset>99060</wp:posOffset>
                </wp:positionV>
                <wp:extent cx="1997075" cy="550545"/>
                <wp:effectExtent l="0" t="0" r="0" b="0"/>
                <wp:wrapNone/>
                <wp:docPr id="196" name="矩形 196"/>
                <wp:cNvGraphicFramePr/>
                <a:graphic xmlns:a="http://schemas.openxmlformats.org/drawingml/2006/main">
                  <a:graphicData uri="http://schemas.microsoft.com/office/word/2010/wordprocessingShape">
                    <wps:wsp>
                      <wps:cNvSpPr/>
                      <wps:spPr>
                        <a:xfrm>
                          <a:off x="0" y="0"/>
                          <a:ext cx="1997075" cy="550545"/>
                        </a:xfrm>
                        <a:prstGeom prst="rect">
                          <a:avLst/>
                        </a:prstGeom>
                        <a:noFill/>
                        <a:ln>
                          <a:noFill/>
                        </a:ln>
                      </wps:spPr>
                      <wps:txbx>
                        <w:txbxContent>
                          <w:p w14:paraId="5B94DC83">
                            <w:pPr>
                              <w:rPr>
                                <w:rFonts w:hint="eastAsia" w:eastAsia="宋体"/>
                                <w:lang w:eastAsia="zh-CN"/>
                              </w:rPr>
                            </w:pPr>
                            <w:r>
                              <w:rPr>
                                <w:rFonts w:hint="eastAsia"/>
                              </w:rPr>
                              <w:t>扬尘、噪声、水土流失</w:t>
                            </w:r>
                            <w:r>
                              <w:rPr>
                                <w:rFonts w:hint="eastAsia"/>
                                <w:lang w:eastAsia="zh-CN"/>
                              </w:rPr>
                              <w:t>、土石方</w:t>
                            </w:r>
                          </w:p>
                        </w:txbxContent>
                      </wps:txbx>
                      <wps:bodyPr upright="1"/>
                    </wps:wsp>
                  </a:graphicData>
                </a:graphic>
              </wp:anchor>
            </w:drawing>
          </mc:Choice>
          <mc:Fallback>
            <w:pict>
              <v:rect id="_x0000_s1026" o:spid="_x0000_s1026" o:spt="1" style="position:absolute;left:0pt;margin-left:216.85pt;margin-top:7.8pt;height:43.35pt;width:157.25pt;z-index:251739136;mso-width-relative:page;mso-height-relative:page;" filled="f" stroked="f" coordsize="21600,21600" o:gfxdata="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W6IQNsAAAAKAQAA&#10;DwAAAAAAAAABACAAAAAiAAAAZHJzL2Rvd25yZXYueG1sUEsBAhQAFAAAAAgAh07iQK6Eg46kAQAA&#10;RQMAAA4AAAAAAAAAAQAgAAAAKgEAAGRycy9lMm9Eb2MueG1sUEsFBgAAAAAGAAYAWQEAAEAFAAAA&#10;AA==&#10;">
                <v:fill on="f" focussize="0,0"/>
                <v:stroke on="f"/>
                <v:imagedata o:title=""/>
                <o:lock v:ext="edit" aspectratio="f"/>
                <v:textbox>
                  <w:txbxContent>
                    <w:p w14:paraId="5B94DC83">
                      <w:pPr>
                        <w:rPr>
                          <w:rFonts w:hint="eastAsia" w:eastAsia="宋体"/>
                          <w:lang w:eastAsia="zh-CN"/>
                        </w:rPr>
                      </w:pPr>
                      <w:r>
                        <w:rPr>
                          <w:rFonts w:hint="eastAsia"/>
                        </w:rPr>
                        <w:t>扬尘、噪声、水土流失</w:t>
                      </w:r>
                      <w:r>
                        <w:rPr>
                          <w:rFonts w:hint="eastAsia"/>
                          <w:lang w:eastAsia="zh-CN"/>
                        </w:rPr>
                        <w:t>、土石方</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38112" behindDoc="0" locked="0" layoutInCell="1" allowOverlap="1">
                <wp:simplePos x="0" y="0"/>
                <wp:positionH relativeFrom="column">
                  <wp:posOffset>2178050</wp:posOffset>
                </wp:positionH>
                <wp:positionV relativeFrom="paragraph">
                  <wp:posOffset>276860</wp:posOffset>
                </wp:positionV>
                <wp:extent cx="575945" cy="0"/>
                <wp:effectExtent l="0" t="38100" r="14605" b="38100"/>
                <wp:wrapNone/>
                <wp:docPr id="197" name="直接连接符 197"/>
                <wp:cNvGraphicFramePr/>
                <a:graphic xmlns:a="http://schemas.openxmlformats.org/drawingml/2006/main">
                  <a:graphicData uri="http://schemas.microsoft.com/office/word/2010/wordprocessingShape">
                    <wps:wsp>
                      <wps:cNvCnPr/>
                      <wps:spPr>
                        <a:xfrm>
                          <a:off x="0" y="0"/>
                          <a:ext cx="57594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171.5pt;margin-top:21.8pt;height:0pt;width:45.35pt;z-index:251738112;mso-width-relative:page;mso-height-relative:page;" filled="f" stroked="t" coordsize="21600,21600" o:gfxdata="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wAjHZAAAACQEAAA8AAAAAAAAAAQAgAAAAIgAAAGRycy9kb3du&#10;cmV2LnhtbFBLAQIUABQAAAAIAIdO4kBUSmad/gEAAOoDAAAOAAAAAAAAAAEAIAAAACgBAABkcnMv&#10;ZTJvRG9jLnhtbFBLBQYAAAAABgAGAFkBAACYBQAAAAA=&#10;">
                <v:fill on="f" focussize="0,0"/>
                <v:stroke color="#000000" joinstyle="round" dashstyle="dash"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732992" behindDoc="0" locked="0" layoutInCell="1" allowOverlap="1">
                <wp:simplePos x="0" y="0"/>
                <wp:positionH relativeFrom="column">
                  <wp:posOffset>1000125</wp:posOffset>
                </wp:positionH>
                <wp:positionV relativeFrom="paragraph">
                  <wp:posOffset>99060</wp:posOffset>
                </wp:positionV>
                <wp:extent cx="1177925" cy="317500"/>
                <wp:effectExtent l="4445" t="4445" r="17780" b="20955"/>
                <wp:wrapNone/>
                <wp:docPr id="195" name="矩形 195"/>
                <wp:cNvGraphicFramePr/>
                <a:graphic xmlns:a="http://schemas.openxmlformats.org/drawingml/2006/main">
                  <a:graphicData uri="http://schemas.microsoft.com/office/word/2010/wordprocessingShape">
                    <wps:wsp>
                      <wps:cNvSpPr/>
                      <wps:spPr>
                        <a:xfrm>
                          <a:off x="0" y="0"/>
                          <a:ext cx="1177925" cy="31750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06CAA22">
                            <w:pPr>
                              <w:jc w:val="center"/>
                              <w:rPr>
                                <w:rFonts w:hint="eastAsia" w:eastAsia="宋体"/>
                                <w:lang w:eastAsia="zh-CN"/>
                              </w:rPr>
                            </w:pPr>
                            <w:r>
                              <w:rPr>
                                <w:rFonts w:hint="eastAsia"/>
                                <w:lang w:eastAsia="zh-CN"/>
                              </w:rPr>
                              <w:t>路基平整</w:t>
                            </w:r>
                          </w:p>
                        </w:txbxContent>
                      </wps:txbx>
                      <wps:bodyPr upright="1"/>
                    </wps:wsp>
                  </a:graphicData>
                </a:graphic>
              </wp:anchor>
            </w:drawing>
          </mc:Choice>
          <mc:Fallback>
            <w:pict>
              <v:rect id="_x0000_s1026" o:spid="_x0000_s1026" o:spt="1" style="position:absolute;left:0pt;margin-left:78.75pt;margin-top:7.8pt;height:25pt;width:92.75pt;z-index:251732992;mso-width-relative:page;mso-height-relative:page;" fillcolor="#FFC000" filled="t" stroked="t" coordsize="21600,21600" o:gfxdata="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cHNXdUAAAAJAQAADwAAAAAAAAABACAAAAAiAAAAZHJz&#10;L2Rvd25yZXYueG1sUEsBAhQAFAAAAAgAh07iQFFTmIsHAgAALQQAAA4AAAAAAAAAAQAgAAAAJAEA&#10;AGRycy9lMm9Eb2MueG1sUEsFBgAAAAAGAAYAWQEAAJ0FAAAAAA==&#10;">
                <v:fill on="t" focussize="0,0"/>
                <v:stroke color="#7030A0" joinstyle="miter"/>
                <v:imagedata o:title=""/>
                <o:lock v:ext="edit" aspectratio="f"/>
                <v:textbox>
                  <w:txbxContent>
                    <w:p w14:paraId="506CAA22">
                      <w:pPr>
                        <w:jc w:val="center"/>
                        <w:rPr>
                          <w:rFonts w:hint="eastAsia" w:eastAsia="宋体"/>
                          <w:lang w:eastAsia="zh-CN"/>
                        </w:rPr>
                      </w:pPr>
                      <w:r>
                        <w:rPr>
                          <w:rFonts w:hint="eastAsia"/>
                          <w:lang w:eastAsia="zh-CN"/>
                        </w:rPr>
                        <w:t>路基平整</w:t>
                      </w:r>
                    </w:p>
                  </w:txbxContent>
                </v:textbox>
              </v:rect>
            </w:pict>
          </mc:Fallback>
        </mc:AlternateContent>
      </w:r>
    </w:p>
    <w:p w14:paraId="5EECE991">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34016" behindDoc="0" locked="0" layoutInCell="1" allowOverlap="1">
                <wp:simplePos x="0" y="0"/>
                <wp:positionH relativeFrom="column">
                  <wp:posOffset>1570990</wp:posOffset>
                </wp:positionH>
                <wp:positionV relativeFrom="paragraph">
                  <wp:posOffset>124460</wp:posOffset>
                </wp:positionV>
                <wp:extent cx="116840" cy="215900"/>
                <wp:effectExtent l="38100" t="0" r="0" b="12700"/>
                <wp:wrapNone/>
                <wp:docPr id="199" name="任意多边形 199"/>
                <wp:cNvGraphicFramePr/>
                <a:graphic xmlns:a="http://schemas.openxmlformats.org/drawingml/2006/main">
                  <a:graphicData uri="http://schemas.microsoft.com/office/word/2010/wordprocessingShape">
                    <wps:wsp>
                      <wps:cNvSpPr/>
                      <wps:spPr>
                        <a:xfrm>
                          <a:off x="0" y="0"/>
                          <a:ext cx="116840" cy="215900"/>
                        </a:xfrm>
                        <a:custGeom>
                          <a:avLst/>
                          <a:gdLst/>
                          <a:ahLst/>
                          <a:cxnLst/>
                          <a:pathLst>
                            <a:path w="1" h="360">
                              <a:moveTo>
                                <a:pt x="0" y="0"/>
                              </a:moveTo>
                              <a:lnTo>
                                <a:pt x="0" y="36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23.7pt;margin-top:9.8pt;height:17pt;width:9.2pt;z-index:251734016;mso-width-relative:page;mso-height-relative:page;" filled="f" stroked="t" coordsize="1,360" o:gfxdata="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ErYf9kAAAAJAQAADwAAAAAAAAABACAAAAAiAAAAZHJzL2Rv&#10;d25yZXYueG1sUEsBAhQAFAAAAAgAh07iQJN0deI5AgAAkgQAAA4AAAAAAAAAAQAgAAAAKAEAAGRy&#10;cy9lMm9Eb2MueG1sUEsFBgAAAAAGAAYAWQEAANMFAAAAAA==&#10;" path="m0,0l0,360e">
                <v:fill on="f" focussize="0,0"/>
                <v:stroke color="#000000" joinstyle="round" endarrow="block"/>
                <v:imagedata o:title=""/>
                <o:lock v:ext="edit" aspectratio="f"/>
              </v:shape>
            </w:pict>
          </mc:Fallback>
        </mc:AlternateContent>
      </w:r>
    </w:p>
    <w:p w14:paraId="7EC2F21B">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42208" behindDoc="0" locked="0" layoutInCell="1" allowOverlap="1">
                <wp:simplePos x="0" y="0"/>
                <wp:positionH relativeFrom="column">
                  <wp:posOffset>2814320</wp:posOffset>
                </wp:positionH>
                <wp:positionV relativeFrom="paragraph">
                  <wp:posOffset>78740</wp:posOffset>
                </wp:positionV>
                <wp:extent cx="2035175" cy="387350"/>
                <wp:effectExtent l="0" t="0" r="0" b="0"/>
                <wp:wrapNone/>
                <wp:docPr id="201" name="矩形 201"/>
                <wp:cNvGraphicFramePr/>
                <a:graphic xmlns:a="http://schemas.openxmlformats.org/drawingml/2006/main">
                  <a:graphicData uri="http://schemas.microsoft.com/office/word/2010/wordprocessingShape">
                    <wps:wsp>
                      <wps:cNvSpPr/>
                      <wps:spPr>
                        <a:xfrm>
                          <a:off x="0" y="0"/>
                          <a:ext cx="2035175" cy="387350"/>
                        </a:xfrm>
                        <a:prstGeom prst="rect">
                          <a:avLst/>
                        </a:prstGeom>
                        <a:noFill/>
                        <a:ln>
                          <a:noFill/>
                        </a:ln>
                      </wps:spPr>
                      <wps:txbx>
                        <w:txbxContent>
                          <w:p w14:paraId="11973B9B">
                            <w:r>
                              <w:rPr>
                                <w:rFonts w:hint="eastAsia"/>
                              </w:rPr>
                              <w:t>扬尘、噪声、水土流失、土石方</w:t>
                            </w:r>
                          </w:p>
                        </w:txbxContent>
                      </wps:txbx>
                      <wps:bodyPr upright="1"/>
                    </wps:wsp>
                  </a:graphicData>
                </a:graphic>
              </wp:anchor>
            </w:drawing>
          </mc:Choice>
          <mc:Fallback>
            <w:pict>
              <v:rect id="_x0000_s1026" o:spid="_x0000_s1026" o:spt="1" style="position:absolute;left:0pt;margin-left:221.6pt;margin-top:6.2pt;height:30.5pt;width:160.25pt;z-index:251742208;mso-width-relative:page;mso-height-relative:page;" filled="f" stroked="f" coordsize="21600,21600" o:gfxdata="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VOirTaAAAACQEAAA8A&#10;AAAAAAAAAQAgAAAAIgAAAGRycy9kb3ducmV2LnhtbFBLAQIUABQAAAAIAIdO4kBPgmABowEAAEUD&#10;AAAOAAAAAAAAAAEAIAAAACkBAABkcnMvZTJvRG9jLnhtbFBLBQYAAAAABgAGAFkBAAA+BQAAAAA=&#10;">
                <v:fill on="f" focussize="0,0"/>
                <v:stroke on="f"/>
                <v:imagedata o:title=""/>
                <o:lock v:ext="edit" aspectratio="f"/>
                <v:textbox>
                  <w:txbxContent>
                    <w:p w14:paraId="11973B9B">
                      <w:r>
                        <w:rPr>
                          <w:rFonts w:hint="eastAsia"/>
                        </w:rPr>
                        <w:t>扬尘、噪声、水土流失、土石方</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43232" behindDoc="0" locked="0" layoutInCell="1" allowOverlap="1">
                <wp:simplePos x="0" y="0"/>
                <wp:positionH relativeFrom="column">
                  <wp:posOffset>2192655</wp:posOffset>
                </wp:positionH>
                <wp:positionV relativeFrom="paragraph">
                  <wp:posOffset>224790</wp:posOffset>
                </wp:positionV>
                <wp:extent cx="704215" cy="0"/>
                <wp:effectExtent l="0" t="38100" r="635" b="38100"/>
                <wp:wrapNone/>
                <wp:docPr id="203" name="直接连接符 203"/>
                <wp:cNvGraphicFramePr/>
                <a:graphic xmlns:a="http://schemas.openxmlformats.org/drawingml/2006/main">
                  <a:graphicData uri="http://schemas.microsoft.com/office/word/2010/wordprocessingShape">
                    <wps:wsp>
                      <wps:cNvCnPr/>
                      <wps:spPr>
                        <a:xfrm>
                          <a:off x="0" y="0"/>
                          <a:ext cx="70421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172.65pt;margin-top:17.7pt;height:0pt;width:55.45pt;z-index:251743232;mso-width-relative:page;mso-height-relative:page;" filled="f" stroked="t" coordsize="21600,21600" o:gfxdata="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1YY9gAAAAJAQAADwAAAAAAAAABACAAAAAiAAAAZHJzL2Rvd25y&#10;ZXYueG1sUEsBAhQAFAAAAAgAh07iQOnR7AX+AQAA6gMAAA4AAAAAAAAAAQAgAAAAJwEAAGRycy9l&#10;Mm9Eb2MueG1sUEsFBgAAAAAGAAYAWQEAAJcFAAAAAA==&#10;">
                <v:fill on="f" focussize="0,0"/>
                <v:stroke color="#000000" joinstyle="round" dashstyle="dash"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735040" behindDoc="0" locked="0" layoutInCell="1" allowOverlap="1">
                <wp:simplePos x="0" y="0"/>
                <wp:positionH relativeFrom="column">
                  <wp:posOffset>1032510</wp:posOffset>
                </wp:positionH>
                <wp:positionV relativeFrom="paragraph">
                  <wp:posOffset>78740</wp:posOffset>
                </wp:positionV>
                <wp:extent cx="1145540" cy="325120"/>
                <wp:effectExtent l="4445" t="4445" r="12065" b="13335"/>
                <wp:wrapNone/>
                <wp:docPr id="205" name="矩形 205"/>
                <wp:cNvGraphicFramePr/>
                <a:graphic xmlns:a="http://schemas.openxmlformats.org/drawingml/2006/main">
                  <a:graphicData uri="http://schemas.microsoft.com/office/word/2010/wordprocessingShape">
                    <wps:wsp>
                      <wps:cNvSpPr/>
                      <wps:spPr>
                        <a:xfrm>
                          <a:off x="0" y="0"/>
                          <a:ext cx="1145540" cy="32512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C6E6B98">
                            <w:pPr>
                              <w:jc w:val="center"/>
                            </w:pPr>
                            <w:r>
                              <w:rPr>
                                <w:rFonts w:hint="eastAsia"/>
                                <w:lang w:eastAsia="zh-CN"/>
                              </w:rPr>
                              <w:t>修筑</w:t>
                            </w:r>
                            <w:r>
                              <w:rPr>
                                <w:rFonts w:hint="eastAsia"/>
                              </w:rPr>
                              <w:t>路堑</w:t>
                            </w:r>
                          </w:p>
                        </w:txbxContent>
                      </wps:txbx>
                      <wps:bodyPr upright="1"/>
                    </wps:wsp>
                  </a:graphicData>
                </a:graphic>
              </wp:anchor>
            </w:drawing>
          </mc:Choice>
          <mc:Fallback>
            <w:pict>
              <v:rect id="_x0000_s1026" o:spid="_x0000_s1026" o:spt="1" style="position:absolute;left:0pt;margin-left:81.3pt;margin-top:6.2pt;height:25.6pt;width:90.2pt;z-index:251735040;mso-width-relative:page;mso-height-relative:page;" fillcolor="#FFC000" filled="t" stroked="t" coordsize="21600,21600" o:gfxdata="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P0zotUAAAAJAQAADwAAAAAAAAABACAAAAAiAAAAZHJz&#10;L2Rvd25yZXYueG1sUEsBAhQAFAAAAAgAh07iQPIfkjUHAgAALQQAAA4AAAAAAAAAAQAgAAAAJAEA&#10;AGRycy9lMm9Eb2MueG1sUEsFBgAAAAAGAAYAWQEAAJ0FAAAAAA==&#10;">
                <v:fill on="t" focussize="0,0"/>
                <v:stroke color="#7030A0" joinstyle="miter"/>
                <v:imagedata o:title=""/>
                <o:lock v:ext="edit" aspectratio="f"/>
                <v:textbox>
                  <w:txbxContent>
                    <w:p w14:paraId="5C6E6B98">
                      <w:pPr>
                        <w:jc w:val="center"/>
                      </w:pPr>
                      <w:r>
                        <w:rPr>
                          <w:rFonts w:hint="eastAsia"/>
                          <w:lang w:eastAsia="zh-CN"/>
                        </w:rPr>
                        <w:t>修筑</w:t>
                      </w:r>
                      <w:r>
                        <w:rPr>
                          <w:rFonts w:hint="eastAsia"/>
                        </w:rPr>
                        <w:t>路堑</w:t>
                      </w:r>
                    </w:p>
                  </w:txbxContent>
                </v:textbox>
              </v:rect>
            </w:pict>
          </mc:Fallback>
        </mc:AlternateContent>
      </w:r>
    </w:p>
    <w:p w14:paraId="6E4A6FC9">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36064" behindDoc="0" locked="0" layoutInCell="1" allowOverlap="1">
                <wp:simplePos x="0" y="0"/>
                <wp:positionH relativeFrom="column">
                  <wp:posOffset>1582420</wp:posOffset>
                </wp:positionH>
                <wp:positionV relativeFrom="paragraph">
                  <wp:posOffset>111760</wp:posOffset>
                </wp:positionV>
                <wp:extent cx="0" cy="288290"/>
                <wp:effectExtent l="38100" t="0" r="38100" b="16510"/>
                <wp:wrapNone/>
                <wp:docPr id="204" name="直接连接符 204"/>
                <wp:cNvGraphicFramePr/>
                <a:graphic xmlns:a="http://schemas.openxmlformats.org/drawingml/2006/main">
                  <a:graphicData uri="http://schemas.microsoft.com/office/word/2010/wordprocessingShape">
                    <wps:wsp>
                      <wps:cNvCnPr/>
                      <wps:spPr>
                        <a:xfrm>
                          <a:off x="0" y="0"/>
                          <a:ext cx="0"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4.6pt;margin-top:8.8pt;height:22.7pt;width:0pt;z-index:251736064;mso-width-relative:page;mso-height-relative:page;" filled="f" stroked="t" coordsize="21600,21600" o:gfxdata="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VQX+dgAAAAJAQAADwAAAAAAAAABACAAAAAiAAAAZHJzL2Rvd25y&#10;ZXYueG1sUEsBAhQAFAAAAAgAh07iQHYTAC7+AQAA6wMAAA4AAAAAAAAAAQAgAAAAJwEAAGRycy9l&#10;Mm9Eb2MueG1sUEsFBgAAAAAGAAYAWQEAAJcFAAAAAA==&#10;">
                <v:fill on="f" focussize="0,0"/>
                <v:stroke color="#000000" joinstyle="round" endarrow="block"/>
                <v:imagedata o:title=""/>
                <o:lock v:ext="edit" aspectratio="f"/>
              </v:line>
            </w:pict>
          </mc:Fallback>
        </mc:AlternateContent>
      </w:r>
    </w:p>
    <w:p w14:paraId="6D1BBBDD">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41184" behindDoc="0" locked="0" layoutInCell="1" allowOverlap="1">
                <wp:simplePos x="0" y="0"/>
                <wp:positionH relativeFrom="column">
                  <wp:posOffset>2896870</wp:posOffset>
                </wp:positionH>
                <wp:positionV relativeFrom="paragraph">
                  <wp:posOffset>107950</wp:posOffset>
                </wp:positionV>
                <wp:extent cx="1784985" cy="295275"/>
                <wp:effectExtent l="0" t="0" r="0" b="0"/>
                <wp:wrapNone/>
                <wp:docPr id="206" name="矩形 206"/>
                <wp:cNvGraphicFramePr/>
                <a:graphic xmlns:a="http://schemas.openxmlformats.org/drawingml/2006/main">
                  <a:graphicData uri="http://schemas.microsoft.com/office/word/2010/wordprocessingShape">
                    <wps:wsp>
                      <wps:cNvSpPr/>
                      <wps:spPr>
                        <a:xfrm>
                          <a:off x="0" y="0"/>
                          <a:ext cx="1784985" cy="295275"/>
                        </a:xfrm>
                        <a:prstGeom prst="rect">
                          <a:avLst/>
                        </a:prstGeom>
                        <a:noFill/>
                        <a:ln>
                          <a:noFill/>
                        </a:ln>
                      </wps:spPr>
                      <wps:txbx>
                        <w:txbxContent>
                          <w:p w14:paraId="7E60EF45">
                            <w:r>
                              <w:rPr>
                                <w:rFonts w:hint="eastAsia"/>
                              </w:rPr>
                              <w:t>扬尘、噪声、废气</w:t>
                            </w:r>
                          </w:p>
                        </w:txbxContent>
                      </wps:txbx>
                      <wps:bodyPr upright="1"/>
                    </wps:wsp>
                  </a:graphicData>
                </a:graphic>
              </wp:anchor>
            </w:drawing>
          </mc:Choice>
          <mc:Fallback>
            <w:pict>
              <v:rect id="_x0000_s1026" o:spid="_x0000_s1026" o:spt="1" style="position:absolute;left:0pt;margin-left:228.1pt;margin-top:8.5pt;height:23.25pt;width:140.55pt;z-index:251741184;mso-width-relative:page;mso-height-relative:page;" filled="f" stroked="f" coordsize="21600,21600" o:gfxdata="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aCpG2gAAAAkBAAAP&#10;AAAAAAAAAAEAIAAAACIAAABkcnMvZG93bnJldi54bWxQSwECFAAUAAAACACHTuJA9Sx6CqQBAABF&#10;AwAADgAAAAAAAAABACAAAAApAQAAZHJzL2Uyb0RvYy54bWxQSwUGAAAAAAYABgBZAQAAPwUAAAAA&#10;">
                <v:fill on="f" focussize="0,0"/>
                <v:stroke on="f"/>
                <v:imagedata o:title=""/>
                <o:lock v:ext="edit" aspectratio="f"/>
                <v:textbox>
                  <w:txbxContent>
                    <w:p w14:paraId="7E60EF45">
                      <w:r>
                        <w:rPr>
                          <w:rFonts w:hint="eastAsia"/>
                        </w:rPr>
                        <w:t>扬尘、噪声、废气</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40160" behindDoc="0" locked="0" layoutInCell="1" allowOverlap="1">
                <wp:simplePos x="0" y="0"/>
                <wp:positionH relativeFrom="column">
                  <wp:posOffset>2160905</wp:posOffset>
                </wp:positionH>
                <wp:positionV relativeFrom="paragraph">
                  <wp:posOffset>226695</wp:posOffset>
                </wp:positionV>
                <wp:extent cx="735965" cy="0"/>
                <wp:effectExtent l="0" t="38100" r="6985" b="38100"/>
                <wp:wrapNone/>
                <wp:docPr id="207" name="直接连接符 207"/>
                <wp:cNvGraphicFramePr/>
                <a:graphic xmlns:a="http://schemas.openxmlformats.org/drawingml/2006/main">
                  <a:graphicData uri="http://schemas.microsoft.com/office/word/2010/wordprocessingShape">
                    <wps:wsp>
                      <wps:cNvCnPr/>
                      <wps:spPr>
                        <a:xfrm>
                          <a:off x="0" y="0"/>
                          <a:ext cx="73596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170.15pt;margin-top:17.85pt;height:0pt;width:57.95pt;z-index:251740160;mso-width-relative:page;mso-height-relative:page;" filled="f" stroked="t" coordsize="21600,21600" o:gfxdata="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Y7Pk2QAAAAkBAAAPAAAAAAAAAAEAIAAAACIAAABkcnMvZG93&#10;bnJldi54bWxQSwECFAAUAAAACACHTuJALWIdxP8BAADqAwAADgAAAAAAAAABACAAAAAoAQAAZHJz&#10;L2Uyb0RvYy54bWxQSwUGAAAAAAYABgBZAQAAmQUAAAAA&#10;">
                <v:fill on="f" focussize="0,0"/>
                <v:stroke color="#000000" joinstyle="round" dashstyle="dash"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737088" behindDoc="0" locked="0" layoutInCell="1" allowOverlap="1">
                <wp:simplePos x="0" y="0"/>
                <wp:positionH relativeFrom="column">
                  <wp:posOffset>1066165</wp:posOffset>
                </wp:positionH>
                <wp:positionV relativeFrom="paragraph">
                  <wp:posOffset>107950</wp:posOffset>
                </wp:positionV>
                <wp:extent cx="1092200" cy="296545"/>
                <wp:effectExtent l="4445" t="4445" r="8255" b="22860"/>
                <wp:wrapNone/>
                <wp:docPr id="200" name="矩形 200"/>
                <wp:cNvGraphicFramePr/>
                <a:graphic xmlns:a="http://schemas.openxmlformats.org/drawingml/2006/main">
                  <a:graphicData uri="http://schemas.microsoft.com/office/word/2010/wordprocessingShape">
                    <wps:wsp>
                      <wps:cNvSpPr/>
                      <wps:spPr>
                        <a:xfrm>
                          <a:off x="0" y="0"/>
                          <a:ext cx="1092200" cy="29654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2FDAB3BE">
                            <w:pPr>
                              <w:jc w:val="center"/>
                            </w:pPr>
                            <w:r>
                              <w:rPr>
                                <w:rFonts w:hint="eastAsia"/>
                              </w:rPr>
                              <w:t>路面工程</w:t>
                            </w:r>
                          </w:p>
                        </w:txbxContent>
                      </wps:txbx>
                      <wps:bodyPr upright="1"/>
                    </wps:wsp>
                  </a:graphicData>
                </a:graphic>
              </wp:anchor>
            </w:drawing>
          </mc:Choice>
          <mc:Fallback>
            <w:pict>
              <v:rect id="_x0000_s1026" o:spid="_x0000_s1026" o:spt="1" style="position:absolute;left:0pt;margin-left:83.95pt;margin-top:8.5pt;height:23.35pt;width:86pt;z-index:251737088;mso-width-relative:page;mso-height-relative:page;" fillcolor="#FFC000" filled="t" stroked="t" coordsize="21600,21600" o:gfxdata="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NdO+/VAAAACQEAAA8AAAAAAAAAAQAgAAAAIgAAAGRy&#10;cy9kb3ducmV2LnhtbFBLAQIUABQAAAAIAIdO4kDrKglcCAIAAC0EAAAOAAAAAAAAAAEAIAAAACQB&#10;AABkcnMvZTJvRG9jLnhtbFBLBQYAAAAABgAGAFkBAACeBQAAAAA=&#10;">
                <v:fill on="t" focussize="0,0"/>
                <v:stroke color="#7030A0" joinstyle="miter"/>
                <v:imagedata o:title=""/>
                <o:lock v:ext="edit" aspectratio="f"/>
                <v:textbox>
                  <w:txbxContent>
                    <w:p w14:paraId="2FDAB3BE">
                      <w:pPr>
                        <w:jc w:val="center"/>
                      </w:pPr>
                      <w:r>
                        <w:rPr>
                          <w:rFonts w:hint="eastAsia"/>
                        </w:rPr>
                        <w:t>路面工程</w:t>
                      </w:r>
                    </w:p>
                  </w:txbxContent>
                </v:textbox>
              </v:rect>
            </w:pict>
          </mc:Fallback>
        </mc:AlternateContent>
      </w:r>
    </w:p>
    <w:p w14:paraId="7C74A4EC">
      <w:pPr>
        <w:spacing w:line="240" w:lineRule="exact"/>
        <w:jc w:val="center"/>
        <w:rPr>
          <w:rFonts w:hint="eastAsia" w:ascii="Arial" w:hAnsi="宋体" w:cs="Arial"/>
          <w:b/>
          <w:bCs/>
          <w:sz w:val="26"/>
          <w:szCs w:val="26"/>
        </w:rPr>
      </w:pPr>
    </w:p>
    <w:p w14:paraId="2F3C677E">
      <w:pPr>
        <w:spacing w:line="240" w:lineRule="exact"/>
        <w:jc w:val="center"/>
        <w:rPr>
          <w:rFonts w:hint="eastAsia" w:ascii="Arial" w:hAnsi="宋体" w:cs="Arial"/>
          <w:b/>
          <w:bCs/>
          <w:sz w:val="26"/>
          <w:szCs w:val="26"/>
        </w:rPr>
      </w:pPr>
    </w:p>
    <w:p w14:paraId="04CD969B">
      <w:pPr>
        <w:spacing w:line="440" w:lineRule="exact"/>
        <w:jc w:val="center"/>
        <w:rPr>
          <w:rFonts w:hint="eastAsia" w:ascii="Arial" w:hAnsi="宋体" w:cs="Arial"/>
          <w:b/>
          <w:bCs/>
          <w:sz w:val="26"/>
          <w:szCs w:val="26"/>
        </w:rPr>
      </w:pPr>
      <w:r>
        <w:rPr>
          <w:rFonts w:hint="eastAsia" w:ascii="Arial" w:hAnsi="宋体" w:cs="Arial"/>
          <w:b/>
          <w:bCs/>
          <w:sz w:val="26"/>
          <w:szCs w:val="26"/>
        </w:rPr>
        <w:t>图3.4-</w:t>
      </w:r>
      <w:r>
        <w:rPr>
          <w:rFonts w:hint="eastAsia" w:ascii="Arial" w:hAnsi="宋体" w:cs="Arial"/>
          <w:b/>
          <w:bCs/>
          <w:sz w:val="26"/>
          <w:szCs w:val="26"/>
          <w:lang w:val="en-US" w:eastAsia="zh-CN"/>
        </w:rPr>
        <w:t>4</w:t>
      </w:r>
      <w:r>
        <w:rPr>
          <w:rFonts w:hint="eastAsia" w:ascii="Arial" w:hAnsi="宋体" w:cs="Arial"/>
          <w:b/>
          <w:bCs/>
          <w:sz w:val="26"/>
          <w:szCs w:val="26"/>
        </w:rPr>
        <w:t xml:space="preserve"> 上坝</w:t>
      </w:r>
      <w:r>
        <w:rPr>
          <w:rFonts w:hint="eastAsia" w:ascii="Arial" w:hAnsi="宋体" w:cs="Arial"/>
          <w:b/>
          <w:bCs/>
          <w:sz w:val="26"/>
          <w:szCs w:val="26"/>
          <w:lang w:eastAsia="zh-CN"/>
        </w:rPr>
        <w:t>道路、环库巡检步道</w:t>
      </w:r>
      <w:r>
        <w:rPr>
          <w:rFonts w:hint="eastAsia" w:ascii="Arial" w:hAnsi="宋体" w:cs="Arial"/>
          <w:b/>
          <w:bCs/>
          <w:sz w:val="26"/>
          <w:szCs w:val="26"/>
        </w:rPr>
        <w:t>施工工艺流程及产污环节示意图</w:t>
      </w:r>
    </w:p>
    <w:p w14:paraId="486B896E">
      <w:pPr>
        <w:spacing w:line="440" w:lineRule="exact"/>
        <w:ind w:firstLine="520" w:firstLineChars="200"/>
        <w:rPr>
          <w:rFonts w:hint="eastAsia" w:ascii="Arial" w:hAnsi="宋体" w:cs="Arial"/>
          <w:bCs/>
          <w:sz w:val="26"/>
          <w:szCs w:val="26"/>
        </w:rPr>
      </w:pPr>
    </w:p>
    <w:p w14:paraId="6EC96BBC">
      <w:pPr>
        <w:pStyle w:val="41"/>
        <w:adjustRightInd w:val="0"/>
        <w:snapToGrid w:val="0"/>
        <w:spacing w:line="460" w:lineRule="exact"/>
        <w:ind w:firstLine="400" w:firstLineChars="200"/>
        <w:rPr>
          <w:rFonts w:ascii="Arial" w:hAnsi="Arial" w:eastAsia="仿宋_GB2312" w:cs="Arial"/>
          <w:sz w:val="24"/>
        </w:rPr>
      </w:pPr>
      <w:r>
        <w:rPr>
          <w:rFonts w:ascii="宋体" w:hAnsi="Courier New"/>
          <w:sz w:val="20"/>
        </w:rPr>
        <mc:AlternateContent>
          <mc:Choice Requires="wps">
            <w:drawing>
              <wp:anchor distT="0" distB="0" distL="114300" distR="114300" simplePos="0" relativeHeight="251745280" behindDoc="0" locked="0" layoutInCell="1" allowOverlap="1">
                <wp:simplePos x="0" y="0"/>
                <wp:positionH relativeFrom="column">
                  <wp:posOffset>595630</wp:posOffset>
                </wp:positionH>
                <wp:positionV relativeFrom="paragraph">
                  <wp:posOffset>186055</wp:posOffset>
                </wp:positionV>
                <wp:extent cx="215900" cy="0"/>
                <wp:effectExtent l="0" t="38100" r="12700" b="38100"/>
                <wp:wrapNone/>
                <wp:docPr id="208" name="直接连接符 208"/>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6.9pt;margin-top:14.65pt;height:0pt;width:17pt;z-index:251745280;mso-width-relative:page;mso-height-relative:page;" filled="f" stroked="t" coordsize="21600,21600" o:gfxdata="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GW5fXAAAACAEAAA8AAAAAAAAAAQAgAAAAIgAAAGRycy9kb3ducmV2&#10;LnhtbFBLAQIUABQAAAAIAIdO4kB80Ctx/QEAAOsDAAAOAAAAAAAAAAEAIAAAACYBAABkcnMvZTJv&#10;RG9jLnhtbFBLBQYAAAAABgAGAFkBAACVBQ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46304" behindDoc="0" locked="0" layoutInCell="1" allowOverlap="1">
                <wp:simplePos x="0" y="0"/>
                <wp:positionH relativeFrom="column">
                  <wp:posOffset>805815</wp:posOffset>
                </wp:positionH>
                <wp:positionV relativeFrom="paragraph">
                  <wp:posOffset>50800</wp:posOffset>
                </wp:positionV>
                <wp:extent cx="795020" cy="284480"/>
                <wp:effectExtent l="4445" t="4445" r="19685" b="15875"/>
                <wp:wrapNone/>
                <wp:docPr id="214" name="矩形 214"/>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AD7BA1F">
                            <w:r>
                              <w:rPr>
                                <w:rFonts w:hint="eastAsia"/>
                              </w:rPr>
                              <w:t>基础开挖</w:t>
                            </w:r>
                          </w:p>
                        </w:txbxContent>
                      </wps:txbx>
                      <wps:bodyPr upright="1"/>
                    </wps:wsp>
                  </a:graphicData>
                </a:graphic>
              </wp:anchor>
            </w:drawing>
          </mc:Choice>
          <mc:Fallback>
            <w:pict>
              <v:rect id="_x0000_s1026" o:spid="_x0000_s1026" o:spt="1" style="position:absolute;left:0pt;margin-left:63.45pt;margin-top:4pt;height:22.4pt;width:62.6pt;z-index:251746304;mso-width-relative:page;mso-height-relative:page;" fillcolor="#FFC000" filled="t" stroked="t" coordsize="21600,21600" o:gfxdata="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hSRfVAAAACAEAAA8AAAAAAAAAAQAgAAAAIgAAAGRy&#10;cy9kb3ducmV2LnhtbFBLAQIUABQAAAAIAIdO4kDM3u0PCAIAACwEAAAOAAAAAAAAAAEAIAAAACQB&#10;AABkcnMvZTJvRG9jLnhtbFBLBQYAAAAABgAGAFkBAACeBQAAAAA=&#10;">
                <v:fill on="t" focussize="0,0"/>
                <v:stroke color="#7030A0" joinstyle="miter"/>
                <v:imagedata o:title=""/>
                <o:lock v:ext="edit" aspectratio="f"/>
                <v:textbox>
                  <w:txbxContent>
                    <w:p w14:paraId="5AD7BA1F">
                      <w:r>
                        <w:rPr>
                          <w:rFonts w:hint="eastAsia"/>
                        </w:rPr>
                        <w:t>基础开挖</w:t>
                      </w:r>
                    </w:p>
                  </w:txbxContent>
                </v:textbox>
              </v:rect>
            </w:pict>
          </mc:Fallback>
        </mc:AlternateContent>
      </w:r>
      <w:r>
        <w:rPr>
          <w:rFonts w:ascii="宋体" w:hAnsi="Courier New"/>
          <w:sz w:val="20"/>
        </w:rPr>
        <mc:AlternateContent>
          <mc:Choice Requires="wps">
            <w:drawing>
              <wp:anchor distT="0" distB="0" distL="114300" distR="114300" simplePos="0" relativeHeight="251747328" behindDoc="0" locked="0" layoutInCell="1" allowOverlap="1">
                <wp:simplePos x="0" y="0"/>
                <wp:positionH relativeFrom="column">
                  <wp:posOffset>1608455</wp:posOffset>
                </wp:positionH>
                <wp:positionV relativeFrom="paragraph">
                  <wp:posOffset>196850</wp:posOffset>
                </wp:positionV>
                <wp:extent cx="215900" cy="0"/>
                <wp:effectExtent l="0" t="38100" r="12700" b="38100"/>
                <wp:wrapNone/>
                <wp:docPr id="212" name="直接连接符 212"/>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65pt;margin-top:15.5pt;height:0pt;width:17pt;z-index:251747328;mso-width-relative:page;mso-height-relative:page;" filled="f" stroked="t" coordsize="21600,21600" o:gfxdata="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ov70nXAAAACQEAAA8AAAAAAAAAAQAgAAAAIgAAAGRycy9kb3ducmV2&#10;LnhtbFBLAQIUABQAAAAIAIdO4kCwTz0d/QEAAOsDAAAOAAAAAAAAAAEAIAAAACYBAABkcnMvZTJv&#10;RG9jLnhtbFBLBQYAAAAABgAGAFkBAACVBQ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48352" behindDoc="0" locked="0" layoutInCell="1" allowOverlap="1">
                <wp:simplePos x="0" y="0"/>
                <wp:positionH relativeFrom="column">
                  <wp:posOffset>1818640</wp:posOffset>
                </wp:positionH>
                <wp:positionV relativeFrom="paragraph">
                  <wp:posOffset>61595</wp:posOffset>
                </wp:positionV>
                <wp:extent cx="795020" cy="284480"/>
                <wp:effectExtent l="4445" t="4445" r="19685" b="15875"/>
                <wp:wrapNone/>
                <wp:docPr id="223" name="矩形 223"/>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69277C2F">
                            <w:r>
                              <w:rPr>
                                <w:rFonts w:hint="eastAsia"/>
                              </w:rPr>
                              <w:t>基础施工</w:t>
                            </w:r>
                          </w:p>
                        </w:txbxContent>
                      </wps:txbx>
                      <wps:bodyPr upright="1"/>
                    </wps:wsp>
                  </a:graphicData>
                </a:graphic>
              </wp:anchor>
            </w:drawing>
          </mc:Choice>
          <mc:Fallback>
            <w:pict>
              <v:rect id="_x0000_s1026" o:spid="_x0000_s1026" o:spt="1" style="position:absolute;left:0pt;margin-left:143.2pt;margin-top:4.85pt;height:22.4pt;width:62.6pt;z-index:251748352;mso-width-relative:page;mso-height-relative:page;" fillcolor="#FFC000" filled="t" stroked="t" coordsize="21600,21600" o:gfxdata="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&#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gzmo9cAAAAIAQAADwAAAAAAAAABACAAAAAiAAAA&#10;ZHJzL2Rvd25yZXYueG1sUEsBAhQAFAAAAAgAh07iQO1Q9+IIAgAALAQAAA4AAAAAAAAAAQAgAAAA&#10;JgEAAGRycy9lMm9Eb2MueG1sUEsFBgAAAAAGAAYAWQEAAKAFAAAAAA==&#10;">
                <v:fill on="t" focussize="0,0"/>
                <v:stroke color="#7030A0" joinstyle="miter"/>
                <v:imagedata o:title=""/>
                <o:lock v:ext="edit" aspectratio="f"/>
                <v:textbox>
                  <w:txbxContent>
                    <w:p w14:paraId="69277C2F">
                      <w:r>
                        <w:rPr>
                          <w:rFonts w:hint="eastAsia"/>
                        </w:rPr>
                        <w:t>基础施工</w:t>
                      </w:r>
                    </w:p>
                  </w:txbxContent>
                </v:textbox>
              </v:rect>
            </w:pict>
          </mc:Fallback>
        </mc:AlternateContent>
      </w:r>
      <w:r>
        <w:rPr>
          <w:rFonts w:ascii="宋体" w:hAnsi="Courier New"/>
          <w:sz w:val="20"/>
        </w:rPr>
        <mc:AlternateContent>
          <mc:Choice Requires="wps">
            <w:drawing>
              <wp:anchor distT="0" distB="0" distL="114300" distR="114300" simplePos="0" relativeHeight="251749376" behindDoc="0" locked="0" layoutInCell="1" allowOverlap="1">
                <wp:simplePos x="0" y="0"/>
                <wp:positionH relativeFrom="column">
                  <wp:posOffset>2617470</wp:posOffset>
                </wp:positionH>
                <wp:positionV relativeFrom="paragraph">
                  <wp:posOffset>209550</wp:posOffset>
                </wp:positionV>
                <wp:extent cx="215900" cy="0"/>
                <wp:effectExtent l="0" t="38100" r="12700" b="38100"/>
                <wp:wrapNone/>
                <wp:docPr id="222" name="直接连接符 222"/>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1pt;margin-top:16.5pt;height:0pt;width:17pt;z-index:251749376;mso-width-relative:page;mso-height-relative:page;" filled="f" stroked="t" coordsize="21600,21600" o:gfxdata="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P/dH2AAAAAkBAAAPAAAAAAAAAAEAIAAAACIAAABkcnMvZG93bnJl&#10;di54bWxQSwECFAAUAAAACACHTuJAs2XMXv0BAADrAwAADgAAAAAAAAABACAAAAAn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0400" behindDoc="0" locked="0" layoutInCell="1" allowOverlap="1">
                <wp:simplePos x="0" y="0"/>
                <wp:positionH relativeFrom="column">
                  <wp:posOffset>2828925</wp:posOffset>
                </wp:positionH>
                <wp:positionV relativeFrom="paragraph">
                  <wp:posOffset>60325</wp:posOffset>
                </wp:positionV>
                <wp:extent cx="795020" cy="284480"/>
                <wp:effectExtent l="4445" t="4445" r="19685" b="15875"/>
                <wp:wrapNone/>
                <wp:docPr id="216" name="矩形 216"/>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2D952192">
                            <w:r>
                              <w:rPr>
                                <w:rFonts w:hint="eastAsia"/>
                              </w:rPr>
                              <w:t>结构施工</w:t>
                            </w:r>
                          </w:p>
                        </w:txbxContent>
                      </wps:txbx>
                      <wps:bodyPr upright="1"/>
                    </wps:wsp>
                  </a:graphicData>
                </a:graphic>
              </wp:anchor>
            </w:drawing>
          </mc:Choice>
          <mc:Fallback>
            <w:pict>
              <v:rect id="_x0000_s1026" o:spid="_x0000_s1026" o:spt="1" style="position:absolute;left:0pt;margin-left:222.75pt;margin-top:4.75pt;height:22.4pt;width:62.6pt;z-index:251750400;mso-width-relative:page;mso-height-relative:page;" fillcolor="#FFC000" filled="t" stroked="t" coordsize="21600,21600" o:gfxdata="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&#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WYQENcAAAAIAQAADwAAAAAAAAABACAAAAAiAAAA&#10;ZHJzL2Rvd25yZXYueG1sUEsBAhQAFAAAAAgAh07iQMhz58MIAgAALAQAAA4AAAAAAAAAAQAgAAAA&#10;JgEAAGRycy9lMm9Eb2MueG1sUEsFBgAAAAAGAAYAWQEAAKAFAAAAAA==&#10;">
                <v:fill on="t" focussize="0,0"/>
                <v:stroke color="#7030A0" joinstyle="miter"/>
                <v:imagedata o:title=""/>
                <o:lock v:ext="edit" aspectratio="f"/>
                <v:textbox>
                  <w:txbxContent>
                    <w:p w14:paraId="2D952192">
                      <w:r>
                        <w:rPr>
                          <w:rFonts w:hint="eastAsia"/>
                        </w:rPr>
                        <w:t>结构施工</w:t>
                      </w:r>
                    </w:p>
                  </w:txbxContent>
                </v:textbox>
              </v:rect>
            </w:pict>
          </mc:Fallback>
        </mc:AlternateContent>
      </w:r>
      <w:r>
        <w:rPr>
          <w:rFonts w:ascii="宋体" w:hAnsi="Courier New"/>
          <w:sz w:val="20"/>
        </w:rPr>
        <mc:AlternateContent>
          <mc:Choice Requires="wps">
            <w:drawing>
              <wp:anchor distT="0" distB="0" distL="114300" distR="114300" simplePos="0" relativeHeight="251751424" behindDoc="0" locked="0" layoutInCell="1" allowOverlap="1">
                <wp:simplePos x="0" y="0"/>
                <wp:positionH relativeFrom="column">
                  <wp:posOffset>3621405</wp:posOffset>
                </wp:positionH>
                <wp:positionV relativeFrom="paragraph">
                  <wp:posOffset>219075</wp:posOffset>
                </wp:positionV>
                <wp:extent cx="215900" cy="0"/>
                <wp:effectExtent l="0" t="38100" r="12700" b="38100"/>
                <wp:wrapNone/>
                <wp:docPr id="229" name="直接连接符 229"/>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5.15pt;margin-top:17.25pt;height:0pt;width:17pt;z-index:251751424;mso-width-relative:page;mso-height-relative:page;" filled="f" stroked="t" coordsize="21600,21600" o:gfxdata="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Y6rR9kAAAAJAQAADwAAAAAAAAABACAAAAAiAAAAZHJzL2Rvd25y&#10;ZXYueG1sUEsBAhQAFAAAAAgAh07iQJnGG839AQAA6wMAAA4AAAAAAAAAAQAgAAAAKAEAAGRycy9l&#10;Mm9Eb2MueG1sUEsFBgAAAAAGAAYAWQEAAJcFA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2448" behindDoc="0" locked="0" layoutInCell="1" allowOverlap="1">
                <wp:simplePos x="0" y="0"/>
                <wp:positionH relativeFrom="column">
                  <wp:posOffset>3848100</wp:posOffset>
                </wp:positionH>
                <wp:positionV relativeFrom="paragraph">
                  <wp:posOffset>60325</wp:posOffset>
                </wp:positionV>
                <wp:extent cx="795020" cy="284480"/>
                <wp:effectExtent l="4445" t="4445" r="19685" b="15875"/>
                <wp:wrapNone/>
                <wp:docPr id="230" name="矩形 230"/>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1F810539">
                            <w:r>
                              <w:rPr>
                                <w:rFonts w:hint="eastAsia"/>
                              </w:rPr>
                              <w:t>设备安装</w:t>
                            </w:r>
                          </w:p>
                        </w:txbxContent>
                      </wps:txbx>
                      <wps:bodyPr upright="1"/>
                    </wps:wsp>
                  </a:graphicData>
                </a:graphic>
              </wp:anchor>
            </w:drawing>
          </mc:Choice>
          <mc:Fallback>
            <w:pict>
              <v:rect id="_x0000_s1026" o:spid="_x0000_s1026" o:spt="1" style="position:absolute;left:0pt;margin-left:303pt;margin-top:4.75pt;height:22.4pt;width:62.6pt;z-index:251752448;mso-width-relative:page;mso-height-relative:page;" fillcolor="#FFC000" filled="t" stroked="t" coordsize="21600,21600" o:gfxdata="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sMrT1wAAAAgBAAAPAAAAAAAAAAEAIAAAACIAAABk&#10;cnMvZG93bnJldi54bWxQSwECFAAUAAAACACHTuJAMUwoSwcCAAAsBAAADgAAAAAAAAABACAAAAAm&#10;AQAAZHJzL2Uyb0RvYy54bWxQSwUGAAAAAAYABgBZAQAAnwUAAAAA&#10;">
                <v:fill on="t" focussize="0,0"/>
                <v:stroke color="#7030A0" joinstyle="miter"/>
                <v:imagedata o:title=""/>
                <o:lock v:ext="edit" aspectratio="f"/>
                <v:textbox>
                  <w:txbxContent>
                    <w:p w14:paraId="1F810539">
                      <w:r>
                        <w:rPr>
                          <w:rFonts w:hint="eastAsia"/>
                        </w:rPr>
                        <w:t>设备安装</w:t>
                      </w:r>
                    </w:p>
                  </w:txbxContent>
                </v:textbox>
              </v:rect>
            </w:pict>
          </mc:Fallback>
        </mc:AlternateContent>
      </w:r>
      <w:r>
        <w:rPr>
          <w:rFonts w:ascii="宋体" w:hAnsi="Courier New"/>
          <w:sz w:val="20"/>
        </w:rPr>
        <mc:AlternateContent>
          <mc:Choice Requires="wps">
            <w:drawing>
              <wp:anchor distT="0" distB="0" distL="114300" distR="114300" simplePos="0" relativeHeight="251753472" behindDoc="0" locked="0" layoutInCell="1" allowOverlap="1">
                <wp:simplePos x="0" y="0"/>
                <wp:positionH relativeFrom="column">
                  <wp:posOffset>4650105</wp:posOffset>
                </wp:positionH>
                <wp:positionV relativeFrom="paragraph">
                  <wp:posOffset>228600</wp:posOffset>
                </wp:positionV>
                <wp:extent cx="215900" cy="0"/>
                <wp:effectExtent l="0" t="38100" r="12700" b="38100"/>
                <wp:wrapNone/>
                <wp:docPr id="217" name="直接连接符 217"/>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6.15pt;margin-top:18pt;height:0pt;width:17pt;z-index:251753472;mso-width-relative:page;mso-height-relative:page;" filled="f" stroked="t" coordsize="21600,21600" o:gfxdata="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MMwA2AAAAAkBAAAPAAAAAAAAAAEAIAAAACIAAABkcnMvZG93bnJl&#10;di54bWxQSwECFAAUAAAACACHTuJASfIJb/0BAADrAwAADgAAAAAAAAABACAAAAAn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4496" behindDoc="0" locked="0" layoutInCell="1" allowOverlap="1">
                <wp:simplePos x="0" y="0"/>
                <wp:positionH relativeFrom="column">
                  <wp:posOffset>4867275</wp:posOffset>
                </wp:positionH>
                <wp:positionV relativeFrom="paragraph">
                  <wp:posOffset>50800</wp:posOffset>
                </wp:positionV>
                <wp:extent cx="759460" cy="284480"/>
                <wp:effectExtent l="4445" t="4445" r="17145" b="15875"/>
                <wp:wrapNone/>
                <wp:docPr id="221" name="矩形 221"/>
                <wp:cNvGraphicFramePr/>
                <a:graphic xmlns:a="http://schemas.openxmlformats.org/drawingml/2006/main">
                  <a:graphicData uri="http://schemas.microsoft.com/office/word/2010/wordprocessingShape">
                    <wps:wsp>
                      <wps:cNvSpPr/>
                      <wps:spPr>
                        <a:xfrm>
                          <a:off x="0" y="0"/>
                          <a:ext cx="75946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3040FA61">
                            <w:r>
                              <w:rPr>
                                <w:rFonts w:hint="eastAsia"/>
                              </w:rPr>
                              <w:t>投入运行</w:t>
                            </w:r>
                          </w:p>
                        </w:txbxContent>
                      </wps:txbx>
                      <wps:bodyPr upright="1"/>
                    </wps:wsp>
                  </a:graphicData>
                </a:graphic>
              </wp:anchor>
            </w:drawing>
          </mc:Choice>
          <mc:Fallback>
            <w:pict>
              <v:rect id="_x0000_s1026" o:spid="_x0000_s1026" o:spt="1" style="position:absolute;left:0pt;margin-left:383.25pt;margin-top:4pt;height:22.4pt;width:59.8pt;z-index:251754496;mso-width-relative:page;mso-height-relative:page;" fillcolor="#FFC000" filled="t" stroked="t" coordsize="21600,21600" o:gfxdata="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p6Fh1gAAAAgBAAAPAAAAAAAAAAEAIAAAACIAAABk&#10;cnMvZG93bnJldi54bWxQSwECFAAUAAAACACHTuJAaspZxAgCAAAsBAAADgAAAAAAAAABACAAAAAl&#10;AQAAZHJzL2Uyb0RvYy54bWxQSwUGAAAAAAYABgBZAQAAnwUAAAAA&#10;">
                <v:fill on="t" focussize="0,0"/>
                <v:stroke color="#7030A0" joinstyle="miter"/>
                <v:imagedata o:title=""/>
                <o:lock v:ext="edit" aspectratio="f"/>
                <v:textbox>
                  <w:txbxContent>
                    <w:p w14:paraId="3040FA61">
                      <w:r>
                        <w:rPr>
                          <w:rFonts w:hint="eastAsia"/>
                        </w:rPr>
                        <w:t>投入运行</w:t>
                      </w:r>
                    </w:p>
                  </w:txbxContent>
                </v:textbox>
              </v:rect>
            </w:pict>
          </mc:Fallback>
        </mc:AlternateContent>
      </w:r>
      <w:r>
        <w:rPr>
          <w:rFonts w:ascii="宋体" w:hAnsi="Courier New"/>
          <w:sz w:val="20"/>
        </w:rPr>
        <mc:AlternateContent>
          <mc:Choice Requires="wps">
            <w:drawing>
              <wp:anchor distT="0" distB="0" distL="114300" distR="114300" simplePos="0" relativeHeight="251755520" behindDoc="0" locked="0" layoutInCell="1" allowOverlap="1">
                <wp:simplePos x="0" y="0"/>
                <wp:positionH relativeFrom="column">
                  <wp:posOffset>150495</wp:posOffset>
                </wp:positionH>
                <wp:positionV relativeFrom="paragraph">
                  <wp:posOffset>342900</wp:posOffset>
                </wp:positionV>
                <wp:extent cx="0" cy="212090"/>
                <wp:effectExtent l="38100" t="0" r="38100" b="16510"/>
                <wp:wrapNone/>
                <wp:docPr id="225" name="直接连接符 225"/>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85pt;margin-top:27pt;height:16.7pt;width:0pt;z-index:251755520;mso-width-relative:page;mso-height-relative:page;" filled="f" stroked="t" coordsize="21600,21600" o:gfxdata="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lINIdcAAAAHAQAADwAAAAAAAAABACAAAAAiAAAAZHJzL2Rvd25yZXYu&#10;eG1sUEsBAhQAFAAAAAgAh07iQE2TJor8AQAA6wMAAA4AAAAAAAAAAQAgAAAAJgEAAGRycy9lMm9E&#10;b2MueG1sUEsFBgAAAAAGAAYAWQEAAJQFA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6544" behindDoc="0" locked="0" layoutInCell="1" allowOverlap="1">
                <wp:simplePos x="0" y="0"/>
                <wp:positionH relativeFrom="column">
                  <wp:posOffset>1183005</wp:posOffset>
                </wp:positionH>
                <wp:positionV relativeFrom="paragraph">
                  <wp:posOffset>333375</wp:posOffset>
                </wp:positionV>
                <wp:extent cx="0" cy="212090"/>
                <wp:effectExtent l="38100" t="0" r="38100" b="16510"/>
                <wp:wrapNone/>
                <wp:docPr id="226" name="直接连接符 226"/>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3.15pt;margin-top:26.25pt;height:16.7pt;width:0pt;z-index:251756544;mso-width-relative:page;mso-height-relative:page;" filled="f" stroked="t" coordsize="21600,21600" o:gfxdata="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BM5G2AAAAAkBAAAPAAAAAAAAAAEAIAAAACIAAABkcnMvZG93bnJl&#10;di54bWxQSwECFAAUAAAACACHTuJAJfrlEv0BAADrAwAADgAAAAAAAAABACAAAAAn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8592" behindDoc="0" locked="0" layoutInCell="1" allowOverlap="1">
                <wp:simplePos x="0" y="0"/>
                <wp:positionH relativeFrom="column">
                  <wp:posOffset>2215515</wp:posOffset>
                </wp:positionH>
                <wp:positionV relativeFrom="paragraph">
                  <wp:posOffset>352425</wp:posOffset>
                </wp:positionV>
                <wp:extent cx="0" cy="212090"/>
                <wp:effectExtent l="38100" t="0" r="38100" b="16510"/>
                <wp:wrapNone/>
                <wp:docPr id="218" name="直接连接符 218"/>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4.45pt;margin-top:27.75pt;height:16.7pt;width:0pt;z-index:251758592;mso-width-relative:page;mso-height-relative:page;" filled="f" stroked="t" coordsize="21600,21600" o:gfxdata="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u0xR2AAAAAkBAAAPAAAAAAAAAAEAIAAAACIAAABkcnMvZG93bnJl&#10;di54bWxQSwECFAAUAAAACACHTuJA9c73sP0BAADrAwAADgAAAAAAAAABACAAAAAn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9616" behindDoc="0" locked="0" layoutInCell="1" allowOverlap="1">
                <wp:simplePos x="0" y="0"/>
                <wp:positionH relativeFrom="column">
                  <wp:posOffset>3244215</wp:posOffset>
                </wp:positionH>
                <wp:positionV relativeFrom="paragraph">
                  <wp:posOffset>352425</wp:posOffset>
                </wp:positionV>
                <wp:extent cx="0" cy="212090"/>
                <wp:effectExtent l="38100" t="0" r="38100" b="16510"/>
                <wp:wrapNone/>
                <wp:docPr id="215" name="直接连接符 215"/>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5.45pt;margin-top:27.75pt;height:16.7pt;width:0pt;z-index:251759616;mso-width-relative:page;mso-height-relative:page;" filled="f" stroked="t" coordsize="21600,21600" o:gfxdata="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c91wrYAAAACQEAAA8AAAAAAAAAAQAgAAAAIgAAAGRycy9kb3ducmV2&#10;LnhtbFBLAQIUABQAAAAIAIdO4kBOudfJ/AEAAOsDAAAOAAAAAAAAAAEAIAAAACcBAABkcnMvZTJv&#10;RG9jLnhtbFBLBQYAAAAABgAGAFkBAACVBQ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60640" behindDoc="0" locked="0" layoutInCell="1" allowOverlap="1">
                <wp:simplePos x="0" y="0"/>
                <wp:positionH relativeFrom="column">
                  <wp:posOffset>2739390</wp:posOffset>
                </wp:positionH>
                <wp:positionV relativeFrom="paragraph">
                  <wp:posOffset>561975</wp:posOffset>
                </wp:positionV>
                <wp:extent cx="993140" cy="45339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993140" cy="453390"/>
                        </a:xfrm>
                        <a:prstGeom prst="rect">
                          <a:avLst/>
                        </a:prstGeom>
                        <a:noFill/>
                        <a:ln>
                          <a:noFill/>
                        </a:ln>
                      </wps:spPr>
                      <wps:txbx>
                        <w:txbxContent>
                          <w:p w14:paraId="0F6BD6EC">
                            <w:pPr>
                              <w:jc w:val="center"/>
                            </w:pPr>
                            <w:r>
                              <w:rPr>
                                <w:rFonts w:hint="eastAsia"/>
                              </w:rPr>
                              <w:t>粉尘、噪声、废水、固废</w:t>
                            </w:r>
                          </w:p>
                        </w:txbxContent>
                      </wps:txbx>
                      <wps:bodyPr upright="1"/>
                    </wps:wsp>
                  </a:graphicData>
                </a:graphic>
              </wp:anchor>
            </w:drawing>
          </mc:Choice>
          <mc:Fallback>
            <w:pict>
              <v:shape id="_x0000_s1026" o:spid="_x0000_s1026" o:spt="202" type="#_x0000_t202" style="position:absolute;left:0pt;margin-left:215.7pt;margin-top:44.25pt;height:35.7pt;width:78.2pt;z-index:251760640;mso-width-relative:page;mso-height-relative:page;" filled="f" stroked="f" coordsize="21600,21600" o:gfxdata="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5BRZnX&#10;AAAACgEAAA8AAAAAAAAAAQAgAAAAIgAAAGRycy9kb3ducmV2LnhtbFBLAQIUABQAAAAIAIdO4kDc&#10;UthxrwEAAFEDAAAOAAAAAAAAAAEAIAAAACYBAABkcnMvZTJvRG9jLnhtbFBLBQYAAAAABgAGAFkB&#10;AABHBQAAAAA=&#10;">
                <v:fill on="f" focussize="0,0"/>
                <v:stroke on="f"/>
                <v:imagedata o:title=""/>
                <o:lock v:ext="edit" aspectratio="f"/>
                <v:textbox>
                  <w:txbxContent>
                    <w:p w14:paraId="0F6BD6EC">
                      <w:pPr>
                        <w:jc w:val="center"/>
                      </w:pPr>
                      <w:r>
                        <w:rPr>
                          <w:rFonts w:hint="eastAsia"/>
                        </w:rPr>
                        <w:t>粉尘、噪声、废水、固废</w:t>
                      </w:r>
                    </w:p>
                  </w:txbxContent>
                </v:textbox>
              </v:shape>
            </w:pict>
          </mc:Fallback>
        </mc:AlternateContent>
      </w:r>
      <w:r>
        <w:rPr>
          <w:rFonts w:ascii="宋体" w:hAnsi="Courier New"/>
          <w:sz w:val="20"/>
        </w:rPr>
        <mc:AlternateContent>
          <mc:Choice Requires="wps">
            <w:drawing>
              <wp:anchor distT="0" distB="0" distL="114300" distR="114300" simplePos="0" relativeHeight="251761664" behindDoc="0" locked="0" layoutInCell="1" allowOverlap="1">
                <wp:simplePos x="0" y="0"/>
                <wp:positionH relativeFrom="column">
                  <wp:posOffset>5228590</wp:posOffset>
                </wp:positionH>
                <wp:positionV relativeFrom="paragraph">
                  <wp:posOffset>341630</wp:posOffset>
                </wp:positionV>
                <wp:extent cx="0" cy="212090"/>
                <wp:effectExtent l="38100" t="0" r="38100" b="16510"/>
                <wp:wrapNone/>
                <wp:docPr id="220" name="直接连接符 220"/>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11.7pt;margin-top:26.9pt;height:16.7pt;width:0pt;z-index:251761664;mso-width-relative:page;mso-height-relative:page;" filled="f" stroked="t" coordsize="21600,21600" o:gfxdata="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lx532QAAAAkBAAAPAAAAAAAAAAEAIAAAACIAAABkcnMvZG93bnJl&#10;di54bWxQSwECFAAUAAAACACHTuJAtC4S+PwBAADrAwAADgAAAAAAAAABACAAAAAo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62688" behindDoc="0" locked="0" layoutInCell="1" allowOverlap="1">
                <wp:simplePos x="0" y="0"/>
                <wp:positionH relativeFrom="column">
                  <wp:posOffset>4978400</wp:posOffset>
                </wp:positionH>
                <wp:positionV relativeFrom="paragraph">
                  <wp:posOffset>571500</wp:posOffset>
                </wp:positionV>
                <wp:extent cx="495300" cy="28829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495300" cy="288290"/>
                        </a:xfrm>
                        <a:prstGeom prst="rect">
                          <a:avLst/>
                        </a:prstGeom>
                        <a:noFill/>
                        <a:ln>
                          <a:noFill/>
                        </a:ln>
                      </wps:spPr>
                      <wps:txbx>
                        <w:txbxContent>
                          <w:p w14:paraId="27272BA7">
                            <w:pPr>
                              <w:jc w:val="center"/>
                            </w:pPr>
                            <w:r>
                              <w:rPr>
                                <w:rFonts w:hint="eastAsia"/>
                              </w:rPr>
                              <w:t>噪声</w:t>
                            </w:r>
                          </w:p>
                        </w:txbxContent>
                      </wps:txbx>
                      <wps:bodyPr upright="1"/>
                    </wps:wsp>
                  </a:graphicData>
                </a:graphic>
              </wp:anchor>
            </w:drawing>
          </mc:Choice>
          <mc:Fallback>
            <w:pict>
              <v:shape id="_x0000_s1026" o:spid="_x0000_s1026" o:spt="202" type="#_x0000_t202" style="position:absolute;left:0pt;margin-left:392pt;margin-top:45pt;height:22.7pt;width:39pt;z-index:251762688;mso-width-relative:page;mso-height-relative:page;" filled="f" stroked="f" coordsize="21600,21600" o:gfxdata="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udL3u&#10;2AAAAAoBAAAPAAAAAAAAAAEAIAAAACIAAABkcnMvZG93bnJldi54bWxQSwECFAAUAAAACACHTuJA&#10;5JL0ra8BAABRAwAADgAAAAAAAAABACAAAAAnAQAAZHJzL2Uyb0RvYy54bWxQSwUGAAAAAAYABgBZ&#10;AQAASAUAAAAA&#10;">
                <v:fill on="f" focussize="0,0"/>
                <v:stroke on="f"/>
                <v:imagedata o:title=""/>
                <o:lock v:ext="edit" aspectratio="f"/>
                <v:textbox>
                  <w:txbxContent>
                    <w:p w14:paraId="27272BA7">
                      <w:pPr>
                        <w:jc w:val="center"/>
                      </w:pPr>
                      <w:r>
                        <w:rPr>
                          <w:rFonts w:hint="eastAsia"/>
                        </w:rPr>
                        <w:t>噪声</w:t>
                      </w:r>
                    </w:p>
                  </w:txbxContent>
                </v:textbox>
              </v:shape>
            </w:pict>
          </mc:Fallback>
        </mc:AlternateContent>
      </w:r>
      <w:r>
        <w:rPr>
          <w:rFonts w:ascii="宋体" w:hAnsi="Courier New"/>
          <w:sz w:val="20"/>
        </w:rPr>
        <mc:AlternateContent>
          <mc:Choice Requires="wps">
            <w:drawing>
              <wp:anchor distT="0" distB="0" distL="114300" distR="114300" simplePos="0" relativeHeight="251744256" behindDoc="0" locked="0" layoutInCell="1" allowOverlap="1">
                <wp:simplePos x="0" y="0"/>
                <wp:positionH relativeFrom="column">
                  <wp:posOffset>-203835</wp:posOffset>
                </wp:positionH>
                <wp:positionV relativeFrom="paragraph">
                  <wp:posOffset>50800</wp:posOffset>
                </wp:positionV>
                <wp:extent cx="795020" cy="284480"/>
                <wp:effectExtent l="4445" t="4445" r="19685" b="15875"/>
                <wp:wrapNone/>
                <wp:docPr id="227" name="矩形 227"/>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1053D6B3">
                            <w:r>
                              <w:rPr>
                                <w:rFonts w:hint="eastAsia"/>
                              </w:rPr>
                              <w:t>场地平整</w:t>
                            </w:r>
                          </w:p>
                        </w:txbxContent>
                      </wps:txbx>
                      <wps:bodyPr upright="1"/>
                    </wps:wsp>
                  </a:graphicData>
                </a:graphic>
              </wp:anchor>
            </w:drawing>
          </mc:Choice>
          <mc:Fallback>
            <w:pict>
              <v:rect id="_x0000_s1026" o:spid="_x0000_s1026" o:spt="1" style="position:absolute;left:0pt;margin-left:-16.05pt;margin-top:4pt;height:22.4pt;width:62.6pt;z-index:251744256;mso-width-relative:page;mso-height-relative:page;" fillcolor="#FFC000" filled="t" stroked="t" coordsize="21600,21600" o:gfxdata="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sqBDVAAAABwEAAA8AAAAAAAAAAQAgAAAAIgAAAGRy&#10;cy9kb3ducmV2LnhtbFBLAQIUABQAAAAIAIdO4kCkDJOhCAIAACwEAAAOAAAAAAAAAAEAIAAAACQB&#10;AABkcnMvZTJvRG9jLnhtbFBLBQYAAAAABgAGAFkBAACeBQAAAAA=&#10;">
                <v:fill on="t" focussize="0,0"/>
                <v:stroke color="#7030A0" joinstyle="miter"/>
                <v:imagedata o:title=""/>
                <o:lock v:ext="edit" aspectratio="f"/>
                <v:textbox>
                  <w:txbxContent>
                    <w:p w14:paraId="1053D6B3">
                      <w:r>
                        <w:rPr>
                          <w:rFonts w:hint="eastAsia"/>
                        </w:rPr>
                        <w:t>场地平整</w:t>
                      </w:r>
                    </w:p>
                  </w:txbxContent>
                </v:textbox>
              </v:rect>
            </w:pict>
          </mc:Fallback>
        </mc:AlternateContent>
      </w:r>
    </w:p>
    <w:p w14:paraId="2F9D7784">
      <w:pPr>
        <w:pStyle w:val="41"/>
        <w:adjustRightInd w:val="0"/>
        <w:snapToGrid w:val="0"/>
        <w:spacing w:line="460" w:lineRule="exact"/>
        <w:ind w:firstLine="400" w:firstLineChars="200"/>
        <w:rPr>
          <w:rFonts w:ascii="Arial" w:hAnsi="Arial" w:eastAsia="仿宋_GB2312" w:cs="Arial"/>
          <w:sz w:val="24"/>
        </w:rPr>
      </w:pPr>
      <w:r>
        <w:rPr>
          <w:rFonts w:ascii="宋体" w:hAnsi="Courier New"/>
          <w:sz w:val="20"/>
        </w:rPr>
        <mc:AlternateContent>
          <mc:Choice Requires="wps">
            <w:drawing>
              <wp:anchor distT="0" distB="0" distL="114300" distR="114300" simplePos="0" relativeHeight="251764736" behindDoc="0" locked="0" layoutInCell="1" allowOverlap="1">
                <wp:simplePos x="0" y="0"/>
                <wp:positionH relativeFrom="column">
                  <wp:posOffset>3878580</wp:posOffset>
                </wp:positionH>
                <wp:positionV relativeFrom="paragraph">
                  <wp:posOffset>257810</wp:posOffset>
                </wp:positionV>
                <wp:extent cx="790575" cy="52133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790575" cy="521335"/>
                        </a:xfrm>
                        <a:prstGeom prst="rect">
                          <a:avLst/>
                        </a:prstGeom>
                        <a:noFill/>
                        <a:ln>
                          <a:noFill/>
                        </a:ln>
                      </wps:spPr>
                      <wps:txbx>
                        <w:txbxContent>
                          <w:p w14:paraId="497C78E0">
                            <w:pPr>
                              <w:jc w:val="center"/>
                              <w:rPr>
                                <w:rFonts w:hint="eastAsia" w:eastAsia="宋体"/>
                                <w:lang w:eastAsia="zh-CN"/>
                              </w:rPr>
                            </w:pPr>
                            <w:r>
                              <w:rPr>
                                <w:rFonts w:hint="eastAsia"/>
                              </w:rPr>
                              <w:t>噪声</w:t>
                            </w:r>
                            <w:r>
                              <w:rPr>
                                <w:rFonts w:hint="eastAsia"/>
                                <w:lang w:eastAsia="zh-CN"/>
                              </w:rPr>
                              <w:t>、固废</w:t>
                            </w:r>
                          </w:p>
                        </w:txbxContent>
                      </wps:txbx>
                      <wps:bodyPr upright="1"/>
                    </wps:wsp>
                  </a:graphicData>
                </a:graphic>
              </wp:anchor>
            </w:drawing>
          </mc:Choice>
          <mc:Fallback>
            <w:pict>
              <v:shape id="_x0000_s1026" o:spid="_x0000_s1026" o:spt="202" type="#_x0000_t202" style="position:absolute;left:0pt;margin-left:305.4pt;margin-top:20.3pt;height:41.05pt;width:62.25pt;z-index:251764736;mso-width-relative:page;mso-height-relative:page;" filled="f" stroked="f" coordsize="21600,21600" o:gfxdata="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6TDC&#10;2AAAAAoBAAAPAAAAAAAAAAEAIAAAACIAAABkcnMvZG93bnJldi54bWxQSwECFAAUAAAACACHTuJA&#10;0Duo2K8BAABRAwAADgAAAAAAAAABACAAAAAnAQAAZHJzL2Uyb0RvYy54bWxQSwUGAAAAAAYABgBZ&#10;AQAASAUAAAAA&#10;">
                <v:fill on="f" focussize="0,0"/>
                <v:stroke on="f"/>
                <v:imagedata o:title=""/>
                <o:lock v:ext="edit" aspectratio="f"/>
                <v:textbox>
                  <w:txbxContent>
                    <w:p w14:paraId="497C78E0">
                      <w:pPr>
                        <w:jc w:val="center"/>
                        <w:rPr>
                          <w:rFonts w:hint="eastAsia" w:eastAsia="宋体"/>
                          <w:lang w:eastAsia="zh-CN"/>
                        </w:rPr>
                      </w:pPr>
                      <w:r>
                        <w:rPr>
                          <w:rFonts w:hint="eastAsia"/>
                        </w:rPr>
                        <w:t>噪声</w:t>
                      </w:r>
                      <w:r>
                        <w:rPr>
                          <w:rFonts w:hint="eastAsia"/>
                          <w:lang w:eastAsia="zh-CN"/>
                        </w:rPr>
                        <w:t>、固废</w:t>
                      </w:r>
                    </w:p>
                  </w:txbxContent>
                </v:textbox>
              </v:shape>
            </w:pict>
          </mc:Fallback>
        </mc:AlternateContent>
      </w:r>
      <w:r>
        <w:rPr>
          <w:rFonts w:ascii="宋体" w:hAnsi="Courier New"/>
          <w:sz w:val="20"/>
        </w:rPr>
        <mc:AlternateContent>
          <mc:Choice Requires="wps">
            <w:drawing>
              <wp:anchor distT="0" distB="0" distL="114300" distR="114300" simplePos="0" relativeHeight="251763712" behindDoc="0" locked="0" layoutInCell="1" allowOverlap="1">
                <wp:simplePos x="0" y="0"/>
                <wp:positionH relativeFrom="column">
                  <wp:posOffset>4265930</wp:posOffset>
                </wp:positionH>
                <wp:positionV relativeFrom="paragraph">
                  <wp:posOffset>49530</wp:posOffset>
                </wp:positionV>
                <wp:extent cx="0" cy="212090"/>
                <wp:effectExtent l="38100" t="0" r="38100" b="16510"/>
                <wp:wrapNone/>
                <wp:docPr id="231" name="直接连接符 231"/>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5.9pt;margin-top:3.9pt;height:16.7pt;width:0pt;z-index:251763712;mso-width-relative:page;mso-height-relative:page;" filled="f" stroked="t" coordsize="21600,21600" o:gfxdata="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YhsddcAAAAIAQAADwAAAAAAAAABACAAAAAiAAAAZHJzL2Rvd25yZXYu&#10;eG1sUEsBAhQAFAAAAAgAh07iQFIS0wf8AQAA6wMAAA4AAAAAAAAAAQAgAAAAJgEAAGRycy9lMm9E&#10;b2MueG1sUEsFBgAAAAAGAAYAWQEAAJQFA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7568" behindDoc="0" locked="0" layoutInCell="1" allowOverlap="1">
                <wp:simplePos x="0" y="0"/>
                <wp:positionH relativeFrom="column">
                  <wp:posOffset>-182245</wp:posOffset>
                </wp:positionH>
                <wp:positionV relativeFrom="paragraph">
                  <wp:posOffset>274320</wp:posOffset>
                </wp:positionV>
                <wp:extent cx="2754630" cy="532765"/>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2754630" cy="532765"/>
                        </a:xfrm>
                        <a:prstGeom prst="rect">
                          <a:avLst/>
                        </a:prstGeom>
                        <a:noFill/>
                        <a:ln>
                          <a:noFill/>
                        </a:ln>
                      </wps:spPr>
                      <wps:txbx>
                        <w:txbxContent>
                          <w:p w14:paraId="108C2FEB">
                            <w:pPr>
                              <w:jc w:val="center"/>
                            </w:pPr>
                            <w:r>
                              <w:rPr>
                                <w:rFonts w:hint="eastAsia"/>
                              </w:rPr>
                              <w:t>噪声、燃油废气、粉尘、弃土弃渣、固废、地表扰动、水土流失等</w:t>
                            </w:r>
                          </w:p>
                        </w:txbxContent>
                      </wps:txbx>
                      <wps:bodyPr upright="1"/>
                    </wps:wsp>
                  </a:graphicData>
                </a:graphic>
              </wp:anchor>
            </w:drawing>
          </mc:Choice>
          <mc:Fallback>
            <w:pict>
              <v:shape id="_x0000_s1026" o:spid="_x0000_s1026" o:spt="202" type="#_x0000_t202" style="position:absolute;left:0pt;margin-left:-14.35pt;margin-top:21.6pt;height:41.95pt;width:216.9pt;z-index:251757568;mso-width-relative:page;mso-height-relative:page;" filled="f" stroked="f" coordsize="21600,21600" o:gfxdata="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Xywt&#10;2AAAAAoBAAAPAAAAAAAAAAEAIAAAACIAAABkcnMvZG93bnJldi54bWxQSwECFAAUAAAACACHTuJA&#10;iBzCEK8BAABSAwAADgAAAAAAAAABACAAAAAnAQAAZHJzL2Uyb0RvYy54bWxQSwUGAAAAAAYABgBZ&#10;AQAASAUAAAAA&#10;">
                <v:fill on="f" focussize="0,0"/>
                <v:stroke on="f"/>
                <v:imagedata o:title=""/>
                <o:lock v:ext="edit" aspectratio="f"/>
                <v:textbox>
                  <w:txbxContent>
                    <w:p w14:paraId="108C2FEB">
                      <w:pPr>
                        <w:jc w:val="center"/>
                      </w:pPr>
                      <w:r>
                        <w:rPr>
                          <w:rFonts w:hint="eastAsia"/>
                        </w:rPr>
                        <w:t>噪声、燃油废气、粉尘、弃土弃渣、固废、地表扰动、水土流失等</w:t>
                      </w:r>
                    </w:p>
                  </w:txbxContent>
                </v:textbox>
              </v:shape>
            </w:pict>
          </mc:Fallback>
        </mc:AlternateContent>
      </w:r>
    </w:p>
    <w:p w14:paraId="6FFE5182">
      <w:pPr>
        <w:pStyle w:val="41"/>
        <w:adjustRightInd w:val="0"/>
        <w:snapToGrid w:val="0"/>
        <w:spacing w:line="460" w:lineRule="exact"/>
        <w:ind w:firstLine="480" w:firstLineChars="200"/>
        <w:rPr>
          <w:rFonts w:ascii="Arial" w:hAnsi="Arial" w:eastAsia="仿宋_GB2312" w:cs="Arial"/>
          <w:sz w:val="24"/>
        </w:rPr>
      </w:pPr>
    </w:p>
    <w:p w14:paraId="5F60BD8A">
      <w:pPr>
        <w:spacing w:line="240" w:lineRule="exact"/>
        <w:jc w:val="center"/>
        <w:rPr>
          <w:rFonts w:hint="eastAsia" w:ascii="Arial" w:hAnsi="宋体" w:cs="Arial"/>
          <w:b/>
          <w:bCs/>
          <w:sz w:val="26"/>
          <w:szCs w:val="26"/>
        </w:rPr>
      </w:pPr>
    </w:p>
    <w:p w14:paraId="7A817526">
      <w:pPr>
        <w:spacing w:line="240" w:lineRule="exact"/>
        <w:jc w:val="center"/>
        <w:rPr>
          <w:rFonts w:hint="eastAsia" w:ascii="Arial" w:hAnsi="宋体" w:cs="Arial"/>
          <w:b/>
          <w:bCs/>
          <w:sz w:val="26"/>
          <w:szCs w:val="26"/>
        </w:rPr>
      </w:pPr>
    </w:p>
    <w:p w14:paraId="00E4819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宋体" w:cs="Arial"/>
          <w:b/>
          <w:bCs/>
          <w:sz w:val="26"/>
          <w:szCs w:val="26"/>
        </w:rPr>
      </w:pPr>
      <w:r>
        <w:rPr>
          <w:rFonts w:hint="eastAsia" w:ascii="Arial" w:hAnsi="宋体" w:cs="Arial"/>
          <w:b/>
          <w:bCs/>
          <w:sz w:val="26"/>
          <w:szCs w:val="26"/>
        </w:rPr>
        <w:t xml:space="preserve">图3.4-5 </w:t>
      </w:r>
      <w:r>
        <w:rPr>
          <w:rFonts w:hint="eastAsia" w:ascii="Arial" w:hAnsi="宋体" w:cs="Arial"/>
          <w:b/>
          <w:bCs/>
          <w:sz w:val="26"/>
          <w:szCs w:val="26"/>
          <w:lang w:eastAsia="zh-CN"/>
        </w:rPr>
        <w:t>管理房、闸阀房</w:t>
      </w:r>
      <w:r>
        <w:rPr>
          <w:rFonts w:hint="eastAsia" w:ascii="Arial" w:hAnsi="宋体" w:cs="Arial"/>
          <w:b/>
          <w:bCs/>
          <w:sz w:val="26"/>
          <w:szCs w:val="26"/>
        </w:rPr>
        <w:t>施工工艺流程及产排污环节图</w:t>
      </w:r>
    </w:p>
    <w:p w14:paraId="4FECDF4C">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val="0"/>
          <w:sz w:val="26"/>
          <w:szCs w:val="26"/>
          <w:lang w:val="en-US" w:eastAsia="zh-CN"/>
        </w:rPr>
      </w:pPr>
      <w:r>
        <w:rPr>
          <w:rFonts w:hint="eastAsia" w:ascii="Arial" w:hAnsi="Arial" w:cs="Arial"/>
          <w:b/>
          <w:bCs w:val="0"/>
          <w:sz w:val="26"/>
          <w:szCs w:val="26"/>
          <w:lang w:val="en-US" w:eastAsia="zh-CN"/>
        </w:rPr>
        <w:t>3.1.2施工期环境影响因素</w:t>
      </w:r>
    </w:p>
    <w:p w14:paraId="5CDDE27D">
      <w:pPr>
        <w:keepNext w:val="0"/>
        <w:keepLines w:val="0"/>
        <w:pageBreakBefore w:val="0"/>
        <w:widowControl w:val="0"/>
        <w:kinsoku/>
        <w:wordWrap/>
        <w:overflowPunct/>
        <w:topLinePunct w:val="0"/>
        <w:autoSpaceDE/>
        <w:autoSpaceDN/>
        <w:bidi w:val="0"/>
        <w:adjustRightInd/>
        <w:snapToGrid/>
        <w:spacing w:line="460" w:lineRule="exact"/>
        <w:ind w:firstLine="392" w:firstLineChars="150"/>
        <w:jc w:val="left"/>
        <w:textAlignment w:val="auto"/>
        <w:outlineLvl w:val="3"/>
        <w:rPr>
          <w:rFonts w:hint="eastAsia" w:ascii="Arial" w:hAnsi="宋体" w:cs="Arial"/>
          <w:b/>
          <w:sz w:val="26"/>
          <w:szCs w:val="26"/>
        </w:rPr>
      </w:pPr>
      <w:r>
        <w:rPr>
          <w:rFonts w:hint="eastAsia" w:ascii="Arial" w:hAnsi="宋体" w:cs="Arial"/>
          <w:b/>
          <w:sz w:val="26"/>
          <w:szCs w:val="26"/>
        </w:rPr>
        <w:t>（</w:t>
      </w:r>
      <w:r>
        <w:rPr>
          <w:rFonts w:hint="eastAsia" w:ascii="Arial" w:hAnsi="宋体" w:cs="Arial"/>
          <w:b/>
          <w:sz w:val="26"/>
          <w:szCs w:val="26"/>
          <w:lang w:val="en-US" w:eastAsia="zh-CN"/>
        </w:rPr>
        <w:t>1</w:t>
      </w:r>
      <w:r>
        <w:rPr>
          <w:rFonts w:hint="eastAsia" w:ascii="Arial" w:hAnsi="宋体" w:cs="Arial"/>
          <w:b/>
          <w:sz w:val="26"/>
          <w:szCs w:val="26"/>
        </w:rPr>
        <w:t>）</w:t>
      </w:r>
      <w:r>
        <w:rPr>
          <w:rFonts w:hint="eastAsia" w:ascii="Arial" w:hAnsi="宋体" w:cs="Arial"/>
          <w:b/>
          <w:sz w:val="26"/>
          <w:szCs w:val="26"/>
          <w:lang w:eastAsia="zh-CN"/>
        </w:rPr>
        <w:t>废水</w:t>
      </w:r>
    </w:p>
    <w:p w14:paraId="2F93828A">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施工废水主要为混凝土拌合系统废水、基坑废水、车辆及施工设备冲洗等产生的含油废水、管道试压废水等生产废水，以及施工场地初期雨水和施工人员产生的生活污水。</w:t>
      </w:r>
    </w:p>
    <w:p w14:paraId="6AE3183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szCs w:val="26"/>
          <w:lang w:eastAsia="zh-CN"/>
        </w:rPr>
      </w:pPr>
      <w:r>
        <w:rPr>
          <w:rFonts w:ascii="Arial" w:hAnsi="Arial" w:cs="Arial"/>
          <w:b/>
          <w:bCs/>
          <w:sz w:val="26"/>
          <w:szCs w:val="26"/>
        </w:rPr>
        <w:t xml:space="preserve">① </w:t>
      </w:r>
      <w:r>
        <w:rPr>
          <w:rFonts w:hint="eastAsia" w:ascii="Arial" w:hAnsi="Arial" w:cs="Arial"/>
          <w:b/>
          <w:bCs/>
          <w:sz w:val="26"/>
          <w:szCs w:val="26"/>
          <w:lang w:eastAsia="zh-CN"/>
        </w:rPr>
        <w:t>混凝土拌合系统废水</w:t>
      </w:r>
    </w:p>
    <w:p w14:paraId="7E0F1C14">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本项目混凝土拌合系统废水来源于混凝土转筒和料罐的冲洗、混凝土养护废水。</w:t>
      </w:r>
    </w:p>
    <w:p w14:paraId="729117A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本项目施工期共布置7台可移动式混凝土搅拌机、1套混凝土拌合站，混凝土加工系统废水主要来源于混凝土转筒和料罐的冲洗工序，为碱性废水，预计每日产生量约5m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d。主要污染因子为pH、SS，浓度分别为12、2000gm/L，经pH调节+隔油沉淀池处理后，循环使用于混凝土拌和，不外排；沉渣定期清理，回用作混凝土拌合原料。</w:t>
      </w:r>
    </w:p>
    <w:p w14:paraId="314DDAB3">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cs="Arial"/>
          <w:b w:val="0"/>
          <w:bCs/>
          <w:sz w:val="26"/>
          <w:szCs w:val="26"/>
          <w:lang w:val="en-US" w:eastAsia="zh-CN"/>
        </w:rPr>
      </w:pPr>
      <w:r>
        <w:rPr>
          <w:rFonts w:hint="eastAsia" w:ascii="Arial" w:hAnsi="Arial" w:cs="Arial"/>
          <w:b w:val="0"/>
          <w:bCs/>
          <w:sz w:val="26"/>
          <w:szCs w:val="26"/>
          <w:lang w:val="en-US" w:eastAsia="zh-CN"/>
        </w:rPr>
        <w:t>混凝土浇筑养护产生的废水也属于碱性废水，具有悬浮物浓度较高、间歇集中排放的特点。本工程混凝土浇筑总量3.81万m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。据有关资料，每养护1m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混凝土产生约0.35m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碱性废水，则项目养护废水产生量约1.33万m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。主要污染因子为pH、SS，浓度分别为12、2000gm/L，由排水沟收集后，经pH调节+隔油沉淀池处理后，上清液回用作抑尘洒水或混凝土养护用水，不外排；沉渣定期清理，自然风干后运至弃渣场处理。</w:t>
      </w:r>
    </w:p>
    <w:p w14:paraId="6DF8CEC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szCs w:val="26"/>
          <w:lang w:eastAsia="zh-CN"/>
        </w:rPr>
      </w:pPr>
      <w:r>
        <w:rPr>
          <w:rFonts w:ascii="Arial" w:hAnsi="Arial" w:cs="Arial"/>
          <w:b/>
          <w:bCs/>
          <w:sz w:val="26"/>
          <w:szCs w:val="26"/>
        </w:rPr>
        <w:t>②</w:t>
      </w:r>
      <w:r>
        <w:rPr>
          <w:rFonts w:hint="eastAsia" w:ascii="Arial" w:hAnsi="Arial" w:cs="Arial"/>
          <w:b/>
          <w:bCs/>
          <w:sz w:val="26"/>
          <w:szCs w:val="26"/>
          <w:lang w:val="en-US" w:eastAsia="zh-CN"/>
        </w:rPr>
        <w:t xml:space="preserve"> </w:t>
      </w:r>
      <w:r>
        <w:rPr>
          <w:rFonts w:hint="eastAsia" w:ascii="Arial" w:hAnsi="Arial" w:cs="Arial"/>
          <w:b/>
          <w:bCs/>
          <w:sz w:val="26"/>
          <w:szCs w:val="26"/>
          <w:lang w:eastAsia="zh-CN"/>
        </w:rPr>
        <w:t>基坑废水</w:t>
      </w:r>
    </w:p>
    <w:p w14:paraId="7EFF26B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ascii="Arial" w:cs="Arial"/>
          <w:b w:val="0"/>
          <w:bCs/>
          <w:color w:val="auto"/>
          <w:sz w:val="26"/>
          <w:szCs w:val="26"/>
        </w:rPr>
      </w:pPr>
      <w:r>
        <w:rPr>
          <w:rFonts w:ascii="Arial" w:cs="Arial"/>
          <w:b w:val="0"/>
          <w:bCs/>
          <w:color w:val="auto"/>
          <w:sz w:val="26"/>
          <w:szCs w:val="26"/>
        </w:rPr>
        <w:t>基坑排水分初期和经常</w:t>
      </w:r>
      <w:r>
        <w:rPr>
          <w:rFonts w:hint="eastAsia" w:ascii="Arial" w:cs="Arial"/>
          <w:b w:val="0"/>
          <w:bCs/>
          <w:color w:val="auto"/>
          <w:sz w:val="26"/>
          <w:szCs w:val="26"/>
          <w:lang w:eastAsia="zh-CN"/>
        </w:rPr>
        <w:t>性</w:t>
      </w:r>
      <w:r>
        <w:rPr>
          <w:rFonts w:ascii="Arial" w:cs="Arial"/>
          <w:b w:val="0"/>
          <w:bCs/>
          <w:color w:val="auto"/>
          <w:sz w:val="26"/>
          <w:szCs w:val="26"/>
        </w:rPr>
        <w:t>排水。</w:t>
      </w:r>
    </w:p>
    <w:p w14:paraId="76F9FC43">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color w:val="auto"/>
          <w:sz w:val="26"/>
          <w:szCs w:val="26"/>
          <w:lang w:eastAsia="zh-CN"/>
        </w:rPr>
      </w:pPr>
      <w:r>
        <w:rPr>
          <w:rFonts w:ascii="Arial" w:cs="Arial"/>
          <w:b w:val="0"/>
          <w:bCs/>
          <w:color w:val="auto"/>
          <w:sz w:val="26"/>
          <w:szCs w:val="26"/>
        </w:rPr>
        <w:t>初期排水</w:t>
      </w:r>
      <w:r>
        <w:rPr>
          <w:rFonts w:hint="eastAsia" w:ascii="Arial" w:cs="Arial"/>
          <w:b w:val="0"/>
          <w:bCs/>
          <w:color w:val="auto"/>
          <w:sz w:val="26"/>
          <w:szCs w:val="26"/>
          <w:lang w:eastAsia="zh-CN"/>
        </w:rPr>
        <w:t>为大坝</w:t>
      </w:r>
      <w:r>
        <w:rPr>
          <w:rFonts w:ascii="Arial" w:cs="Arial"/>
          <w:b w:val="0"/>
          <w:bCs/>
          <w:color w:val="auto"/>
          <w:sz w:val="26"/>
          <w:szCs w:val="26"/>
        </w:rPr>
        <w:t>上</w:t>
      </w:r>
      <w:r>
        <w:rPr>
          <w:rFonts w:hint="eastAsia" w:ascii="Arial" w:cs="Arial"/>
          <w:b w:val="0"/>
          <w:bCs/>
          <w:color w:val="auto"/>
          <w:sz w:val="26"/>
          <w:szCs w:val="26"/>
          <w:lang w:eastAsia="zh-CN"/>
        </w:rPr>
        <w:t>、下</w:t>
      </w:r>
      <w:r>
        <w:rPr>
          <w:rFonts w:ascii="Arial" w:cs="Arial"/>
          <w:b w:val="0"/>
          <w:bCs/>
          <w:color w:val="auto"/>
          <w:sz w:val="26"/>
          <w:szCs w:val="26"/>
        </w:rPr>
        <w:t>游土石围堰闭气后</w:t>
      </w:r>
      <w:r>
        <w:rPr>
          <w:rFonts w:hint="eastAsia" w:ascii="Arial" w:cs="Arial"/>
          <w:b w:val="0"/>
          <w:bCs/>
          <w:color w:val="auto"/>
          <w:sz w:val="26"/>
          <w:szCs w:val="26"/>
          <w:lang w:eastAsia="zh-CN"/>
        </w:rPr>
        <w:t>基坑内的积水</w:t>
      </w:r>
      <w:r>
        <w:rPr>
          <w:rFonts w:ascii="Arial" w:cs="Arial"/>
          <w:b w:val="0"/>
          <w:bCs/>
          <w:color w:val="auto"/>
          <w:sz w:val="26"/>
          <w:szCs w:val="26"/>
        </w:rPr>
        <w:t>，根据本工程的现场情况，先填筑上游围堰，再填筑下游围堰，下游围堰填筑完成后，基坑积水很少，</w:t>
      </w:r>
      <w:r>
        <w:rPr>
          <w:rFonts w:hint="eastAsia" w:ascii="Arial" w:cs="Arial"/>
          <w:b w:val="0"/>
          <w:bCs/>
          <w:color w:val="auto"/>
          <w:sz w:val="26"/>
          <w:szCs w:val="26"/>
          <w:lang w:eastAsia="zh-CN"/>
        </w:rPr>
        <w:t>泵入下游河道。</w:t>
      </w:r>
    </w:p>
    <w:p w14:paraId="1D397778">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color w:val="auto"/>
          <w:sz w:val="26"/>
          <w:szCs w:val="26"/>
          <w:lang w:val="en-US" w:eastAsia="zh-CN"/>
        </w:rPr>
      </w:pPr>
      <w:r>
        <w:rPr>
          <w:rFonts w:hint="eastAsia" w:ascii="Arial" w:cs="Arial"/>
          <w:b w:val="0"/>
          <w:bCs/>
          <w:color w:val="auto"/>
          <w:sz w:val="26"/>
          <w:szCs w:val="26"/>
          <w:lang w:eastAsia="zh-CN"/>
        </w:rPr>
        <w:t>经常性</w:t>
      </w:r>
      <w:r>
        <w:rPr>
          <w:rFonts w:ascii="Arial" w:cs="Arial"/>
          <w:b w:val="0"/>
          <w:bCs/>
          <w:color w:val="auto"/>
          <w:sz w:val="26"/>
          <w:szCs w:val="26"/>
        </w:rPr>
        <w:t>主要</w:t>
      </w:r>
      <w:r>
        <w:rPr>
          <w:rFonts w:hint="eastAsia" w:ascii="Arial" w:cs="Arial"/>
          <w:b w:val="0"/>
          <w:bCs/>
          <w:color w:val="auto"/>
          <w:sz w:val="26"/>
          <w:szCs w:val="26"/>
          <w:lang w:eastAsia="zh-CN"/>
        </w:rPr>
        <w:t>受</w:t>
      </w:r>
      <w:r>
        <w:rPr>
          <w:rFonts w:ascii="Arial" w:cs="Arial"/>
          <w:b w:val="0"/>
          <w:bCs/>
          <w:color w:val="auto"/>
          <w:sz w:val="26"/>
          <w:szCs w:val="26"/>
        </w:rPr>
        <w:t>堰体渗水</w:t>
      </w:r>
      <w:r>
        <w:rPr>
          <w:rFonts w:hint="eastAsia" w:ascii="Arial" w:cs="Arial"/>
          <w:b w:val="0"/>
          <w:bCs/>
          <w:color w:val="auto"/>
          <w:sz w:val="26"/>
          <w:szCs w:val="26"/>
          <w:lang w:eastAsia="zh-CN"/>
        </w:rPr>
        <w:t>施工废水（主要是混凝土养护废水）</w:t>
      </w:r>
      <w:r>
        <w:rPr>
          <w:rFonts w:ascii="Arial" w:cs="Arial"/>
          <w:b w:val="0"/>
          <w:bCs/>
          <w:color w:val="auto"/>
          <w:sz w:val="26"/>
          <w:szCs w:val="26"/>
        </w:rPr>
        <w:t>和大气降水等</w:t>
      </w:r>
      <w:r>
        <w:rPr>
          <w:rFonts w:hint="eastAsia" w:ascii="Arial" w:cs="Arial"/>
          <w:b w:val="0"/>
          <w:bCs/>
          <w:color w:val="auto"/>
          <w:sz w:val="26"/>
          <w:szCs w:val="26"/>
          <w:lang w:eastAsia="zh-CN"/>
        </w:rPr>
        <w:t>因素影响</w:t>
      </w:r>
      <w:r>
        <w:rPr>
          <w:rFonts w:ascii="Arial" w:cs="Arial"/>
          <w:b w:val="0"/>
          <w:bCs/>
          <w:color w:val="auto"/>
          <w:sz w:val="26"/>
          <w:szCs w:val="26"/>
        </w:rPr>
        <w:t>，最大排水强度约</w:t>
      </w:r>
      <w:r>
        <w:rPr>
          <w:rFonts w:hint="eastAsia" w:ascii="Arial" w:hAnsi="Arial" w:cs="Arial"/>
          <w:b w:val="0"/>
          <w:bCs/>
          <w:color w:val="auto"/>
          <w:sz w:val="26"/>
          <w:szCs w:val="26"/>
          <w:lang w:val="en-US" w:eastAsia="zh-CN"/>
        </w:rPr>
        <w:t>14</w:t>
      </w:r>
      <w:r>
        <w:rPr>
          <w:rFonts w:ascii="Arial" w:hAnsi="Arial" w:cs="Arial"/>
          <w:b w:val="0"/>
          <w:bCs/>
          <w:color w:val="auto"/>
          <w:sz w:val="26"/>
          <w:szCs w:val="26"/>
        </w:rPr>
        <w:t>m</w:t>
      </w:r>
      <w:r>
        <w:rPr>
          <w:rFonts w:ascii="Arial" w:hAnsi="Arial" w:cs="Arial"/>
          <w:b w:val="0"/>
          <w:bCs/>
          <w:color w:val="auto"/>
          <w:sz w:val="26"/>
          <w:szCs w:val="26"/>
          <w:vertAlign w:val="superscript"/>
        </w:rPr>
        <w:t>3</w:t>
      </w:r>
      <w:r>
        <w:rPr>
          <w:rFonts w:ascii="Arial" w:hAnsi="Arial" w:cs="Arial"/>
          <w:b w:val="0"/>
          <w:bCs/>
          <w:color w:val="auto"/>
          <w:sz w:val="26"/>
          <w:szCs w:val="26"/>
        </w:rPr>
        <w:t>/</w:t>
      </w:r>
      <w:r>
        <w:rPr>
          <w:rFonts w:hint="eastAsia" w:ascii="Arial" w:hAnsi="Arial" w:cs="Arial"/>
          <w:b w:val="0"/>
          <w:bCs/>
          <w:color w:val="auto"/>
          <w:sz w:val="26"/>
          <w:szCs w:val="26"/>
          <w:lang w:val="en-US" w:eastAsia="zh-CN"/>
        </w:rPr>
        <w:t>h，</w:t>
      </w:r>
      <w:r>
        <w:rPr>
          <w:rFonts w:hint="eastAsia" w:ascii="Arial" w:cs="Arial"/>
          <w:b w:val="0"/>
          <w:bCs/>
          <w:color w:val="auto"/>
          <w:sz w:val="26"/>
          <w:szCs w:val="26"/>
          <w:lang w:eastAsia="zh-CN"/>
        </w:rPr>
        <w:t>其特点是水量大、以天然水体为主，污染物种类少、含量低，</w:t>
      </w:r>
      <w:r>
        <w:rPr>
          <w:rFonts w:hint="eastAsia" w:ascii="Arial" w:hAnsi="Arial" w:cs="Arial"/>
          <w:b w:val="0"/>
          <w:bCs/>
          <w:color w:val="auto"/>
          <w:sz w:val="26"/>
          <w:szCs w:val="26"/>
          <w:lang w:val="en-US" w:eastAsia="zh-CN"/>
        </w:rPr>
        <w:t>主要污染物为SS，浓度约1000mg/L。经截水沟、集水坑收集沉淀处理后，上清液可用作施工用水，多余部分泵入下游河道。</w:t>
      </w:r>
    </w:p>
    <w:p w14:paraId="3CCEC8E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szCs w:val="26"/>
          <w:lang w:val="en-US" w:eastAsia="zh-CN"/>
        </w:rPr>
      </w:pPr>
      <w:r>
        <w:rPr>
          <w:rFonts w:hint="eastAsia" w:ascii="Arial" w:hAnsi="Arial" w:cs="Arial"/>
          <w:b/>
          <w:bCs/>
          <w:sz w:val="26"/>
          <w:szCs w:val="26"/>
          <w:lang w:val="en-US" w:eastAsia="zh-CN"/>
        </w:rPr>
        <w:t>③ 含油废水</w:t>
      </w:r>
    </w:p>
    <w:p w14:paraId="35978B28">
      <w:pPr>
        <w:spacing w:line="460" w:lineRule="exact"/>
        <w:ind w:firstLine="520" w:firstLineChars="200"/>
        <w:rPr>
          <w:rFonts w:ascii="Arial" w:hAnsi="Arial" w:cs="Arial"/>
          <w:bCs/>
          <w:sz w:val="26"/>
          <w:szCs w:val="26"/>
        </w:rPr>
      </w:pPr>
      <w:r>
        <w:rPr>
          <w:rFonts w:hint="eastAsia" w:ascii="Arial" w:cs="Arial"/>
          <w:sz w:val="26"/>
          <w:szCs w:val="26"/>
          <w:lang w:eastAsia="zh-CN"/>
        </w:rPr>
        <w:t>本项目枢纽工程、输水工程施工场地内均设置有</w:t>
      </w:r>
      <w:r>
        <w:rPr>
          <w:rFonts w:hint="eastAsia" w:ascii="Arial" w:cs="Arial"/>
          <w:sz w:val="26"/>
          <w:szCs w:val="26"/>
          <w:lang w:val="en-US" w:eastAsia="zh-CN"/>
        </w:rPr>
        <w:t>1处施工机械停放场，会对施工机械进行简易的维护、检修、清洗，该过程会产生含油废水</w:t>
      </w:r>
      <w:r>
        <w:rPr>
          <w:rFonts w:ascii="Arial" w:cs="Arial"/>
          <w:sz w:val="26"/>
          <w:szCs w:val="26"/>
        </w:rPr>
        <w:t>。根据</w:t>
      </w:r>
      <w:r>
        <w:rPr>
          <w:rFonts w:hint="eastAsia" w:ascii="Arial" w:cs="Arial"/>
          <w:sz w:val="26"/>
          <w:szCs w:val="26"/>
          <w:lang w:eastAsia="zh-CN"/>
        </w:rPr>
        <w:t>类</w:t>
      </w:r>
      <w:r>
        <w:rPr>
          <w:rFonts w:ascii="Arial" w:cs="Arial"/>
          <w:sz w:val="26"/>
          <w:szCs w:val="26"/>
        </w:rPr>
        <w:t>比同类工程，预计</w:t>
      </w:r>
      <w:r>
        <w:rPr>
          <w:rFonts w:hint="eastAsia" w:ascii="Arial" w:cs="Arial"/>
          <w:sz w:val="26"/>
          <w:szCs w:val="26"/>
          <w:lang w:eastAsia="zh-CN"/>
        </w:rPr>
        <w:t>本项目施工期含油废水产生量</w:t>
      </w:r>
      <w:r>
        <w:rPr>
          <w:rFonts w:ascii="Arial" w:cs="Arial"/>
          <w:sz w:val="26"/>
          <w:szCs w:val="26"/>
        </w:rPr>
        <w:t>共计约</w:t>
      </w:r>
      <w:r>
        <w:rPr>
          <w:rFonts w:ascii="Arial" w:hAnsi="Arial" w:cs="Arial"/>
          <w:sz w:val="26"/>
          <w:szCs w:val="26"/>
        </w:rPr>
        <w:t>3.0m</w:t>
      </w:r>
      <w:r>
        <w:rPr>
          <w:rFonts w:ascii="Arial" w:hAnsi="Arial" w:cs="Arial"/>
          <w:sz w:val="26"/>
          <w:szCs w:val="26"/>
          <w:vertAlign w:val="superscript"/>
        </w:rPr>
        <w:t>3</w:t>
      </w:r>
      <w:r>
        <w:rPr>
          <w:rFonts w:ascii="Arial" w:hAnsi="Arial" w:cs="Arial"/>
          <w:sz w:val="26"/>
          <w:szCs w:val="26"/>
        </w:rPr>
        <w:t>/d</w:t>
      </w:r>
      <w:r>
        <w:rPr>
          <w:rFonts w:ascii="Arial" w:cs="Arial"/>
          <w:sz w:val="26"/>
          <w:szCs w:val="26"/>
        </w:rPr>
        <w:t>，废水主要含石油类、</w:t>
      </w:r>
      <w:r>
        <w:rPr>
          <w:rFonts w:ascii="Arial" w:hAnsi="Arial" w:cs="Arial"/>
          <w:sz w:val="26"/>
          <w:szCs w:val="26"/>
        </w:rPr>
        <w:t>SS</w:t>
      </w:r>
      <w:r>
        <w:rPr>
          <w:rFonts w:ascii="Arial" w:cs="Arial"/>
          <w:sz w:val="26"/>
          <w:szCs w:val="26"/>
        </w:rPr>
        <w:t>，浓度约为</w:t>
      </w:r>
      <w:r>
        <w:rPr>
          <w:rFonts w:ascii="Arial" w:hAnsi="Arial" w:cs="Arial"/>
          <w:sz w:val="26"/>
          <w:szCs w:val="26"/>
        </w:rPr>
        <w:t>1</w:t>
      </w:r>
      <w:r>
        <w:rPr>
          <w:rFonts w:hint="eastAsia" w:ascii="Arial" w:hAnsi="Arial" w:cs="Arial"/>
          <w:sz w:val="26"/>
          <w:szCs w:val="26"/>
          <w:lang w:val="en-US" w:eastAsia="zh-CN"/>
        </w:rPr>
        <w:t>2</w:t>
      </w:r>
      <w:r>
        <w:rPr>
          <w:rFonts w:ascii="Arial" w:hAnsi="Arial" w:cs="Arial"/>
          <w:sz w:val="26"/>
          <w:szCs w:val="26"/>
        </w:rPr>
        <w:t>0mg/L</w:t>
      </w:r>
      <w:r>
        <w:rPr>
          <w:rFonts w:ascii="Arial" w:cs="Arial"/>
          <w:sz w:val="26"/>
          <w:szCs w:val="26"/>
        </w:rPr>
        <w:t>、</w:t>
      </w:r>
      <w:r>
        <w:rPr>
          <w:rFonts w:ascii="Arial" w:hAnsi="Arial" w:cs="Arial"/>
          <w:sz w:val="26"/>
          <w:szCs w:val="26"/>
        </w:rPr>
        <w:t>1</w:t>
      </w:r>
      <w:r>
        <w:rPr>
          <w:rFonts w:hint="eastAsia" w:ascii="Arial" w:hAnsi="Arial" w:cs="Arial"/>
          <w:sz w:val="26"/>
          <w:szCs w:val="26"/>
          <w:lang w:val="en-US" w:eastAsia="zh-CN"/>
        </w:rPr>
        <w:t>0</w:t>
      </w:r>
      <w:r>
        <w:rPr>
          <w:rFonts w:ascii="Arial" w:hAnsi="Arial" w:cs="Arial"/>
          <w:sz w:val="26"/>
          <w:szCs w:val="26"/>
        </w:rPr>
        <w:t>00mg/L</w:t>
      </w:r>
      <w:r>
        <w:rPr>
          <w:rFonts w:ascii="Arial" w:cs="Arial"/>
          <w:sz w:val="26"/>
          <w:szCs w:val="26"/>
        </w:rPr>
        <w:t>。含油废水经</w:t>
      </w:r>
      <w:r>
        <w:rPr>
          <w:rFonts w:hint="eastAsia" w:ascii="Arial" w:cs="Arial"/>
          <w:sz w:val="26"/>
          <w:szCs w:val="26"/>
          <w:lang w:eastAsia="zh-CN"/>
        </w:rPr>
        <w:t>各施工场地</w:t>
      </w:r>
      <w:r>
        <w:rPr>
          <w:rFonts w:hint="eastAsia" w:ascii="Arial" w:cs="Arial"/>
          <w:sz w:val="26"/>
          <w:szCs w:val="26"/>
        </w:rPr>
        <w:t>内</w:t>
      </w:r>
      <w:r>
        <w:rPr>
          <w:rFonts w:ascii="Arial" w:cs="Arial"/>
          <w:sz w:val="26"/>
          <w:szCs w:val="26"/>
        </w:rPr>
        <w:t>设置的隔油池处理后全部回用</w:t>
      </w:r>
      <w:r>
        <w:rPr>
          <w:rFonts w:hint="eastAsia" w:ascii="Arial" w:cs="Arial"/>
          <w:sz w:val="26"/>
          <w:szCs w:val="26"/>
          <w:lang w:eastAsia="zh-CN"/>
        </w:rPr>
        <w:t>，</w:t>
      </w:r>
      <w:r>
        <w:rPr>
          <w:rFonts w:ascii="Arial" w:cs="Arial"/>
          <w:sz w:val="26"/>
          <w:szCs w:val="26"/>
        </w:rPr>
        <w:t>不外排。</w:t>
      </w:r>
    </w:p>
    <w:p w14:paraId="000385AD">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szCs w:val="26"/>
          <w:lang w:val="en-US" w:eastAsia="zh-CN"/>
        </w:rPr>
      </w:pPr>
      <w:r>
        <w:rPr>
          <w:rFonts w:hint="eastAsia" w:ascii="Arial" w:hAnsi="Arial" w:cs="Arial"/>
          <w:b/>
          <w:bCs/>
          <w:sz w:val="26"/>
          <w:szCs w:val="26"/>
          <w:lang w:val="en-US" w:eastAsia="zh-CN"/>
        </w:rPr>
        <w:t>④ 初期雨水</w:t>
      </w:r>
    </w:p>
    <w:p w14:paraId="419D8AB5">
      <w:pPr>
        <w:spacing w:line="460" w:lineRule="exact"/>
        <w:ind w:firstLine="520" w:firstLineChars="200"/>
        <w:rPr>
          <w:rFonts w:hint="eastAsia" w:ascii="Arial" w:cs="Arial"/>
          <w:sz w:val="26"/>
          <w:szCs w:val="26"/>
          <w:lang w:eastAsia="zh-CN"/>
        </w:rPr>
      </w:pPr>
      <w:r>
        <w:rPr>
          <w:rFonts w:hint="eastAsia" w:ascii="Arial" w:cs="Arial"/>
          <w:b w:val="0"/>
          <w:bCs/>
          <w:sz w:val="26"/>
          <w:szCs w:val="26"/>
          <w:lang w:eastAsia="zh-CN"/>
        </w:rPr>
        <w:t>项目施工期遇雨天产生初期雨水，会伴有泥沙形成“黄泥水”，此类地表径流中的主要污染物为SS。主要发生区域为施工临时用地区，尤其是砂石料及土方堆放场所，若不加以处理大量含泥沙废水进入附近水体会导致水体中SS 浓度升高。因此，施工单位需在</w:t>
      </w:r>
      <w:r>
        <w:rPr>
          <w:rFonts w:hint="eastAsia" w:ascii="Arial" w:cs="Arial"/>
          <w:sz w:val="26"/>
          <w:szCs w:val="26"/>
          <w:lang w:eastAsia="zh-CN"/>
        </w:rPr>
        <w:t>各施工作业点地势较高一侧设置截水沟，在场地地势较低一侧设置排水沟和沉砂池，一方面减少场地雨水汇入量，二是将初期雨水沉淀后回用作施工用水或排入环境。</w:t>
      </w:r>
    </w:p>
    <w:p w14:paraId="0045E5E2">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szCs w:val="26"/>
          <w:lang w:val="en-US" w:eastAsia="zh-CN"/>
        </w:rPr>
      </w:pPr>
      <w:r>
        <w:rPr>
          <w:rFonts w:hint="eastAsia" w:ascii="Arial" w:hAnsi="Arial" w:cs="Arial"/>
          <w:b/>
          <w:bCs/>
          <w:sz w:val="26"/>
          <w:szCs w:val="26"/>
          <w:lang w:val="en-US" w:eastAsia="zh-CN"/>
        </w:rPr>
        <w:t>⑤ 生活污水</w:t>
      </w:r>
    </w:p>
    <w:p w14:paraId="4F06977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Arial" w:cs="Arial"/>
          <w:b w:val="0"/>
          <w:bCs/>
          <w:sz w:val="26"/>
          <w:szCs w:val="26"/>
          <w:lang w:val="en-US" w:eastAsia="zh-CN"/>
        </w:rPr>
        <w:t>本项目不设施工营地，施工人员大多就近招用，租赁项目区已有居民房屋作营地。</w:t>
      </w:r>
      <w:r>
        <w:rPr>
          <w:rFonts w:ascii="Arial" w:cs="Arial"/>
          <w:b w:val="0"/>
          <w:bCs/>
          <w:snapToGrid w:val="0"/>
          <w:sz w:val="26"/>
          <w:szCs w:val="26"/>
        </w:rPr>
        <w:t>枢纽工程高峰施工人数</w:t>
      </w:r>
      <w:r>
        <w:rPr>
          <w:rFonts w:hint="eastAsia" w:ascii="Arial" w:hAnsi="Arial" w:cs="Arial"/>
          <w:b w:val="0"/>
          <w:bCs/>
          <w:snapToGrid w:val="0"/>
          <w:sz w:val="26"/>
          <w:szCs w:val="26"/>
          <w:lang w:val="en-US" w:eastAsia="zh-CN"/>
        </w:rPr>
        <w:t>9</w:t>
      </w:r>
      <w:r>
        <w:rPr>
          <w:rFonts w:ascii="Arial" w:hAnsi="Arial" w:cs="Arial"/>
          <w:b w:val="0"/>
          <w:bCs/>
          <w:snapToGrid w:val="0"/>
          <w:sz w:val="26"/>
          <w:szCs w:val="26"/>
        </w:rPr>
        <w:t>0</w:t>
      </w:r>
      <w:r>
        <w:rPr>
          <w:rFonts w:ascii="Arial" w:cs="Arial"/>
          <w:b w:val="0"/>
          <w:bCs/>
          <w:snapToGrid w:val="0"/>
          <w:sz w:val="26"/>
          <w:szCs w:val="26"/>
        </w:rPr>
        <w:t>人</w:t>
      </w:r>
      <w:r>
        <w:rPr>
          <w:rFonts w:hint="eastAsia" w:ascii="Arial" w:cs="Arial"/>
          <w:b w:val="0"/>
          <w:bCs/>
          <w:snapToGrid w:val="0"/>
          <w:sz w:val="26"/>
          <w:szCs w:val="26"/>
        </w:rPr>
        <w:t>，</w:t>
      </w:r>
      <w:r>
        <w:rPr>
          <w:rFonts w:ascii="Arial" w:cs="Arial"/>
          <w:b w:val="0"/>
          <w:bCs/>
          <w:sz w:val="26"/>
          <w:szCs w:val="26"/>
        </w:rPr>
        <w:t>生活用水量按</w:t>
      </w:r>
      <w:r>
        <w:rPr>
          <w:rFonts w:ascii="Arial" w:hAnsi="Arial" w:cs="Arial"/>
          <w:b w:val="0"/>
          <w:bCs/>
          <w:sz w:val="26"/>
          <w:szCs w:val="26"/>
        </w:rPr>
        <w:t>100L/</w:t>
      </w:r>
      <w:r>
        <w:rPr>
          <w:rFonts w:ascii="Arial" w:cs="Arial"/>
          <w:b w:val="0"/>
          <w:bCs/>
          <w:sz w:val="26"/>
          <w:szCs w:val="26"/>
        </w:rPr>
        <w:t>人</w:t>
      </w:r>
      <w:r>
        <w:rPr>
          <w:rFonts w:ascii="Arial" w:hAnsi="Arial" w:cs="Arial"/>
          <w:b w:val="0"/>
          <w:bCs/>
          <w:sz w:val="26"/>
          <w:szCs w:val="26"/>
        </w:rPr>
        <w:t>·d</w:t>
      </w:r>
      <w:r>
        <w:rPr>
          <w:rFonts w:ascii="Arial" w:cs="Arial"/>
          <w:b w:val="0"/>
          <w:bCs/>
          <w:sz w:val="26"/>
          <w:szCs w:val="26"/>
        </w:rPr>
        <w:t>计，</w:t>
      </w:r>
      <w:r>
        <w:rPr>
          <w:rFonts w:hint="eastAsia" w:ascii="Arial" w:cs="Arial"/>
          <w:b w:val="0"/>
          <w:bCs/>
          <w:sz w:val="26"/>
          <w:szCs w:val="26"/>
          <w:lang w:eastAsia="zh-CN"/>
        </w:rPr>
        <w:t>排</w:t>
      </w:r>
      <w:r>
        <w:rPr>
          <w:rFonts w:ascii="Arial" w:cs="Arial"/>
          <w:b w:val="0"/>
          <w:bCs/>
          <w:sz w:val="26"/>
          <w:szCs w:val="26"/>
        </w:rPr>
        <w:t>污系数取</w:t>
      </w:r>
      <w:r>
        <w:rPr>
          <w:rFonts w:ascii="Arial" w:hAnsi="Arial" w:cs="Arial"/>
          <w:b w:val="0"/>
          <w:bCs/>
          <w:sz w:val="26"/>
          <w:szCs w:val="26"/>
        </w:rPr>
        <w:t>0.</w:t>
      </w:r>
      <w:r>
        <w:rPr>
          <w:rFonts w:hint="eastAsia" w:ascii="Arial" w:hAnsi="Arial" w:cs="Arial"/>
          <w:b w:val="0"/>
          <w:bCs/>
          <w:sz w:val="26"/>
          <w:szCs w:val="26"/>
          <w:lang w:val="en-US" w:eastAsia="zh-CN"/>
        </w:rPr>
        <w:t>9</w:t>
      </w:r>
      <w:r>
        <w:rPr>
          <w:rFonts w:ascii="Arial" w:cs="Arial"/>
          <w:b w:val="0"/>
          <w:bCs/>
          <w:sz w:val="26"/>
          <w:szCs w:val="26"/>
        </w:rPr>
        <w:t>，施工期生活废水产生量为</w:t>
      </w:r>
      <w:r>
        <w:rPr>
          <w:rFonts w:hint="eastAsia" w:ascii="Arial" w:hAnsi="Arial" w:cs="Arial"/>
          <w:b w:val="0"/>
          <w:bCs/>
          <w:sz w:val="26"/>
          <w:szCs w:val="26"/>
          <w:lang w:val="en-US" w:eastAsia="zh-CN"/>
        </w:rPr>
        <w:t>8.1</w:t>
      </w:r>
      <w:r>
        <w:rPr>
          <w:rFonts w:ascii="Arial" w:hAnsi="Arial" w:cs="Arial"/>
          <w:b w:val="0"/>
          <w:bCs/>
          <w:sz w:val="26"/>
          <w:szCs w:val="26"/>
        </w:rPr>
        <w:t>m</w:t>
      </w:r>
      <w:r>
        <w:rPr>
          <w:rFonts w:ascii="Arial" w:hAnsi="Arial" w:cs="Arial"/>
          <w:b w:val="0"/>
          <w:bCs/>
          <w:sz w:val="26"/>
          <w:szCs w:val="26"/>
          <w:vertAlign w:val="superscript"/>
        </w:rPr>
        <w:t>3</w:t>
      </w:r>
      <w:r>
        <w:rPr>
          <w:rFonts w:ascii="Arial" w:hAnsi="Arial" w:cs="Arial"/>
          <w:b w:val="0"/>
          <w:bCs/>
          <w:sz w:val="26"/>
          <w:szCs w:val="26"/>
        </w:rPr>
        <w:t>/d</w:t>
      </w:r>
      <w:r>
        <w:rPr>
          <w:rFonts w:ascii="Arial" w:cs="Arial"/>
          <w:b w:val="0"/>
          <w:bCs/>
          <w:sz w:val="26"/>
          <w:szCs w:val="26"/>
        </w:rPr>
        <w:t>。污水中污染物以</w:t>
      </w:r>
      <w:r>
        <w:rPr>
          <w:rFonts w:ascii="Arial" w:hAnsi="Arial" w:cs="Arial"/>
          <w:b w:val="0"/>
          <w:bCs/>
          <w:sz w:val="26"/>
          <w:szCs w:val="26"/>
        </w:rPr>
        <w:t>SS</w:t>
      </w:r>
      <w:r>
        <w:rPr>
          <w:rFonts w:ascii="Arial" w:cs="Arial"/>
          <w:b w:val="0"/>
          <w:bCs/>
          <w:sz w:val="26"/>
          <w:szCs w:val="26"/>
        </w:rPr>
        <w:t>、</w:t>
      </w:r>
      <w:r>
        <w:rPr>
          <w:rFonts w:ascii="Arial" w:hAnsi="Arial" w:cs="Arial"/>
          <w:b w:val="0"/>
          <w:bCs/>
          <w:sz w:val="26"/>
          <w:szCs w:val="26"/>
        </w:rPr>
        <w:t>BOD</w:t>
      </w:r>
      <w:r>
        <w:rPr>
          <w:rFonts w:ascii="Arial" w:hAnsi="Arial" w:cs="Arial"/>
          <w:b w:val="0"/>
          <w:bCs/>
          <w:sz w:val="26"/>
          <w:szCs w:val="26"/>
          <w:vertAlign w:val="subscript"/>
        </w:rPr>
        <w:t>5</w:t>
      </w:r>
      <w:r>
        <w:rPr>
          <w:rFonts w:ascii="Arial" w:cs="Arial"/>
          <w:b w:val="0"/>
          <w:bCs/>
          <w:sz w:val="26"/>
          <w:szCs w:val="26"/>
        </w:rPr>
        <w:t>、</w:t>
      </w:r>
      <w:r>
        <w:rPr>
          <w:rFonts w:ascii="Arial" w:hAnsi="Arial" w:cs="Arial"/>
          <w:b w:val="0"/>
          <w:bCs/>
          <w:sz w:val="26"/>
          <w:szCs w:val="26"/>
        </w:rPr>
        <w:t>COD</w:t>
      </w:r>
      <w:r>
        <w:rPr>
          <w:rFonts w:ascii="Arial" w:cs="Arial"/>
          <w:b w:val="0"/>
          <w:bCs/>
          <w:sz w:val="26"/>
          <w:szCs w:val="26"/>
        </w:rPr>
        <w:t>、</w:t>
      </w:r>
      <w:r>
        <w:rPr>
          <w:rFonts w:ascii="Arial" w:hAnsi="Arial" w:cs="Arial"/>
          <w:b w:val="0"/>
          <w:bCs/>
          <w:sz w:val="26"/>
          <w:szCs w:val="26"/>
        </w:rPr>
        <w:t>NH</w:t>
      </w:r>
      <w:r>
        <w:rPr>
          <w:rFonts w:ascii="Arial" w:hAnsi="Arial" w:cs="Arial"/>
          <w:b w:val="0"/>
          <w:bCs/>
          <w:sz w:val="26"/>
          <w:szCs w:val="26"/>
          <w:vertAlign w:val="subscript"/>
        </w:rPr>
        <w:t>3</w:t>
      </w:r>
      <w:r>
        <w:rPr>
          <w:rFonts w:ascii="Arial" w:hAnsi="Arial" w:cs="Arial"/>
          <w:b w:val="0"/>
          <w:bCs/>
          <w:sz w:val="26"/>
          <w:szCs w:val="26"/>
        </w:rPr>
        <w:t>-N</w:t>
      </w:r>
      <w:r>
        <w:rPr>
          <w:rFonts w:ascii="Arial" w:cs="Arial"/>
          <w:b w:val="0"/>
          <w:bCs/>
          <w:sz w:val="26"/>
          <w:szCs w:val="26"/>
        </w:rPr>
        <w:t>为主，浓度分别为</w:t>
      </w:r>
      <w:r>
        <w:rPr>
          <w:rFonts w:ascii="Arial" w:hAnsi="Arial" w:cs="Arial"/>
          <w:b w:val="0"/>
          <w:bCs/>
          <w:sz w:val="26"/>
          <w:szCs w:val="26"/>
        </w:rPr>
        <w:t>250mg/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250mg/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450mg/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30mg/</w:t>
      </w:r>
      <w:r>
        <w:rPr>
          <w:rFonts w:hint="eastAsia" w:ascii="Arial" w:hAnsi="Arial" w:cs="Arial"/>
          <w:b w:val="0"/>
          <w:bCs/>
          <w:sz w:val="26"/>
          <w:szCs w:val="26"/>
        </w:rPr>
        <w:t>L</w:t>
      </w:r>
      <w:r>
        <w:rPr>
          <w:rFonts w:ascii="Arial" w:cs="Arial"/>
          <w:b w:val="0"/>
          <w:bCs/>
          <w:sz w:val="26"/>
          <w:szCs w:val="26"/>
        </w:rPr>
        <w:t>。</w:t>
      </w:r>
      <w:r>
        <w:rPr>
          <w:rFonts w:hint="eastAsia" w:ascii="Arial" w:cs="Arial"/>
          <w:b w:val="0"/>
          <w:bCs/>
          <w:sz w:val="26"/>
          <w:szCs w:val="26"/>
          <w:lang w:eastAsia="zh-CN"/>
        </w:rPr>
        <w:t>经租赁居民房屋内已有的旱厕收集处理后，全部用作农肥，不外排。根据现场勘查，项目地处山区，周围农耕作业覆盖范围大，有足够的田地可消纳本项目经处理后的生活污水。</w:t>
      </w:r>
    </w:p>
    <w:p w14:paraId="7FDD077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cs="Arial"/>
          <w:b w:val="0"/>
          <w:bCs/>
          <w:sz w:val="26"/>
          <w:szCs w:val="26"/>
          <w:lang w:eastAsia="zh-CN"/>
        </w:rPr>
        <w:t>输水工程为线状分布，施工人员</w:t>
      </w:r>
      <w:r>
        <w:rPr>
          <w:rFonts w:hint="eastAsia" w:ascii="Arial" w:hAnsi="Arial" w:cs="Arial"/>
          <w:b w:val="0"/>
          <w:bCs/>
          <w:sz w:val="26"/>
          <w:szCs w:val="26"/>
          <w:lang w:val="en-US" w:eastAsia="zh-CN"/>
        </w:rPr>
        <w:t>大多就近招用，租赁沿线已有居民房屋作营地。输水</w:t>
      </w:r>
      <w:r>
        <w:rPr>
          <w:rFonts w:ascii="Arial" w:cs="Arial"/>
          <w:b w:val="0"/>
          <w:bCs/>
          <w:snapToGrid w:val="0"/>
          <w:sz w:val="26"/>
          <w:szCs w:val="26"/>
        </w:rPr>
        <w:t>工程高峰施工人数</w:t>
      </w:r>
      <w:r>
        <w:rPr>
          <w:rFonts w:hint="eastAsia" w:ascii="Arial" w:hAnsi="Arial" w:cs="Arial"/>
          <w:b w:val="0"/>
          <w:bCs/>
          <w:snapToGrid w:val="0"/>
          <w:sz w:val="26"/>
          <w:szCs w:val="26"/>
          <w:lang w:val="en-US" w:eastAsia="zh-CN"/>
        </w:rPr>
        <w:t>4</w:t>
      </w:r>
      <w:r>
        <w:rPr>
          <w:rFonts w:ascii="Arial" w:hAnsi="Arial" w:cs="Arial"/>
          <w:b w:val="0"/>
          <w:bCs/>
          <w:snapToGrid w:val="0"/>
          <w:sz w:val="26"/>
          <w:szCs w:val="26"/>
        </w:rPr>
        <w:t>0</w:t>
      </w:r>
      <w:r>
        <w:rPr>
          <w:rFonts w:ascii="Arial" w:cs="Arial"/>
          <w:b w:val="0"/>
          <w:bCs/>
          <w:snapToGrid w:val="0"/>
          <w:sz w:val="26"/>
          <w:szCs w:val="26"/>
        </w:rPr>
        <w:t>人</w:t>
      </w:r>
      <w:r>
        <w:rPr>
          <w:rFonts w:hint="eastAsia" w:ascii="Arial" w:cs="Arial"/>
          <w:b w:val="0"/>
          <w:bCs/>
          <w:snapToGrid w:val="0"/>
          <w:sz w:val="26"/>
          <w:szCs w:val="26"/>
        </w:rPr>
        <w:t>，</w:t>
      </w:r>
      <w:r>
        <w:rPr>
          <w:rFonts w:ascii="Arial" w:cs="Arial"/>
          <w:b w:val="0"/>
          <w:bCs/>
          <w:sz w:val="26"/>
          <w:szCs w:val="26"/>
        </w:rPr>
        <w:t>生活用水量按</w:t>
      </w:r>
      <w:r>
        <w:rPr>
          <w:rFonts w:ascii="Arial" w:hAnsi="Arial" w:cs="Arial"/>
          <w:b w:val="0"/>
          <w:bCs/>
          <w:sz w:val="26"/>
          <w:szCs w:val="26"/>
        </w:rPr>
        <w:t>100L/</w:t>
      </w:r>
      <w:r>
        <w:rPr>
          <w:rFonts w:ascii="Arial" w:cs="Arial"/>
          <w:b w:val="0"/>
          <w:bCs/>
          <w:sz w:val="26"/>
          <w:szCs w:val="26"/>
        </w:rPr>
        <w:t>人</w:t>
      </w:r>
      <w:r>
        <w:rPr>
          <w:rFonts w:ascii="Arial" w:hAnsi="Arial" w:cs="Arial"/>
          <w:b w:val="0"/>
          <w:bCs/>
          <w:sz w:val="26"/>
          <w:szCs w:val="26"/>
        </w:rPr>
        <w:t>·d</w:t>
      </w:r>
      <w:r>
        <w:rPr>
          <w:rFonts w:ascii="Arial" w:cs="Arial"/>
          <w:b w:val="0"/>
          <w:bCs/>
          <w:sz w:val="26"/>
          <w:szCs w:val="26"/>
        </w:rPr>
        <w:t>计，</w:t>
      </w:r>
      <w:r>
        <w:rPr>
          <w:rFonts w:hint="eastAsia" w:ascii="Arial" w:cs="Arial"/>
          <w:b w:val="0"/>
          <w:bCs/>
          <w:sz w:val="26"/>
          <w:szCs w:val="26"/>
          <w:lang w:eastAsia="zh-CN"/>
        </w:rPr>
        <w:t>排</w:t>
      </w:r>
      <w:r>
        <w:rPr>
          <w:rFonts w:ascii="Arial" w:cs="Arial"/>
          <w:b w:val="0"/>
          <w:bCs/>
          <w:sz w:val="26"/>
          <w:szCs w:val="26"/>
        </w:rPr>
        <w:t>污系数取</w:t>
      </w:r>
      <w:r>
        <w:rPr>
          <w:rFonts w:ascii="Arial" w:hAnsi="Arial" w:cs="Arial"/>
          <w:b w:val="0"/>
          <w:bCs/>
          <w:sz w:val="26"/>
          <w:szCs w:val="26"/>
        </w:rPr>
        <w:t>0.</w:t>
      </w:r>
      <w:r>
        <w:rPr>
          <w:rFonts w:hint="eastAsia" w:ascii="Arial" w:hAnsi="Arial" w:cs="Arial"/>
          <w:b w:val="0"/>
          <w:bCs/>
          <w:sz w:val="26"/>
          <w:szCs w:val="26"/>
          <w:lang w:val="en-US" w:eastAsia="zh-CN"/>
        </w:rPr>
        <w:t>9</w:t>
      </w:r>
      <w:r>
        <w:rPr>
          <w:rFonts w:ascii="Arial" w:cs="Arial"/>
          <w:b w:val="0"/>
          <w:bCs/>
          <w:sz w:val="26"/>
          <w:szCs w:val="26"/>
        </w:rPr>
        <w:t>，施工期生活废水产生量为</w:t>
      </w:r>
      <w:r>
        <w:rPr>
          <w:rFonts w:hint="eastAsia" w:ascii="Arial" w:hAnsi="Arial" w:cs="Arial"/>
          <w:b w:val="0"/>
          <w:bCs/>
          <w:sz w:val="26"/>
          <w:szCs w:val="26"/>
          <w:lang w:val="en-US" w:eastAsia="zh-CN"/>
        </w:rPr>
        <w:t>3.6</w:t>
      </w:r>
      <w:r>
        <w:rPr>
          <w:rFonts w:ascii="Arial" w:hAnsi="Arial" w:cs="Arial"/>
          <w:b w:val="0"/>
          <w:bCs/>
          <w:sz w:val="26"/>
          <w:szCs w:val="26"/>
        </w:rPr>
        <w:t>m</w:t>
      </w:r>
      <w:r>
        <w:rPr>
          <w:rFonts w:ascii="Arial" w:hAnsi="Arial" w:cs="Arial"/>
          <w:b w:val="0"/>
          <w:bCs/>
          <w:sz w:val="26"/>
          <w:szCs w:val="26"/>
          <w:vertAlign w:val="superscript"/>
        </w:rPr>
        <w:t>3</w:t>
      </w:r>
      <w:r>
        <w:rPr>
          <w:rFonts w:ascii="Arial" w:hAnsi="Arial" w:cs="Arial"/>
          <w:b w:val="0"/>
          <w:bCs/>
          <w:sz w:val="26"/>
          <w:szCs w:val="26"/>
        </w:rPr>
        <w:t>/d</w:t>
      </w:r>
      <w:r>
        <w:rPr>
          <w:rFonts w:ascii="Arial" w:cs="Arial"/>
          <w:b w:val="0"/>
          <w:bCs/>
          <w:sz w:val="26"/>
          <w:szCs w:val="26"/>
        </w:rPr>
        <w:t>。污水中污染物以</w:t>
      </w:r>
      <w:r>
        <w:rPr>
          <w:rFonts w:ascii="Arial" w:hAnsi="Arial" w:cs="Arial"/>
          <w:b w:val="0"/>
          <w:bCs/>
          <w:sz w:val="26"/>
          <w:szCs w:val="26"/>
        </w:rPr>
        <w:t>SS</w:t>
      </w:r>
      <w:r>
        <w:rPr>
          <w:rFonts w:ascii="Arial" w:cs="Arial"/>
          <w:b w:val="0"/>
          <w:bCs/>
          <w:sz w:val="26"/>
          <w:szCs w:val="26"/>
        </w:rPr>
        <w:t>、</w:t>
      </w:r>
      <w:r>
        <w:rPr>
          <w:rFonts w:ascii="Arial" w:hAnsi="Arial" w:cs="Arial"/>
          <w:b w:val="0"/>
          <w:bCs/>
          <w:sz w:val="26"/>
          <w:szCs w:val="26"/>
        </w:rPr>
        <w:t>BOD</w:t>
      </w:r>
      <w:r>
        <w:rPr>
          <w:rFonts w:ascii="Arial" w:hAnsi="Arial" w:cs="Arial"/>
          <w:b w:val="0"/>
          <w:bCs/>
          <w:sz w:val="26"/>
          <w:szCs w:val="26"/>
          <w:vertAlign w:val="subscript"/>
        </w:rPr>
        <w:t>5</w:t>
      </w:r>
      <w:r>
        <w:rPr>
          <w:rFonts w:ascii="Arial" w:cs="Arial"/>
          <w:b w:val="0"/>
          <w:bCs/>
          <w:sz w:val="26"/>
          <w:szCs w:val="26"/>
        </w:rPr>
        <w:t>、</w:t>
      </w:r>
      <w:r>
        <w:rPr>
          <w:rFonts w:ascii="Arial" w:hAnsi="Arial" w:cs="Arial"/>
          <w:b w:val="0"/>
          <w:bCs/>
          <w:sz w:val="26"/>
          <w:szCs w:val="26"/>
        </w:rPr>
        <w:t>COD</w:t>
      </w:r>
      <w:r>
        <w:rPr>
          <w:rFonts w:ascii="Arial" w:cs="Arial"/>
          <w:b w:val="0"/>
          <w:bCs/>
          <w:sz w:val="26"/>
          <w:szCs w:val="26"/>
        </w:rPr>
        <w:t>、</w:t>
      </w:r>
      <w:r>
        <w:rPr>
          <w:rFonts w:ascii="Arial" w:hAnsi="Arial" w:cs="Arial"/>
          <w:b w:val="0"/>
          <w:bCs/>
          <w:sz w:val="26"/>
          <w:szCs w:val="26"/>
        </w:rPr>
        <w:t>NH</w:t>
      </w:r>
      <w:r>
        <w:rPr>
          <w:rFonts w:ascii="Arial" w:hAnsi="Arial" w:cs="Arial"/>
          <w:b w:val="0"/>
          <w:bCs/>
          <w:sz w:val="26"/>
          <w:szCs w:val="26"/>
          <w:vertAlign w:val="subscript"/>
        </w:rPr>
        <w:t>3</w:t>
      </w:r>
      <w:r>
        <w:rPr>
          <w:rFonts w:ascii="Arial" w:hAnsi="Arial" w:cs="Arial"/>
          <w:b w:val="0"/>
          <w:bCs/>
          <w:sz w:val="26"/>
          <w:szCs w:val="26"/>
        </w:rPr>
        <w:t>-N</w:t>
      </w:r>
      <w:r>
        <w:rPr>
          <w:rFonts w:ascii="Arial" w:cs="Arial"/>
          <w:b w:val="0"/>
          <w:bCs/>
          <w:sz w:val="26"/>
          <w:szCs w:val="26"/>
        </w:rPr>
        <w:t>为主，浓度分别为</w:t>
      </w:r>
      <w:r>
        <w:rPr>
          <w:rFonts w:ascii="Arial" w:hAnsi="Arial" w:cs="Arial"/>
          <w:b w:val="0"/>
          <w:bCs/>
          <w:sz w:val="26"/>
          <w:szCs w:val="26"/>
        </w:rPr>
        <w:t>250mg/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250mg/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450mg/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30mg/</w:t>
      </w:r>
      <w:r>
        <w:rPr>
          <w:rFonts w:hint="eastAsia" w:ascii="Arial" w:hAnsi="Arial" w:cs="Arial"/>
          <w:b w:val="0"/>
          <w:bCs/>
          <w:sz w:val="26"/>
          <w:szCs w:val="26"/>
        </w:rPr>
        <w:t>L</w:t>
      </w:r>
      <w:r>
        <w:rPr>
          <w:rFonts w:ascii="Arial" w:cs="Arial"/>
          <w:b w:val="0"/>
          <w:bCs/>
          <w:sz w:val="26"/>
          <w:szCs w:val="26"/>
        </w:rPr>
        <w:t>。</w:t>
      </w:r>
      <w:r>
        <w:rPr>
          <w:rFonts w:hint="eastAsia" w:ascii="Arial" w:cs="Arial"/>
          <w:b w:val="0"/>
          <w:bCs/>
          <w:sz w:val="26"/>
          <w:szCs w:val="26"/>
          <w:lang w:eastAsia="zh-CN"/>
        </w:rPr>
        <w:t>经租赁居民房屋内已有的旱厕收集处理后，全部用作农肥，不外排。根据现场勘查，项目输水管线沿线两侧分布有大量的农耕地，有足够的田地可消纳本项目经处理后的生活污水。</w:t>
      </w:r>
    </w:p>
    <w:p w14:paraId="4EEEEC57">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szCs w:val="26"/>
          <w:lang w:val="en-US" w:eastAsia="zh-CN"/>
        </w:rPr>
      </w:pPr>
      <w:r>
        <w:rPr>
          <w:rFonts w:hint="eastAsia" w:ascii="Arial" w:hAnsi="Arial" w:cs="Arial"/>
          <w:b/>
          <w:bCs/>
          <w:sz w:val="26"/>
          <w:szCs w:val="26"/>
          <w:lang w:val="en-US" w:eastAsia="zh-CN"/>
        </w:rPr>
        <w:t>⑥ 管道试压</w:t>
      </w:r>
    </w:p>
    <w:p w14:paraId="05F6FF07">
      <w:pPr>
        <w:spacing w:line="460" w:lineRule="exact"/>
        <w:ind w:firstLine="520" w:firstLineChars="200"/>
        <w:rPr>
          <w:rFonts w:hint="eastAsia" w:ascii="宋体" w:hAnsi="宋体" w:cs="宋体"/>
          <w:bCs/>
          <w:color w:val="auto"/>
          <w:sz w:val="26"/>
          <w:szCs w:val="26"/>
        </w:rPr>
      </w:pPr>
      <w:r>
        <w:rPr>
          <w:rFonts w:hint="eastAsia" w:ascii="宋体" w:hAnsi="宋体" w:cs="宋体"/>
          <w:bCs/>
          <w:color w:val="auto"/>
          <w:sz w:val="26"/>
          <w:szCs w:val="26"/>
        </w:rPr>
        <w:t>输送管道敷设完成后，将按照</w:t>
      </w:r>
      <w:r>
        <w:rPr>
          <w:rFonts w:hint="eastAsia" w:ascii="Arial" w:cs="Arial"/>
          <w:color w:val="auto"/>
          <w:sz w:val="26"/>
          <w:szCs w:val="26"/>
        </w:rPr>
        <w:t>《给水排水管道工程施工及验收规范》（</w:t>
      </w:r>
      <w:r>
        <w:rPr>
          <w:rFonts w:ascii="Arial" w:cs="Arial"/>
          <w:color w:val="auto"/>
          <w:sz w:val="26"/>
          <w:szCs w:val="26"/>
        </w:rPr>
        <w:t>GB50268-2008</w:t>
      </w:r>
      <w:r>
        <w:rPr>
          <w:rFonts w:hint="eastAsia" w:ascii="Arial" w:cs="Arial"/>
          <w:color w:val="auto"/>
          <w:sz w:val="26"/>
          <w:szCs w:val="26"/>
        </w:rPr>
        <w:t>）进行试压作业，试压采用河道清水，且试压点相对分散，局部排水量小，试压排水水质较好，属于清净下水，可直接用于浇灌周边林草，无污废水产生。</w:t>
      </w:r>
    </w:p>
    <w:p w14:paraId="0978AF37">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⑦ 小结</w:t>
      </w:r>
    </w:p>
    <w:p w14:paraId="50A09012">
      <w:pPr>
        <w:spacing w:line="460" w:lineRule="exact"/>
        <w:ind w:firstLine="520" w:firstLineChars="200"/>
        <w:rPr>
          <w:rFonts w:hint="eastAsia" w:ascii="宋体" w:hAnsi="宋体" w:cs="宋体"/>
          <w:bCs/>
          <w:color w:val="auto"/>
          <w:sz w:val="26"/>
          <w:szCs w:val="26"/>
          <w:lang w:eastAsia="zh-CN"/>
        </w:rPr>
      </w:pPr>
      <w:r>
        <w:rPr>
          <w:rFonts w:hint="eastAsia" w:ascii="宋体" w:hAnsi="宋体" w:cs="宋体"/>
          <w:bCs/>
          <w:color w:val="auto"/>
          <w:sz w:val="26"/>
          <w:szCs w:val="26"/>
          <w:lang w:eastAsia="zh-CN"/>
        </w:rPr>
        <w:t>本项目施工期</w:t>
      </w:r>
      <w:r>
        <w:rPr>
          <w:rFonts w:hint="eastAsia" w:ascii="宋体" w:hAnsi="宋体" w:cs="宋体"/>
          <w:bCs/>
          <w:color w:val="auto"/>
          <w:sz w:val="26"/>
          <w:szCs w:val="26"/>
        </w:rPr>
        <w:t>废水污染物排放情</w:t>
      </w:r>
      <w:r>
        <w:rPr>
          <w:rFonts w:hint="eastAsia" w:ascii="Arial" w:hAnsi="Calibri" w:eastAsia="宋体" w:cs="Arial"/>
          <w:b w:val="0"/>
          <w:bCs/>
          <w:kern w:val="0"/>
          <w:sz w:val="26"/>
          <w:szCs w:val="26"/>
          <w:lang w:val="en-US" w:eastAsia="zh-CN" w:bidi="ar-SA"/>
        </w:rPr>
        <w:t>况详见表3.1-1所示。</w:t>
      </w:r>
    </w:p>
    <w:p w14:paraId="5DB75239">
      <w:pPr>
        <w:spacing w:line="440" w:lineRule="exact"/>
        <w:jc w:val="center"/>
        <w:rPr>
          <w:rFonts w:hint="eastAsia" w:ascii="Arial" w:cs="Arial"/>
          <w:b/>
          <w:kern w:val="28"/>
          <w:sz w:val="26"/>
          <w:szCs w:val="26"/>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-1 施工期废水排放情况汇总表</w:t>
      </w:r>
    </w:p>
    <w:tbl>
      <w:tblPr>
        <w:tblStyle w:val="77"/>
        <w:tblW w:w="91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79"/>
        <w:gridCol w:w="709"/>
        <w:gridCol w:w="1231"/>
        <w:gridCol w:w="1942"/>
        <w:gridCol w:w="2723"/>
        <w:gridCol w:w="1050"/>
      </w:tblGrid>
      <w:tr w14:paraId="1F690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98" w:type="dxa"/>
            <w:tcBorders>
              <w:top w:val="single" w:color="auto" w:sz="12" w:space="0"/>
              <w:left w:val="single" w:color="auto" w:sz="12" w:space="0"/>
              <w:bottom w:val="single" w:color="auto" w:sz="4" w:space="0"/>
              <w:right w:val="single" w:color="auto" w:sz="4" w:space="0"/>
            </w:tcBorders>
            <w:noWrap w:val="0"/>
            <w:vAlign w:val="center"/>
          </w:tcPr>
          <w:p w14:paraId="545BDC8C">
            <w:pPr>
              <w:spacing w:line="280" w:lineRule="exact"/>
              <w:jc w:val="center"/>
              <w:rPr>
                <w:rFonts w:ascii="Arial" w:hAnsi="Arial" w:cs="Arial"/>
                <w:color w:val="auto"/>
                <w:sz w:val="22"/>
                <w:szCs w:val="22"/>
              </w:rPr>
            </w:pPr>
            <w:r>
              <w:rPr>
                <w:rFonts w:ascii="Arial" w:cs="Arial"/>
                <w:color w:val="auto"/>
                <w:sz w:val="22"/>
                <w:szCs w:val="22"/>
              </w:rPr>
              <w:t>序号</w:t>
            </w:r>
          </w:p>
        </w:tc>
        <w:tc>
          <w:tcPr>
            <w:tcW w:w="1488" w:type="dxa"/>
            <w:gridSpan w:val="2"/>
            <w:tcBorders>
              <w:top w:val="single" w:color="auto" w:sz="12" w:space="0"/>
              <w:left w:val="single" w:color="auto" w:sz="4" w:space="0"/>
              <w:bottom w:val="single" w:color="auto" w:sz="4" w:space="0"/>
              <w:right w:val="single" w:color="auto" w:sz="4" w:space="0"/>
            </w:tcBorders>
            <w:noWrap w:val="0"/>
            <w:vAlign w:val="center"/>
          </w:tcPr>
          <w:p w14:paraId="345330E5">
            <w:pPr>
              <w:spacing w:line="280" w:lineRule="exact"/>
              <w:jc w:val="center"/>
              <w:rPr>
                <w:rFonts w:ascii="Arial" w:hAnsi="Arial" w:cs="Arial"/>
                <w:color w:val="auto"/>
                <w:sz w:val="22"/>
                <w:szCs w:val="22"/>
              </w:rPr>
            </w:pPr>
            <w:r>
              <w:rPr>
                <w:rFonts w:ascii="Arial" w:cs="Arial"/>
                <w:color w:val="auto"/>
                <w:sz w:val="22"/>
                <w:szCs w:val="22"/>
              </w:rPr>
              <w:t>污染源</w:t>
            </w:r>
          </w:p>
        </w:tc>
        <w:tc>
          <w:tcPr>
            <w:tcW w:w="1231" w:type="dxa"/>
            <w:tcBorders>
              <w:top w:val="single" w:color="auto" w:sz="12" w:space="0"/>
              <w:left w:val="single" w:color="auto" w:sz="4" w:space="0"/>
              <w:bottom w:val="single" w:color="auto" w:sz="4" w:space="0"/>
              <w:right w:val="single" w:color="auto" w:sz="4" w:space="0"/>
            </w:tcBorders>
            <w:noWrap w:val="0"/>
            <w:vAlign w:val="center"/>
          </w:tcPr>
          <w:p w14:paraId="2F325338">
            <w:pPr>
              <w:spacing w:line="280" w:lineRule="exact"/>
              <w:jc w:val="center"/>
              <w:rPr>
                <w:rFonts w:ascii="Arial" w:hAnsi="Arial" w:cs="Arial"/>
                <w:color w:val="auto"/>
                <w:sz w:val="22"/>
                <w:szCs w:val="22"/>
              </w:rPr>
            </w:pPr>
            <w:r>
              <w:rPr>
                <w:rFonts w:ascii="Arial" w:cs="Arial"/>
                <w:color w:val="auto"/>
                <w:sz w:val="22"/>
                <w:szCs w:val="22"/>
              </w:rPr>
              <w:t>废水</w:t>
            </w:r>
          </w:p>
          <w:p w14:paraId="5EF6655D">
            <w:pPr>
              <w:spacing w:line="280" w:lineRule="exact"/>
              <w:jc w:val="center"/>
              <w:rPr>
                <w:rFonts w:ascii="Arial" w:hAnsi="Arial" w:cs="Arial"/>
                <w:color w:val="auto"/>
                <w:sz w:val="22"/>
                <w:szCs w:val="22"/>
              </w:rPr>
            </w:pPr>
            <w:r>
              <w:rPr>
                <w:rFonts w:ascii="Arial" w:cs="Arial"/>
                <w:color w:val="auto"/>
                <w:sz w:val="22"/>
                <w:szCs w:val="22"/>
              </w:rPr>
              <w:t>产生量</w:t>
            </w:r>
          </w:p>
        </w:tc>
        <w:tc>
          <w:tcPr>
            <w:tcW w:w="1942" w:type="dxa"/>
            <w:tcBorders>
              <w:top w:val="single" w:color="auto" w:sz="12" w:space="0"/>
              <w:left w:val="single" w:color="auto" w:sz="4" w:space="0"/>
              <w:bottom w:val="single" w:color="auto" w:sz="4" w:space="0"/>
              <w:right w:val="single" w:color="auto" w:sz="4" w:space="0"/>
            </w:tcBorders>
            <w:noWrap w:val="0"/>
            <w:vAlign w:val="center"/>
          </w:tcPr>
          <w:p w14:paraId="63ADC067">
            <w:pPr>
              <w:spacing w:line="280" w:lineRule="exact"/>
              <w:jc w:val="center"/>
              <w:rPr>
                <w:rFonts w:ascii="Arial" w:hAnsi="Arial" w:cs="Arial"/>
                <w:color w:val="auto"/>
                <w:sz w:val="22"/>
                <w:szCs w:val="22"/>
              </w:rPr>
            </w:pPr>
            <w:r>
              <w:rPr>
                <w:rFonts w:ascii="Arial" w:cs="Arial"/>
                <w:color w:val="auto"/>
                <w:sz w:val="22"/>
                <w:szCs w:val="22"/>
              </w:rPr>
              <w:t>主要污染因子及原始浓度</w:t>
            </w:r>
          </w:p>
        </w:tc>
        <w:tc>
          <w:tcPr>
            <w:tcW w:w="2723" w:type="dxa"/>
            <w:tcBorders>
              <w:top w:val="single" w:color="auto" w:sz="12" w:space="0"/>
              <w:left w:val="single" w:color="auto" w:sz="4" w:space="0"/>
              <w:bottom w:val="single" w:color="auto" w:sz="4" w:space="0"/>
              <w:right w:val="single" w:color="auto" w:sz="4" w:space="0"/>
            </w:tcBorders>
            <w:noWrap w:val="0"/>
            <w:vAlign w:val="center"/>
          </w:tcPr>
          <w:p w14:paraId="5F4A5FDF">
            <w:pPr>
              <w:spacing w:line="280" w:lineRule="exact"/>
              <w:jc w:val="center"/>
              <w:rPr>
                <w:rFonts w:ascii="Arial" w:hAnsi="Arial" w:cs="Arial"/>
                <w:color w:val="auto"/>
                <w:sz w:val="22"/>
                <w:szCs w:val="22"/>
              </w:rPr>
            </w:pPr>
            <w:r>
              <w:rPr>
                <w:rFonts w:ascii="Arial" w:cs="Arial"/>
                <w:color w:val="auto"/>
                <w:sz w:val="22"/>
                <w:szCs w:val="22"/>
              </w:rPr>
              <w:t>防治措施</w:t>
            </w:r>
          </w:p>
        </w:tc>
        <w:tc>
          <w:tcPr>
            <w:tcW w:w="1050" w:type="dxa"/>
            <w:tcBorders>
              <w:top w:val="single" w:color="auto" w:sz="12" w:space="0"/>
              <w:left w:val="single" w:color="auto" w:sz="4" w:space="0"/>
              <w:bottom w:val="single" w:color="auto" w:sz="4" w:space="0"/>
              <w:right w:val="single" w:color="auto" w:sz="12" w:space="0"/>
            </w:tcBorders>
            <w:noWrap w:val="0"/>
            <w:vAlign w:val="center"/>
          </w:tcPr>
          <w:p w14:paraId="4CB6302D">
            <w:pPr>
              <w:spacing w:line="280" w:lineRule="exact"/>
              <w:jc w:val="center"/>
              <w:rPr>
                <w:rFonts w:hint="eastAsia" w:ascii="Arial" w:hAnsi="Arial" w:eastAsia="宋体" w:cs="Arial"/>
                <w:color w:val="auto"/>
                <w:sz w:val="22"/>
                <w:szCs w:val="22"/>
                <w:lang w:eastAsia="zh-CN"/>
              </w:rPr>
            </w:pPr>
            <w:r>
              <w:rPr>
                <w:rFonts w:ascii="Arial" w:cs="Arial"/>
                <w:color w:val="auto"/>
                <w:sz w:val="22"/>
                <w:szCs w:val="22"/>
              </w:rPr>
              <w:t>废水排放</w:t>
            </w:r>
            <w:r>
              <w:rPr>
                <w:rFonts w:hint="eastAsia" w:ascii="Arial" w:cs="Arial"/>
                <w:color w:val="auto"/>
                <w:sz w:val="22"/>
                <w:szCs w:val="22"/>
                <w:lang w:eastAsia="zh-CN"/>
              </w:rPr>
              <w:t>情况</w:t>
            </w:r>
          </w:p>
        </w:tc>
      </w:tr>
      <w:tr w14:paraId="34B57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tcBorders>
              <w:top w:val="single" w:color="auto" w:sz="4" w:space="0"/>
              <w:left w:val="single" w:color="auto" w:sz="12" w:space="0"/>
              <w:bottom w:val="single" w:color="auto" w:sz="4" w:space="0"/>
              <w:right w:val="single" w:color="auto" w:sz="4" w:space="0"/>
            </w:tcBorders>
            <w:noWrap w:val="0"/>
            <w:vAlign w:val="center"/>
          </w:tcPr>
          <w:p w14:paraId="62D139C6">
            <w:pPr>
              <w:spacing w:line="280" w:lineRule="exact"/>
              <w:jc w:val="center"/>
              <w:rPr>
                <w:rFonts w:ascii="Arial" w:hAnsi="Arial" w:cs="Arial"/>
                <w:color w:val="auto"/>
                <w:sz w:val="22"/>
                <w:szCs w:val="22"/>
              </w:rPr>
            </w:pPr>
            <w:r>
              <w:rPr>
                <w:rFonts w:ascii="Arial" w:hAnsi="Arial" w:cs="Arial"/>
                <w:color w:val="auto"/>
                <w:sz w:val="22"/>
                <w:szCs w:val="22"/>
              </w:rPr>
              <w:t>1</w:t>
            </w:r>
          </w:p>
        </w:tc>
        <w:tc>
          <w:tcPr>
            <w:tcW w:w="1488" w:type="dxa"/>
            <w:gridSpan w:val="2"/>
            <w:tcBorders>
              <w:top w:val="single" w:color="auto" w:sz="4" w:space="0"/>
              <w:left w:val="single" w:color="auto" w:sz="4" w:space="0"/>
              <w:bottom w:val="single" w:color="auto" w:sz="4" w:space="0"/>
              <w:right w:val="single" w:color="auto" w:sz="4" w:space="0"/>
            </w:tcBorders>
            <w:noWrap w:val="0"/>
            <w:vAlign w:val="center"/>
          </w:tcPr>
          <w:p w14:paraId="03662A5C">
            <w:pPr>
              <w:spacing w:line="280" w:lineRule="exact"/>
              <w:jc w:val="center"/>
              <w:rPr>
                <w:rFonts w:hint="eastAsia" w:ascii="Arial" w:eastAsia="宋体" w:cs="Arial"/>
                <w:color w:val="auto"/>
                <w:sz w:val="22"/>
                <w:szCs w:val="22"/>
                <w:lang w:eastAsia="zh-CN"/>
              </w:rPr>
            </w:pPr>
            <w:r>
              <w:rPr>
                <w:rFonts w:hint="eastAsia" w:ascii="Arial" w:cs="Arial"/>
                <w:color w:val="auto"/>
                <w:sz w:val="22"/>
                <w:szCs w:val="22"/>
              </w:rPr>
              <w:t>混凝土</w:t>
            </w:r>
            <w:r>
              <w:rPr>
                <w:rFonts w:hint="eastAsia" w:ascii="Arial" w:cs="Arial"/>
                <w:color w:val="auto"/>
                <w:sz w:val="22"/>
                <w:szCs w:val="22"/>
                <w:lang w:eastAsia="zh-CN"/>
              </w:rPr>
              <w:t>拌合系统废水</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D3F5EEC">
            <w:pPr>
              <w:spacing w:line="280" w:lineRule="exact"/>
              <w:jc w:val="center"/>
              <w:rPr>
                <w:rFonts w:ascii="Arial" w:hAnsi="Arial" w:cs="Arial"/>
                <w:color w:val="auto"/>
                <w:sz w:val="22"/>
                <w:szCs w:val="22"/>
              </w:rPr>
            </w:pPr>
            <w:r>
              <w:rPr>
                <w:rFonts w:hint="eastAsia" w:ascii="Arial" w:hAnsi="Arial" w:cs="Arial"/>
                <w:color w:val="auto"/>
                <w:sz w:val="22"/>
                <w:szCs w:val="22"/>
                <w:lang w:val="en-US" w:eastAsia="zh-CN"/>
              </w:rPr>
              <w:t>23.27</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/d</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5BE04E41">
            <w:pPr>
              <w:spacing w:line="280" w:lineRule="exact"/>
              <w:jc w:val="center"/>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pH：12</w:t>
            </w:r>
          </w:p>
          <w:p w14:paraId="53D5495D">
            <w:pPr>
              <w:spacing w:line="280" w:lineRule="exact"/>
              <w:jc w:val="center"/>
              <w:rPr>
                <w:rFonts w:ascii="Arial" w:hAnsi="Arial" w:cs="Arial"/>
                <w:color w:val="auto"/>
                <w:sz w:val="22"/>
                <w:szCs w:val="22"/>
              </w:rPr>
            </w:pPr>
            <w:r>
              <w:rPr>
                <w:rFonts w:ascii="Arial" w:hAnsi="Arial" w:cs="Arial"/>
                <w:color w:val="auto"/>
                <w:sz w:val="22"/>
                <w:szCs w:val="22"/>
              </w:rPr>
              <w:t>SS</w:t>
            </w:r>
            <w:r>
              <w:rPr>
                <w:rFonts w:ascii="Arial" w:cs="Arial"/>
                <w:color w:val="auto"/>
                <w:sz w:val="22"/>
                <w:szCs w:val="22"/>
              </w:rPr>
              <w:t>：</w:t>
            </w:r>
            <w:r>
              <w:rPr>
                <w:rFonts w:hint="eastAsia" w:ascii="Arial" w:hAnsi="Arial" w:cs="Arial"/>
                <w:color w:val="auto"/>
                <w:sz w:val="22"/>
                <w:szCs w:val="22"/>
                <w:lang w:val="en-US" w:eastAsia="zh-CN"/>
              </w:rPr>
              <w:t>20</w:t>
            </w:r>
            <w:r>
              <w:rPr>
                <w:rFonts w:ascii="Arial" w:hAnsi="Arial" w:cs="Arial"/>
                <w:color w:val="auto"/>
                <w:sz w:val="22"/>
                <w:szCs w:val="22"/>
              </w:rPr>
              <w:t>00mg/L</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2C62833D">
            <w:pPr>
              <w:spacing w:line="280" w:lineRule="exact"/>
              <w:jc w:val="center"/>
              <w:rPr>
                <w:rFonts w:ascii="Arial" w:cs="Arial"/>
                <w:color w:val="auto"/>
                <w:sz w:val="22"/>
                <w:szCs w:val="22"/>
              </w:rPr>
            </w:pPr>
            <w:r>
              <w:rPr>
                <w:rFonts w:hint="eastAsia" w:ascii="Arial" w:cs="Arial"/>
                <w:color w:val="auto"/>
                <w:sz w:val="22"/>
                <w:szCs w:val="22"/>
                <w:lang w:val="en-US" w:eastAsia="zh-CN"/>
              </w:rPr>
              <w:t>经pH调节+隔油沉淀池处理后，上清液循环使用或回用作抑尘洒水，不外排。</w:t>
            </w:r>
          </w:p>
        </w:tc>
        <w:tc>
          <w:tcPr>
            <w:tcW w:w="1050" w:type="dxa"/>
            <w:tcBorders>
              <w:top w:val="single" w:color="auto" w:sz="4" w:space="0"/>
              <w:left w:val="single" w:color="auto" w:sz="4" w:space="0"/>
              <w:bottom w:val="single" w:color="auto" w:sz="4" w:space="0"/>
              <w:right w:val="single" w:color="auto" w:sz="12" w:space="0"/>
            </w:tcBorders>
            <w:noWrap w:val="0"/>
            <w:vAlign w:val="center"/>
          </w:tcPr>
          <w:p w14:paraId="282343A6">
            <w:pPr>
              <w:spacing w:line="280" w:lineRule="exact"/>
              <w:jc w:val="center"/>
              <w:rPr>
                <w:rFonts w:hint="eastAsia" w:ascii="Arial" w:hAnsi="Arial" w:cs="Arial"/>
                <w:color w:val="auto"/>
                <w:sz w:val="22"/>
                <w:szCs w:val="22"/>
              </w:rPr>
            </w:pPr>
            <w:r>
              <w:rPr>
                <w:rFonts w:hint="eastAsia" w:ascii="Arial" w:hAnsi="Arial" w:cs="Arial"/>
                <w:color w:val="auto"/>
                <w:sz w:val="22"/>
                <w:szCs w:val="22"/>
              </w:rPr>
              <w:t>0</w:t>
            </w:r>
          </w:p>
        </w:tc>
      </w:tr>
      <w:tr w14:paraId="2FD18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8" w:type="dxa"/>
            <w:vMerge w:val="restart"/>
            <w:tcBorders>
              <w:top w:val="single" w:color="auto" w:sz="4" w:space="0"/>
              <w:left w:val="single" w:color="auto" w:sz="12" w:space="0"/>
              <w:bottom w:val="single" w:color="auto" w:sz="4" w:space="0"/>
              <w:right w:val="single" w:color="auto" w:sz="4" w:space="0"/>
            </w:tcBorders>
            <w:noWrap w:val="0"/>
            <w:vAlign w:val="center"/>
          </w:tcPr>
          <w:p w14:paraId="5808E084">
            <w:pPr>
              <w:spacing w:line="280" w:lineRule="exact"/>
              <w:jc w:val="center"/>
              <w:rPr>
                <w:rFonts w:hint="eastAsia" w:ascii="Arial" w:hAnsi="Arial" w:cs="Arial"/>
                <w:color w:val="auto"/>
                <w:sz w:val="22"/>
                <w:szCs w:val="22"/>
              </w:rPr>
            </w:pPr>
            <w:r>
              <w:rPr>
                <w:rFonts w:hint="eastAsia" w:ascii="Arial" w:hAnsi="Arial" w:cs="Arial"/>
                <w:color w:val="auto"/>
                <w:sz w:val="22"/>
                <w:szCs w:val="22"/>
              </w:rPr>
              <w:t>2</w:t>
            </w:r>
          </w:p>
        </w:tc>
        <w:tc>
          <w:tcPr>
            <w:tcW w:w="779" w:type="dxa"/>
            <w:vMerge w:val="restart"/>
            <w:tcBorders>
              <w:top w:val="single" w:color="auto" w:sz="4" w:space="0"/>
              <w:left w:val="single" w:color="auto" w:sz="4" w:space="0"/>
              <w:bottom w:val="single" w:color="auto" w:sz="4" w:space="0"/>
              <w:right w:val="single" w:color="auto" w:sz="4" w:space="0"/>
            </w:tcBorders>
            <w:noWrap w:val="0"/>
            <w:vAlign w:val="center"/>
          </w:tcPr>
          <w:p w14:paraId="1FBD6002">
            <w:pPr>
              <w:spacing w:line="280" w:lineRule="exact"/>
              <w:jc w:val="center"/>
              <w:rPr>
                <w:rFonts w:ascii="Arial" w:hAnsi="Arial" w:cs="Arial"/>
                <w:color w:val="auto"/>
                <w:sz w:val="22"/>
                <w:szCs w:val="22"/>
              </w:rPr>
            </w:pPr>
            <w:r>
              <w:rPr>
                <w:rFonts w:ascii="Arial" w:cs="Arial"/>
                <w:color w:val="auto"/>
                <w:sz w:val="22"/>
                <w:szCs w:val="22"/>
              </w:rPr>
              <w:t>基坑废水</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688563B">
            <w:pPr>
              <w:spacing w:line="280" w:lineRule="exact"/>
              <w:jc w:val="center"/>
              <w:rPr>
                <w:rFonts w:ascii="Arial" w:hAnsi="Arial" w:cs="Arial"/>
                <w:color w:val="auto"/>
                <w:sz w:val="22"/>
                <w:szCs w:val="22"/>
              </w:rPr>
            </w:pPr>
            <w:r>
              <w:rPr>
                <w:rFonts w:ascii="Arial" w:cs="Arial"/>
                <w:color w:val="auto"/>
                <w:sz w:val="22"/>
                <w:szCs w:val="22"/>
              </w:rPr>
              <w:t>初期</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7526F00">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少量</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6F8068B9">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天然水体</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5D74F82A">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泵入下游河道</w:t>
            </w:r>
          </w:p>
        </w:tc>
        <w:tc>
          <w:tcPr>
            <w:tcW w:w="1050" w:type="dxa"/>
            <w:tcBorders>
              <w:top w:val="single" w:color="auto" w:sz="4" w:space="0"/>
              <w:left w:val="single" w:color="auto" w:sz="4" w:space="0"/>
              <w:right w:val="single" w:color="auto" w:sz="12" w:space="0"/>
            </w:tcBorders>
            <w:noWrap w:val="0"/>
            <w:vAlign w:val="center"/>
          </w:tcPr>
          <w:p w14:paraId="4791E454">
            <w:pPr>
              <w:spacing w:line="28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0</w:t>
            </w:r>
          </w:p>
        </w:tc>
      </w:tr>
      <w:tr w14:paraId="30493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8" w:type="dxa"/>
            <w:vMerge w:val="continue"/>
            <w:tcBorders>
              <w:top w:val="single" w:color="auto" w:sz="4" w:space="0"/>
              <w:left w:val="single" w:color="auto" w:sz="12" w:space="0"/>
              <w:bottom w:val="single" w:color="auto" w:sz="4" w:space="0"/>
              <w:right w:val="single" w:color="auto" w:sz="4" w:space="0"/>
            </w:tcBorders>
            <w:noWrap w:val="0"/>
            <w:vAlign w:val="center"/>
          </w:tcPr>
          <w:p w14:paraId="4420FA9D">
            <w:pPr>
              <w:widowControl/>
              <w:spacing w:line="280" w:lineRule="exact"/>
              <w:jc w:val="left"/>
              <w:rPr>
                <w:rFonts w:ascii="Arial" w:hAnsi="Arial" w:cs="Arial"/>
                <w:color w:val="auto"/>
                <w:sz w:val="22"/>
                <w:szCs w:val="22"/>
              </w:rPr>
            </w:pPr>
          </w:p>
        </w:tc>
        <w:tc>
          <w:tcPr>
            <w:tcW w:w="779" w:type="dxa"/>
            <w:vMerge w:val="continue"/>
            <w:tcBorders>
              <w:top w:val="single" w:color="auto" w:sz="4" w:space="0"/>
              <w:left w:val="single" w:color="auto" w:sz="4" w:space="0"/>
              <w:bottom w:val="single" w:color="auto" w:sz="4" w:space="0"/>
              <w:right w:val="single" w:color="auto" w:sz="4" w:space="0"/>
            </w:tcBorders>
            <w:noWrap w:val="0"/>
            <w:vAlign w:val="center"/>
          </w:tcPr>
          <w:p w14:paraId="34B475BC">
            <w:pPr>
              <w:widowControl/>
              <w:spacing w:line="280" w:lineRule="exact"/>
              <w:jc w:val="left"/>
              <w:rPr>
                <w:rFonts w:ascii="Arial" w:hAnsi="Arial" w:cs="Arial"/>
                <w:color w:val="auto"/>
                <w:sz w:val="22"/>
                <w:szCs w:val="22"/>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A022E5">
            <w:pPr>
              <w:spacing w:line="280" w:lineRule="exact"/>
              <w:jc w:val="center"/>
              <w:rPr>
                <w:rFonts w:ascii="Arial" w:hAnsi="Arial" w:cs="Arial"/>
                <w:color w:val="auto"/>
                <w:sz w:val="22"/>
                <w:szCs w:val="22"/>
              </w:rPr>
            </w:pPr>
            <w:r>
              <w:rPr>
                <w:rFonts w:ascii="Arial" w:cs="Arial"/>
                <w:color w:val="auto"/>
                <w:sz w:val="22"/>
                <w:szCs w:val="22"/>
              </w:rPr>
              <w:t>经常性</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6805A8C">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val="en-US" w:eastAsia="zh-CN"/>
              </w:rPr>
              <w:t>14</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w:t>
            </w:r>
            <w:r>
              <w:rPr>
                <w:rFonts w:hint="eastAsia" w:ascii="Arial" w:hAnsi="Arial" w:cs="Arial"/>
                <w:color w:val="auto"/>
                <w:sz w:val="22"/>
                <w:szCs w:val="22"/>
                <w:lang w:val="en-US" w:eastAsia="zh-CN"/>
              </w:rPr>
              <w:t>h</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2E58F0AF">
            <w:pPr>
              <w:widowControl/>
              <w:spacing w:line="280" w:lineRule="exact"/>
              <w:jc w:val="left"/>
              <w:rPr>
                <w:rFonts w:ascii="Arial" w:hAnsi="Arial" w:cs="Arial"/>
                <w:color w:val="auto"/>
                <w:sz w:val="22"/>
                <w:szCs w:val="22"/>
              </w:rPr>
            </w:pPr>
            <w:r>
              <w:rPr>
                <w:rFonts w:ascii="Arial" w:hAnsi="Arial" w:cs="Arial"/>
                <w:color w:val="auto"/>
                <w:sz w:val="22"/>
                <w:szCs w:val="22"/>
              </w:rPr>
              <w:t>SS</w:t>
            </w:r>
            <w:r>
              <w:rPr>
                <w:rFonts w:hint="eastAsia" w:ascii="Arial" w:hAnsi="Arial" w:cs="Arial"/>
                <w:color w:val="auto"/>
                <w:sz w:val="22"/>
                <w:szCs w:val="22"/>
                <w:lang w:val="en-US" w:eastAsia="zh-CN"/>
              </w:rPr>
              <w:t>：1</w:t>
            </w:r>
            <w:r>
              <w:rPr>
                <w:rFonts w:ascii="Arial" w:hAnsi="Arial" w:cs="Arial"/>
                <w:color w:val="auto"/>
                <w:sz w:val="22"/>
                <w:szCs w:val="22"/>
              </w:rPr>
              <w:t>000mg/L</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54874A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ascii="Arial" w:hAnsi="Arial" w:cs="Arial"/>
                <w:color w:val="auto"/>
                <w:sz w:val="22"/>
                <w:szCs w:val="22"/>
              </w:rPr>
            </w:pPr>
            <w:r>
              <w:rPr>
                <w:rFonts w:hint="eastAsia" w:ascii="Arial" w:hAnsi="Times New Roman" w:eastAsia="宋体" w:cs="Arial"/>
                <w:b w:val="0"/>
                <w:color w:val="auto"/>
                <w:kern w:val="2"/>
                <w:sz w:val="22"/>
                <w:szCs w:val="22"/>
                <w:lang w:val="en-US" w:eastAsia="zh-CN" w:bidi="ar-SA"/>
              </w:rPr>
              <w:t>经截水沟、集水坑收集沉淀处理后，上清液可用作施工用水，多余部分泵入下游河道。</w:t>
            </w:r>
          </w:p>
        </w:tc>
        <w:tc>
          <w:tcPr>
            <w:tcW w:w="1050" w:type="dxa"/>
            <w:tcBorders>
              <w:left w:val="single" w:color="auto" w:sz="4" w:space="0"/>
              <w:bottom w:val="single" w:color="auto" w:sz="4" w:space="0"/>
              <w:right w:val="single" w:color="auto" w:sz="12" w:space="0"/>
            </w:tcBorders>
            <w:noWrap w:val="0"/>
            <w:vAlign w:val="center"/>
          </w:tcPr>
          <w:p w14:paraId="2780A95F">
            <w:pPr>
              <w:spacing w:line="280" w:lineRule="exact"/>
              <w:jc w:val="center"/>
              <w:rPr>
                <w:rFonts w:ascii="Arial" w:hAnsi="Arial" w:cs="Arial"/>
                <w:color w:val="auto"/>
                <w:sz w:val="22"/>
                <w:szCs w:val="22"/>
              </w:rPr>
            </w:pPr>
            <w:r>
              <w:rPr>
                <w:rFonts w:hint="eastAsia" w:ascii="Arial" w:hAnsi="Arial" w:cs="Arial"/>
                <w:color w:val="auto"/>
                <w:sz w:val="22"/>
                <w:szCs w:val="22"/>
              </w:rPr>
              <w:t>少量</w:t>
            </w:r>
          </w:p>
        </w:tc>
      </w:tr>
      <w:tr w14:paraId="0AE78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3" w:hRule="atLeast"/>
          <w:jc w:val="center"/>
        </w:trPr>
        <w:tc>
          <w:tcPr>
            <w:tcW w:w="698" w:type="dxa"/>
            <w:tcBorders>
              <w:top w:val="single" w:color="auto" w:sz="4" w:space="0"/>
              <w:left w:val="single" w:color="auto" w:sz="12" w:space="0"/>
              <w:bottom w:val="single" w:color="auto" w:sz="4" w:space="0"/>
              <w:right w:val="single" w:color="auto" w:sz="4" w:space="0"/>
            </w:tcBorders>
            <w:noWrap w:val="0"/>
            <w:vAlign w:val="center"/>
          </w:tcPr>
          <w:p w14:paraId="76D176BD">
            <w:pPr>
              <w:spacing w:line="280" w:lineRule="exact"/>
              <w:jc w:val="center"/>
              <w:rPr>
                <w:rFonts w:hint="eastAsia" w:ascii="Arial" w:hAnsi="Arial" w:cs="Arial"/>
                <w:color w:val="auto"/>
                <w:sz w:val="22"/>
                <w:szCs w:val="22"/>
              </w:rPr>
            </w:pPr>
            <w:r>
              <w:rPr>
                <w:rFonts w:hint="eastAsia" w:ascii="Arial" w:hAnsi="Arial" w:cs="Arial"/>
                <w:color w:val="auto"/>
                <w:sz w:val="22"/>
                <w:szCs w:val="22"/>
              </w:rPr>
              <w:t>3</w:t>
            </w:r>
          </w:p>
        </w:tc>
        <w:tc>
          <w:tcPr>
            <w:tcW w:w="1488" w:type="dxa"/>
            <w:gridSpan w:val="2"/>
            <w:tcBorders>
              <w:top w:val="single" w:color="auto" w:sz="4" w:space="0"/>
              <w:left w:val="single" w:color="auto" w:sz="4" w:space="0"/>
              <w:bottom w:val="single" w:color="auto" w:sz="4" w:space="0"/>
              <w:right w:val="single" w:color="auto" w:sz="4" w:space="0"/>
            </w:tcBorders>
            <w:noWrap w:val="0"/>
            <w:vAlign w:val="center"/>
          </w:tcPr>
          <w:p w14:paraId="2A88C8D1">
            <w:pPr>
              <w:spacing w:line="280" w:lineRule="exact"/>
              <w:jc w:val="center"/>
              <w:rPr>
                <w:rFonts w:ascii="Arial" w:hAnsi="Arial" w:cs="Arial"/>
                <w:color w:val="auto"/>
                <w:sz w:val="22"/>
                <w:szCs w:val="22"/>
              </w:rPr>
            </w:pPr>
            <w:r>
              <w:rPr>
                <w:rFonts w:ascii="Arial" w:cs="Arial"/>
                <w:color w:val="auto"/>
                <w:sz w:val="22"/>
                <w:szCs w:val="22"/>
              </w:rPr>
              <w:t>含油废水</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FE319B7">
            <w:pPr>
              <w:spacing w:line="280" w:lineRule="exact"/>
              <w:jc w:val="center"/>
              <w:rPr>
                <w:rFonts w:ascii="Arial" w:hAnsi="Arial" w:cs="Arial"/>
                <w:color w:val="auto"/>
                <w:sz w:val="22"/>
                <w:szCs w:val="22"/>
              </w:rPr>
            </w:pPr>
            <w:r>
              <w:rPr>
                <w:rFonts w:ascii="Arial" w:hAnsi="Arial" w:cs="Arial"/>
                <w:color w:val="auto"/>
                <w:sz w:val="22"/>
                <w:szCs w:val="22"/>
              </w:rPr>
              <w:t>3.0m</w:t>
            </w:r>
            <w:r>
              <w:rPr>
                <w:rFonts w:ascii="Arial" w:hAnsi="Arial" w:cs="Arial"/>
                <w:color w:val="auto"/>
                <w:sz w:val="22"/>
                <w:szCs w:val="22"/>
                <w:vertAlign w:val="superscript"/>
              </w:rPr>
              <w:t>3</w:t>
            </w:r>
            <w:r>
              <w:rPr>
                <w:rFonts w:ascii="Arial" w:hAnsi="Arial" w:cs="Arial"/>
                <w:color w:val="auto"/>
                <w:sz w:val="22"/>
                <w:szCs w:val="22"/>
              </w:rPr>
              <w:t>/d</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34B74DBC">
            <w:pPr>
              <w:spacing w:line="280" w:lineRule="exact"/>
              <w:jc w:val="center"/>
              <w:rPr>
                <w:rFonts w:ascii="Arial" w:hAnsi="Arial" w:cs="Arial"/>
                <w:color w:val="auto"/>
                <w:sz w:val="22"/>
                <w:szCs w:val="22"/>
              </w:rPr>
            </w:pPr>
            <w:r>
              <w:rPr>
                <w:rFonts w:ascii="Arial" w:cs="Arial"/>
                <w:color w:val="auto"/>
                <w:sz w:val="22"/>
                <w:szCs w:val="22"/>
              </w:rPr>
              <w:t>石油类：</w:t>
            </w:r>
            <w:r>
              <w:rPr>
                <w:rFonts w:ascii="Arial" w:hAnsi="Arial" w:cs="Arial"/>
                <w:color w:val="auto"/>
                <w:sz w:val="22"/>
                <w:szCs w:val="22"/>
              </w:rPr>
              <w:t>1</w:t>
            </w:r>
            <w:r>
              <w:rPr>
                <w:rFonts w:hint="eastAsia" w:ascii="Arial" w:hAnsi="Arial" w:cs="Arial"/>
                <w:color w:val="auto"/>
                <w:sz w:val="22"/>
                <w:szCs w:val="22"/>
                <w:lang w:val="en-US" w:eastAsia="zh-CN"/>
              </w:rPr>
              <w:t>2</w:t>
            </w:r>
            <w:r>
              <w:rPr>
                <w:rFonts w:ascii="Arial" w:hAnsi="Arial" w:cs="Arial"/>
                <w:color w:val="auto"/>
                <w:sz w:val="22"/>
                <w:szCs w:val="22"/>
              </w:rPr>
              <w:t>0mg/L</w:t>
            </w:r>
          </w:p>
          <w:p w14:paraId="279184D7">
            <w:pPr>
              <w:spacing w:line="280" w:lineRule="exact"/>
              <w:jc w:val="center"/>
              <w:rPr>
                <w:rFonts w:ascii="Arial" w:hAnsi="Arial" w:cs="Arial"/>
                <w:color w:val="auto"/>
                <w:sz w:val="22"/>
                <w:szCs w:val="22"/>
              </w:rPr>
            </w:pPr>
            <w:r>
              <w:rPr>
                <w:rFonts w:ascii="Arial" w:hAnsi="Arial" w:cs="Arial"/>
                <w:color w:val="auto"/>
                <w:sz w:val="22"/>
                <w:szCs w:val="22"/>
              </w:rPr>
              <w:t>SS</w:t>
            </w:r>
            <w:r>
              <w:rPr>
                <w:rFonts w:ascii="Arial" w:cs="Arial"/>
                <w:color w:val="auto"/>
                <w:sz w:val="22"/>
                <w:szCs w:val="22"/>
              </w:rPr>
              <w:t>：</w:t>
            </w:r>
            <w:r>
              <w:rPr>
                <w:rFonts w:ascii="Arial" w:hAnsi="Arial" w:cs="Arial"/>
                <w:color w:val="auto"/>
                <w:sz w:val="22"/>
                <w:szCs w:val="22"/>
              </w:rPr>
              <w:t>1</w:t>
            </w:r>
            <w:r>
              <w:rPr>
                <w:rFonts w:hint="eastAsia" w:ascii="Arial" w:hAnsi="Arial" w:cs="Arial"/>
                <w:color w:val="auto"/>
                <w:sz w:val="22"/>
                <w:szCs w:val="22"/>
                <w:lang w:val="en-US" w:eastAsia="zh-CN"/>
              </w:rPr>
              <w:t>0</w:t>
            </w:r>
            <w:r>
              <w:rPr>
                <w:rFonts w:ascii="Arial" w:hAnsi="Arial" w:cs="Arial"/>
                <w:color w:val="auto"/>
                <w:sz w:val="22"/>
                <w:szCs w:val="22"/>
              </w:rPr>
              <w:t>00 mg/L</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558AF8CA">
            <w:pPr>
              <w:spacing w:line="280" w:lineRule="exact"/>
              <w:jc w:val="center"/>
              <w:rPr>
                <w:rFonts w:hint="eastAsia" w:ascii="Arial" w:hAnsi="Arial" w:eastAsia="宋体" w:cs="Arial"/>
                <w:color w:val="auto"/>
                <w:sz w:val="22"/>
                <w:szCs w:val="22"/>
                <w:lang w:eastAsia="zh-CN"/>
              </w:rPr>
            </w:pPr>
            <w:r>
              <w:rPr>
                <w:rFonts w:ascii="Arial" w:hAnsi="Arial" w:cs="Arial"/>
                <w:color w:val="auto"/>
                <w:sz w:val="22"/>
                <w:szCs w:val="22"/>
              </w:rPr>
              <w:t>经施工</w:t>
            </w:r>
            <w:r>
              <w:rPr>
                <w:rFonts w:hint="eastAsia" w:ascii="Arial" w:hAnsi="Arial" w:cs="Arial"/>
                <w:color w:val="auto"/>
                <w:sz w:val="22"/>
                <w:szCs w:val="22"/>
              </w:rPr>
              <w:t>区内</w:t>
            </w:r>
            <w:r>
              <w:rPr>
                <w:rFonts w:ascii="Arial" w:hAnsi="Arial" w:cs="Arial"/>
                <w:color w:val="auto"/>
                <w:sz w:val="22"/>
                <w:szCs w:val="22"/>
              </w:rPr>
              <w:t>设置的隔油池处理后全部回用</w:t>
            </w:r>
            <w:r>
              <w:rPr>
                <w:rFonts w:hint="eastAsia" w:ascii="Arial" w:hAnsi="Arial" w:cs="Arial"/>
                <w:color w:val="auto"/>
                <w:sz w:val="22"/>
                <w:szCs w:val="22"/>
                <w:lang w:eastAsia="zh-CN"/>
              </w:rPr>
              <w:t>，</w:t>
            </w:r>
            <w:r>
              <w:rPr>
                <w:rFonts w:ascii="Arial" w:hAnsi="Arial" w:cs="Arial"/>
                <w:color w:val="auto"/>
                <w:sz w:val="22"/>
                <w:szCs w:val="22"/>
              </w:rPr>
              <w:t>不外排</w:t>
            </w:r>
            <w:r>
              <w:rPr>
                <w:rFonts w:hint="eastAsia" w:ascii="Arial" w:hAnsi="Arial" w:cs="Arial"/>
                <w:color w:val="auto"/>
                <w:sz w:val="22"/>
                <w:szCs w:val="22"/>
                <w:lang w:eastAsia="zh-CN"/>
              </w:rPr>
              <w:t>。</w:t>
            </w:r>
          </w:p>
        </w:tc>
        <w:tc>
          <w:tcPr>
            <w:tcW w:w="1050" w:type="dxa"/>
            <w:tcBorders>
              <w:top w:val="single" w:color="auto" w:sz="4" w:space="0"/>
              <w:left w:val="single" w:color="auto" w:sz="4" w:space="0"/>
              <w:bottom w:val="single" w:color="auto" w:sz="4" w:space="0"/>
              <w:right w:val="single" w:color="auto" w:sz="12" w:space="0"/>
            </w:tcBorders>
            <w:noWrap w:val="0"/>
            <w:vAlign w:val="center"/>
          </w:tcPr>
          <w:p w14:paraId="186425C4">
            <w:pPr>
              <w:spacing w:line="280" w:lineRule="exact"/>
              <w:jc w:val="center"/>
              <w:rPr>
                <w:rFonts w:ascii="Arial" w:hAnsi="Arial" w:cs="Arial"/>
                <w:color w:val="auto"/>
                <w:sz w:val="22"/>
                <w:szCs w:val="22"/>
              </w:rPr>
            </w:pPr>
            <w:r>
              <w:rPr>
                <w:rFonts w:ascii="Arial" w:hAnsi="Arial" w:cs="Arial"/>
                <w:color w:val="auto"/>
                <w:sz w:val="22"/>
                <w:szCs w:val="22"/>
              </w:rPr>
              <w:t>0</w:t>
            </w:r>
          </w:p>
        </w:tc>
      </w:tr>
      <w:tr w14:paraId="69E51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8" w:type="dxa"/>
            <w:tcBorders>
              <w:top w:val="single" w:color="auto" w:sz="4" w:space="0"/>
              <w:left w:val="single" w:color="auto" w:sz="12" w:space="0"/>
              <w:bottom w:val="single" w:color="auto" w:sz="4" w:space="0"/>
              <w:right w:val="single" w:color="auto" w:sz="4" w:space="0"/>
            </w:tcBorders>
            <w:noWrap w:val="0"/>
            <w:vAlign w:val="center"/>
          </w:tcPr>
          <w:p w14:paraId="4799C884">
            <w:pPr>
              <w:spacing w:line="28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4</w:t>
            </w:r>
          </w:p>
        </w:tc>
        <w:tc>
          <w:tcPr>
            <w:tcW w:w="1488" w:type="dxa"/>
            <w:gridSpan w:val="2"/>
            <w:tcBorders>
              <w:top w:val="single" w:color="auto" w:sz="4" w:space="0"/>
              <w:left w:val="single" w:color="auto" w:sz="4" w:space="0"/>
              <w:bottom w:val="single" w:color="auto" w:sz="4" w:space="0"/>
              <w:right w:val="single" w:color="auto" w:sz="4" w:space="0"/>
            </w:tcBorders>
            <w:noWrap w:val="0"/>
            <w:vAlign w:val="center"/>
          </w:tcPr>
          <w:p w14:paraId="1B32FD0F">
            <w:pPr>
              <w:spacing w:line="280" w:lineRule="exact"/>
              <w:jc w:val="center"/>
              <w:rPr>
                <w:rFonts w:hint="eastAsia" w:ascii="Arial" w:eastAsia="宋体" w:cs="Arial"/>
                <w:color w:val="auto"/>
                <w:sz w:val="22"/>
                <w:szCs w:val="22"/>
                <w:lang w:eastAsia="zh-CN"/>
              </w:rPr>
            </w:pPr>
            <w:r>
              <w:rPr>
                <w:rFonts w:hint="eastAsia" w:ascii="Arial" w:cs="Arial"/>
                <w:color w:val="auto"/>
                <w:sz w:val="22"/>
                <w:szCs w:val="22"/>
                <w:lang w:eastAsia="zh-CN"/>
              </w:rPr>
              <w:t>初期雨水</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1FFA779">
            <w:pPr>
              <w:spacing w:line="28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11CC02BE">
            <w:pPr>
              <w:spacing w:line="280" w:lineRule="exact"/>
              <w:jc w:val="center"/>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SS</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7AC0175F">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经截排水沟、沉砂池收集处理后，作施工用水。</w:t>
            </w:r>
          </w:p>
        </w:tc>
        <w:tc>
          <w:tcPr>
            <w:tcW w:w="1050" w:type="dxa"/>
            <w:tcBorders>
              <w:top w:val="single" w:color="auto" w:sz="4" w:space="0"/>
              <w:left w:val="single" w:color="auto" w:sz="4" w:space="0"/>
              <w:bottom w:val="single" w:color="auto" w:sz="4" w:space="0"/>
              <w:right w:val="single" w:color="auto" w:sz="12" w:space="0"/>
            </w:tcBorders>
            <w:noWrap w:val="0"/>
            <w:vAlign w:val="center"/>
          </w:tcPr>
          <w:p w14:paraId="6F6D33E0">
            <w:pPr>
              <w:spacing w:line="28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0</w:t>
            </w:r>
          </w:p>
        </w:tc>
      </w:tr>
      <w:tr w14:paraId="26615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98" w:type="dxa"/>
            <w:vMerge w:val="restart"/>
            <w:tcBorders>
              <w:top w:val="single" w:color="auto" w:sz="4" w:space="0"/>
              <w:left w:val="single" w:color="auto" w:sz="12" w:space="0"/>
              <w:bottom w:val="single" w:color="auto" w:sz="12" w:space="0"/>
              <w:right w:val="single" w:color="auto" w:sz="4" w:space="0"/>
            </w:tcBorders>
            <w:noWrap w:val="0"/>
            <w:vAlign w:val="center"/>
          </w:tcPr>
          <w:p w14:paraId="0E0C4073">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val="en-US" w:eastAsia="zh-CN"/>
              </w:rPr>
              <w:t>5</w:t>
            </w:r>
          </w:p>
        </w:tc>
        <w:tc>
          <w:tcPr>
            <w:tcW w:w="779" w:type="dxa"/>
            <w:vMerge w:val="restart"/>
            <w:tcBorders>
              <w:top w:val="single" w:color="auto" w:sz="4" w:space="0"/>
              <w:left w:val="single" w:color="auto" w:sz="4" w:space="0"/>
              <w:bottom w:val="single" w:color="auto" w:sz="12" w:space="0"/>
              <w:right w:val="single" w:color="auto" w:sz="4" w:space="0"/>
            </w:tcBorders>
            <w:noWrap w:val="0"/>
            <w:vAlign w:val="center"/>
          </w:tcPr>
          <w:p w14:paraId="3A2333A4">
            <w:pPr>
              <w:spacing w:line="280" w:lineRule="exact"/>
              <w:jc w:val="center"/>
              <w:rPr>
                <w:rFonts w:ascii="Arial" w:hAnsi="Arial" w:cs="Arial"/>
                <w:color w:val="auto"/>
                <w:sz w:val="22"/>
                <w:szCs w:val="22"/>
              </w:rPr>
            </w:pPr>
            <w:r>
              <w:rPr>
                <w:rFonts w:ascii="Arial" w:cs="Arial"/>
                <w:color w:val="auto"/>
                <w:sz w:val="22"/>
                <w:szCs w:val="22"/>
              </w:rPr>
              <w:t>生活污水</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41E45B">
            <w:pPr>
              <w:spacing w:line="280" w:lineRule="exact"/>
              <w:jc w:val="center"/>
              <w:rPr>
                <w:rFonts w:ascii="Arial" w:hAnsi="Arial" w:cs="Arial"/>
                <w:color w:val="auto"/>
                <w:sz w:val="22"/>
                <w:szCs w:val="22"/>
              </w:rPr>
            </w:pPr>
            <w:r>
              <w:rPr>
                <w:rFonts w:ascii="Arial" w:cs="Arial"/>
                <w:color w:val="auto"/>
                <w:sz w:val="22"/>
                <w:szCs w:val="22"/>
              </w:rPr>
              <w:t>枢纽工程区</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BAC36BC">
            <w:pPr>
              <w:spacing w:line="280" w:lineRule="exact"/>
              <w:jc w:val="center"/>
              <w:rPr>
                <w:rFonts w:ascii="Arial" w:hAnsi="Arial" w:cs="Arial"/>
                <w:color w:val="auto"/>
                <w:sz w:val="22"/>
                <w:szCs w:val="22"/>
              </w:rPr>
            </w:pPr>
            <w:r>
              <w:rPr>
                <w:rFonts w:hint="eastAsia" w:ascii="Arial" w:hAnsi="Arial" w:cs="Arial"/>
                <w:color w:val="auto"/>
                <w:sz w:val="22"/>
                <w:szCs w:val="22"/>
                <w:lang w:val="en-US" w:eastAsia="zh-CN"/>
              </w:rPr>
              <w:t>8.1</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/d</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335A1C64">
            <w:pPr>
              <w:spacing w:line="280" w:lineRule="exact"/>
              <w:jc w:val="center"/>
              <w:rPr>
                <w:rFonts w:ascii="Arial" w:hAnsi="Arial" w:cs="Arial"/>
                <w:color w:val="auto"/>
                <w:sz w:val="22"/>
                <w:szCs w:val="22"/>
              </w:rPr>
            </w:pPr>
            <w:r>
              <w:rPr>
                <w:rFonts w:ascii="Arial" w:hAnsi="Arial" w:cs="Arial"/>
                <w:color w:val="auto"/>
                <w:sz w:val="22"/>
                <w:szCs w:val="22"/>
              </w:rPr>
              <w:t>COD</w:t>
            </w:r>
            <w:r>
              <w:rPr>
                <w:rFonts w:ascii="Arial" w:cs="Arial"/>
                <w:color w:val="auto"/>
                <w:sz w:val="22"/>
                <w:szCs w:val="22"/>
              </w:rPr>
              <w:t>：</w:t>
            </w:r>
            <w:r>
              <w:rPr>
                <w:rFonts w:ascii="Arial" w:hAnsi="Arial" w:cs="Arial"/>
                <w:color w:val="auto"/>
                <w:sz w:val="22"/>
                <w:szCs w:val="22"/>
              </w:rPr>
              <w:t>450mg/L</w:t>
            </w:r>
          </w:p>
          <w:p w14:paraId="0C0FF2A6">
            <w:pPr>
              <w:spacing w:line="280" w:lineRule="exact"/>
              <w:jc w:val="center"/>
              <w:rPr>
                <w:rFonts w:ascii="Arial" w:hAnsi="Arial" w:cs="Arial"/>
                <w:color w:val="auto"/>
                <w:sz w:val="22"/>
                <w:szCs w:val="22"/>
              </w:rPr>
            </w:pPr>
            <w:r>
              <w:rPr>
                <w:rFonts w:ascii="Arial" w:hAnsi="Arial" w:cs="Arial"/>
                <w:color w:val="auto"/>
                <w:sz w:val="22"/>
                <w:szCs w:val="22"/>
              </w:rPr>
              <w:t>BOD</w:t>
            </w:r>
            <w:r>
              <w:rPr>
                <w:rFonts w:ascii="Arial" w:hAnsi="Arial" w:cs="Arial"/>
                <w:color w:val="auto"/>
                <w:sz w:val="22"/>
                <w:szCs w:val="22"/>
                <w:vertAlign w:val="subscript"/>
              </w:rPr>
              <w:t>5</w:t>
            </w:r>
            <w:r>
              <w:rPr>
                <w:rFonts w:ascii="Arial" w:cs="Arial"/>
                <w:color w:val="auto"/>
                <w:sz w:val="22"/>
                <w:szCs w:val="22"/>
              </w:rPr>
              <w:t>：</w:t>
            </w:r>
            <w:r>
              <w:rPr>
                <w:rFonts w:ascii="Arial" w:hAnsi="Arial" w:cs="Arial"/>
                <w:color w:val="auto"/>
                <w:sz w:val="22"/>
                <w:szCs w:val="22"/>
              </w:rPr>
              <w:t>250mg/L</w:t>
            </w:r>
          </w:p>
          <w:p w14:paraId="0A71133E">
            <w:pPr>
              <w:spacing w:line="280" w:lineRule="exact"/>
              <w:jc w:val="center"/>
              <w:rPr>
                <w:rFonts w:ascii="Arial" w:hAnsi="Arial" w:cs="Arial"/>
                <w:color w:val="auto"/>
                <w:sz w:val="22"/>
                <w:szCs w:val="22"/>
              </w:rPr>
            </w:pPr>
            <w:r>
              <w:rPr>
                <w:rFonts w:ascii="Arial" w:hAnsi="Arial" w:cs="Arial"/>
                <w:color w:val="auto"/>
                <w:sz w:val="22"/>
                <w:szCs w:val="22"/>
              </w:rPr>
              <w:t>SS</w:t>
            </w:r>
            <w:r>
              <w:rPr>
                <w:rFonts w:ascii="Arial" w:cs="Arial"/>
                <w:color w:val="auto"/>
                <w:sz w:val="22"/>
                <w:szCs w:val="22"/>
              </w:rPr>
              <w:t>：</w:t>
            </w:r>
            <w:r>
              <w:rPr>
                <w:rFonts w:ascii="Arial" w:hAnsi="Arial" w:cs="Arial"/>
                <w:color w:val="auto"/>
                <w:sz w:val="22"/>
                <w:szCs w:val="22"/>
              </w:rPr>
              <w:t>250mg/L</w:t>
            </w:r>
          </w:p>
          <w:p w14:paraId="6DEDC83B">
            <w:pPr>
              <w:spacing w:line="280" w:lineRule="exact"/>
              <w:jc w:val="center"/>
              <w:rPr>
                <w:rFonts w:ascii="Arial" w:hAnsi="Arial" w:cs="Arial"/>
                <w:color w:val="auto"/>
                <w:sz w:val="22"/>
                <w:szCs w:val="22"/>
              </w:rPr>
            </w:pPr>
            <w:r>
              <w:rPr>
                <w:rFonts w:ascii="Arial" w:cs="Arial"/>
                <w:color w:val="auto"/>
                <w:sz w:val="22"/>
                <w:szCs w:val="22"/>
              </w:rPr>
              <w:t>氨氮：</w:t>
            </w:r>
            <w:r>
              <w:rPr>
                <w:rFonts w:ascii="Arial" w:hAnsi="Arial" w:cs="Arial"/>
                <w:color w:val="auto"/>
                <w:sz w:val="22"/>
                <w:szCs w:val="22"/>
              </w:rPr>
              <w:t>30mg/L</w:t>
            </w:r>
          </w:p>
        </w:tc>
        <w:tc>
          <w:tcPr>
            <w:tcW w:w="2723" w:type="dxa"/>
            <w:vMerge w:val="restart"/>
            <w:tcBorders>
              <w:top w:val="single" w:color="auto" w:sz="4" w:space="0"/>
              <w:left w:val="single" w:color="auto" w:sz="4" w:space="0"/>
              <w:right w:val="single" w:color="auto" w:sz="4" w:space="0"/>
            </w:tcBorders>
            <w:noWrap w:val="0"/>
            <w:vAlign w:val="center"/>
          </w:tcPr>
          <w:p w14:paraId="1C7E1B54">
            <w:pPr>
              <w:spacing w:line="280" w:lineRule="exact"/>
              <w:jc w:val="center"/>
              <w:rPr>
                <w:rFonts w:hint="eastAsia" w:ascii="Arial" w:hAnsi="Arial" w:eastAsia="宋体" w:cs="Arial"/>
                <w:color w:val="auto"/>
                <w:sz w:val="22"/>
                <w:szCs w:val="22"/>
                <w:lang w:eastAsia="zh-CN"/>
              </w:rPr>
            </w:pPr>
            <w:r>
              <w:rPr>
                <w:rFonts w:hint="eastAsia" w:ascii="Arial" w:cs="Arial"/>
                <w:color w:val="auto"/>
                <w:sz w:val="22"/>
                <w:szCs w:val="22"/>
                <w:lang w:eastAsia="zh-CN"/>
              </w:rPr>
              <w:t>经租赁居民房屋内已有的旱厕收集处理后，全部回用作农肥，不外排。</w:t>
            </w:r>
          </w:p>
        </w:tc>
        <w:tc>
          <w:tcPr>
            <w:tcW w:w="1050" w:type="dxa"/>
            <w:tcBorders>
              <w:top w:val="single" w:color="auto" w:sz="4" w:space="0"/>
              <w:left w:val="single" w:color="auto" w:sz="4" w:space="0"/>
              <w:bottom w:val="single" w:color="auto" w:sz="4" w:space="0"/>
              <w:right w:val="single" w:color="auto" w:sz="12" w:space="0"/>
            </w:tcBorders>
            <w:noWrap w:val="0"/>
            <w:vAlign w:val="center"/>
          </w:tcPr>
          <w:p w14:paraId="64B4E8C8">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val="en-US" w:eastAsia="zh-CN"/>
              </w:rPr>
              <w:t>0</w:t>
            </w:r>
          </w:p>
        </w:tc>
      </w:tr>
      <w:tr w14:paraId="5A222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98" w:type="dxa"/>
            <w:vMerge w:val="continue"/>
            <w:tcBorders>
              <w:top w:val="single" w:color="auto" w:sz="4" w:space="0"/>
              <w:left w:val="single" w:color="auto" w:sz="12" w:space="0"/>
              <w:bottom w:val="single" w:color="auto" w:sz="12" w:space="0"/>
              <w:right w:val="single" w:color="auto" w:sz="4" w:space="0"/>
            </w:tcBorders>
            <w:noWrap w:val="0"/>
            <w:vAlign w:val="center"/>
          </w:tcPr>
          <w:p w14:paraId="2C1ED28B">
            <w:pPr>
              <w:widowControl/>
              <w:spacing w:line="280" w:lineRule="exact"/>
              <w:jc w:val="left"/>
              <w:rPr>
                <w:rFonts w:ascii="Arial" w:hAnsi="Arial" w:cs="Arial"/>
                <w:color w:val="auto"/>
                <w:sz w:val="22"/>
                <w:szCs w:val="22"/>
              </w:rPr>
            </w:pPr>
          </w:p>
        </w:tc>
        <w:tc>
          <w:tcPr>
            <w:tcW w:w="779" w:type="dxa"/>
            <w:vMerge w:val="continue"/>
            <w:tcBorders>
              <w:top w:val="single" w:color="auto" w:sz="4" w:space="0"/>
              <w:left w:val="single" w:color="auto" w:sz="4" w:space="0"/>
              <w:bottom w:val="single" w:color="auto" w:sz="12" w:space="0"/>
              <w:right w:val="single" w:color="auto" w:sz="4" w:space="0"/>
            </w:tcBorders>
            <w:noWrap w:val="0"/>
            <w:vAlign w:val="center"/>
          </w:tcPr>
          <w:p w14:paraId="7320C72F">
            <w:pPr>
              <w:widowControl/>
              <w:spacing w:line="280" w:lineRule="exact"/>
              <w:jc w:val="left"/>
              <w:rPr>
                <w:rFonts w:ascii="Arial" w:hAnsi="Arial" w:cs="Arial"/>
                <w:color w:val="auto"/>
                <w:sz w:val="22"/>
                <w:szCs w:val="22"/>
              </w:rPr>
            </w:pPr>
          </w:p>
        </w:tc>
        <w:tc>
          <w:tcPr>
            <w:tcW w:w="709" w:type="dxa"/>
            <w:tcBorders>
              <w:top w:val="single" w:color="auto" w:sz="4" w:space="0"/>
              <w:left w:val="single" w:color="auto" w:sz="4" w:space="0"/>
              <w:bottom w:val="single" w:color="auto" w:sz="12" w:space="0"/>
              <w:right w:val="single" w:color="auto" w:sz="4" w:space="0"/>
            </w:tcBorders>
            <w:noWrap w:val="0"/>
            <w:vAlign w:val="center"/>
          </w:tcPr>
          <w:p w14:paraId="272C2370">
            <w:pPr>
              <w:spacing w:line="280" w:lineRule="exact"/>
              <w:jc w:val="center"/>
              <w:rPr>
                <w:rFonts w:ascii="Arial" w:hAnsi="Arial" w:cs="Arial"/>
                <w:color w:val="auto"/>
                <w:sz w:val="22"/>
                <w:szCs w:val="22"/>
              </w:rPr>
            </w:pPr>
            <w:r>
              <w:rPr>
                <w:rFonts w:ascii="Arial" w:cs="Arial"/>
                <w:color w:val="auto"/>
                <w:sz w:val="22"/>
                <w:szCs w:val="22"/>
              </w:rPr>
              <w:t>灌区工程区</w:t>
            </w:r>
          </w:p>
        </w:tc>
        <w:tc>
          <w:tcPr>
            <w:tcW w:w="1231" w:type="dxa"/>
            <w:tcBorders>
              <w:top w:val="single" w:color="auto" w:sz="4" w:space="0"/>
              <w:left w:val="single" w:color="auto" w:sz="4" w:space="0"/>
              <w:bottom w:val="single" w:color="auto" w:sz="12" w:space="0"/>
              <w:right w:val="single" w:color="auto" w:sz="4" w:space="0"/>
            </w:tcBorders>
            <w:noWrap w:val="0"/>
            <w:vAlign w:val="center"/>
          </w:tcPr>
          <w:p w14:paraId="1D581BD4">
            <w:pPr>
              <w:spacing w:line="280" w:lineRule="exact"/>
              <w:jc w:val="center"/>
              <w:rPr>
                <w:rFonts w:ascii="Arial" w:hAnsi="Arial" w:cs="Arial"/>
                <w:color w:val="auto"/>
                <w:sz w:val="22"/>
                <w:szCs w:val="22"/>
              </w:rPr>
            </w:pPr>
            <w:r>
              <w:rPr>
                <w:rFonts w:hint="eastAsia" w:ascii="Arial" w:hAnsi="Arial" w:cs="Arial"/>
                <w:color w:val="auto"/>
                <w:sz w:val="22"/>
                <w:szCs w:val="22"/>
                <w:lang w:val="en-US" w:eastAsia="zh-CN"/>
              </w:rPr>
              <w:t>3.6</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/d</w:t>
            </w:r>
          </w:p>
        </w:tc>
        <w:tc>
          <w:tcPr>
            <w:tcW w:w="1942" w:type="dxa"/>
            <w:tcBorders>
              <w:top w:val="single" w:color="auto" w:sz="4" w:space="0"/>
              <w:left w:val="single" w:color="auto" w:sz="4" w:space="0"/>
              <w:bottom w:val="single" w:color="auto" w:sz="12" w:space="0"/>
              <w:right w:val="single" w:color="auto" w:sz="4" w:space="0"/>
            </w:tcBorders>
            <w:noWrap w:val="0"/>
            <w:vAlign w:val="center"/>
          </w:tcPr>
          <w:p w14:paraId="597D8458">
            <w:pPr>
              <w:spacing w:line="280" w:lineRule="exact"/>
              <w:jc w:val="center"/>
              <w:rPr>
                <w:rFonts w:ascii="Arial" w:hAnsi="Arial" w:cs="Arial"/>
                <w:color w:val="auto"/>
                <w:sz w:val="22"/>
                <w:szCs w:val="22"/>
              </w:rPr>
            </w:pPr>
            <w:r>
              <w:rPr>
                <w:rFonts w:ascii="Arial" w:hAnsi="Arial" w:cs="Arial"/>
                <w:color w:val="auto"/>
                <w:sz w:val="22"/>
                <w:szCs w:val="22"/>
              </w:rPr>
              <w:t>COD</w:t>
            </w:r>
            <w:r>
              <w:rPr>
                <w:rFonts w:ascii="Arial" w:cs="Arial"/>
                <w:color w:val="auto"/>
                <w:sz w:val="22"/>
                <w:szCs w:val="22"/>
              </w:rPr>
              <w:t>：</w:t>
            </w:r>
            <w:r>
              <w:rPr>
                <w:rFonts w:ascii="Arial" w:hAnsi="Arial" w:cs="Arial"/>
                <w:color w:val="auto"/>
                <w:sz w:val="22"/>
                <w:szCs w:val="22"/>
              </w:rPr>
              <w:t>450mg/L</w:t>
            </w:r>
          </w:p>
          <w:p w14:paraId="34A17AC1">
            <w:pPr>
              <w:spacing w:line="280" w:lineRule="exact"/>
              <w:jc w:val="center"/>
              <w:rPr>
                <w:rFonts w:ascii="Arial" w:hAnsi="Arial" w:cs="Arial"/>
                <w:color w:val="auto"/>
                <w:sz w:val="22"/>
                <w:szCs w:val="22"/>
              </w:rPr>
            </w:pPr>
            <w:r>
              <w:rPr>
                <w:rFonts w:ascii="Arial" w:hAnsi="Arial" w:cs="Arial"/>
                <w:color w:val="auto"/>
                <w:sz w:val="22"/>
                <w:szCs w:val="22"/>
              </w:rPr>
              <w:t>BOD</w:t>
            </w:r>
            <w:r>
              <w:rPr>
                <w:rFonts w:ascii="Arial" w:hAnsi="Arial" w:cs="Arial"/>
                <w:color w:val="auto"/>
                <w:sz w:val="22"/>
                <w:szCs w:val="22"/>
                <w:vertAlign w:val="subscript"/>
              </w:rPr>
              <w:t>5</w:t>
            </w:r>
            <w:r>
              <w:rPr>
                <w:rFonts w:ascii="Arial" w:cs="Arial"/>
                <w:color w:val="auto"/>
                <w:sz w:val="22"/>
                <w:szCs w:val="22"/>
              </w:rPr>
              <w:t>：</w:t>
            </w:r>
            <w:r>
              <w:rPr>
                <w:rFonts w:ascii="Arial" w:hAnsi="Arial" w:cs="Arial"/>
                <w:color w:val="auto"/>
                <w:sz w:val="22"/>
                <w:szCs w:val="22"/>
              </w:rPr>
              <w:t>250mg/L</w:t>
            </w:r>
          </w:p>
          <w:p w14:paraId="28AC5A84">
            <w:pPr>
              <w:spacing w:line="280" w:lineRule="exact"/>
              <w:jc w:val="center"/>
              <w:rPr>
                <w:rFonts w:ascii="Arial" w:hAnsi="Arial" w:cs="Arial"/>
                <w:color w:val="auto"/>
                <w:sz w:val="22"/>
                <w:szCs w:val="22"/>
              </w:rPr>
            </w:pPr>
            <w:r>
              <w:rPr>
                <w:rFonts w:ascii="Arial" w:hAnsi="Arial" w:cs="Arial"/>
                <w:color w:val="auto"/>
                <w:sz w:val="22"/>
                <w:szCs w:val="22"/>
              </w:rPr>
              <w:t>SS</w:t>
            </w:r>
            <w:r>
              <w:rPr>
                <w:rFonts w:ascii="Arial" w:cs="Arial"/>
                <w:color w:val="auto"/>
                <w:sz w:val="22"/>
                <w:szCs w:val="22"/>
              </w:rPr>
              <w:t>：</w:t>
            </w:r>
            <w:r>
              <w:rPr>
                <w:rFonts w:ascii="Arial" w:hAnsi="Arial" w:cs="Arial"/>
                <w:color w:val="auto"/>
                <w:sz w:val="22"/>
                <w:szCs w:val="22"/>
              </w:rPr>
              <w:t>250mg/L</w:t>
            </w:r>
          </w:p>
          <w:p w14:paraId="4ADD259F">
            <w:pPr>
              <w:spacing w:line="280" w:lineRule="exact"/>
              <w:jc w:val="center"/>
              <w:rPr>
                <w:rFonts w:ascii="Arial" w:hAnsi="Arial" w:cs="Arial"/>
                <w:color w:val="auto"/>
                <w:sz w:val="22"/>
                <w:szCs w:val="22"/>
              </w:rPr>
            </w:pPr>
            <w:r>
              <w:rPr>
                <w:rFonts w:ascii="Arial" w:cs="Arial"/>
                <w:color w:val="auto"/>
                <w:sz w:val="22"/>
                <w:szCs w:val="22"/>
              </w:rPr>
              <w:t>氨氮：</w:t>
            </w:r>
            <w:r>
              <w:rPr>
                <w:rFonts w:ascii="Arial" w:hAnsi="Arial" w:cs="Arial"/>
                <w:color w:val="auto"/>
                <w:sz w:val="22"/>
                <w:szCs w:val="22"/>
              </w:rPr>
              <w:t>30mg/L</w:t>
            </w:r>
          </w:p>
        </w:tc>
        <w:tc>
          <w:tcPr>
            <w:tcW w:w="2723" w:type="dxa"/>
            <w:vMerge w:val="continue"/>
            <w:tcBorders>
              <w:left w:val="single" w:color="auto" w:sz="4" w:space="0"/>
              <w:bottom w:val="single" w:color="auto" w:sz="12" w:space="0"/>
              <w:right w:val="single" w:color="auto" w:sz="4" w:space="0"/>
            </w:tcBorders>
            <w:noWrap w:val="0"/>
            <w:vAlign w:val="center"/>
          </w:tcPr>
          <w:p w14:paraId="4EC191DB">
            <w:pPr>
              <w:spacing w:line="280" w:lineRule="exact"/>
              <w:jc w:val="center"/>
              <w:rPr>
                <w:rFonts w:ascii="Arial" w:hAnsi="Arial" w:cs="Arial"/>
                <w:color w:val="auto"/>
                <w:sz w:val="22"/>
                <w:szCs w:val="22"/>
              </w:rPr>
            </w:pPr>
          </w:p>
        </w:tc>
        <w:tc>
          <w:tcPr>
            <w:tcW w:w="1050" w:type="dxa"/>
            <w:tcBorders>
              <w:top w:val="single" w:color="auto" w:sz="4" w:space="0"/>
              <w:left w:val="single" w:color="auto" w:sz="4" w:space="0"/>
              <w:bottom w:val="single" w:color="auto" w:sz="12" w:space="0"/>
              <w:right w:val="single" w:color="auto" w:sz="12" w:space="0"/>
            </w:tcBorders>
            <w:noWrap w:val="0"/>
            <w:vAlign w:val="center"/>
          </w:tcPr>
          <w:p w14:paraId="0214E565">
            <w:pPr>
              <w:spacing w:line="280" w:lineRule="exact"/>
              <w:jc w:val="center"/>
              <w:rPr>
                <w:rFonts w:hint="eastAsia" w:ascii="Arial" w:hAnsi="Arial" w:cs="Arial"/>
                <w:color w:val="auto"/>
                <w:sz w:val="22"/>
                <w:szCs w:val="22"/>
              </w:rPr>
            </w:pPr>
            <w:r>
              <w:rPr>
                <w:rFonts w:hint="eastAsia" w:ascii="Arial" w:hAnsi="Arial" w:cs="Arial"/>
                <w:color w:val="auto"/>
                <w:sz w:val="22"/>
                <w:szCs w:val="22"/>
              </w:rPr>
              <w:t>0</w:t>
            </w:r>
          </w:p>
        </w:tc>
      </w:tr>
    </w:tbl>
    <w:p w14:paraId="5B39051F">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宋体" w:hAnsi="宋体" w:cs="宋体"/>
          <w:bCs/>
          <w:color w:val="auto"/>
          <w:sz w:val="26"/>
          <w:szCs w:val="26"/>
        </w:rPr>
      </w:pPr>
    </w:p>
    <w:p w14:paraId="322B9907">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cs="Arial"/>
          <w:b/>
          <w:sz w:val="26"/>
          <w:szCs w:val="26"/>
        </w:rPr>
      </w:pPr>
      <w:r>
        <w:rPr>
          <w:rFonts w:hint="eastAsia" w:ascii="Arial" w:hAnsi="宋体" w:cs="Arial"/>
          <w:b/>
          <w:sz w:val="26"/>
          <w:szCs w:val="26"/>
        </w:rPr>
        <w:t>（</w:t>
      </w:r>
      <w:r>
        <w:rPr>
          <w:rFonts w:hint="eastAsia" w:ascii="Arial" w:hAnsi="宋体" w:cs="Arial"/>
          <w:b/>
          <w:sz w:val="26"/>
          <w:szCs w:val="26"/>
          <w:lang w:val="en-US" w:eastAsia="zh-CN"/>
        </w:rPr>
        <w:t>2</w:t>
      </w:r>
      <w:r>
        <w:rPr>
          <w:rFonts w:hint="eastAsia" w:ascii="Arial" w:hAnsi="宋体" w:cs="Arial"/>
          <w:b/>
          <w:sz w:val="26"/>
          <w:szCs w:val="26"/>
        </w:rPr>
        <w:t>）</w:t>
      </w:r>
      <w:r>
        <w:rPr>
          <w:rFonts w:hint="eastAsia" w:ascii="Arial" w:hAnsi="宋体" w:cs="Arial"/>
          <w:b/>
          <w:sz w:val="26"/>
          <w:szCs w:val="26"/>
          <w:lang w:eastAsia="zh-CN"/>
        </w:rPr>
        <w:t>废气</w:t>
      </w:r>
    </w:p>
    <w:p w14:paraId="0135F778">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宋体" w:hAnsi="宋体" w:cs="宋体"/>
          <w:bCs/>
          <w:color w:val="auto"/>
          <w:sz w:val="26"/>
          <w:szCs w:val="26"/>
        </w:rPr>
      </w:pPr>
      <w:r>
        <w:rPr>
          <w:rFonts w:hint="eastAsia" w:ascii="宋体" w:hAnsi="宋体" w:cs="宋体"/>
          <w:bCs/>
          <w:color w:val="auto"/>
          <w:sz w:val="26"/>
          <w:szCs w:val="26"/>
        </w:rPr>
        <w:t>本工程施工期环境空气污染物主要是土石方开挖、</w:t>
      </w:r>
      <w:r>
        <w:rPr>
          <w:rFonts w:hint="eastAsia" w:ascii="宋体" w:hAnsi="宋体" w:cs="宋体"/>
          <w:bCs/>
          <w:color w:val="auto"/>
          <w:sz w:val="26"/>
          <w:szCs w:val="26"/>
          <w:lang w:eastAsia="zh-CN"/>
        </w:rPr>
        <w:t>物料</w:t>
      </w:r>
      <w:r>
        <w:rPr>
          <w:rFonts w:hint="eastAsia" w:ascii="宋体" w:hAnsi="宋体" w:cs="宋体"/>
          <w:bCs/>
          <w:color w:val="auto"/>
          <w:sz w:val="26"/>
          <w:szCs w:val="26"/>
        </w:rPr>
        <w:t>运输等施工过程中产生的扬尘、混凝土拌和系统粉尘、施工机械和运输车辆废气。</w:t>
      </w:r>
    </w:p>
    <w:p w14:paraId="249DAC3A">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eastAsia="宋体" w:cs="Arial"/>
          <w:b/>
          <w:bCs/>
          <w:sz w:val="26"/>
          <w:szCs w:val="26"/>
          <w:lang w:eastAsia="zh-CN"/>
        </w:rPr>
      </w:pPr>
      <w:r>
        <w:rPr>
          <w:rFonts w:ascii="Arial" w:hAnsi="Arial" w:cs="Arial"/>
          <w:b/>
          <w:bCs/>
          <w:sz w:val="26"/>
          <w:szCs w:val="26"/>
        </w:rPr>
        <w:t xml:space="preserve">① </w:t>
      </w:r>
      <w:r>
        <w:rPr>
          <w:rFonts w:hint="eastAsia" w:ascii="Arial" w:hAnsi="Arial" w:cs="Arial"/>
          <w:b/>
          <w:bCs/>
          <w:sz w:val="26"/>
          <w:szCs w:val="26"/>
          <w:lang w:eastAsia="zh-CN"/>
        </w:rPr>
        <w:t>施工扬尘</w:t>
      </w:r>
    </w:p>
    <w:p w14:paraId="7C19B32E">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default" w:ascii="Arial" w:hAnsi="Arial" w:cs="Arial"/>
          <w:bCs/>
          <w:color w:val="auto"/>
          <w:sz w:val="26"/>
          <w:szCs w:val="26"/>
        </w:rPr>
      </w:pPr>
      <w:r>
        <w:rPr>
          <w:rFonts w:hint="default" w:ascii="Arial" w:hAnsi="Arial" w:cs="Arial"/>
          <w:bCs/>
          <w:color w:val="auto"/>
          <w:sz w:val="26"/>
          <w:szCs w:val="26"/>
        </w:rPr>
        <w:t>扬尘排放方式主要为无组织间歇性排放，其产生量受风向、风速和空气湿度等气象条件的影响，主要来源于：场地平整、土石方清挖过程的地面扬尘。项目开挖作业面扬尘参照《逸散性工业粉尘控制技术》</w:t>
      </w:r>
      <w:r>
        <w:rPr>
          <w:rFonts w:hint="eastAsia" w:ascii="Arial" w:hAnsi="Arial" w:cs="Arial"/>
          <w:bCs/>
          <w:color w:val="auto"/>
          <w:sz w:val="26"/>
          <w:szCs w:val="26"/>
          <w:lang w:eastAsia="zh-CN"/>
        </w:rPr>
        <w:t>（</w:t>
      </w:r>
      <w:r>
        <w:rPr>
          <w:rFonts w:hint="default" w:ascii="Arial" w:hAnsi="Arial" w:cs="Arial"/>
          <w:bCs/>
          <w:color w:val="auto"/>
          <w:sz w:val="26"/>
          <w:szCs w:val="26"/>
        </w:rPr>
        <w:t>中国环境科学出版社</w:t>
      </w:r>
      <w:r>
        <w:rPr>
          <w:rFonts w:hint="eastAsia" w:ascii="Arial" w:hAnsi="Arial" w:cs="Arial"/>
          <w:bCs/>
          <w:color w:val="auto"/>
          <w:sz w:val="26"/>
          <w:szCs w:val="26"/>
          <w:lang w:eastAsia="zh-CN"/>
        </w:rPr>
        <w:t>），</w:t>
      </w:r>
      <w:r>
        <w:rPr>
          <w:rFonts w:hint="default" w:ascii="Arial" w:hAnsi="Arial" w:cs="Arial"/>
          <w:bCs/>
          <w:color w:val="auto"/>
          <w:sz w:val="26"/>
          <w:szCs w:val="26"/>
        </w:rPr>
        <w:t>开挖作业逸散尘排放系数0.0365kg/t</w:t>
      </w:r>
      <w:r>
        <w:rPr>
          <w:rFonts w:hint="eastAsia" w:ascii="Arial" w:hAnsi="Arial" w:cs="Arial"/>
          <w:bCs/>
          <w:color w:val="auto"/>
          <w:sz w:val="26"/>
          <w:szCs w:val="26"/>
          <w:lang w:eastAsia="zh-CN"/>
        </w:rPr>
        <w:t>（</w:t>
      </w:r>
      <w:r>
        <w:rPr>
          <w:rFonts w:hint="default" w:ascii="Arial" w:hAnsi="Arial" w:cs="Arial"/>
          <w:bCs/>
          <w:color w:val="auto"/>
          <w:sz w:val="26"/>
          <w:szCs w:val="26"/>
        </w:rPr>
        <w:t>按最不利的剥离覆盖层考虑</w:t>
      </w:r>
      <w:r>
        <w:rPr>
          <w:rFonts w:hint="eastAsia" w:ascii="Arial" w:hAnsi="Arial" w:cs="Arial"/>
          <w:bCs/>
          <w:color w:val="auto"/>
          <w:sz w:val="26"/>
          <w:szCs w:val="26"/>
          <w:lang w:eastAsia="zh-CN"/>
        </w:rPr>
        <w:t>）。</w:t>
      </w:r>
      <w:r>
        <w:rPr>
          <w:rFonts w:hint="default" w:ascii="Arial" w:hAnsi="Arial" w:cs="Arial"/>
          <w:bCs/>
          <w:color w:val="auto"/>
          <w:sz w:val="26"/>
          <w:szCs w:val="26"/>
        </w:rPr>
        <w:t>本工程土石方开挖量合计</w:t>
      </w:r>
      <w:r>
        <w:rPr>
          <w:rFonts w:hint="eastAsia" w:ascii="Arial" w:hAnsi="Arial" w:cs="Arial"/>
          <w:bCs/>
          <w:color w:val="auto"/>
          <w:sz w:val="26"/>
          <w:szCs w:val="26"/>
          <w:lang w:val="en-US" w:eastAsia="zh-CN"/>
        </w:rPr>
        <w:t>11.84</w:t>
      </w:r>
      <w:r>
        <w:rPr>
          <w:rFonts w:hint="default" w:ascii="Arial" w:hAnsi="Arial" w:cs="Arial"/>
          <w:bCs/>
          <w:color w:val="auto"/>
          <w:sz w:val="26"/>
          <w:szCs w:val="26"/>
        </w:rPr>
        <w:t>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eastAsia="zh-CN"/>
        </w:rPr>
        <w:t>，</w:t>
      </w:r>
      <w:r>
        <w:rPr>
          <w:rFonts w:hint="default" w:ascii="Arial" w:hAnsi="Arial" w:cs="Arial"/>
          <w:bCs/>
          <w:color w:val="auto"/>
          <w:sz w:val="26"/>
          <w:szCs w:val="26"/>
        </w:rPr>
        <w:t>容重取1.8t/m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eastAsia="zh-CN"/>
        </w:rPr>
        <w:t>，</w:t>
      </w:r>
      <w:r>
        <w:rPr>
          <w:rFonts w:hint="default" w:ascii="Arial" w:hAnsi="Arial" w:cs="Arial"/>
          <w:bCs/>
          <w:color w:val="auto"/>
          <w:sz w:val="26"/>
          <w:szCs w:val="26"/>
        </w:rPr>
        <w:t>则开挖作业粉尘产生量为</w:t>
      </w:r>
      <w:r>
        <w:rPr>
          <w:rFonts w:hint="eastAsia" w:ascii="Arial" w:hAnsi="Arial" w:cs="Arial"/>
          <w:bCs/>
          <w:color w:val="auto"/>
          <w:sz w:val="26"/>
          <w:szCs w:val="26"/>
          <w:lang w:val="en-US" w:eastAsia="zh-CN"/>
        </w:rPr>
        <w:t>7.78</w:t>
      </w:r>
      <w:r>
        <w:rPr>
          <w:rFonts w:hint="default" w:ascii="Arial" w:hAnsi="Arial" w:cs="Arial"/>
          <w:bCs/>
          <w:color w:val="auto"/>
          <w:sz w:val="26"/>
          <w:szCs w:val="26"/>
        </w:rPr>
        <w:t>t。施工开挖过程中采取洒水抑尘+炮雾机降尘措施，可以有效抑制粉尘的产生，除尘效率达到</w:t>
      </w:r>
      <w:r>
        <w:rPr>
          <w:rFonts w:hint="eastAsia" w:ascii="Arial" w:hAnsi="Arial" w:cs="Arial"/>
          <w:bCs/>
          <w:color w:val="auto"/>
          <w:sz w:val="26"/>
          <w:szCs w:val="26"/>
          <w:lang w:val="en-US" w:eastAsia="zh-CN"/>
        </w:rPr>
        <w:t>8</w:t>
      </w:r>
      <w:r>
        <w:rPr>
          <w:rFonts w:hint="default" w:ascii="Arial" w:hAnsi="Arial" w:cs="Arial"/>
          <w:bCs/>
          <w:color w:val="auto"/>
          <w:sz w:val="26"/>
          <w:szCs w:val="26"/>
        </w:rPr>
        <w:t>0%以上，则开挖粉尘排放量为</w:t>
      </w:r>
      <w:r>
        <w:rPr>
          <w:rFonts w:hint="eastAsia" w:ascii="Arial" w:hAnsi="Arial" w:cs="Arial"/>
          <w:bCs/>
          <w:color w:val="auto"/>
          <w:sz w:val="26"/>
          <w:szCs w:val="26"/>
          <w:lang w:val="en-US" w:eastAsia="zh-CN"/>
        </w:rPr>
        <w:t>1.56</w:t>
      </w:r>
      <w:r>
        <w:rPr>
          <w:rFonts w:hint="default" w:ascii="Arial" w:hAnsi="Arial" w:cs="Arial"/>
          <w:bCs/>
          <w:color w:val="auto"/>
          <w:sz w:val="26"/>
          <w:szCs w:val="26"/>
        </w:rPr>
        <w:t>t。</w:t>
      </w:r>
    </w:p>
    <w:p w14:paraId="4148E7D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cs="Arial"/>
          <w:b/>
          <w:bCs/>
          <w:sz w:val="26"/>
          <w:szCs w:val="26"/>
          <w:lang w:val="en-US" w:eastAsia="zh-CN"/>
        </w:rPr>
      </w:pPr>
      <w:r>
        <w:rPr>
          <w:rFonts w:hint="default" w:ascii="Arial" w:hAnsi="Arial" w:cs="Arial"/>
          <w:b/>
          <w:bCs/>
          <w:sz w:val="26"/>
          <w:szCs w:val="26"/>
        </w:rPr>
        <w:t>②</w:t>
      </w:r>
      <w:r>
        <w:rPr>
          <w:rFonts w:hint="eastAsia" w:ascii="Arial" w:hAnsi="Arial" w:cs="Arial"/>
          <w:b/>
          <w:bCs/>
          <w:sz w:val="26"/>
          <w:szCs w:val="26"/>
          <w:lang w:val="en-US" w:eastAsia="zh-CN"/>
        </w:rPr>
        <w:t xml:space="preserve"> 装卸粉尘</w:t>
      </w:r>
    </w:p>
    <w:p w14:paraId="00511FF1">
      <w:pPr>
        <w:spacing w:line="460" w:lineRule="exact"/>
        <w:ind w:firstLine="520" w:firstLineChars="200"/>
        <w:rPr>
          <w:rFonts w:hint="eastAsia" w:eastAsia="宋体"/>
          <w:color w:val="auto"/>
          <w:sz w:val="26"/>
          <w:szCs w:val="26"/>
          <w:highlight w:val="none"/>
          <w:lang w:eastAsia="zh-CN"/>
        </w:rPr>
      </w:pPr>
      <w:r>
        <w:rPr>
          <w:rFonts w:hint="eastAsia" w:ascii="宋体" w:hAnsi="宋体" w:cs="宋体"/>
          <w:bCs/>
          <w:color w:val="auto"/>
          <w:sz w:val="26"/>
          <w:szCs w:val="26"/>
          <w:lang w:eastAsia="zh-CN"/>
        </w:rPr>
        <w:t>挖方运至填方区、弃渣运至弃渣场、外购水泥等车辆装卸扬尘量采用清华大学</w:t>
      </w:r>
      <w:r>
        <w:rPr>
          <w:rFonts w:hint="eastAsia" w:ascii="Arial" w:hAnsi="Arial" w:eastAsia="宋体" w:cs="Arial"/>
          <w:color w:val="auto"/>
          <w:sz w:val="26"/>
          <w:szCs w:val="26"/>
          <w:lang w:val="en-US" w:eastAsia="zh-CN"/>
        </w:rPr>
        <w:t>铲装扬尘公式计算：</w:t>
      </w:r>
    </w:p>
    <w:p w14:paraId="2C6941E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eastAsia="宋体"/>
          <w:color w:val="auto"/>
          <w:highlight w:val="none"/>
          <w:lang w:eastAsia="zh-CN"/>
        </w:rPr>
      </w:pPr>
      <w:r>
        <w:rPr>
          <w:rFonts w:ascii="Arial" w:hAnsi="Arial" w:cs="Arial"/>
          <w:bCs/>
          <w:color w:val="auto"/>
          <w:sz w:val="24"/>
          <w:szCs w:val="24"/>
        </w:rPr>
        <w:object>
          <v:shape id="_x0000_i1025" o:spt="75" type="#_x0000_t75" style="height:18pt;width:147pt;" o:ole="t" filled="f" o:preferrelative="t" stroked="f" coordsize="21600,21600">
            <v:path/>
            <v:fill on="f" alignshape="1" focussize="0,0"/>
            <v:stroke on="f"/>
            <v:imagedata r:id="rId30" o:title=""/>
            <o:lock v:ext="edit" aspectratio="t"/>
            <w10:wrap type="none"/>
            <w10:anchorlock/>
          </v:shape>
          <o:OLEObject Type="Embed" ProgID="Equation.3" ShapeID="_x0000_i1025" DrawAspect="Content" ObjectID="_1468075725" r:id="rId29">
            <o:LockedField>false</o:LockedField>
          </o:OLEObject>
        </w:object>
      </w:r>
    </w:p>
    <w:p w14:paraId="1EA88D9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式中：Q——</w:t>
      </w:r>
      <w:r>
        <w:rPr>
          <w:rFonts w:hint="eastAsia" w:ascii="Arial" w:hAnsi="Arial" w:cs="Arial"/>
          <w:bCs/>
          <w:color w:val="auto"/>
          <w:sz w:val="26"/>
          <w:szCs w:val="26"/>
          <w:lang w:eastAsia="zh-CN"/>
        </w:rPr>
        <w:t>装卸</w:t>
      </w:r>
      <w:r>
        <w:rPr>
          <w:rFonts w:hint="default" w:ascii="Arial" w:hAnsi="Arial" w:cs="Arial"/>
          <w:bCs/>
          <w:color w:val="auto"/>
          <w:sz w:val="26"/>
          <w:szCs w:val="26"/>
        </w:rPr>
        <w:t>扬尘，g/次；</w:t>
      </w:r>
    </w:p>
    <w:p w14:paraId="3B19992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 xml:space="preserve">     </w:t>
      </w:r>
      <w:r>
        <w:rPr>
          <w:rFonts w:hint="eastAsia" w:ascii="Arial" w:hAnsi="Arial" w:cs="Arial"/>
          <w:bCs/>
          <w:color w:val="auto"/>
          <w:sz w:val="26"/>
          <w:szCs w:val="26"/>
          <w:lang w:val="en-US" w:eastAsia="zh-CN"/>
        </w:rPr>
        <w:t xml:space="preserve"> </w:t>
      </w:r>
      <w:r>
        <w:rPr>
          <w:rFonts w:hint="default" w:ascii="Arial" w:hAnsi="Arial" w:cs="Arial"/>
          <w:bCs/>
          <w:color w:val="auto"/>
          <w:sz w:val="26"/>
          <w:szCs w:val="26"/>
        </w:rPr>
        <w:t>U——风速，</w:t>
      </w:r>
      <w:r>
        <w:rPr>
          <w:rFonts w:hint="eastAsia" w:ascii="Arial" w:hAnsi="Arial" w:cs="Arial"/>
          <w:color w:val="auto"/>
          <w:sz w:val="26"/>
          <w:szCs w:val="26"/>
          <w:lang w:eastAsia="zh-CN"/>
        </w:rPr>
        <w:t>丰都县年平均风速</w:t>
      </w:r>
      <w:r>
        <w:rPr>
          <w:rFonts w:hint="eastAsia" w:ascii="Arial" w:hAnsi="Arial" w:cs="Arial"/>
          <w:color w:val="auto"/>
          <w:sz w:val="26"/>
          <w:szCs w:val="26"/>
          <w:lang w:val="en-US" w:eastAsia="zh-CN"/>
        </w:rPr>
        <w:t>1.0</w:t>
      </w:r>
      <w:r>
        <w:rPr>
          <w:rFonts w:hint="default" w:ascii="Arial" w:hAnsi="Arial" w:cs="Arial"/>
          <w:color w:val="auto"/>
          <w:sz w:val="26"/>
          <w:szCs w:val="26"/>
        </w:rPr>
        <w:t>m/s</w:t>
      </w:r>
      <w:r>
        <w:rPr>
          <w:rFonts w:hint="default" w:ascii="Arial" w:hAnsi="Arial" w:cs="Arial"/>
          <w:bCs/>
          <w:color w:val="auto"/>
          <w:sz w:val="26"/>
          <w:szCs w:val="26"/>
        </w:rPr>
        <w:t>；</w:t>
      </w:r>
    </w:p>
    <w:p w14:paraId="4FE764C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 xml:space="preserve">      W——物料湿度，</w:t>
      </w:r>
      <w:r>
        <w:rPr>
          <w:rFonts w:hint="eastAsia" w:ascii="Arial" w:hAnsi="Arial" w:cs="Arial"/>
          <w:bCs/>
          <w:color w:val="auto"/>
          <w:sz w:val="26"/>
          <w:szCs w:val="26"/>
          <w:lang w:eastAsia="zh-CN"/>
        </w:rPr>
        <w:t>平均</w:t>
      </w:r>
      <w:r>
        <w:rPr>
          <w:rFonts w:hint="default" w:ascii="Arial" w:hAnsi="Arial" w:cs="Arial"/>
          <w:bCs/>
          <w:color w:val="auto"/>
          <w:sz w:val="26"/>
          <w:szCs w:val="26"/>
        </w:rPr>
        <w:t>取</w:t>
      </w:r>
      <w:r>
        <w:rPr>
          <w:rFonts w:hint="eastAsia" w:ascii="Arial" w:hAnsi="Arial" w:cs="Arial"/>
          <w:bCs/>
          <w:color w:val="auto"/>
          <w:sz w:val="26"/>
          <w:szCs w:val="26"/>
          <w:lang w:val="en-US" w:eastAsia="zh-CN"/>
        </w:rPr>
        <w:t>5</w:t>
      </w:r>
      <w:r>
        <w:rPr>
          <w:rFonts w:hint="default" w:ascii="Arial" w:hAnsi="Arial" w:cs="Arial"/>
          <w:bCs/>
          <w:color w:val="auto"/>
          <w:sz w:val="26"/>
          <w:szCs w:val="26"/>
        </w:rPr>
        <w:t>%；</w:t>
      </w:r>
    </w:p>
    <w:p w14:paraId="4960B85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 xml:space="preserve">      M——</w:t>
      </w:r>
      <w:r>
        <w:rPr>
          <w:rFonts w:hint="eastAsia" w:ascii="Arial" w:hAnsi="Arial" w:cs="Arial"/>
          <w:bCs/>
          <w:color w:val="auto"/>
          <w:sz w:val="26"/>
          <w:szCs w:val="26"/>
          <w:lang w:eastAsia="zh-CN"/>
        </w:rPr>
        <w:t>载重</w:t>
      </w:r>
      <w:r>
        <w:rPr>
          <w:rFonts w:hint="default" w:ascii="Arial" w:hAnsi="Arial" w:cs="Arial"/>
          <w:bCs/>
          <w:color w:val="auto"/>
          <w:sz w:val="26"/>
          <w:szCs w:val="26"/>
        </w:rPr>
        <w:t>，</w:t>
      </w:r>
      <w:r>
        <w:rPr>
          <w:rFonts w:hint="eastAsia" w:ascii="Arial" w:hAnsi="Arial" w:cs="Arial"/>
          <w:bCs/>
          <w:color w:val="auto"/>
          <w:sz w:val="26"/>
          <w:szCs w:val="26"/>
          <w:lang w:eastAsia="zh-CN"/>
        </w:rPr>
        <w:t>运输车辆载重</w:t>
      </w:r>
      <w:r>
        <w:rPr>
          <w:rFonts w:hint="eastAsia" w:ascii="Arial" w:hAnsi="Arial" w:cs="Arial"/>
          <w:bCs/>
          <w:color w:val="auto"/>
          <w:sz w:val="26"/>
          <w:szCs w:val="26"/>
          <w:lang w:val="en-US" w:eastAsia="zh-CN"/>
        </w:rPr>
        <w:t>20t</w:t>
      </w:r>
      <w:r>
        <w:rPr>
          <w:rFonts w:hint="default" w:ascii="Arial" w:hAnsi="Arial" w:cs="Arial"/>
          <w:bCs/>
          <w:color w:val="auto"/>
          <w:sz w:val="26"/>
          <w:szCs w:val="26"/>
        </w:rPr>
        <w:t>；</w:t>
      </w:r>
    </w:p>
    <w:p w14:paraId="69EC71F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 xml:space="preserve">      H——装卸高度，取</w:t>
      </w:r>
      <w:r>
        <w:rPr>
          <w:rFonts w:hint="eastAsia" w:ascii="Arial" w:hAnsi="Arial" w:cs="Arial"/>
          <w:bCs/>
          <w:color w:val="auto"/>
          <w:sz w:val="26"/>
          <w:szCs w:val="26"/>
          <w:lang w:val="en-US" w:eastAsia="zh-CN"/>
        </w:rPr>
        <w:t>1.5</w:t>
      </w:r>
      <w:r>
        <w:rPr>
          <w:rFonts w:hint="default" w:ascii="Arial" w:hAnsi="Arial" w:cs="Arial"/>
          <w:bCs/>
          <w:color w:val="auto"/>
          <w:sz w:val="26"/>
          <w:szCs w:val="26"/>
        </w:rPr>
        <w:t>m。</w:t>
      </w:r>
    </w:p>
    <w:p w14:paraId="294E8CA7">
      <w:pPr>
        <w:spacing w:line="460" w:lineRule="exact"/>
        <w:ind w:firstLine="520" w:firstLineChars="200"/>
        <w:rPr>
          <w:rFonts w:hint="default" w:ascii="Arial" w:hAnsi="Arial" w:eastAsia="宋体" w:cs="Arial"/>
          <w:bCs/>
          <w:color w:val="auto"/>
          <w:sz w:val="26"/>
          <w:szCs w:val="26"/>
          <w:lang w:val="en-US" w:eastAsia="zh-CN"/>
        </w:rPr>
      </w:pPr>
      <w:r>
        <w:rPr>
          <w:rFonts w:hint="default" w:ascii="Arial" w:hAnsi="Arial" w:cs="Arial"/>
          <w:bCs/>
          <w:color w:val="auto"/>
          <w:sz w:val="26"/>
          <w:szCs w:val="26"/>
          <w:lang w:eastAsia="zh-CN"/>
        </w:rPr>
        <w:t>本项目填方量为</w:t>
      </w:r>
      <w:r>
        <w:rPr>
          <w:rFonts w:hint="default" w:ascii="Arial" w:hAnsi="Arial" w:cs="Arial"/>
          <w:bCs/>
          <w:color w:val="auto"/>
          <w:sz w:val="26"/>
          <w:szCs w:val="26"/>
          <w:lang w:val="en-US" w:eastAsia="zh-CN"/>
        </w:rPr>
        <w:t>5.02万m</w:t>
      </w:r>
      <w:r>
        <w:rPr>
          <w:rFonts w:hint="default" w:ascii="Arial" w:hAnsi="Arial" w:cs="Arial"/>
          <w:bCs/>
          <w:color w:val="auto"/>
          <w:sz w:val="26"/>
          <w:szCs w:val="26"/>
          <w:vertAlign w:val="superscript"/>
          <w:lang w:val="en-US" w:eastAsia="zh-CN"/>
        </w:rPr>
        <w:t>3</w:t>
      </w:r>
      <w:r>
        <w:rPr>
          <w:rFonts w:hint="default" w:ascii="Arial" w:hAnsi="Arial" w:cs="Arial"/>
          <w:bCs/>
          <w:color w:val="auto"/>
          <w:sz w:val="26"/>
          <w:szCs w:val="26"/>
          <w:lang w:val="en-US" w:eastAsia="zh-CN"/>
        </w:rPr>
        <w:t>、弃渣量6.82万m</w:t>
      </w:r>
      <w:r>
        <w:rPr>
          <w:rFonts w:hint="default" w:ascii="Arial" w:hAnsi="Arial" w:cs="Arial"/>
          <w:bCs/>
          <w:color w:val="auto"/>
          <w:sz w:val="26"/>
          <w:szCs w:val="26"/>
          <w:vertAlign w:val="superscript"/>
          <w:lang w:val="en-US" w:eastAsia="zh-CN"/>
        </w:rPr>
        <w:t>3</w:t>
      </w:r>
      <w:r>
        <w:rPr>
          <w:rFonts w:hint="default" w:ascii="Arial" w:hAnsi="Arial" w:cs="Arial"/>
          <w:bCs/>
          <w:color w:val="auto"/>
          <w:sz w:val="26"/>
          <w:szCs w:val="26"/>
          <w:lang w:val="en-US" w:eastAsia="zh-CN"/>
        </w:rPr>
        <w:t>、水泥等物料消耗量1.39万t，</w:t>
      </w:r>
      <w:r>
        <w:rPr>
          <w:rFonts w:hint="eastAsia" w:ascii="Arial" w:hAnsi="Arial" w:cs="Arial"/>
          <w:bCs/>
          <w:color w:val="auto"/>
          <w:sz w:val="26"/>
          <w:szCs w:val="26"/>
          <w:lang w:val="en-US" w:eastAsia="zh-CN"/>
        </w:rPr>
        <w:t>则装卸粉尘产生量合计为14.2932t，经采取密闭运输、洒水抑尘后，</w:t>
      </w:r>
      <w:r>
        <w:rPr>
          <w:rFonts w:hint="default" w:ascii="Arial" w:hAnsi="Arial" w:cs="Arial"/>
          <w:bCs/>
          <w:color w:val="auto"/>
          <w:sz w:val="26"/>
          <w:szCs w:val="26"/>
        </w:rPr>
        <w:t>除尘效率达到</w:t>
      </w:r>
      <w:r>
        <w:rPr>
          <w:rFonts w:hint="eastAsia" w:ascii="Arial" w:hAnsi="Arial" w:cs="Arial"/>
          <w:bCs/>
          <w:color w:val="auto"/>
          <w:sz w:val="26"/>
          <w:szCs w:val="26"/>
          <w:lang w:val="en-US" w:eastAsia="zh-CN"/>
        </w:rPr>
        <w:t>8</w:t>
      </w:r>
      <w:r>
        <w:rPr>
          <w:rFonts w:hint="default" w:ascii="Arial" w:hAnsi="Arial" w:cs="Arial"/>
          <w:bCs/>
          <w:color w:val="auto"/>
          <w:sz w:val="26"/>
          <w:szCs w:val="26"/>
        </w:rPr>
        <w:t>0%以上，则</w:t>
      </w:r>
      <w:r>
        <w:rPr>
          <w:rFonts w:hint="eastAsia" w:ascii="Arial" w:hAnsi="Arial" w:cs="Arial"/>
          <w:bCs/>
          <w:color w:val="auto"/>
          <w:sz w:val="26"/>
          <w:szCs w:val="26"/>
          <w:lang w:eastAsia="zh-CN"/>
        </w:rPr>
        <w:t>装卸粉尘</w:t>
      </w:r>
      <w:r>
        <w:rPr>
          <w:rFonts w:hint="default" w:ascii="Arial" w:hAnsi="Arial" w:cs="Arial"/>
          <w:bCs/>
          <w:color w:val="auto"/>
          <w:sz w:val="26"/>
          <w:szCs w:val="26"/>
        </w:rPr>
        <w:t>排放量为</w:t>
      </w:r>
      <w:r>
        <w:rPr>
          <w:rFonts w:hint="eastAsia" w:ascii="Arial" w:hAnsi="Arial" w:cs="Arial"/>
          <w:bCs/>
          <w:color w:val="auto"/>
          <w:sz w:val="26"/>
          <w:szCs w:val="26"/>
          <w:lang w:val="en-US" w:eastAsia="zh-CN"/>
        </w:rPr>
        <w:t>2.8586</w:t>
      </w:r>
      <w:r>
        <w:rPr>
          <w:rFonts w:hint="default" w:ascii="Arial" w:hAnsi="Arial" w:cs="Arial"/>
          <w:bCs/>
          <w:color w:val="auto"/>
          <w:sz w:val="26"/>
          <w:szCs w:val="26"/>
        </w:rPr>
        <w:t>t。</w:t>
      </w:r>
    </w:p>
    <w:p w14:paraId="5F3BAF27">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eastAsia="宋体" w:cs="Arial"/>
          <w:b/>
          <w:bCs/>
          <w:sz w:val="26"/>
          <w:szCs w:val="26"/>
          <w:lang w:val="en-US" w:eastAsia="zh-CN"/>
        </w:rPr>
      </w:pPr>
      <w:r>
        <w:rPr>
          <w:rFonts w:hint="eastAsia" w:ascii="Arial" w:hAnsi="Arial" w:eastAsia="宋体" w:cs="Arial"/>
          <w:b/>
          <w:bCs/>
          <w:sz w:val="26"/>
          <w:szCs w:val="26"/>
        </w:rPr>
        <w:t>③</w:t>
      </w:r>
      <w:r>
        <w:rPr>
          <w:rFonts w:hint="eastAsia" w:ascii="Arial" w:hAnsi="Arial" w:eastAsia="宋体" w:cs="Arial"/>
          <w:b/>
          <w:bCs/>
          <w:sz w:val="26"/>
          <w:szCs w:val="26"/>
          <w:lang w:val="en-US" w:eastAsia="zh-CN"/>
        </w:rPr>
        <w:t xml:space="preserve"> 运输扬尘</w:t>
      </w:r>
    </w:p>
    <w:p w14:paraId="461195B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auto"/>
          <w:sz w:val="26"/>
          <w:szCs w:val="26"/>
          <w:lang w:val="en-US" w:eastAsia="zh-CN"/>
        </w:rPr>
      </w:pPr>
      <w:r>
        <w:rPr>
          <w:rFonts w:hint="eastAsia" w:ascii="宋体" w:hAnsi="宋体" w:cs="宋体"/>
          <w:bCs/>
          <w:color w:val="auto"/>
          <w:sz w:val="26"/>
          <w:szCs w:val="26"/>
          <w:lang w:eastAsia="zh-CN"/>
        </w:rPr>
        <w:t>项目挖方运至填方区、弃渣至弃渣场、物料至堆场和施工区等车辆运输扬尘</w:t>
      </w:r>
      <w:r>
        <w:rPr>
          <w:rFonts w:hint="eastAsia" w:ascii="Arial" w:hAnsi="Arial" w:eastAsia="宋体" w:cs="Arial"/>
          <w:color w:val="auto"/>
          <w:sz w:val="26"/>
          <w:szCs w:val="26"/>
          <w:lang w:val="en-US" w:eastAsia="zh-CN"/>
        </w:rPr>
        <w:t>产生量按山西环保科研所、武汉水运工程学院提出的经验公式进行估算经验公式估算，经验公式如下：</w:t>
      </w:r>
    </w:p>
    <w:p w14:paraId="5924A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Arial" w:hAnsi="Arial" w:cs="Arial"/>
          <w:color w:val="auto"/>
          <w:sz w:val="26"/>
          <w:szCs w:val="26"/>
        </w:rPr>
      </w:pPr>
      <w:r>
        <w:rPr>
          <w:rFonts w:hint="default" w:ascii="Arial" w:hAnsi="Arial" w:cs="Arial"/>
          <w:color w:val="auto"/>
          <w:sz w:val="26"/>
          <w:szCs w:val="26"/>
        </w:rPr>
        <w:t>Qi=0.0079×V×W</w:t>
      </w:r>
      <w:r>
        <w:rPr>
          <w:rFonts w:hint="default" w:ascii="Arial" w:hAnsi="Arial" w:cs="Arial"/>
          <w:color w:val="auto"/>
          <w:sz w:val="26"/>
          <w:szCs w:val="26"/>
          <w:vertAlign w:val="superscript"/>
        </w:rPr>
        <w:t>0.85</w:t>
      </w:r>
      <w:r>
        <w:rPr>
          <w:rFonts w:hint="default" w:ascii="Arial" w:hAnsi="Arial" w:cs="Arial"/>
          <w:color w:val="auto"/>
          <w:sz w:val="26"/>
          <w:szCs w:val="26"/>
        </w:rPr>
        <w:t>×P</w:t>
      </w:r>
      <w:r>
        <w:rPr>
          <w:rFonts w:hint="default" w:ascii="Arial" w:hAnsi="Arial" w:cs="Arial"/>
          <w:color w:val="auto"/>
          <w:sz w:val="26"/>
          <w:szCs w:val="26"/>
          <w:vertAlign w:val="superscript"/>
        </w:rPr>
        <w:t>0.72</w:t>
      </w:r>
    </w:p>
    <w:p w14:paraId="4EF42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Arial" w:hAnsi="Arial" w:cs="Arial"/>
          <w:color w:val="auto"/>
          <w:sz w:val="26"/>
          <w:szCs w:val="26"/>
        </w:rPr>
      </w:pPr>
      <w:r>
        <w:rPr>
          <w:rFonts w:hint="default" w:ascii="Arial" w:hAnsi="Arial" w:cs="Arial"/>
          <w:color w:val="auto"/>
          <w:sz w:val="26"/>
          <w:szCs w:val="26"/>
        </w:rPr>
        <w:t>式中：Qi—每辆汽车行驶扬尘量（kg/km辆）；</w:t>
      </w:r>
    </w:p>
    <w:p w14:paraId="39E23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1300" w:firstLineChars="500"/>
        <w:textAlignment w:val="auto"/>
        <w:rPr>
          <w:rFonts w:hint="default" w:ascii="Arial" w:hAnsi="Arial" w:cs="Arial"/>
          <w:color w:val="auto"/>
          <w:sz w:val="26"/>
          <w:szCs w:val="26"/>
        </w:rPr>
      </w:pPr>
      <w:r>
        <w:rPr>
          <w:rFonts w:hint="default" w:ascii="Arial" w:hAnsi="Arial" w:cs="Arial"/>
          <w:color w:val="auto"/>
          <w:sz w:val="26"/>
          <w:szCs w:val="26"/>
        </w:rPr>
        <w:t>V—汽车速度（km/h），取</w:t>
      </w:r>
      <w:r>
        <w:rPr>
          <w:rFonts w:hint="eastAsia" w:ascii="Arial" w:hAnsi="Arial" w:cs="Arial"/>
          <w:color w:val="auto"/>
          <w:sz w:val="26"/>
          <w:szCs w:val="26"/>
          <w:lang w:val="en-US" w:eastAsia="zh-CN"/>
        </w:rPr>
        <w:t>20</w:t>
      </w:r>
      <w:r>
        <w:rPr>
          <w:rFonts w:hint="default" w:ascii="Arial" w:hAnsi="Arial" w:cs="Arial"/>
          <w:color w:val="auto"/>
          <w:sz w:val="26"/>
          <w:szCs w:val="26"/>
        </w:rPr>
        <w:t>km/h；</w:t>
      </w:r>
    </w:p>
    <w:p w14:paraId="47060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1300" w:firstLineChars="500"/>
        <w:textAlignment w:val="auto"/>
        <w:rPr>
          <w:rFonts w:hint="default" w:ascii="Arial" w:hAnsi="Arial" w:cs="Arial"/>
          <w:color w:val="auto"/>
          <w:sz w:val="26"/>
          <w:szCs w:val="26"/>
        </w:rPr>
      </w:pPr>
      <w:r>
        <w:rPr>
          <w:rFonts w:hint="default" w:ascii="Arial" w:hAnsi="Arial" w:cs="Arial"/>
          <w:color w:val="auto"/>
          <w:sz w:val="26"/>
          <w:szCs w:val="26"/>
        </w:rPr>
        <w:t>W—汽车</w:t>
      </w:r>
      <w:r>
        <w:rPr>
          <w:rFonts w:hint="eastAsia" w:ascii="Arial" w:hAnsi="Arial" w:cs="Arial"/>
          <w:color w:val="auto"/>
          <w:sz w:val="26"/>
          <w:szCs w:val="26"/>
          <w:lang w:eastAsia="zh-CN"/>
        </w:rPr>
        <w:t>载重</w:t>
      </w:r>
      <w:r>
        <w:rPr>
          <w:rFonts w:hint="default" w:ascii="Arial" w:hAnsi="Arial" w:cs="Arial"/>
          <w:color w:val="auto"/>
          <w:sz w:val="26"/>
          <w:szCs w:val="26"/>
        </w:rPr>
        <w:t>（</w:t>
      </w:r>
      <w:r>
        <w:rPr>
          <w:rFonts w:hint="eastAsia" w:ascii="Arial" w:hAnsi="Arial" w:cs="Arial"/>
          <w:color w:val="auto"/>
          <w:sz w:val="26"/>
          <w:szCs w:val="26"/>
          <w:lang w:val="en-US" w:eastAsia="zh-CN"/>
        </w:rPr>
        <w:t>t/辆</w:t>
      </w:r>
      <w:r>
        <w:rPr>
          <w:rFonts w:hint="default" w:ascii="Arial" w:hAnsi="Arial" w:cs="Arial"/>
          <w:color w:val="auto"/>
          <w:sz w:val="26"/>
          <w:szCs w:val="26"/>
        </w:rPr>
        <w:t>）</w:t>
      </w:r>
      <w:r>
        <w:rPr>
          <w:rFonts w:hint="eastAsia" w:ascii="Arial" w:hAnsi="Arial" w:cs="Arial"/>
          <w:color w:val="auto"/>
          <w:sz w:val="26"/>
          <w:szCs w:val="26"/>
          <w:lang w:eastAsia="zh-CN"/>
        </w:rPr>
        <w:t>，取</w:t>
      </w:r>
      <w:r>
        <w:rPr>
          <w:rFonts w:hint="eastAsia" w:ascii="Arial" w:hAnsi="Arial" w:cs="Arial"/>
          <w:color w:val="auto"/>
          <w:sz w:val="26"/>
          <w:szCs w:val="26"/>
          <w:lang w:val="en-US" w:eastAsia="zh-CN"/>
        </w:rPr>
        <w:t>20t/辆</w:t>
      </w:r>
      <w:r>
        <w:rPr>
          <w:rFonts w:hint="default" w:ascii="Arial" w:hAnsi="Arial" w:cs="Arial"/>
          <w:color w:val="auto"/>
          <w:sz w:val="26"/>
          <w:szCs w:val="26"/>
        </w:rPr>
        <w:t>；</w:t>
      </w:r>
    </w:p>
    <w:p w14:paraId="572C0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Arial" w:hAnsi="Arial" w:cs="Arial"/>
          <w:color w:val="auto"/>
          <w:sz w:val="26"/>
          <w:szCs w:val="26"/>
        </w:rPr>
      </w:pPr>
      <w:r>
        <w:rPr>
          <w:rFonts w:hint="default" w:ascii="Arial" w:hAnsi="Arial" w:cs="Arial"/>
          <w:color w:val="auto"/>
          <w:sz w:val="26"/>
          <w:szCs w:val="26"/>
        </w:rPr>
        <w:t xml:space="preserve">      P—道路表面粉尘量（kg/m</w:t>
      </w:r>
      <w:r>
        <w:rPr>
          <w:rFonts w:hint="default" w:ascii="Arial" w:hAnsi="Arial" w:cs="Arial"/>
          <w:color w:val="auto"/>
          <w:sz w:val="26"/>
          <w:szCs w:val="26"/>
          <w:vertAlign w:val="superscript"/>
        </w:rPr>
        <w:t>2</w:t>
      </w:r>
      <w:r>
        <w:rPr>
          <w:rFonts w:hint="default" w:ascii="Arial" w:hAnsi="Arial" w:cs="Arial"/>
          <w:color w:val="auto"/>
          <w:sz w:val="26"/>
          <w:szCs w:val="26"/>
        </w:rPr>
        <w:t>），取0.</w:t>
      </w:r>
      <w:r>
        <w:rPr>
          <w:rFonts w:hint="default" w:ascii="Arial" w:hAnsi="Arial" w:cs="Arial"/>
          <w:color w:val="auto"/>
          <w:sz w:val="26"/>
          <w:szCs w:val="26"/>
          <w:lang w:val="en-US" w:eastAsia="zh-CN"/>
        </w:rPr>
        <w:t>1</w:t>
      </w:r>
      <w:r>
        <w:rPr>
          <w:rFonts w:hint="default" w:ascii="Arial" w:hAnsi="Arial" w:cs="Arial"/>
          <w:color w:val="auto"/>
          <w:sz w:val="26"/>
          <w:szCs w:val="26"/>
        </w:rPr>
        <w:t>kg/m</w:t>
      </w:r>
      <w:r>
        <w:rPr>
          <w:rFonts w:hint="default" w:ascii="Arial" w:hAnsi="Arial" w:cs="Arial"/>
          <w:color w:val="auto"/>
          <w:sz w:val="26"/>
          <w:szCs w:val="26"/>
          <w:vertAlign w:val="superscript"/>
        </w:rPr>
        <w:t>2</w:t>
      </w:r>
      <w:r>
        <w:rPr>
          <w:rFonts w:hint="default" w:ascii="Arial" w:hAnsi="Arial" w:cs="Arial"/>
          <w:color w:val="auto"/>
          <w:sz w:val="26"/>
          <w:szCs w:val="26"/>
        </w:rPr>
        <w:t>。</w:t>
      </w:r>
    </w:p>
    <w:p w14:paraId="790274A0">
      <w:pPr>
        <w:keepNext w:val="0"/>
        <w:keepLines w:val="0"/>
        <w:pageBreakBefore w:val="0"/>
        <w:widowControl w:val="0"/>
        <w:kinsoku/>
        <w:wordWrap/>
        <w:overflowPunct/>
        <w:topLinePunct w:val="0"/>
        <w:autoSpaceDE/>
        <w:autoSpaceDN/>
        <w:bidi w:val="0"/>
        <w:adjustRightInd/>
        <w:snapToGrid/>
        <w:spacing w:line="460" w:lineRule="exact"/>
        <w:ind w:firstLine="522" w:firstLineChars="200"/>
        <w:jc w:val="center"/>
        <w:textAlignment w:val="auto"/>
        <w:rPr>
          <w:rFonts w:hint="default" w:ascii="Arial" w:hAnsi="Arial" w:cs="Arial"/>
          <w:b/>
          <w:bCs w:val="0"/>
          <w:color w:val="auto"/>
          <w:sz w:val="26"/>
          <w:szCs w:val="26"/>
          <w:lang w:val="en-US" w:eastAsia="zh-CN"/>
        </w:rPr>
      </w:pPr>
      <w:r>
        <w:rPr>
          <w:rFonts w:hint="default" w:ascii="Arial" w:hAnsi="Arial" w:cs="Arial"/>
          <w:b/>
          <w:bCs w:val="0"/>
          <w:color w:val="auto"/>
          <w:sz w:val="26"/>
          <w:szCs w:val="26"/>
          <w:lang w:eastAsia="zh-CN"/>
        </w:rPr>
        <w:t>表</w:t>
      </w:r>
      <w:r>
        <w:rPr>
          <w:rFonts w:hint="default" w:ascii="Arial" w:hAnsi="Arial" w:cs="Arial"/>
          <w:b/>
          <w:bCs w:val="0"/>
          <w:color w:val="auto"/>
          <w:sz w:val="26"/>
          <w:szCs w:val="26"/>
          <w:lang w:val="en-US" w:eastAsia="zh-CN"/>
        </w:rPr>
        <w:t>3.</w:t>
      </w:r>
      <w:r>
        <w:rPr>
          <w:rFonts w:hint="eastAsia" w:ascii="Arial" w:hAnsi="Arial" w:cs="Arial"/>
          <w:b/>
          <w:bCs w:val="0"/>
          <w:color w:val="auto"/>
          <w:sz w:val="26"/>
          <w:szCs w:val="26"/>
          <w:lang w:val="en-US" w:eastAsia="zh-CN"/>
        </w:rPr>
        <w:t>1</w:t>
      </w:r>
      <w:r>
        <w:rPr>
          <w:rFonts w:hint="default" w:ascii="Arial" w:hAnsi="Arial" w:cs="Arial"/>
          <w:b/>
          <w:bCs w:val="0"/>
          <w:color w:val="auto"/>
          <w:sz w:val="26"/>
          <w:szCs w:val="26"/>
          <w:lang w:val="en-US" w:eastAsia="zh-CN"/>
        </w:rPr>
        <w:t>-2运输扬尘计算结果统计表</w:t>
      </w:r>
    </w:p>
    <w:tbl>
      <w:tblPr>
        <w:tblStyle w:val="78"/>
        <w:tblW w:w="7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188"/>
        <w:gridCol w:w="1729"/>
        <w:gridCol w:w="1487"/>
        <w:gridCol w:w="1929"/>
      </w:tblGrid>
      <w:tr w14:paraId="65DB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58" w:type="dxa"/>
            <w:vAlign w:val="center"/>
          </w:tcPr>
          <w:p w14:paraId="388308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序号</w:t>
            </w:r>
          </w:p>
        </w:tc>
        <w:tc>
          <w:tcPr>
            <w:tcW w:w="2188" w:type="dxa"/>
            <w:vAlign w:val="center"/>
          </w:tcPr>
          <w:p w14:paraId="3E2B9EF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名称</w:t>
            </w:r>
          </w:p>
        </w:tc>
        <w:tc>
          <w:tcPr>
            <w:tcW w:w="1729" w:type="dxa"/>
            <w:shd w:val="clear" w:color="auto" w:fill="auto"/>
            <w:vAlign w:val="center"/>
          </w:tcPr>
          <w:p w14:paraId="74ABD2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default" w:ascii="Arial" w:hAnsi="Arial" w:cs="Arial"/>
                <w:bCs/>
                <w:color w:val="auto"/>
                <w:sz w:val="22"/>
                <w:szCs w:val="22"/>
                <w:vertAlign w:val="baseline"/>
                <w:lang w:val="en-US" w:eastAsia="zh-CN"/>
              </w:rPr>
              <w:t>运输量</w:t>
            </w:r>
          </w:p>
        </w:tc>
        <w:tc>
          <w:tcPr>
            <w:tcW w:w="1487" w:type="dxa"/>
            <w:shd w:val="clear" w:color="auto" w:fill="auto"/>
            <w:vAlign w:val="center"/>
          </w:tcPr>
          <w:p w14:paraId="43347F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default" w:ascii="Arial" w:hAnsi="Arial" w:cs="Arial"/>
                <w:bCs/>
                <w:color w:val="auto"/>
                <w:sz w:val="22"/>
                <w:szCs w:val="22"/>
                <w:vertAlign w:val="baseline"/>
                <w:lang w:val="en-US" w:eastAsia="zh-CN"/>
              </w:rPr>
              <w:t>运距</w:t>
            </w:r>
          </w:p>
        </w:tc>
        <w:tc>
          <w:tcPr>
            <w:tcW w:w="1929" w:type="dxa"/>
            <w:shd w:val="clear" w:color="auto" w:fill="auto"/>
            <w:vAlign w:val="center"/>
          </w:tcPr>
          <w:p w14:paraId="3AD126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default" w:ascii="Arial" w:hAnsi="Arial" w:cs="Arial"/>
                <w:bCs/>
                <w:color w:val="auto"/>
                <w:sz w:val="22"/>
                <w:szCs w:val="22"/>
                <w:vertAlign w:val="baseline"/>
                <w:lang w:val="en-US" w:eastAsia="zh-CN"/>
              </w:rPr>
              <w:t>扬尘产生量</w:t>
            </w:r>
          </w:p>
        </w:tc>
      </w:tr>
      <w:tr w14:paraId="0BC4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58" w:type="dxa"/>
            <w:vAlign w:val="center"/>
          </w:tcPr>
          <w:p w14:paraId="59AF2F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1</w:t>
            </w:r>
          </w:p>
        </w:tc>
        <w:tc>
          <w:tcPr>
            <w:tcW w:w="2188" w:type="dxa"/>
            <w:vAlign w:val="center"/>
          </w:tcPr>
          <w:p w14:paraId="304C5F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填方</w:t>
            </w:r>
          </w:p>
        </w:tc>
        <w:tc>
          <w:tcPr>
            <w:tcW w:w="1729" w:type="dxa"/>
            <w:vAlign w:val="center"/>
          </w:tcPr>
          <w:p w14:paraId="345BB5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5.02</w:t>
            </w:r>
            <w:r>
              <w:rPr>
                <w:rFonts w:hint="default" w:ascii="Arial" w:hAnsi="Arial" w:cs="Arial"/>
                <w:bCs/>
                <w:color w:val="auto"/>
                <w:sz w:val="22"/>
                <w:szCs w:val="22"/>
                <w:lang w:val="en-US" w:eastAsia="zh-CN"/>
              </w:rPr>
              <w:t>万m</w:t>
            </w:r>
            <w:r>
              <w:rPr>
                <w:rFonts w:hint="default" w:ascii="Arial" w:hAnsi="Arial" w:cs="Arial"/>
                <w:bCs/>
                <w:color w:val="auto"/>
                <w:sz w:val="22"/>
                <w:szCs w:val="22"/>
                <w:vertAlign w:val="superscript"/>
                <w:lang w:val="en-US" w:eastAsia="zh-CN"/>
              </w:rPr>
              <w:t>3</w:t>
            </w:r>
          </w:p>
        </w:tc>
        <w:tc>
          <w:tcPr>
            <w:tcW w:w="1487" w:type="dxa"/>
            <w:vAlign w:val="center"/>
          </w:tcPr>
          <w:p w14:paraId="05367E8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0.5km</w:t>
            </w:r>
          </w:p>
        </w:tc>
        <w:tc>
          <w:tcPr>
            <w:tcW w:w="1929" w:type="dxa"/>
            <w:vAlign w:val="center"/>
          </w:tcPr>
          <w:p w14:paraId="0BD647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0.8679t</w:t>
            </w:r>
          </w:p>
        </w:tc>
      </w:tr>
      <w:tr w14:paraId="100F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58" w:type="dxa"/>
            <w:vAlign w:val="center"/>
          </w:tcPr>
          <w:p w14:paraId="49E45A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2</w:t>
            </w:r>
          </w:p>
        </w:tc>
        <w:tc>
          <w:tcPr>
            <w:tcW w:w="2188" w:type="dxa"/>
            <w:vAlign w:val="center"/>
          </w:tcPr>
          <w:p w14:paraId="693512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弃方</w:t>
            </w:r>
          </w:p>
        </w:tc>
        <w:tc>
          <w:tcPr>
            <w:tcW w:w="1729" w:type="dxa"/>
            <w:vAlign w:val="center"/>
          </w:tcPr>
          <w:p w14:paraId="553F2F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default" w:ascii="Arial" w:hAnsi="Arial" w:cs="Arial"/>
                <w:bCs/>
                <w:color w:val="auto"/>
                <w:sz w:val="22"/>
                <w:szCs w:val="22"/>
                <w:lang w:val="en-US" w:eastAsia="zh-CN"/>
              </w:rPr>
              <w:t>6.82万m</w:t>
            </w:r>
            <w:r>
              <w:rPr>
                <w:rFonts w:hint="default" w:ascii="Arial" w:hAnsi="Arial" w:cs="Arial"/>
                <w:bCs/>
                <w:color w:val="auto"/>
                <w:sz w:val="22"/>
                <w:szCs w:val="22"/>
                <w:vertAlign w:val="superscript"/>
                <w:lang w:val="en-US" w:eastAsia="zh-CN"/>
              </w:rPr>
              <w:t>3</w:t>
            </w:r>
          </w:p>
        </w:tc>
        <w:tc>
          <w:tcPr>
            <w:tcW w:w="1487" w:type="dxa"/>
            <w:vAlign w:val="center"/>
          </w:tcPr>
          <w:p w14:paraId="0672AF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6km</w:t>
            </w:r>
          </w:p>
        </w:tc>
        <w:tc>
          <w:tcPr>
            <w:tcW w:w="1929" w:type="dxa"/>
            <w:vAlign w:val="center"/>
          </w:tcPr>
          <w:p w14:paraId="39D0D72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14.1493t</w:t>
            </w:r>
          </w:p>
        </w:tc>
      </w:tr>
      <w:tr w14:paraId="2971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dxa"/>
            <w:vAlign w:val="center"/>
          </w:tcPr>
          <w:p w14:paraId="4680A1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3</w:t>
            </w:r>
          </w:p>
        </w:tc>
        <w:tc>
          <w:tcPr>
            <w:tcW w:w="2188" w:type="dxa"/>
            <w:vAlign w:val="center"/>
          </w:tcPr>
          <w:p w14:paraId="1505E7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混凝土、钢筋等物料</w:t>
            </w:r>
          </w:p>
        </w:tc>
        <w:tc>
          <w:tcPr>
            <w:tcW w:w="1729" w:type="dxa"/>
            <w:vAlign w:val="center"/>
          </w:tcPr>
          <w:p w14:paraId="18DFAF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lang w:val="en-US" w:eastAsia="zh-CN"/>
              </w:rPr>
            </w:pPr>
            <w:r>
              <w:rPr>
                <w:rFonts w:hint="eastAsia" w:ascii="Arial" w:hAnsi="Arial" w:cs="Arial"/>
                <w:bCs/>
                <w:color w:val="auto"/>
                <w:sz w:val="22"/>
                <w:szCs w:val="22"/>
                <w:lang w:val="en-US" w:eastAsia="zh-CN"/>
              </w:rPr>
              <w:t>3.86</w:t>
            </w:r>
            <w:r>
              <w:rPr>
                <w:rFonts w:hint="default" w:ascii="Arial" w:hAnsi="Arial" w:cs="Arial"/>
                <w:bCs/>
                <w:color w:val="auto"/>
                <w:sz w:val="22"/>
                <w:szCs w:val="22"/>
                <w:lang w:val="en-US" w:eastAsia="zh-CN"/>
              </w:rPr>
              <w:t>万</w:t>
            </w:r>
            <w:r>
              <w:rPr>
                <w:rFonts w:hint="eastAsia" w:ascii="Arial" w:hAnsi="Arial" w:cs="Arial"/>
                <w:bCs/>
                <w:color w:val="auto"/>
                <w:sz w:val="22"/>
                <w:szCs w:val="22"/>
                <w:lang w:val="en-US" w:eastAsia="zh-CN"/>
              </w:rPr>
              <w:t>t</w:t>
            </w:r>
          </w:p>
        </w:tc>
        <w:tc>
          <w:tcPr>
            <w:tcW w:w="1487" w:type="dxa"/>
            <w:vAlign w:val="center"/>
          </w:tcPr>
          <w:p w14:paraId="75906F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0.5km</w:t>
            </w:r>
          </w:p>
        </w:tc>
        <w:tc>
          <w:tcPr>
            <w:tcW w:w="1929" w:type="dxa"/>
            <w:vAlign w:val="center"/>
          </w:tcPr>
          <w:p w14:paraId="02DECF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0.3708t</w:t>
            </w:r>
          </w:p>
        </w:tc>
      </w:tr>
      <w:tr w14:paraId="6AD7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2" w:type="dxa"/>
            <w:gridSpan w:val="4"/>
            <w:vAlign w:val="center"/>
          </w:tcPr>
          <w:p w14:paraId="53E4F9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合计</w:t>
            </w:r>
          </w:p>
        </w:tc>
        <w:tc>
          <w:tcPr>
            <w:tcW w:w="1929" w:type="dxa"/>
            <w:vAlign w:val="center"/>
          </w:tcPr>
          <w:p w14:paraId="5948A7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15.388t</w:t>
            </w:r>
          </w:p>
        </w:tc>
      </w:tr>
    </w:tbl>
    <w:p w14:paraId="6BA34D62">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宋体" w:hAnsi="宋体" w:cs="宋体"/>
          <w:bCs/>
          <w:color w:val="auto"/>
          <w:sz w:val="26"/>
          <w:szCs w:val="26"/>
          <w:lang w:val="en-US" w:eastAsia="zh-CN"/>
        </w:rPr>
      </w:pPr>
    </w:p>
    <w:p w14:paraId="23EE26E8">
      <w:pPr>
        <w:keepNext w:val="0"/>
        <w:keepLines w:val="0"/>
        <w:pageBreakBefore w:val="0"/>
        <w:widowControl w:val="0"/>
        <w:kinsoku/>
        <w:wordWrap/>
        <w:overflowPunct/>
        <w:topLinePunct w:val="0"/>
        <w:autoSpaceDE/>
        <w:autoSpaceDN/>
        <w:bidi w:val="0"/>
        <w:adjustRightInd w:val="0"/>
        <w:snapToGrid/>
        <w:spacing w:line="460" w:lineRule="exact"/>
        <w:ind w:right="0" w:firstLine="520" w:firstLineChars="200"/>
        <w:textAlignment w:val="auto"/>
        <w:rPr>
          <w:rFonts w:hint="eastAsia" w:ascii="宋体" w:hAnsi="宋体" w:eastAsia="宋体" w:cs="宋体"/>
          <w:bCs/>
          <w:color w:val="auto"/>
          <w:sz w:val="26"/>
          <w:szCs w:val="26"/>
          <w:lang w:eastAsia="zh-CN"/>
        </w:rPr>
      </w:pPr>
      <w:r>
        <w:rPr>
          <w:rFonts w:hint="eastAsia" w:ascii="宋体" w:hAnsi="宋体" w:eastAsia="宋体" w:cs="宋体"/>
          <w:bCs/>
          <w:color w:val="auto"/>
          <w:sz w:val="26"/>
          <w:szCs w:val="26"/>
          <w:lang w:eastAsia="zh-CN"/>
        </w:rPr>
        <w:t>通过采取硬化运输道路、安排专人清扫、洒水抑尘、限速限载、冲洗运输车辆等抑尘措施后，</w:t>
      </w:r>
      <w:r>
        <w:rPr>
          <w:rFonts w:hint="default" w:ascii="Arial" w:hAnsi="Arial" w:cs="Arial"/>
          <w:bCs/>
          <w:color w:val="auto"/>
          <w:sz w:val="26"/>
          <w:szCs w:val="26"/>
        </w:rPr>
        <w:t>除尘效率达到</w:t>
      </w:r>
      <w:r>
        <w:rPr>
          <w:rFonts w:hint="eastAsia" w:ascii="Arial" w:hAnsi="Arial" w:cs="Arial"/>
          <w:bCs/>
          <w:color w:val="auto"/>
          <w:sz w:val="26"/>
          <w:szCs w:val="26"/>
          <w:lang w:val="en-US" w:eastAsia="zh-CN"/>
        </w:rPr>
        <w:t>8</w:t>
      </w:r>
      <w:r>
        <w:rPr>
          <w:rFonts w:hint="default" w:ascii="Arial" w:hAnsi="Arial" w:cs="Arial"/>
          <w:bCs/>
          <w:color w:val="auto"/>
          <w:sz w:val="26"/>
          <w:szCs w:val="26"/>
        </w:rPr>
        <w:t>0%以上，则</w:t>
      </w:r>
      <w:r>
        <w:rPr>
          <w:rFonts w:hint="eastAsia" w:ascii="Arial" w:hAnsi="Arial" w:cs="Arial"/>
          <w:bCs/>
          <w:color w:val="auto"/>
          <w:sz w:val="26"/>
          <w:szCs w:val="26"/>
          <w:lang w:eastAsia="zh-CN"/>
        </w:rPr>
        <w:t>运输尘</w:t>
      </w:r>
      <w:r>
        <w:rPr>
          <w:rFonts w:hint="default" w:ascii="Arial" w:hAnsi="Arial" w:cs="Arial"/>
          <w:bCs/>
          <w:color w:val="auto"/>
          <w:sz w:val="26"/>
          <w:szCs w:val="26"/>
        </w:rPr>
        <w:t>排放量为</w:t>
      </w:r>
      <w:r>
        <w:rPr>
          <w:rFonts w:hint="eastAsia" w:ascii="Arial" w:hAnsi="Arial" w:cs="Arial"/>
          <w:bCs/>
          <w:color w:val="auto"/>
          <w:sz w:val="26"/>
          <w:szCs w:val="26"/>
          <w:lang w:val="en-US" w:eastAsia="zh-CN"/>
        </w:rPr>
        <w:t>3.0776</w:t>
      </w:r>
      <w:r>
        <w:rPr>
          <w:rFonts w:hint="default" w:ascii="Arial" w:hAnsi="Arial" w:cs="Arial"/>
          <w:bCs/>
          <w:color w:val="auto"/>
          <w:sz w:val="26"/>
          <w:szCs w:val="26"/>
        </w:rPr>
        <w:t>t。</w:t>
      </w:r>
    </w:p>
    <w:p w14:paraId="6A1EF153">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eastAsia="宋体" w:cs="Arial"/>
          <w:b/>
          <w:bCs/>
          <w:sz w:val="26"/>
          <w:szCs w:val="26"/>
          <w:lang w:val="en-US" w:eastAsia="zh-CN"/>
        </w:rPr>
      </w:pPr>
      <w:r>
        <w:rPr>
          <w:rFonts w:hint="eastAsia" w:ascii="Arial" w:hAnsi="Arial" w:eastAsia="宋体" w:cs="Arial"/>
          <w:b/>
          <w:bCs/>
          <w:sz w:val="26"/>
          <w:szCs w:val="26"/>
          <w:lang w:eastAsia="zh-CN"/>
        </w:rPr>
        <w:t>④</w:t>
      </w:r>
      <w:r>
        <w:rPr>
          <w:rFonts w:hint="eastAsia" w:ascii="Arial" w:hAnsi="Arial" w:eastAsia="宋体" w:cs="Arial"/>
          <w:b/>
          <w:bCs/>
          <w:sz w:val="26"/>
          <w:szCs w:val="26"/>
          <w:lang w:val="en-US" w:eastAsia="zh-CN"/>
        </w:rPr>
        <w:t xml:space="preserve"> 混凝土拌合站粉尘</w:t>
      </w:r>
    </w:p>
    <w:p w14:paraId="411BB1D3">
      <w:pPr>
        <w:keepNext w:val="0"/>
        <w:keepLines w:val="0"/>
        <w:pageBreakBefore w:val="0"/>
        <w:widowControl w:val="0"/>
        <w:kinsoku/>
        <w:wordWrap/>
        <w:overflowPunct/>
        <w:topLinePunct w:val="0"/>
        <w:autoSpaceDE/>
        <w:autoSpaceDN/>
        <w:bidi w:val="0"/>
        <w:snapToGrid/>
        <w:spacing w:line="460" w:lineRule="exact"/>
        <w:ind w:right="0" w:firstLine="520" w:firstLineChars="200"/>
        <w:textAlignment w:val="auto"/>
        <w:rPr>
          <w:rFonts w:hint="eastAsia" w:ascii="Arial" w:hAnsi="Arial" w:eastAsia="宋体" w:cs="Arial"/>
          <w:b w:val="0"/>
          <w:bCs/>
          <w:kern w:val="0"/>
          <w:sz w:val="26"/>
          <w:szCs w:val="26"/>
          <w:lang w:val="en-US" w:eastAsia="zh-CN" w:bidi="ar-SA"/>
        </w:rPr>
      </w:pPr>
      <w:r>
        <w:rPr>
          <w:rFonts w:hint="eastAsia" w:ascii="Arial" w:hAnsi="Arial" w:eastAsia="宋体" w:cs="Arial"/>
          <w:b w:val="0"/>
          <w:bCs/>
          <w:kern w:val="0"/>
          <w:sz w:val="26"/>
          <w:szCs w:val="26"/>
          <w:lang w:val="en-US" w:eastAsia="zh-CN" w:bidi="ar-SA"/>
        </w:rPr>
        <w:t>拌和站粉尘主要来自砂石、水泥原料堆放、拌和装料过程，根据《逸散性工业粉尘控制技术》和相关类比调查，混凝土拌和装料过程中颗粒物排放量在无控制情况产率为0.02kg/t，项目混凝土浇筑总量3.81万m</w:t>
      </w:r>
      <w:r>
        <w:rPr>
          <w:rFonts w:hint="eastAsia" w:ascii="Arial" w:hAnsi="Arial" w:eastAsia="宋体" w:cs="Arial"/>
          <w:b w:val="0"/>
          <w:bCs/>
          <w:kern w:val="0"/>
          <w:sz w:val="26"/>
          <w:szCs w:val="26"/>
          <w:vertAlign w:val="superscript"/>
          <w:lang w:val="en-US" w:eastAsia="zh-CN" w:bidi="ar-SA"/>
        </w:rPr>
        <w:t>3</w:t>
      </w:r>
      <w:r>
        <w:rPr>
          <w:rFonts w:hint="eastAsia" w:ascii="Arial" w:hAnsi="Arial" w:eastAsia="宋体" w:cs="Arial"/>
          <w:b w:val="0"/>
          <w:bCs/>
          <w:kern w:val="0"/>
          <w:sz w:val="26"/>
          <w:szCs w:val="26"/>
          <w:lang w:val="en-US" w:eastAsia="zh-CN" w:bidi="ar-SA"/>
        </w:rPr>
        <w:t>，混凝土容重为2350～2400kg/m</w:t>
      </w:r>
      <w:r>
        <w:rPr>
          <w:rFonts w:hint="eastAsia" w:ascii="Arial" w:hAnsi="Arial" w:eastAsia="宋体" w:cs="Arial"/>
          <w:b w:val="0"/>
          <w:bCs/>
          <w:kern w:val="0"/>
          <w:sz w:val="26"/>
          <w:szCs w:val="26"/>
          <w:vertAlign w:val="superscript"/>
          <w:lang w:val="en-US" w:eastAsia="zh-CN" w:bidi="ar-SA"/>
        </w:rPr>
        <w:t>3</w:t>
      </w:r>
      <w:r>
        <w:rPr>
          <w:rFonts w:hint="eastAsia" w:ascii="Arial" w:hAnsi="Arial" w:eastAsia="宋体" w:cs="Arial"/>
          <w:b w:val="0"/>
          <w:bCs/>
          <w:kern w:val="0"/>
          <w:sz w:val="26"/>
          <w:szCs w:val="26"/>
          <w:lang w:val="en-US" w:eastAsia="zh-CN" w:bidi="ar-SA"/>
        </w:rPr>
        <w:t>，本评价按2400kg/m</w:t>
      </w:r>
      <w:r>
        <w:rPr>
          <w:rFonts w:hint="eastAsia" w:ascii="Arial" w:hAnsi="Arial" w:eastAsia="宋体" w:cs="Arial"/>
          <w:b w:val="0"/>
          <w:bCs/>
          <w:kern w:val="0"/>
          <w:sz w:val="26"/>
          <w:szCs w:val="26"/>
          <w:vertAlign w:val="superscript"/>
          <w:lang w:val="en-US" w:eastAsia="zh-CN" w:bidi="ar-SA"/>
        </w:rPr>
        <w:t>3</w:t>
      </w:r>
      <w:r>
        <w:rPr>
          <w:rFonts w:hint="eastAsia" w:ascii="Arial" w:hAnsi="Arial" w:eastAsia="宋体" w:cs="Arial"/>
          <w:b w:val="0"/>
          <w:bCs/>
          <w:kern w:val="0"/>
          <w:sz w:val="26"/>
          <w:szCs w:val="26"/>
          <w:lang w:val="en-US" w:eastAsia="zh-CN" w:bidi="ar-SA"/>
        </w:rPr>
        <w:t>进行计算。则在没有采取措施的情况下，混凝土拌合系统粉尘产生量为1.8288t。粉状料采用密闭式筒仓存放，每个筒仓顶部配置仓顶除尘器；对搅拌机、料斗、输送皮带及转载点设施等产尘点进行洒水降尘，原料堆放场地设置围挡和顶棚，降尘效率可达到90%以上，则混凝土拌合系统粉尘无组织量为0.1829t。</w:t>
      </w:r>
    </w:p>
    <w:p w14:paraId="5E132CD8">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eastAsia="宋体" w:cs="Arial"/>
          <w:b/>
          <w:bCs/>
          <w:sz w:val="26"/>
          <w:szCs w:val="26"/>
          <w:lang w:val="en-US" w:eastAsia="zh-CN"/>
        </w:rPr>
      </w:pPr>
      <w:r>
        <w:rPr>
          <w:rFonts w:hint="eastAsia" w:ascii="Arial" w:hAnsi="Arial" w:eastAsia="宋体" w:cs="Arial"/>
          <w:b/>
          <w:bCs/>
          <w:sz w:val="26"/>
          <w:szCs w:val="26"/>
          <w:lang w:val="en-US" w:eastAsia="zh-CN"/>
        </w:rPr>
        <w:t>⑤ 燃油废气</w:t>
      </w:r>
    </w:p>
    <w:p w14:paraId="665DE959">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eastAsia="宋体" w:cs="Arial"/>
          <w:b w:val="0"/>
          <w:bCs/>
          <w:sz w:val="26"/>
          <w:szCs w:val="26"/>
          <w:lang w:val="en-US" w:eastAsia="zh-CN"/>
        </w:rPr>
        <w:t>在施工过程中使用的施工机械，主要有挖掘机、推土机以及运输车辆等。该类机械以柴油、汽油为燃料，在使用过程中产生一定的废气。排放的尾气主要污染物有NOx、CO、HC等，其排放量较小，且为不连续排放，对环境的影响较小。但施工单位必须使用污染物排放符合国家标准的运输车辆和施工设备，加强设备、车辆的维护保养，使机械、车辆处于良好工作状态，严禁用报废和淘汰设备，以减少施工机械废气和汽车尾气对周围环境的影响。</w:t>
      </w:r>
    </w:p>
    <w:p w14:paraId="62B91DE7">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eastAsia="宋体" w:cs="Arial"/>
          <w:b/>
          <w:bCs/>
          <w:sz w:val="26"/>
          <w:szCs w:val="26"/>
          <w:lang w:val="en-US" w:eastAsia="zh-CN"/>
        </w:rPr>
      </w:pPr>
      <w:r>
        <w:rPr>
          <w:rFonts w:hint="eastAsia" w:ascii="Arial" w:hAnsi="Arial" w:eastAsia="宋体" w:cs="Arial"/>
          <w:b/>
          <w:bCs/>
          <w:sz w:val="26"/>
          <w:szCs w:val="26"/>
          <w:lang w:val="en-US" w:eastAsia="zh-CN"/>
        </w:rPr>
        <w:t>⑥ 堆场扬尘</w:t>
      </w:r>
    </w:p>
    <w:p w14:paraId="0A53FA3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本项目水泥等粉质物料均集中堆存，并采取篷布或围挡、顶棚进行遮盖；弃渣场夯实堆存，并洒水抑尘；</w:t>
      </w:r>
      <w:r>
        <w:rPr>
          <w:rFonts w:hint="eastAsia" w:ascii="Arial" w:hAnsi="Arial" w:eastAsia="宋体" w:cs="Arial"/>
          <w:b w:val="0"/>
          <w:bCs/>
          <w:sz w:val="26"/>
          <w:szCs w:val="26"/>
          <w:lang w:val="en-US" w:eastAsia="zh-CN"/>
        </w:rPr>
        <w:t>在采取上述措施后，项目物料、其中等堆放区风力起尘量极小，</w:t>
      </w:r>
      <w:r>
        <w:rPr>
          <w:rFonts w:hint="default" w:ascii="Arial" w:hAnsi="Arial" w:eastAsia="宋体" w:cs="Arial"/>
          <w:b w:val="0"/>
          <w:bCs/>
          <w:sz w:val="26"/>
          <w:szCs w:val="26"/>
          <w:lang w:val="en-US" w:eastAsia="zh-CN"/>
        </w:rPr>
        <w:t>不会对当地的环境空气产生明显的粉尘污染影响</w:t>
      </w:r>
      <w:r>
        <w:rPr>
          <w:rFonts w:hint="eastAsia" w:ascii="Arial" w:hAnsi="Arial" w:eastAsia="宋体" w:cs="Arial"/>
          <w:b w:val="0"/>
          <w:bCs/>
          <w:sz w:val="26"/>
          <w:szCs w:val="26"/>
          <w:lang w:val="en-US" w:eastAsia="zh-CN"/>
        </w:rPr>
        <w:t>，故本评价不进行量化分析。</w:t>
      </w:r>
    </w:p>
    <w:p w14:paraId="65E391B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kern w:val="2"/>
          <w:sz w:val="26"/>
          <w:szCs w:val="26"/>
          <w:lang w:val="en-US" w:eastAsia="zh-CN" w:bidi="ar-SA"/>
        </w:rPr>
      </w:pPr>
      <w:r>
        <w:rPr>
          <w:rFonts w:hint="eastAsia" w:ascii="Arial" w:hAnsi="Arial" w:eastAsia="宋体" w:cs="Arial"/>
          <w:b/>
          <w:bCs/>
          <w:kern w:val="2"/>
          <w:sz w:val="26"/>
          <w:szCs w:val="26"/>
          <w:lang w:val="en-US" w:eastAsia="zh-CN" w:bidi="ar-SA"/>
        </w:rPr>
        <w:t>⑦ 生活燃料废气</w:t>
      </w:r>
    </w:p>
    <w:p w14:paraId="70A283E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本项目租赁项目区已有居民房屋作施工营地，施工人员就近招用，仅少量管理、施工人员在施工营地内食宿，供热及生活主要采取电、液化石油气等清洁能源，排放废气少。</w:t>
      </w:r>
    </w:p>
    <w:p w14:paraId="698074D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kern w:val="2"/>
          <w:sz w:val="26"/>
          <w:szCs w:val="26"/>
          <w:lang w:val="en-US" w:eastAsia="zh-CN" w:bidi="ar-SA"/>
        </w:rPr>
      </w:pPr>
      <w:r>
        <w:rPr>
          <w:rFonts w:hint="eastAsia" w:ascii="Arial" w:hAnsi="Arial" w:eastAsia="宋体" w:cs="Arial"/>
          <w:b/>
          <w:bCs/>
          <w:kern w:val="2"/>
          <w:sz w:val="26"/>
          <w:szCs w:val="26"/>
          <w:lang w:val="en-US" w:eastAsia="zh-CN" w:bidi="ar-SA"/>
        </w:rPr>
        <w:t>⑧ 小结</w:t>
      </w:r>
    </w:p>
    <w:p w14:paraId="2F36459F">
      <w:pPr>
        <w:spacing w:line="460" w:lineRule="exact"/>
        <w:ind w:firstLine="520" w:firstLineChars="200"/>
        <w:rPr>
          <w:rFonts w:hint="eastAsia" w:ascii="宋体" w:hAnsi="宋体" w:cs="宋体"/>
          <w:bCs/>
          <w:color w:val="auto"/>
          <w:sz w:val="26"/>
          <w:szCs w:val="26"/>
          <w:lang w:eastAsia="zh-CN"/>
        </w:rPr>
      </w:pPr>
      <w:r>
        <w:rPr>
          <w:rFonts w:hint="eastAsia" w:ascii="宋体" w:hAnsi="宋体" w:cs="宋体"/>
          <w:bCs/>
          <w:color w:val="auto"/>
          <w:sz w:val="26"/>
          <w:szCs w:val="26"/>
          <w:lang w:eastAsia="zh-CN"/>
        </w:rPr>
        <w:t>本项目施工期</w:t>
      </w:r>
      <w:r>
        <w:rPr>
          <w:rFonts w:hint="eastAsia" w:ascii="宋体" w:hAnsi="宋体" w:cs="宋体"/>
          <w:bCs/>
          <w:color w:val="auto"/>
          <w:sz w:val="26"/>
          <w:szCs w:val="26"/>
        </w:rPr>
        <w:t>废</w:t>
      </w:r>
      <w:r>
        <w:rPr>
          <w:rFonts w:hint="eastAsia" w:ascii="宋体" w:hAnsi="宋体" w:cs="宋体"/>
          <w:bCs/>
          <w:color w:val="auto"/>
          <w:sz w:val="26"/>
          <w:szCs w:val="26"/>
          <w:lang w:eastAsia="zh-CN"/>
        </w:rPr>
        <w:t>气</w:t>
      </w:r>
      <w:r>
        <w:rPr>
          <w:rFonts w:hint="eastAsia" w:ascii="宋体" w:hAnsi="宋体" w:cs="宋体"/>
          <w:bCs/>
          <w:color w:val="auto"/>
          <w:sz w:val="26"/>
          <w:szCs w:val="26"/>
        </w:rPr>
        <w:t>污染物排放情</w:t>
      </w:r>
      <w:r>
        <w:rPr>
          <w:rFonts w:hint="eastAsia" w:ascii="Arial" w:hAnsi="Calibri" w:eastAsia="宋体" w:cs="Arial"/>
          <w:b w:val="0"/>
          <w:bCs/>
          <w:kern w:val="0"/>
          <w:sz w:val="26"/>
          <w:szCs w:val="26"/>
          <w:lang w:val="en-US" w:eastAsia="zh-CN" w:bidi="ar-SA"/>
        </w:rPr>
        <w:t>况详见表3.1-</w:t>
      </w:r>
      <w:r>
        <w:rPr>
          <w:rFonts w:hint="eastAsia" w:ascii="Arial" w:hAnsi="Calibri" w:cs="Arial"/>
          <w:b w:val="0"/>
          <w:bCs/>
          <w:kern w:val="0"/>
          <w:sz w:val="26"/>
          <w:szCs w:val="26"/>
          <w:lang w:val="en-US" w:eastAsia="zh-CN" w:bidi="ar-SA"/>
        </w:rPr>
        <w:t>3</w:t>
      </w:r>
      <w:r>
        <w:rPr>
          <w:rFonts w:hint="eastAsia" w:ascii="Arial" w:hAnsi="Calibri" w:eastAsia="宋体" w:cs="Arial"/>
          <w:b w:val="0"/>
          <w:bCs/>
          <w:kern w:val="0"/>
          <w:sz w:val="26"/>
          <w:szCs w:val="26"/>
          <w:lang w:val="en-US" w:eastAsia="zh-CN" w:bidi="ar-SA"/>
        </w:rPr>
        <w:t>所示。</w:t>
      </w:r>
    </w:p>
    <w:p w14:paraId="377CF649">
      <w:pPr>
        <w:spacing w:line="440" w:lineRule="exact"/>
        <w:jc w:val="center"/>
        <w:rPr>
          <w:rFonts w:hint="eastAsia" w:ascii="Arial" w:cs="Arial"/>
          <w:b/>
          <w:kern w:val="28"/>
          <w:sz w:val="26"/>
          <w:szCs w:val="26"/>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w:t>
      </w:r>
      <w:r>
        <w:rPr>
          <w:rFonts w:hint="eastAsia" w:ascii="Arial" w:cs="Arial"/>
          <w:b/>
          <w:kern w:val="28"/>
          <w:sz w:val="26"/>
          <w:szCs w:val="26"/>
          <w:lang w:val="en-US" w:eastAsia="zh-CN"/>
        </w:rPr>
        <w:t>3</w:t>
      </w:r>
      <w:r>
        <w:rPr>
          <w:rFonts w:hint="eastAsia" w:ascii="Arial" w:cs="Arial"/>
          <w:b/>
          <w:kern w:val="28"/>
          <w:sz w:val="26"/>
          <w:szCs w:val="26"/>
        </w:rPr>
        <w:t xml:space="preserve"> 施工期</w:t>
      </w:r>
      <w:r>
        <w:rPr>
          <w:rFonts w:hint="eastAsia" w:ascii="Arial" w:cs="Arial"/>
          <w:b/>
          <w:kern w:val="28"/>
          <w:sz w:val="26"/>
          <w:szCs w:val="26"/>
          <w:lang w:eastAsia="zh-CN"/>
        </w:rPr>
        <w:t>废气</w:t>
      </w:r>
      <w:r>
        <w:rPr>
          <w:rFonts w:hint="eastAsia" w:ascii="Arial" w:cs="Arial"/>
          <w:b/>
          <w:kern w:val="28"/>
          <w:sz w:val="26"/>
          <w:szCs w:val="26"/>
        </w:rPr>
        <w:t>排放情况汇总表</w:t>
      </w:r>
    </w:p>
    <w:tbl>
      <w:tblPr>
        <w:tblStyle w:val="78"/>
        <w:tblW w:w="9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115"/>
        <w:gridCol w:w="1217"/>
        <w:gridCol w:w="1083"/>
        <w:gridCol w:w="4117"/>
        <w:gridCol w:w="1059"/>
      </w:tblGrid>
      <w:tr w14:paraId="4185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12" w:type="dxa"/>
            <w:vAlign w:val="center"/>
          </w:tcPr>
          <w:p w14:paraId="04518EA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序号</w:t>
            </w:r>
          </w:p>
        </w:tc>
        <w:tc>
          <w:tcPr>
            <w:tcW w:w="1115" w:type="dxa"/>
            <w:vAlign w:val="center"/>
          </w:tcPr>
          <w:p w14:paraId="1D2742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污染源</w:t>
            </w:r>
          </w:p>
        </w:tc>
        <w:tc>
          <w:tcPr>
            <w:tcW w:w="1217" w:type="dxa"/>
            <w:shd w:val="clear" w:color="auto" w:fill="auto"/>
            <w:vAlign w:val="center"/>
          </w:tcPr>
          <w:p w14:paraId="73C14AF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eastAsia" w:ascii="Arial" w:hAnsi="Arial" w:cs="Arial"/>
                <w:bCs/>
                <w:color w:val="auto"/>
                <w:sz w:val="22"/>
                <w:szCs w:val="22"/>
                <w:vertAlign w:val="baseline"/>
                <w:lang w:val="en-US" w:eastAsia="zh-CN"/>
              </w:rPr>
              <w:t>污染因子</w:t>
            </w:r>
          </w:p>
        </w:tc>
        <w:tc>
          <w:tcPr>
            <w:tcW w:w="1083" w:type="dxa"/>
            <w:shd w:val="clear" w:color="auto" w:fill="auto"/>
            <w:vAlign w:val="center"/>
          </w:tcPr>
          <w:p w14:paraId="6D267A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eastAsia" w:ascii="Arial" w:hAnsi="Arial" w:cs="Arial"/>
                <w:bCs/>
                <w:color w:val="auto"/>
                <w:sz w:val="22"/>
                <w:szCs w:val="22"/>
                <w:vertAlign w:val="baseline"/>
                <w:lang w:val="en-US" w:eastAsia="zh-CN"/>
              </w:rPr>
              <w:t>产生量</w:t>
            </w:r>
          </w:p>
        </w:tc>
        <w:tc>
          <w:tcPr>
            <w:tcW w:w="4117" w:type="dxa"/>
            <w:shd w:val="clear" w:color="auto" w:fill="auto"/>
            <w:vAlign w:val="center"/>
          </w:tcPr>
          <w:p w14:paraId="4DD43C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eastAsia" w:ascii="Arial" w:hAnsi="Arial" w:cs="Arial"/>
                <w:bCs/>
                <w:color w:val="auto"/>
                <w:kern w:val="2"/>
                <w:sz w:val="22"/>
                <w:szCs w:val="22"/>
                <w:vertAlign w:val="baseline"/>
                <w:lang w:val="en-US" w:eastAsia="zh-CN" w:bidi="ar-SA"/>
              </w:rPr>
              <w:t>治理措施</w:t>
            </w:r>
          </w:p>
        </w:tc>
        <w:tc>
          <w:tcPr>
            <w:tcW w:w="1059" w:type="dxa"/>
            <w:shd w:val="clear" w:color="auto" w:fill="auto"/>
            <w:vAlign w:val="center"/>
          </w:tcPr>
          <w:p w14:paraId="3CB77C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kern w:val="2"/>
                <w:sz w:val="22"/>
                <w:szCs w:val="22"/>
                <w:vertAlign w:val="baseline"/>
                <w:lang w:val="en-US" w:eastAsia="zh-CN" w:bidi="ar-SA"/>
              </w:rPr>
            </w:pPr>
            <w:r>
              <w:rPr>
                <w:rFonts w:hint="eastAsia" w:ascii="Arial" w:hAnsi="Arial" w:cs="Arial"/>
                <w:bCs/>
                <w:color w:val="auto"/>
                <w:kern w:val="2"/>
                <w:sz w:val="22"/>
                <w:szCs w:val="22"/>
                <w:vertAlign w:val="baseline"/>
                <w:lang w:val="en-US" w:eastAsia="zh-CN" w:bidi="ar-SA"/>
              </w:rPr>
              <w:t>排放量</w:t>
            </w:r>
          </w:p>
        </w:tc>
      </w:tr>
      <w:tr w14:paraId="19A5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2" w:type="dxa"/>
            <w:vAlign w:val="center"/>
          </w:tcPr>
          <w:p w14:paraId="72C2D3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1</w:t>
            </w:r>
          </w:p>
        </w:tc>
        <w:tc>
          <w:tcPr>
            <w:tcW w:w="1115" w:type="dxa"/>
            <w:vAlign w:val="center"/>
          </w:tcPr>
          <w:p w14:paraId="52FB88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施工扬尘</w:t>
            </w:r>
          </w:p>
        </w:tc>
        <w:tc>
          <w:tcPr>
            <w:tcW w:w="1217" w:type="dxa"/>
            <w:vAlign w:val="center"/>
          </w:tcPr>
          <w:p w14:paraId="7F2EF2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415A89C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7.78t</w:t>
            </w:r>
          </w:p>
        </w:tc>
        <w:tc>
          <w:tcPr>
            <w:tcW w:w="4117" w:type="dxa"/>
            <w:vAlign w:val="center"/>
          </w:tcPr>
          <w:p w14:paraId="65ADBA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采取湿法作业，洒水抑尘，大风天气对开挖边坡、裸露地面等进行遮盖。</w:t>
            </w:r>
          </w:p>
        </w:tc>
        <w:tc>
          <w:tcPr>
            <w:tcW w:w="1059" w:type="dxa"/>
            <w:vAlign w:val="center"/>
          </w:tcPr>
          <w:p w14:paraId="4C83F53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1.56t</w:t>
            </w:r>
          </w:p>
        </w:tc>
      </w:tr>
      <w:tr w14:paraId="22C1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12" w:type="dxa"/>
            <w:vAlign w:val="center"/>
          </w:tcPr>
          <w:p w14:paraId="52B032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2</w:t>
            </w:r>
          </w:p>
        </w:tc>
        <w:tc>
          <w:tcPr>
            <w:tcW w:w="1115" w:type="dxa"/>
            <w:vAlign w:val="center"/>
          </w:tcPr>
          <w:p w14:paraId="6C24D1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装卸粉尘</w:t>
            </w:r>
          </w:p>
        </w:tc>
        <w:tc>
          <w:tcPr>
            <w:tcW w:w="1217" w:type="dxa"/>
            <w:vAlign w:val="center"/>
          </w:tcPr>
          <w:p w14:paraId="0F0E40E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09F088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14.2932t</w:t>
            </w:r>
          </w:p>
        </w:tc>
        <w:tc>
          <w:tcPr>
            <w:tcW w:w="4117" w:type="dxa"/>
            <w:vAlign w:val="center"/>
          </w:tcPr>
          <w:p w14:paraId="6DECBE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洒水抑尘、严格控制落料高度、密闭运输。</w:t>
            </w:r>
          </w:p>
        </w:tc>
        <w:tc>
          <w:tcPr>
            <w:tcW w:w="1059" w:type="dxa"/>
            <w:vAlign w:val="center"/>
          </w:tcPr>
          <w:p w14:paraId="0BAFD3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2.8586t</w:t>
            </w:r>
          </w:p>
        </w:tc>
      </w:tr>
      <w:tr w14:paraId="3D84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2" w:type="dxa"/>
            <w:vAlign w:val="center"/>
          </w:tcPr>
          <w:p w14:paraId="28E15A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3</w:t>
            </w:r>
          </w:p>
        </w:tc>
        <w:tc>
          <w:tcPr>
            <w:tcW w:w="1115" w:type="dxa"/>
            <w:vAlign w:val="center"/>
          </w:tcPr>
          <w:p w14:paraId="156E31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运输扬尘</w:t>
            </w:r>
          </w:p>
        </w:tc>
        <w:tc>
          <w:tcPr>
            <w:tcW w:w="1217" w:type="dxa"/>
            <w:vAlign w:val="center"/>
          </w:tcPr>
          <w:p w14:paraId="3B37DF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0F4F387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15.388t</w:t>
            </w:r>
          </w:p>
        </w:tc>
        <w:tc>
          <w:tcPr>
            <w:tcW w:w="4117" w:type="dxa"/>
            <w:vAlign w:val="center"/>
          </w:tcPr>
          <w:p w14:paraId="5C6EE46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宋体" w:hAnsi="宋体" w:eastAsia="宋体" w:cs="宋体"/>
                <w:bCs/>
                <w:color w:val="auto"/>
                <w:sz w:val="22"/>
                <w:szCs w:val="22"/>
                <w:lang w:eastAsia="zh-CN"/>
              </w:rPr>
              <w:t>硬化运输道路、安排专人清扫、洒水抑尘、限速限载、冲洗运输车辆等</w:t>
            </w:r>
          </w:p>
        </w:tc>
        <w:tc>
          <w:tcPr>
            <w:tcW w:w="1059" w:type="dxa"/>
            <w:vAlign w:val="center"/>
          </w:tcPr>
          <w:p w14:paraId="015330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3.0776t</w:t>
            </w:r>
          </w:p>
        </w:tc>
      </w:tr>
      <w:tr w14:paraId="0889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812" w:type="dxa"/>
            <w:vAlign w:val="center"/>
          </w:tcPr>
          <w:p w14:paraId="56DD05A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4</w:t>
            </w:r>
          </w:p>
        </w:tc>
        <w:tc>
          <w:tcPr>
            <w:tcW w:w="1115" w:type="dxa"/>
            <w:vAlign w:val="center"/>
          </w:tcPr>
          <w:p w14:paraId="3781F9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混凝土拌合粉尘</w:t>
            </w:r>
          </w:p>
        </w:tc>
        <w:tc>
          <w:tcPr>
            <w:tcW w:w="1217" w:type="dxa"/>
            <w:vAlign w:val="center"/>
          </w:tcPr>
          <w:p w14:paraId="22B580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3CAD45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1.8288</w:t>
            </w:r>
          </w:p>
        </w:tc>
        <w:tc>
          <w:tcPr>
            <w:tcW w:w="4117" w:type="dxa"/>
            <w:vAlign w:val="center"/>
          </w:tcPr>
          <w:p w14:paraId="2C1108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水泥。粉煤灰等粉质物料采取筒仓储存，并配置仓顶除尘器；碎石骨料堆存区设围挡和顶棚，对</w:t>
            </w:r>
            <w:r>
              <w:rPr>
                <w:rFonts w:hint="eastAsia" w:ascii="Arial" w:hAnsi="Arial" w:eastAsia="宋体" w:cs="Arial"/>
                <w:b w:val="0"/>
                <w:bCs/>
                <w:kern w:val="0"/>
                <w:sz w:val="22"/>
                <w:szCs w:val="22"/>
                <w:lang w:val="en-US" w:eastAsia="zh-CN" w:bidi="ar-SA"/>
              </w:rPr>
              <w:t>搅拌机、料斗、输送皮带及转载点设施等产尘点进行洒水降尘</w:t>
            </w:r>
          </w:p>
        </w:tc>
        <w:tc>
          <w:tcPr>
            <w:tcW w:w="1059" w:type="dxa"/>
            <w:vAlign w:val="center"/>
          </w:tcPr>
          <w:p w14:paraId="13F910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0.1829t</w:t>
            </w:r>
          </w:p>
        </w:tc>
      </w:tr>
      <w:tr w14:paraId="1BD9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2" w:type="dxa"/>
            <w:vAlign w:val="center"/>
          </w:tcPr>
          <w:p w14:paraId="09E491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5</w:t>
            </w:r>
          </w:p>
        </w:tc>
        <w:tc>
          <w:tcPr>
            <w:tcW w:w="1115" w:type="dxa"/>
            <w:vAlign w:val="center"/>
          </w:tcPr>
          <w:p w14:paraId="6BAED9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堆场扬尘</w:t>
            </w:r>
          </w:p>
        </w:tc>
        <w:tc>
          <w:tcPr>
            <w:tcW w:w="1217" w:type="dxa"/>
            <w:vAlign w:val="center"/>
          </w:tcPr>
          <w:p w14:paraId="517DC1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76B8EA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c>
          <w:tcPr>
            <w:tcW w:w="4117" w:type="dxa"/>
            <w:vAlign w:val="center"/>
          </w:tcPr>
          <w:p w14:paraId="5961DF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 w:val="0"/>
                <w:bCs/>
                <w:sz w:val="22"/>
                <w:szCs w:val="22"/>
                <w:lang w:val="en-US" w:eastAsia="zh-CN"/>
              </w:rPr>
              <w:t>水泥等粉质物料均集中堆存，并采取篷布或围挡、顶棚进行遮盖；弃渣场夯实堆存，并洒水抑尘。</w:t>
            </w:r>
          </w:p>
        </w:tc>
        <w:tc>
          <w:tcPr>
            <w:tcW w:w="1059" w:type="dxa"/>
            <w:vAlign w:val="center"/>
          </w:tcPr>
          <w:p w14:paraId="51027D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r>
      <w:tr w14:paraId="1E77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2" w:type="dxa"/>
            <w:vAlign w:val="center"/>
          </w:tcPr>
          <w:p w14:paraId="360FDC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6</w:t>
            </w:r>
          </w:p>
        </w:tc>
        <w:tc>
          <w:tcPr>
            <w:tcW w:w="1115" w:type="dxa"/>
            <w:vAlign w:val="center"/>
          </w:tcPr>
          <w:p w14:paraId="33254C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燃油废气</w:t>
            </w:r>
          </w:p>
        </w:tc>
        <w:tc>
          <w:tcPr>
            <w:tcW w:w="1217" w:type="dxa"/>
            <w:vAlign w:val="center"/>
          </w:tcPr>
          <w:p w14:paraId="2A141D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CO</w:t>
            </w:r>
          </w:p>
          <w:p w14:paraId="6E297B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HC</w:t>
            </w:r>
          </w:p>
        </w:tc>
        <w:tc>
          <w:tcPr>
            <w:tcW w:w="1083" w:type="dxa"/>
            <w:vAlign w:val="center"/>
          </w:tcPr>
          <w:p w14:paraId="26A90EA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c>
          <w:tcPr>
            <w:tcW w:w="4117" w:type="dxa"/>
            <w:vAlign w:val="center"/>
          </w:tcPr>
          <w:p w14:paraId="2284C6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 w:val="0"/>
                <w:bCs/>
                <w:sz w:val="22"/>
                <w:szCs w:val="22"/>
                <w:lang w:val="en-US" w:eastAsia="zh-CN"/>
              </w:rPr>
            </w:pPr>
            <w:r>
              <w:rPr>
                <w:rFonts w:hint="eastAsia" w:ascii="Arial" w:hAnsi="Arial" w:cs="Arial"/>
                <w:b w:val="0"/>
                <w:bCs/>
                <w:sz w:val="22"/>
                <w:szCs w:val="22"/>
                <w:lang w:val="en-US" w:eastAsia="zh-CN"/>
              </w:rPr>
              <w:t>以柴油、汽油为燃料，加强对施工机械的维护、保养，使其处于良好的工作状态。</w:t>
            </w:r>
          </w:p>
        </w:tc>
        <w:tc>
          <w:tcPr>
            <w:tcW w:w="1059" w:type="dxa"/>
            <w:vAlign w:val="center"/>
          </w:tcPr>
          <w:p w14:paraId="70FF91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r>
      <w:tr w14:paraId="354F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12" w:type="dxa"/>
            <w:vAlign w:val="center"/>
          </w:tcPr>
          <w:p w14:paraId="31F5E1F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7</w:t>
            </w:r>
          </w:p>
        </w:tc>
        <w:tc>
          <w:tcPr>
            <w:tcW w:w="1115" w:type="dxa"/>
            <w:vAlign w:val="center"/>
          </w:tcPr>
          <w:p w14:paraId="53652A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生活燃料</w:t>
            </w:r>
          </w:p>
        </w:tc>
        <w:tc>
          <w:tcPr>
            <w:tcW w:w="1217" w:type="dxa"/>
            <w:vAlign w:val="center"/>
          </w:tcPr>
          <w:p w14:paraId="141B74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SO</w:t>
            </w:r>
            <w:r>
              <w:rPr>
                <w:rFonts w:hint="eastAsia" w:ascii="Arial" w:hAnsi="Arial" w:cs="Arial"/>
                <w:bCs/>
                <w:color w:val="auto"/>
                <w:sz w:val="22"/>
                <w:szCs w:val="22"/>
                <w:vertAlign w:val="subscript"/>
                <w:lang w:val="en-US" w:eastAsia="zh-CN"/>
              </w:rPr>
              <w:t>2</w:t>
            </w:r>
          </w:p>
          <w:p w14:paraId="11CF47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NO</w:t>
            </w:r>
            <w:r>
              <w:rPr>
                <w:rFonts w:hint="eastAsia" w:ascii="Arial" w:hAnsi="Arial" w:cs="Arial"/>
                <w:bCs/>
                <w:color w:val="auto"/>
                <w:sz w:val="22"/>
                <w:szCs w:val="22"/>
                <w:vertAlign w:val="subscript"/>
                <w:lang w:val="en-US" w:eastAsia="zh-CN"/>
              </w:rPr>
              <w:t>2</w:t>
            </w:r>
          </w:p>
          <w:p w14:paraId="67FC06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烟尘</w:t>
            </w:r>
          </w:p>
        </w:tc>
        <w:tc>
          <w:tcPr>
            <w:tcW w:w="1083" w:type="dxa"/>
            <w:vAlign w:val="center"/>
          </w:tcPr>
          <w:p w14:paraId="0A3D98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c>
          <w:tcPr>
            <w:tcW w:w="4117" w:type="dxa"/>
            <w:vAlign w:val="center"/>
          </w:tcPr>
          <w:p w14:paraId="5B1634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 w:val="0"/>
                <w:bCs/>
                <w:sz w:val="22"/>
                <w:szCs w:val="22"/>
                <w:lang w:val="en-US" w:eastAsia="zh-CN"/>
              </w:rPr>
            </w:pPr>
            <w:r>
              <w:rPr>
                <w:rFonts w:hint="eastAsia" w:ascii="Arial" w:hAnsi="Arial" w:cs="Arial"/>
                <w:b w:val="0"/>
                <w:bCs/>
                <w:sz w:val="22"/>
                <w:szCs w:val="22"/>
                <w:lang w:val="en-US" w:eastAsia="zh-CN"/>
              </w:rPr>
              <w:t>供热及生活主要采取电、液化石油气等清洁能源</w:t>
            </w:r>
          </w:p>
        </w:tc>
        <w:tc>
          <w:tcPr>
            <w:tcW w:w="1059" w:type="dxa"/>
            <w:vAlign w:val="center"/>
          </w:tcPr>
          <w:p w14:paraId="0109498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r>
    </w:tbl>
    <w:p w14:paraId="3972FAC2">
      <w:pPr>
        <w:pStyle w:val="100"/>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Arial" w:hAnsi="Arial" w:eastAsia="宋体" w:cs="Arial"/>
          <w:b w:val="0"/>
          <w:bCs/>
          <w:sz w:val="26"/>
          <w:szCs w:val="26"/>
          <w:lang w:val="en-US" w:eastAsia="zh-CN"/>
        </w:rPr>
      </w:pPr>
    </w:p>
    <w:p w14:paraId="24F1C0D8">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cs="Arial"/>
          <w:b/>
          <w:sz w:val="26"/>
          <w:szCs w:val="26"/>
        </w:rPr>
      </w:pPr>
      <w:r>
        <w:rPr>
          <w:rFonts w:hint="eastAsia" w:ascii="Arial" w:hAnsi="宋体" w:cs="Arial"/>
          <w:b/>
          <w:sz w:val="26"/>
          <w:szCs w:val="26"/>
        </w:rPr>
        <w:t>（</w:t>
      </w:r>
      <w:r>
        <w:rPr>
          <w:rFonts w:hint="eastAsia" w:ascii="Arial" w:hAnsi="宋体" w:cs="Arial"/>
          <w:b/>
          <w:sz w:val="26"/>
          <w:szCs w:val="26"/>
          <w:lang w:val="en-US" w:eastAsia="zh-CN"/>
        </w:rPr>
        <w:t>3</w:t>
      </w:r>
      <w:r>
        <w:rPr>
          <w:rFonts w:hint="eastAsia" w:ascii="Arial" w:hAnsi="宋体" w:cs="Arial"/>
          <w:b/>
          <w:sz w:val="26"/>
          <w:szCs w:val="26"/>
        </w:rPr>
        <w:t>）</w:t>
      </w:r>
      <w:r>
        <w:rPr>
          <w:rFonts w:hint="eastAsia" w:ascii="Arial" w:hAnsi="宋体" w:cs="Arial"/>
          <w:b/>
          <w:sz w:val="26"/>
          <w:szCs w:val="26"/>
          <w:lang w:eastAsia="zh-CN"/>
        </w:rPr>
        <w:t>噪声</w:t>
      </w:r>
    </w:p>
    <w:p w14:paraId="1493BDD0">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default" w:ascii="Arial" w:hAnsi="Arial" w:cs="Arial"/>
          <w:bCs/>
          <w:color w:val="auto"/>
          <w:sz w:val="26"/>
          <w:szCs w:val="26"/>
          <w:lang w:val="en-US" w:eastAsia="zh-CN"/>
        </w:rPr>
      </w:pPr>
      <w:r>
        <w:rPr>
          <w:rFonts w:hint="default" w:ascii="Arial" w:hAnsi="Arial" w:cs="Arial"/>
          <w:bCs/>
          <w:color w:val="auto"/>
          <w:sz w:val="26"/>
          <w:szCs w:val="26"/>
          <w:lang w:eastAsia="zh-CN"/>
        </w:rPr>
        <w:t>施工期噪声源有固定声源和流动声源，固定声源主要指作业点施工机具、施工场地内加工机械产生的噪声，噪声较大的有挖掘机、破碎机、夯实机、振动碾、钻机、起重机等。流动噪声源主要是运输用载重汽车，其源强与施工区内运输车辆行驶速度、频率等密切相关。本项目不涉及爆破作业，施工区噪声污染情况详见表</w:t>
      </w:r>
      <w:r>
        <w:rPr>
          <w:rFonts w:hint="default" w:ascii="Arial" w:hAnsi="Arial" w:cs="Arial"/>
          <w:bCs/>
          <w:color w:val="auto"/>
          <w:sz w:val="26"/>
          <w:szCs w:val="26"/>
          <w:lang w:val="en-US" w:eastAsia="zh-CN"/>
        </w:rPr>
        <w:t>3.1-4所示。</w:t>
      </w:r>
    </w:p>
    <w:p w14:paraId="4F3335C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Arial" w:eastAsia="宋体" w:cs="Arial"/>
          <w:b/>
          <w:kern w:val="28"/>
          <w:sz w:val="26"/>
          <w:szCs w:val="26"/>
          <w:lang w:val="en-US" w:eastAsia="zh-CN"/>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w:t>
      </w:r>
      <w:r>
        <w:rPr>
          <w:rFonts w:hint="eastAsia" w:ascii="Arial" w:cs="Arial"/>
          <w:b/>
          <w:kern w:val="28"/>
          <w:sz w:val="26"/>
          <w:szCs w:val="26"/>
          <w:lang w:val="en-US" w:eastAsia="zh-CN"/>
        </w:rPr>
        <w:t>4</w:t>
      </w:r>
      <w:r>
        <w:rPr>
          <w:rFonts w:hint="eastAsia" w:ascii="Arial" w:cs="Arial"/>
          <w:b/>
          <w:kern w:val="28"/>
          <w:sz w:val="26"/>
          <w:szCs w:val="26"/>
        </w:rPr>
        <w:t xml:space="preserve"> </w:t>
      </w:r>
      <w:r>
        <w:rPr>
          <w:rFonts w:hint="eastAsia" w:ascii="Arial" w:cs="Arial"/>
          <w:b/>
          <w:kern w:val="28"/>
          <w:sz w:val="26"/>
          <w:szCs w:val="26"/>
          <w:lang w:val="en-US" w:eastAsia="zh-CN"/>
        </w:rPr>
        <w:t xml:space="preserve"> </w:t>
      </w:r>
      <w:r>
        <w:rPr>
          <w:rFonts w:hint="eastAsia" w:ascii="Arial" w:cs="Arial"/>
          <w:b/>
          <w:kern w:val="28"/>
          <w:sz w:val="26"/>
          <w:szCs w:val="26"/>
        </w:rPr>
        <w:t>施工期</w:t>
      </w:r>
      <w:r>
        <w:rPr>
          <w:rFonts w:hint="eastAsia" w:ascii="Arial" w:cs="Arial"/>
          <w:b/>
          <w:kern w:val="28"/>
          <w:sz w:val="26"/>
          <w:szCs w:val="26"/>
          <w:lang w:eastAsia="zh-CN"/>
        </w:rPr>
        <w:t>噪声源强一览表</w:t>
      </w:r>
      <w:r>
        <w:rPr>
          <w:rFonts w:hint="eastAsia" w:ascii="Arial" w:cs="Arial"/>
          <w:b/>
          <w:kern w:val="28"/>
          <w:sz w:val="26"/>
          <w:szCs w:val="26"/>
          <w:lang w:val="en-US" w:eastAsia="zh-CN"/>
        </w:rPr>
        <w:t xml:space="preserve">  单位：dB（A）</w:t>
      </w:r>
    </w:p>
    <w:tbl>
      <w:tblPr>
        <w:tblStyle w:val="77"/>
        <w:tblW w:w="81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3041"/>
        <w:gridCol w:w="2902"/>
      </w:tblGrid>
      <w:tr w14:paraId="3F406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77" w:type="dxa"/>
            <w:tcBorders>
              <w:tl2br w:val="nil"/>
              <w:tr2bl w:val="nil"/>
            </w:tcBorders>
            <w:noWrap w:val="0"/>
            <w:vAlign w:val="center"/>
          </w:tcPr>
          <w:p w14:paraId="765D9235">
            <w:pPr>
              <w:jc w:val="center"/>
              <w:rPr>
                <w:rFonts w:ascii="Arial" w:hAnsi="Arial" w:cs="Arial"/>
                <w:sz w:val="22"/>
                <w:szCs w:val="22"/>
              </w:rPr>
            </w:pPr>
            <w:r>
              <w:rPr>
                <w:rFonts w:ascii="Arial" w:hAnsi="宋体" w:cs="Arial"/>
                <w:sz w:val="22"/>
                <w:szCs w:val="22"/>
              </w:rPr>
              <w:t>声源类型</w:t>
            </w:r>
          </w:p>
        </w:tc>
        <w:tc>
          <w:tcPr>
            <w:tcW w:w="3041" w:type="dxa"/>
            <w:tcBorders>
              <w:tl2br w:val="nil"/>
              <w:tr2bl w:val="nil"/>
            </w:tcBorders>
            <w:noWrap w:val="0"/>
            <w:vAlign w:val="center"/>
          </w:tcPr>
          <w:p w14:paraId="3A1CF2FA">
            <w:pPr>
              <w:jc w:val="center"/>
              <w:rPr>
                <w:rFonts w:ascii="Arial" w:hAnsi="Arial" w:cs="Arial"/>
                <w:sz w:val="22"/>
                <w:szCs w:val="22"/>
              </w:rPr>
            </w:pPr>
            <w:r>
              <w:rPr>
                <w:rFonts w:ascii="Arial" w:hAnsi="宋体" w:cs="Arial"/>
                <w:sz w:val="22"/>
                <w:szCs w:val="22"/>
              </w:rPr>
              <w:t>设备名称</w:t>
            </w:r>
          </w:p>
        </w:tc>
        <w:tc>
          <w:tcPr>
            <w:tcW w:w="2902" w:type="dxa"/>
            <w:tcBorders>
              <w:tl2br w:val="nil"/>
              <w:tr2bl w:val="nil"/>
            </w:tcBorders>
            <w:noWrap w:val="0"/>
            <w:vAlign w:val="center"/>
          </w:tcPr>
          <w:p w14:paraId="32FFD5F0">
            <w:pPr>
              <w:jc w:val="center"/>
              <w:rPr>
                <w:rFonts w:ascii="Arial" w:hAnsi="Arial" w:cs="Arial"/>
                <w:sz w:val="22"/>
                <w:szCs w:val="22"/>
              </w:rPr>
            </w:pPr>
            <w:r>
              <w:rPr>
                <w:rFonts w:hint="eastAsia" w:ascii="Arial" w:hAnsi="宋体" w:cs="Arial"/>
                <w:sz w:val="22"/>
                <w:szCs w:val="22"/>
                <w:lang w:eastAsia="zh-CN"/>
              </w:rPr>
              <w:t>单机</w:t>
            </w:r>
            <w:r>
              <w:rPr>
                <w:rFonts w:ascii="Arial" w:hAnsi="宋体" w:cs="Arial"/>
                <w:sz w:val="22"/>
                <w:szCs w:val="22"/>
              </w:rPr>
              <w:t>噪声源强</w:t>
            </w:r>
          </w:p>
        </w:tc>
      </w:tr>
      <w:tr w14:paraId="0E1A0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restart"/>
            <w:tcBorders>
              <w:tl2br w:val="nil"/>
              <w:tr2bl w:val="nil"/>
            </w:tcBorders>
            <w:noWrap w:val="0"/>
            <w:vAlign w:val="center"/>
          </w:tcPr>
          <w:p w14:paraId="2AA6E56B">
            <w:pPr>
              <w:jc w:val="center"/>
              <w:rPr>
                <w:rFonts w:ascii="Arial" w:hAnsi="Arial" w:cs="Arial"/>
                <w:sz w:val="22"/>
                <w:szCs w:val="22"/>
              </w:rPr>
            </w:pPr>
            <w:r>
              <w:rPr>
                <w:rFonts w:ascii="Arial" w:hAnsi="宋体" w:cs="Arial"/>
                <w:sz w:val="22"/>
                <w:szCs w:val="22"/>
              </w:rPr>
              <w:t>固定源及小范围流动源</w:t>
            </w:r>
          </w:p>
        </w:tc>
        <w:tc>
          <w:tcPr>
            <w:tcW w:w="3041" w:type="dxa"/>
            <w:tcBorders>
              <w:tl2br w:val="nil"/>
              <w:tr2bl w:val="nil"/>
            </w:tcBorders>
            <w:noWrap w:val="0"/>
            <w:vAlign w:val="center"/>
          </w:tcPr>
          <w:p w14:paraId="76434C8C">
            <w:pPr>
              <w:jc w:val="center"/>
              <w:rPr>
                <w:rFonts w:ascii="Arial" w:hAnsi="Arial" w:cs="Arial"/>
                <w:sz w:val="22"/>
                <w:szCs w:val="22"/>
              </w:rPr>
            </w:pPr>
            <w:r>
              <w:rPr>
                <w:rFonts w:ascii="Arial" w:hAnsi="宋体" w:cs="Arial"/>
                <w:sz w:val="22"/>
                <w:szCs w:val="22"/>
              </w:rPr>
              <w:t>搅拌机</w:t>
            </w:r>
          </w:p>
        </w:tc>
        <w:tc>
          <w:tcPr>
            <w:tcW w:w="2902" w:type="dxa"/>
            <w:tcBorders>
              <w:tl2br w:val="nil"/>
              <w:tr2bl w:val="nil"/>
            </w:tcBorders>
            <w:noWrap w:val="0"/>
            <w:vAlign w:val="center"/>
          </w:tcPr>
          <w:p w14:paraId="4D080CB3">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75~88</w:t>
            </w:r>
          </w:p>
        </w:tc>
      </w:tr>
      <w:tr w14:paraId="2A327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64DB5F70">
            <w:pPr>
              <w:jc w:val="center"/>
              <w:rPr>
                <w:rFonts w:ascii="Arial" w:hAnsi="宋体" w:cs="Arial"/>
                <w:sz w:val="22"/>
                <w:szCs w:val="22"/>
              </w:rPr>
            </w:pPr>
          </w:p>
        </w:tc>
        <w:tc>
          <w:tcPr>
            <w:tcW w:w="3041" w:type="dxa"/>
            <w:tcBorders>
              <w:tl2br w:val="nil"/>
              <w:tr2bl w:val="nil"/>
            </w:tcBorders>
            <w:noWrap w:val="0"/>
            <w:vAlign w:val="center"/>
          </w:tcPr>
          <w:p w14:paraId="0DF0655B">
            <w:pPr>
              <w:jc w:val="center"/>
              <w:rPr>
                <w:rFonts w:hint="eastAsia" w:ascii="Arial" w:hAnsi="宋体" w:eastAsia="宋体" w:cs="Arial"/>
                <w:sz w:val="22"/>
                <w:szCs w:val="22"/>
                <w:lang w:eastAsia="zh-CN"/>
              </w:rPr>
            </w:pPr>
            <w:r>
              <w:rPr>
                <w:rFonts w:hint="eastAsia" w:ascii="Arial" w:hAnsi="宋体" w:cs="Arial"/>
                <w:sz w:val="22"/>
                <w:szCs w:val="22"/>
                <w:lang w:eastAsia="zh-CN"/>
              </w:rPr>
              <w:t>破碎机</w:t>
            </w:r>
          </w:p>
        </w:tc>
        <w:tc>
          <w:tcPr>
            <w:tcW w:w="2902" w:type="dxa"/>
            <w:tcBorders>
              <w:tl2br w:val="nil"/>
              <w:tr2bl w:val="nil"/>
            </w:tcBorders>
            <w:noWrap w:val="0"/>
            <w:vAlign w:val="center"/>
          </w:tcPr>
          <w:p w14:paraId="1ADE7CE6">
            <w:pPr>
              <w:jc w:val="center"/>
              <w:rPr>
                <w:rFonts w:hint="default" w:ascii="Arial" w:hAnsi="Arial" w:cs="Arial"/>
                <w:sz w:val="22"/>
                <w:szCs w:val="22"/>
                <w:lang w:val="en-US" w:eastAsia="zh-CN"/>
              </w:rPr>
            </w:pPr>
            <w:r>
              <w:rPr>
                <w:rFonts w:hint="eastAsia" w:ascii="Arial" w:hAnsi="Arial" w:cs="Arial"/>
                <w:sz w:val="22"/>
                <w:szCs w:val="22"/>
                <w:lang w:val="en-US" w:eastAsia="zh-CN"/>
              </w:rPr>
              <w:t>80~110</w:t>
            </w:r>
          </w:p>
        </w:tc>
      </w:tr>
      <w:tr w14:paraId="3822C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1DD4666C">
            <w:pPr>
              <w:widowControl/>
              <w:jc w:val="left"/>
              <w:rPr>
                <w:rFonts w:ascii="Arial" w:hAnsi="Arial" w:cs="Arial"/>
                <w:sz w:val="22"/>
                <w:szCs w:val="22"/>
              </w:rPr>
            </w:pPr>
          </w:p>
        </w:tc>
        <w:tc>
          <w:tcPr>
            <w:tcW w:w="3041" w:type="dxa"/>
            <w:tcBorders>
              <w:tl2br w:val="nil"/>
              <w:tr2bl w:val="nil"/>
            </w:tcBorders>
            <w:noWrap w:val="0"/>
            <w:vAlign w:val="center"/>
          </w:tcPr>
          <w:p w14:paraId="69431276">
            <w:pPr>
              <w:jc w:val="center"/>
              <w:rPr>
                <w:rFonts w:ascii="Arial" w:hAnsi="Arial" w:cs="Arial"/>
                <w:sz w:val="22"/>
                <w:szCs w:val="22"/>
              </w:rPr>
            </w:pPr>
            <w:r>
              <w:rPr>
                <w:rFonts w:ascii="Arial" w:hAnsi="宋体" w:cs="Arial"/>
                <w:sz w:val="22"/>
                <w:szCs w:val="22"/>
              </w:rPr>
              <w:t>混凝土振捣器</w:t>
            </w:r>
          </w:p>
        </w:tc>
        <w:tc>
          <w:tcPr>
            <w:tcW w:w="2902" w:type="dxa"/>
            <w:tcBorders>
              <w:tl2br w:val="nil"/>
              <w:tr2bl w:val="nil"/>
            </w:tcBorders>
            <w:noWrap w:val="0"/>
            <w:vAlign w:val="center"/>
          </w:tcPr>
          <w:p w14:paraId="44304BA7">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87</w:t>
            </w:r>
          </w:p>
        </w:tc>
      </w:tr>
      <w:tr w14:paraId="38677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3857DFF5">
            <w:pPr>
              <w:widowControl/>
              <w:jc w:val="left"/>
              <w:rPr>
                <w:rFonts w:ascii="Arial" w:hAnsi="Arial" w:cs="Arial"/>
                <w:sz w:val="22"/>
                <w:szCs w:val="22"/>
              </w:rPr>
            </w:pPr>
          </w:p>
        </w:tc>
        <w:tc>
          <w:tcPr>
            <w:tcW w:w="3041" w:type="dxa"/>
            <w:tcBorders>
              <w:tl2br w:val="nil"/>
              <w:tr2bl w:val="nil"/>
            </w:tcBorders>
            <w:noWrap w:val="0"/>
            <w:vAlign w:val="center"/>
          </w:tcPr>
          <w:p w14:paraId="2A3376AA">
            <w:pPr>
              <w:jc w:val="center"/>
              <w:rPr>
                <w:rFonts w:ascii="Arial" w:hAnsi="Arial" w:cs="Arial"/>
                <w:sz w:val="22"/>
                <w:szCs w:val="22"/>
              </w:rPr>
            </w:pPr>
            <w:r>
              <w:rPr>
                <w:rFonts w:ascii="Arial" w:hAnsi="宋体" w:cs="Arial"/>
                <w:sz w:val="22"/>
                <w:szCs w:val="22"/>
              </w:rPr>
              <w:t>卷扬机</w:t>
            </w:r>
          </w:p>
        </w:tc>
        <w:tc>
          <w:tcPr>
            <w:tcW w:w="2902" w:type="dxa"/>
            <w:tcBorders>
              <w:tl2br w:val="nil"/>
              <w:tr2bl w:val="nil"/>
            </w:tcBorders>
            <w:noWrap w:val="0"/>
            <w:vAlign w:val="center"/>
          </w:tcPr>
          <w:p w14:paraId="33B4DB3D">
            <w:pPr>
              <w:jc w:val="center"/>
              <w:rPr>
                <w:rFonts w:ascii="Arial" w:hAnsi="Arial" w:cs="Arial"/>
                <w:sz w:val="22"/>
                <w:szCs w:val="22"/>
              </w:rPr>
            </w:pPr>
            <w:r>
              <w:rPr>
                <w:rFonts w:ascii="Arial" w:hAnsi="Arial" w:cs="Arial"/>
                <w:sz w:val="22"/>
                <w:szCs w:val="22"/>
              </w:rPr>
              <w:t>75</w:t>
            </w:r>
            <w:r>
              <w:rPr>
                <w:rFonts w:ascii="Arial" w:hAnsi="宋体" w:cs="Arial"/>
                <w:sz w:val="22"/>
                <w:szCs w:val="22"/>
              </w:rPr>
              <w:t>～</w:t>
            </w:r>
            <w:r>
              <w:rPr>
                <w:rFonts w:ascii="Arial" w:hAnsi="Arial" w:cs="Arial"/>
                <w:sz w:val="22"/>
                <w:szCs w:val="22"/>
              </w:rPr>
              <w:t>88</w:t>
            </w:r>
          </w:p>
        </w:tc>
      </w:tr>
      <w:tr w14:paraId="19ACC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1D1949C5">
            <w:pPr>
              <w:widowControl/>
              <w:jc w:val="left"/>
              <w:rPr>
                <w:rFonts w:ascii="Arial" w:hAnsi="Arial" w:cs="Arial"/>
                <w:sz w:val="22"/>
                <w:szCs w:val="22"/>
              </w:rPr>
            </w:pPr>
          </w:p>
        </w:tc>
        <w:tc>
          <w:tcPr>
            <w:tcW w:w="3041" w:type="dxa"/>
            <w:tcBorders>
              <w:tl2br w:val="nil"/>
              <w:tr2bl w:val="nil"/>
            </w:tcBorders>
            <w:noWrap w:val="0"/>
            <w:vAlign w:val="center"/>
          </w:tcPr>
          <w:p w14:paraId="580B4636">
            <w:pPr>
              <w:jc w:val="center"/>
              <w:rPr>
                <w:rFonts w:hint="eastAsia" w:ascii="Arial" w:hAnsi="宋体" w:eastAsia="宋体" w:cs="Arial"/>
                <w:sz w:val="22"/>
                <w:szCs w:val="22"/>
                <w:lang w:eastAsia="zh-CN"/>
              </w:rPr>
            </w:pPr>
            <w:r>
              <w:rPr>
                <w:rFonts w:hint="eastAsia" w:ascii="Arial" w:hAnsi="宋体" w:cs="Arial"/>
                <w:sz w:val="22"/>
                <w:szCs w:val="22"/>
                <w:lang w:eastAsia="zh-CN"/>
              </w:rPr>
              <w:t>振动碾</w:t>
            </w:r>
          </w:p>
        </w:tc>
        <w:tc>
          <w:tcPr>
            <w:tcW w:w="2902" w:type="dxa"/>
            <w:tcBorders>
              <w:tl2br w:val="nil"/>
              <w:tr2bl w:val="nil"/>
            </w:tcBorders>
            <w:noWrap w:val="0"/>
            <w:vAlign w:val="center"/>
          </w:tcPr>
          <w:p w14:paraId="7EBB25F2">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95~120</w:t>
            </w:r>
          </w:p>
        </w:tc>
      </w:tr>
      <w:tr w14:paraId="655B3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257ACDC3">
            <w:pPr>
              <w:widowControl/>
              <w:jc w:val="left"/>
              <w:rPr>
                <w:rFonts w:ascii="Arial" w:hAnsi="Arial" w:cs="Arial"/>
                <w:sz w:val="22"/>
                <w:szCs w:val="22"/>
              </w:rPr>
            </w:pPr>
          </w:p>
        </w:tc>
        <w:tc>
          <w:tcPr>
            <w:tcW w:w="3041" w:type="dxa"/>
            <w:tcBorders>
              <w:tl2br w:val="nil"/>
              <w:tr2bl w:val="nil"/>
            </w:tcBorders>
            <w:noWrap w:val="0"/>
            <w:vAlign w:val="center"/>
          </w:tcPr>
          <w:p w14:paraId="4C30F6BF">
            <w:pPr>
              <w:jc w:val="center"/>
              <w:rPr>
                <w:rFonts w:ascii="Arial" w:hAnsi="Arial" w:cs="Arial"/>
                <w:sz w:val="22"/>
                <w:szCs w:val="22"/>
              </w:rPr>
            </w:pPr>
            <w:r>
              <w:rPr>
                <w:rFonts w:ascii="Arial" w:hAnsi="宋体" w:cs="Arial"/>
                <w:sz w:val="22"/>
                <w:szCs w:val="22"/>
              </w:rPr>
              <w:t>装载机</w:t>
            </w:r>
          </w:p>
        </w:tc>
        <w:tc>
          <w:tcPr>
            <w:tcW w:w="2902" w:type="dxa"/>
            <w:tcBorders>
              <w:tl2br w:val="nil"/>
              <w:tr2bl w:val="nil"/>
            </w:tcBorders>
            <w:noWrap w:val="0"/>
            <w:vAlign w:val="center"/>
          </w:tcPr>
          <w:p w14:paraId="10D8C185">
            <w:pPr>
              <w:jc w:val="center"/>
              <w:rPr>
                <w:rFonts w:ascii="Arial" w:hAnsi="Arial" w:cs="Arial"/>
                <w:sz w:val="22"/>
                <w:szCs w:val="22"/>
              </w:rPr>
            </w:pPr>
            <w:r>
              <w:rPr>
                <w:rFonts w:ascii="Arial" w:hAnsi="Arial" w:cs="Arial"/>
                <w:sz w:val="22"/>
                <w:szCs w:val="22"/>
              </w:rPr>
              <w:t>85</w:t>
            </w:r>
            <w:r>
              <w:rPr>
                <w:rFonts w:ascii="Arial" w:hAnsi="宋体" w:cs="Arial"/>
                <w:sz w:val="22"/>
                <w:szCs w:val="22"/>
              </w:rPr>
              <w:t>～</w:t>
            </w:r>
            <w:r>
              <w:rPr>
                <w:rFonts w:ascii="Arial" w:hAnsi="Arial" w:cs="Arial"/>
                <w:sz w:val="22"/>
                <w:szCs w:val="22"/>
              </w:rPr>
              <w:t>98</w:t>
            </w:r>
          </w:p>
        </w:tc>
      </w:tr>
      <w:tr w14:paraId="685E2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63E66ADD">
            <w:pPr>
              <w:widowControl/>
              <w:jc w:val="left"/>
              <w:rPr>
                <w:rFonts w:ascii="Arial" w:hAnsi="Arial" w:cs="Arial"/>
                <w:sz w:val="22"/>
                <w:szCs w:val="22"/>
              </w:rPr>
            </w:pPr>
          </w:p>
        </w:tc>
        <w:tc>
          <w:tcPr>
            <w:tcW w:w="3041" w:type="dxa"/>
            <w:tcBorders>
              <w:tl2br w:val="nil"/>
              <w:tr2bl w:val="nil"/>
            </w:tcBorders>
            <w:noWrap w:val="0"/>
            <w:vAlign w:val="center"/>
          </w:tcPr>
          <w:p w14:paraId="7EDAA504">
            <w:pPr>
              <w:jc w:val="center"/>
              <w:rPr>
                <w:rFonts w:ascii="Arial" w:hAnsi="Arial" w:cs="Arial"/>
                <w:sz w:val="22"/>
                <w:szCs w:val="22"/>
              </w:rPr>
            </w:pPr>
            <w:r>
              <w:rPr>
                <w:rFonts w:ascii="Arial" w:hAnsi="宋体" w:cs="Arial"/>
                <w:sz w:val="22"/>
                <w:szCs w:val="22"/>
              </w:rPr>
              <w:t>挖掘机</w:t>
            </w:r>
          </w:p>
        </w:tc>
        <w:tc>
          <w:tcPr>
            <w:tcW w:w="2902" w:type="dxa"/>
            <w:tcBorders>
              <w:tl2br w:val="nil"/>
              <w:tr2bl w:val="nil"/>
            </w:tcBorders>
            <w:noWrap w:val="0"/>
            <w:vAlign w:val="center"/>
          </w:tcPr>
          <w:p w14:paraId="4D631F1C">
            <w:pPr>
              <w:jc w:val="center"/>
              <w:rPr>
                <w:rFonts w:ascii="Arial" w:hAnsi="Arial" w:cs="Arial"/>
                <w:sz w:val="22"/>
                <w:szCs w:val="22"/>
              </w:rPr>
            </w:pPr>
            <w:r>
              <w:rPr>
                <w:rFonts w:hint="eastAsia" w:ascii="Arial" w:hAnsi="Arial" w:cs="Arial"/>
                <w:sz w:val="22"/>
                <w:szCs w:val="22"/>
                <w:lang w:val="en-US" w:eastAsia="zh-CN"/>
              </w:rPr>
              <w:t>90~110</w:t>
            </w:r>
          </w:p>
        </w:tc>
      </w:tr>
      <w:tr w14:paraId="31435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5EB0A63E">
            <w:pPr>
              <w:widowControl/>
              <w:jc w:val="left"/>
              <w:rPr>
                <w:rFonts w:ascii="Arial" w:hAnsi="Arial" w:cs="Arial"/>
                <w:sz w:val="22"/>
                <w:szCs w:val="22"/>
              </w:rPr>
            </w:pPr>
          </w:p>
        </w:tc>
        <w:tc>
          <w:tcPr>
            <w:tcW w:w="3041" w:type="dxa"/>
            <w:tcBorders>
              <w:tl2br w:val="nil"/>
              <w:tr2bl w:val="nil"/>
            </w:tcBorders>
            <w:noWrap w:val="0"/>
            <w:vAlign w:val="center"/>
          </w:tcPr>
          <w:p w14:paraId="43E9A9BD">
            <w:pPr>
              <w:jc w:val="center"/>
              <w:rPr>
                <w:rFonts w:ascii="Arial" w:hAnsi="Arial" w:cs="Arial"/>
                <w:sz w:val="22"/>
                <w:szCs w:val="22"/>
              </w:rPr>
            </w:pPr>
            <w:r>
              <w:rPr>
                <w:rFonts w:ascii="Arial" w:hAnsi="宋体" w:cs="Arial"/>
                <w:sz w:val="22"/>
                <w:szCs w:val="22"/>
              </w:rPr>
              <w:t>空压机</w:t>
            </w:r>
          </w:p>
        </w:tc>
        <w:tc>
          <w:tcPr>
            <w:tcW w:w="2902" w:type="dxa"/>
            <w:tcBorders>
              <w:tl2br w:val="nil"/>
              <w:tr2bl w:val="nil"/>
            </w:tcBorders>
            <w:noWrap w:val="0"/>
            <w:vAlign w:val="center"/>
          </w:tcPr>
          <w:p w14:paraId="6201730F">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85~100</w:t>
            </w:r>
          </w:p>
        </w:tc>
      </w:tr>
      <w:tr w14:paraId="72DF4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7B4D7EA1">
            <w:pPr>
              <w:widowControl/>
              <w:jc w:val="left"/>
              <w:rPr>
                <w:rFonts w:ascii="Arial" w:hAnsi="Arial" w:cs="Arial"/>
                <w:sz w:val="22"/>
                <w:szCs w:val="22"/>
              </w:rPr>
            </w:pPr>
          </w:p>
        </w:tc>
        <w:tc>
          <w:tcPr>
            <w:tcW w:w="3041" w:type="dxa"/>
            <w:tcBorders>
              <w:tl2br w:val="nil"/>
              <w:tr2bl w:val="nil"/>
            </w:tcBorders>
            <w:noWrap w:val="0"/>
            <w:vAlign w:val="center"/>
          </w:tcPr>
          <w:p w14:paraId="03D352B3">
            <w:pPr>
              <w:jc w:val="center"/>
              <w:rPr>
                <w:rFonts w:ascii="Arial" w:hAnsi="Arial" w:cs="Arial"/>
                <w:sz w:val="22"/>
                <w:szCs w:val="22"/>
              </w:rPr>
            </w:pPr>
            <w:r>
              <w:rPr>
                <w:rFonts w:ascii="Arial" w:hAnsi="宋体" w:cs="Arial"/>
                <w:sz w:val="22"/>
                <w:szCs w:val="22"/>
              </w:rPr>
              <w:t>风钻</w:t>
            </w:r>
          </w:p>
        </w:tc>
        <w:tc>
          <w:tcPr>
            <w:tcW w:w="2902" w:type="dxa"/>
            <w:tcBorders>
              <w:tl2br w:val="nil"/>
              <w:tr2bl w:val="nil"/>
            </w:tcBorders>
            <w:noWrap w:val="0"/>
            <w:vAlign w:val="center"/>
          </w:tcPr>
          <w:p w14:paraId="60FDAEB0">
            <w:pPr>
              <w:jc w:val="center"/>
              <w:rPr>
                <w:rFonts w:ascii="Arial" w:hAnsi="Arial" w:cs="Arial"/>
                <w:sz w:val="22"/>
                <w:szCs w:val="22"/>
              </w:rPr>
            </w:pPr>
            <w:r>
              <w:rPr>
                <w:rFonts w:ascii="Arial" w:hAnsi="Arial" w:cs="Arial"/>
                <w:sz w:val="22"/>
                <w:szCs w:val="22"/>
              </w:rPr>
              <w:t>95</w:t>
            </w:r>
            <w:r>
              <w:rPr>
                <w:rFonts w:ascii="Arial" w:hAnsi="宋体" w:cs="Arial"/>
                <w:sz w:val="22"/>
                <w:szCs w:val="22"/>
              </w:rPr>
              <w:t>～</w:t>
            </w:r>
            <w:r>
              <w:rPr>
                <w:rFonts w:ascii="Arial" w:hAnsi="Arial" w:cs="Arial"/>
                <w:sz w:val="22"/>
                <w:szCs w:val="22"/>
              </w:rPr>
              <w:t>1</w:t>
            </w:r>
            <w:r>
              <w:rPr>
                <w:rFonts w:hint="eastAsia" w:ascii="Arial" w:hAnsi="Arial" w:cs="Arial"/>
                <w:sz w:val="22"/>
                <w:szCs w:val="22"/>
                <w:lang w:val="en-US" w:eastAsia="zh-CN"/>
              </w:rPr>
              <w:t>2</w:t>
            </w:r>
            <w:r>
              <w:rPr>
                <w:rFonts w:ascii="Arial" w:hAnsi="Arial" w:cs="Arial"/>
                <w:sz w:val="22"/>
                <w:szCs w:val="22"/>
              </w:rPr>
              <w:t>0</w:t>
            </w:r>
          </w:p>
        </w:tc>
      </w:tr>
      <w:tr w14:paraId="2F454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3FE5E03E">
            <w:pPr>
              <w:widowControl/>
              <w:jc w:val="left"/>
              <w:rPr>
                <w:rFonts w:ascii="Arial" w:hAnsi="Arial" w:cs="Arial"/>
                <w:sz w:val="22"/>
                <w:szCs w:val="22"/>
              </w:rPr>
            </w:pPr>
          </w:p>
        </w:tc>
        <w:tc>
          <w:tcPr>
            <w:tcW w:w="3041" w:type="dxa"/>
            <w:tcBorders>
              <w:tl2br w:val="nil"/>
              <w:tr2bl w:val="nil"/>
            </w:tcBorders>
            <w:shd w:val="clear" w:color="auto" w:fill="auto"/>
            <w:noWrap w:val="0"/>
            <w:vAlign w:val="center"/>
          </w:tcPr>
          <w:p w14:paraId="48F1A7F2">
            <w:pPr>
              <w:jc w:val="center"/>
              <w:rPr>
                <w:rFonts w:ascii="Arial" w:hAnsi="Arial" w:eastAsia="宋体" w:cs="Arial"/>
                <w:kern w:val="2"/>
                <w:sz w:val="22"/>
                <w:szCs w:val="22"/>
                <w:lang w:val="en-US" w:eastAsia="zh-CN" w:bidi="ar-SA"/>
              </w:rPr>
            </w:pPr>
            <w:r>
              <w:rPr>
                <w:rFonts w:ascii="Arial" w:hAnsi="宋体" w:cs="Arial"/>
                <w:sz w:val="22"/>
                <w:szCs w:val="22"/>
              </w:rPr>
              <w:t>泵类</w:t>
            </w:r>
          </w:p>
        </w:tc>
        <w:tc>
          <w:tcPr>
            <w:tcW w:w="2902" w:type="dxa"/>
            <w:tcBorders>
              <w:tl2br w:val="nil"/>
              <w:tr2bl w:val="nil"/>
            </w:tcBorders>
            <w:shd w:val="clear" w:color="auto" w:fill="auto"/>
            <w:noWrap w:val="0"/>
            <w:vAlign w:val="center"/>
          </w:tcPr>
          <w:p w14:paraId="6E77BB1E">
            <w:pPr>
              <w:jc w:val="center"/>
              <w:rPr>
                <w:rFonts w:ascii="Arial" w:hAnsi="Arial" w:eastAsia="宋体" w:cs="Arial"/>
                <w:kern w:val="2"/>
                <w:sz w:val="22"/>
                <w:szCs w:val="22"/>
                <w:lang w:val="en-US" w:eastAsia="zh-CN" w:bidi="ar-SA"/>
              </w:rPr>
            </w:pPr>
            <w:r>
              <w:rPr>
                <w:rFonts w:ascii="Arial" w:hAnsi="Arial" w:cs="Arial"/>
                <w:sz w:val="22"/>
                <w:szCs w:val="22"/>
              </w:rPr>
              <w:t>90</w:t>
            </w:r>
          </w:p>
        </w:tc>
      </w:tr>
      <w:tr w14:paraId="504DB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177" w:type="dxa"/>
            <w:vMerge w:val="continue"/>
            <w:tcBorders>
              <w:tl2br w:val="nil"/>
              <w:tr2bl w:val="nil"/>
            </w:tcBorders>
            <w:noWrap w:val="0"/>
            <w:vAlign w:val="center"/>
          </w:tcPr>
          <w:p w14:paraId="49B8E853">
            <w:pPr>
              <w:widowControl/>
              <w:jc w:val="left"/>
              <w:rPr>
                <w:rFonts w:ascii="Arial" w:hAnsi="Arial" w:cs="Arial"/>
                <w:sz w:val="22"/>
                <w:szCs w:val="22"/>
              </w:rPr>
            </w:pPr>
          </w:p>
        </w:tc>
        <w:tc>
          <w:tcPr>
            <w:tcW w:w="3041" w:type="dxa"/>
            <w:tcBorders>
              <w:tl2br w:val="nil"/>
              <w:tr2bl w:val="nil"/>
            </w:tcBorders>
            <w:noWrap w:val="0"/>
            <w:vAlign w:val="center"/>
          </w:tcPr>
          <w:p w14:paraId="4DF821DC">
            <w:pPr>
              <w:jc w:val="center"/>
              <w:rPr>
                <w:rFonts w:hint="eastAsia" w:ascii="Arial" w:hAnsi="Arial" w:eastAsia="宋体" w:cs="Arial"/>
                <w:sz w:val="22"/>
                <w:szCs w:val="22"/>
                <w:lang w:eastAsia="zh-CN"/>
              </w:rPr>
            </w:pPr>
            <w:r>
              <w:rPr>
                <w:rFonts w:hint="eastAsia" w:ascii="Arial" w:hAnsi="Arial" w:cs="Arial"/>
                <w:sz w:val="22"/>
                <w:szCs w:val="22"/>
                <w:lang w:eastAsia="zh-CN"/>
              </w:rPr>
              <w:t>施工场地综合加工</w:t>
            </w:r>
          </w:p>
        </w:tc>
        <w:tc>
          <w:tcPr>
            <w:tcW w:w="2902" w:type="dxa"/>
            <w:tcBorders>
              <w:tl2br w:val="nil"/>
              <w:tr2bl w:val="nil"/>
            </w:tcBorders>
            <w:noWrap w:val="0"/>
            <w:vAlign w:val="center"/>
          </w:tcPr>
          <w:p w14:paraId="16D090CC">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95~110</w:t>
            </w:r>
          </w:p>
        </w:tc>
      </w:tr>
      <w:tr w14:paraId="1D889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restart"/>
            <w:tcBorders>
              <w:tl2br w:val="nil"/>
              <w:tr2bl w:val="nil"/>
            </w:tcBorders>
            <w:noWrap w:val="0"/>
            <w:vAlign w:val="center"/>
          </w:tcPr>
          <w:p w14:paraId="3EEC1AF0">
            <w:pPr>
              <w:jc w:val="center"/>
              <w:rPr>
                <w:rFonts w:ascii="Arial" w:hAnsi="Arial" w:cs="Arial"/>
                <w:sz w:val="22"/>
                <w:szCs w:val="22"/>
              </w:rPr>
            </w:pPr>
            <w:r>
              <w:rPr>
                <w:rFonts w:ascii="Arial" w:hAnsi="宋体" w:cs="Arial"/>
                <w:sz w:val="22"/>
                <w:szCs w:val="22"/>
              </w:rPr>
              <w:t>大范围流动源</w:t>
            </w:r>
          </w:p>
        </w:tc>
        <w:tc>
          <w:tcPr>
            <w:tcW w:w="3041" w:type="dxa"/>
            <w:tcBorders>
              <w:tl2br w:val="nil"/>
              <w:tr2bl w:val="nil"/>
            </w:tcBorders>
            <w:noWrap w:val="0"/>
            <w:vAlign w:val="center"/>
          </w:tcPr>
          <w:p w14:paraId="240E2ED6">
            <w:pPr>
              <w:jc w:val="center"/>
              <w:rPr>
                <w:rFonts w:ascii="Arial" w:hAnsi="Arial" w:cs="Arial"/>
                <w:sz w:val="22"/>
                <w:szCs w:val="22"/>
              </w:rPr>
            </w:pPr>
            <w:r>
              <w:rPr>
                <w:rFonts w:ascii="Arial" w:hAnsi="宋体" w:cs="Arial"/>
                <w:sz w:val="22"/>
                <w:szCs w:val="22"/>
              </w:rPr>
              <w:t>重型载重汽车</w:t>
            </w:r>
          </w:p>
        </w:tc>
        <w:tc>
          <w:tcPr>
            <w:tcW w:w="2902" w:type="dxa"/>
            <w:tcBorders>
              <w:tl2br w:val="nil"/>
              <w:tr2bl w:val="nil"/>
            </w:tcBorders>
            <w:noWrap w:val="0"/>
            <w:vAlign w:val="center"/>
          </w:tcPr>
          <w:p w14:paraId="33709C50">
            <w:pPr>
              <w:jc w:val="center"/>
              <w:rPr>
                <w:rFonts w:ascii="Arial" w:hAnsi="Arial" w:cs="Arial"/>
                <w:sz w:val="22"/>
                <w:szCs w:val="22"/>
              </w:rPr>
            </w:pPr>
            <w:r>
              <w:rPr>
                <w:rFonts w:ascii="Arial" w:hAnsi="Arial" w:cs="Arial"/>
                <w:sz w:val="22"/>
                <w:szCs w:val="22"/>
              </w:rPr>
              <w:t>88</w:t>
            </w:r>
            <w:r>
              <w:rPr>
                <w:rFonts w:ascii="Arial" w:hAnsi="宋体" w:cs="Arial"/>
                <w:sz w:val="22"/>
                <w:szCs w:val="22"/>
              </w:rPr>
              <w:t>～</w:t>
            </w:r>
            <w:r>
              <w:rPr>
                <w:rFonts w:ascii="Arial" w:hAnsi="Arial" w:cs="Arial"/>
                <w:sz w:val="22"/>
                <w:szCs w:val="22"/>
              </w:rPr>
              <w:t>93</w:t>
            </w:r>
          </w:p>
        </w:tc>
      </w:tr>
      <w:tr w14:paraId="4E704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0ABEAB93">
            <w:pPr>
              <w:widowControl/>
              <w:jc w:val="left"/>
              <w:rPr>
                <w:rFonts w:ascii="Arial" w:hAnsi="Arial" w:cs="Arial"/>
                <w:sz w:val="22"/>
                <w:szCs w:val="22"/>
              </w:rPr>
            </w:pPr>
          </w:p>
        </w:tc>
        <w:tc>
          <w:tcPr>
            <w:tcW w:w="3041" w:type="dxa"/>
            <w:tcBorders>
              <w:tl2br w:val="nil"/>
              <w:tr2bl w:val="nil"/>
            </w:tcBorders>
            <w:noWrap w:val="0"/>
            <w:vAlign w:val="center"/>
          </w:tcPr>
          <w:p w14:paraId="573A0E3F">
            <w:pPr>
              <w:jc w:val="center"/>
              <w:rPr>
                <w:rFonts w:ascii="Arial" w:hAnsi="Arial" w:cs="Arial"/>
                <w:sz w:val="22"/>
                <w:szCs w:val="22"/>
              </w:rPr>
            </w:pPr>
            <w:r>
              <w:rPr>
                <w:rFonts w:ascii="Arial" w:hAnsi="宋体" w:cs="Arial"/>
                <w:sz w:val="22"/>
                <w:szCs w:val="22"/>
              </w:rPr>
              <w:t>中型载重汽车</w:t>
            </w:r>
          </w:p>
        </w:tc>
        <w:tc>
          <w:tcPr>
            <w:tcW w:w="2902" w:type="dxa"/>
            <w:tcBorders>
              <w:tl2br w:val="nil"/>
              <w:tr2bl w:val="nil"/>
            </w:tcBorders>
            <w:noWrap w:val="0"/>
            <w:vAlign w:val="center"/>
          </w:tcPr>
          <w:p w14:paraId="2E502442">
            <w:pPr>
              <w:jc w:val="center"/>
              <w:rPr>
                <w:rFonts w:ascii="Arial" w:hAnsi="Arial" w:cs="Arial"/>
                <w:sz w:val="22"/>
                <w:szCs w:val="22"/>
              </w:rPr>
            </w:pPr>
            <w:r>
              <w:rPr>
                <w:rFonts w:ascii="Arial" w:hAnsi="Arial" w:cs="Arial"/>
                <w:sz w:val="22"/>
                <w:szCs w:val="22"/>
              </w:rPr>
              <w:t>85</w:t>
            </w:r>
            <w:r>
              <w:rPr>
                <w:rFonts w:ascii="Arial" w:hAnsi="宋体" w:cs="Arial"/>
                <w:sz w:val="22"/>
                <w:szCs w:val="22"/>
              </w:rPr>
              <w:t>～</w:t>
            </w:r>
            <w:r>
              <w:rPr>
                <w:rFonts w:ascii="Arial" w:hAnsi="Arial" w:cs="Arial"/>
                <w:sz w:val="22"/>
                <w:szCs w:val="22"/>
              </w:rPr>
              <w:t>91</w:t>
            </w:r>
          </w:p>
        </w:tc>
      </w:tr>
      <w:tr w14:paraId="259B8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5675401A">
            <w:pPr>
              <w:widowControl/>
              <w:jc w:val="left"/>
              <w:rPr>
                <w:rFonts w:ascii="Arial" w:hAnsi="Arial" w:cs="Arial"/>
                <w:sz w:val="22"/>
                <w:szCs w:val="22"/>
              </w:rPr>
            </w:pPr>
          </w:p>
        </w:tc>
        <w:tc>
          <w:tcPr>
            <w:tcW w:w="3041" w:type="dxa"/>
            <w:tcBorders>
              <w:tl2br w:val="nil"/>
              <w:tr2bl w:val="nil"/>
            </w:tcBorders>
            <w:noWrap w:val="0"/>
            <w:vAlign w:val="center"/>
          </w:tcPr>
          <w:p w14:paraId="69939494">
            <w:pPr>
              <w:jc w:val="center"/>
              <w:rPr>
                <w:rFonts w:ascii="Arial" w:hAnsi="Arial" w:cs="Arial"/>
                <w:sz w:val="22"/>
                <w:szCs w:val="22"/>
              </w:rPr>
            </w:pPr>
            <w:r>
              <w:rPr>
                <w:rFonts w:ascii="Arial" w:hAnsi="宋体" w:cs="Arial"/>
                <w:sz w:val="22"/>
                <w:szCs w:val="22"/>
              </w:rPr>
              <w:t>轻型载重汽车</w:t>
            </w:r>
          </w:p>
        </w:tc>
        <w:tc>
          <w:tcPr>
            <w:tcW w:w="2902" w:type="dxa"/>
            <w:tcBorders>
              <w:tl2br w:val="nil"/>
              <w:tr2bl w:val="nil"/>
            </w:tcBorders>
            <w:noWrap w:val="0"/>
            <w:vAlign w:val="center"/>
          </w:tcPr>
          <w:p w14:paraId="7F4FA746">
            <w:pPr>
              <w:jc w:val="center"/>
              <w:rPr>
                <w:rFonts w:ascii="Arial" w:hAnsi="Arial" w:cs="Arial"/>
                <w:sz w:val="22"/>
                <w:szCs w:val="22"/>
              </w:rPr>
            </w:pPr>
            <w:r>
              <w:rPr>
                <w:rFonts w:ascii="Arial" w:hAnsi="Arial" w:cs="Arial"/>
                <w:sz w:val="22"/>
                <w:szCs w:val="22"/>
              </w:rPr>
              <w:t>82</w:t>
            </w:r>
            <w:r>
              <w:rPr>
                <w:rFonts w:ascii="Arial" w:hAnsi="宋体" w:cs="Arial"/>
                <w:sz w:val="22"/>
                <w:szCs w:val="22"/>
              </w:rPr>
              <w:t>～</w:t>
            </w:r>
            <w:r>
              <w:rPr>
                <w:rFonts w:ascii="Arial" w:hAnsi="Arial" w:cs="Arial"/>
                <w:sz w:val="22"/>
                <w:szCs w:val="22"/>
              </w:rPr>
              <w:t>90</w:t>
            </w:r>
          </w:p>
        </w:tc>
      </w:tr>
      <w:tr w14:paraId="67390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595A66B4">
            <w:pPr>
              <w:widowControl/>
              <w:jc w:val="left"/>
              <w:rPr>
                <w:rFonts w:ascii="Arial" w:hAnsi="Arial" w:cs="Arial"/>
                <w:sz w:val="22"/>
                <w:szCs w:val="22"/>
              </w:rPr>
            </w:pPr>
          </w:p>
        </w:tc>
        <w:tc>
          <w:tcPr>
            <w:tcW w:w="3041" w:type="dxa"/>
            <w:tcBorders>
              <w:tl2br w:val="nil"/>
              <w:tr2bl w:val="nil"/>
            </w:tcBorders>
            <w:noWrap w:val="0"/>
            <w:vAlign w:val="center"/>
          </w:tcPr>
          <w:p w14:paraId="61752CFC">
            <w:pPr>
              <w:jc w:val="center"/>
              <w:rPr>
                <w:rFonts w:ascii="Arial" w:hAnsi="Arial" w:cs="Arial"/>
                <w:sz w:val="22"/>
                <w:szCs w:val="22"/>
              </w:rPr>
            </w:pPr>
            <w:r>
              <w:rPr>
                <w:rFonts w:ascii="Arial" w:hAnsi="宋体" w:cs="Arial"/>
                <w:sz w:val="22"/>
                <w:szCs w:val="22"/>
              </w:rPr>
              <w:t>推土机</w:t>
            </w:r>
          </w:p>
        </w:tc>
        <w:tc>
          <w:tcPr>
            <w:tcW w:w="2902" w:type="dxa"/>
            <w:tcBorders>
              <w:tl2br w:val="nil"/>
              <w:tr2bl w:val="nil"/>
            </w:tcBorders>
            <w:noWrap w:val="0"/>
            <w:vAlign w:val="center"/>
          </w:tcPr>
          <w:p w14:paraId="44BE9DCC">
            <w:pPr>
              <w:jc w:val="center"/>
              <w:rPr>
                <w:rFonts w:ascii="Arial" w:hAnsi="Arial" w:cs="Arial"/>
                <w:sz w:val="22"/>
                <w:szCs w:val="22"/>
              </w:rPr>
            </w:pPr>
            <w:r>
              <w:rPr>
                <w:rFonts w:ascii="Arial" w:hAnsi="Arial" w:cs="Arial"/>
                <w:sz w:val="22"/>
                <w:szCs w:val="22"/>
              </w:rPr>
              <w:t>78</w:t>
            </w:r>
            <w:r>
              <w:rPr>
                <w:rFonts w:ascii="Arial" w:hAnsi="宋体" w:cs="Arial"/>
                <w:sz w:val="22"/>
                <w:szCs w:val="22"/>
              </w:rPr>
              <w:t>～</w:t>
            </w:r>
            <w:r>
              <w:rPr>
                <w:rFonts w:ascii="Arial" w:hAnsi="Arial" w:cs="Arial"/>
                <w:sz w:val="22"/>
                <w:szCs w:val="22"/>
              </w:rPr>
              <w:t>96</w:t>
            </w:r>
          </w:p>
        </w:tc>
      </w:tr>
    </w:tbl>
    <w:p w14:paraId="6F4C55BB">
      <w:pPr>
        <w:keepNext w:val="0"/>
        <w:keepLines w:val="0"/>
        <w:pageBreakBefore w:val="0"/>
        <w:widowControl w:val="0"/>
        <w:kinsoku/>
        <w:wordWrap/>
        <w:overflowPunct/>
        <w:topLinePunct w:val="0"/>
        <w:autoSpaceDE/>
        <w:autoSpaceDN/>
        <w:bidi w:val="0"/>
        <w:adjustRightInd/>
        <w:snapToGrid/>
        <w:spacing w:line="240" w:lineRule="exact"/>
        <w:ind w:left="0" w:right="0" w:firstLine="520" w:firstLineChars="200"/>
        <w:jc w:val="both"/>
        <w:textAlignment w:val="auto"/>
        <w:rPr>
          <w:rFonts w:hint="default" w:ascii="Arial" w:hAnsi="Arial" w:cs="Arial"/>
          <w:bCs/>
          <w:color w:val="auto"/>
          <w:sz w:val="26"/>
          <w:szCs w:val="26"/>
          <w:lang w:val="en-US" w:eastAsia="zh-CN"/>
        </w:rPr>
      </w:pPr>
    </w:p>
    <w:p w14:paraId="41F6E7A3">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r>
        <w:rPr>
          <w:rFonts w:hint="eastAsia" w:ascii="Arial" w:hAnsi="Arial" w:cs="Arial"/>
          <w:bCs/>
          <w:color w:val="auto"/>
          <w:sz w:val="26"/>
          <w:szCs w:val="26"/>
          <w:lang w:eastAsia="zh-CN"/>
        </w:rPr>
        <w:t>施工期噪声主要通过做好施工组织、合理安排施工时间；采用噪声小的设备车辆，并加强维护；固定高噪声加装临时隔声罩或置于专用房间内，利用墙体隔声等措施进行处理。</w:t>
      </w:r>
    </w:p>
    <w:p w14:paraId="150FDA50">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cs="Arial"/>
          <w:b/>
          <w:sz w:val="26"/>
          <w:szCs w:val="26"/>
        </w:rPr>
      </w:pPr>
      <w:r>
        <w:rPr>
          <w:rFonts w:hint="eastAsia" w:ascii="Arial" w:hAnsi="宋体" w:cs="Arial"/>
          <w:b/>
          <w:sz w:val="26"/>
          <w:szCs w:val="26"/>
        </w:rPr>
        <w:t>（</w:t>
      </w:r>
      <w:r>
        <w:rPr>
          <w:rFonts w:hint="eastAsia" w:ascii="Arial" w:hAnsi="宋体" w:cs="Arial"/>
          <w:b/>
          <w:sz w:val="26"/>
          <w:szCs w:val="26"/>
          <w:lang w:val="en-US" w:eastAsia="zh-CN"/>
        </w:rPr>
        <w:t>4</w:t>
      </w:r>
      <w:r>
        <w:rPr>
          <w:rFonts w:hint="eastAsia" w:ascii="Arial" w:hAnsi="宋体" w:cs="Arial"/>
          <w:b/>
          <w:sz w:val="26"/>
          <w:szCs w:val="26"/>
        </w:rPr>
        <w:t>）</w:t>
      </w:r>
      <w:r>
        <w:rPr>
          <w:rFonts w:hint="eastAsia" w:ascii="Arial" w:hAnsi="宋体" w:cs="Arial"/>
          <w:b/>
          <w:sz w:val="26"/>
          <w:szCs w:val="26"/>
          <w:lang w:eastAsia="zh-CN"/>
        </w:rPr>
        <w:t>固体废物</w:t>
      </w:r>
    </w:p>
    <w:p w14:paraId="7FAB49FB">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宋体" w:hAnsi="宋体" w:cs="宋体"/>
          <w:bCs/>
          <w:color w:val="auto"/>
          <w:sz w:val="26"/>
          <w:szCs w:val="26"/>
        </w:rPr>
      </w:pPr>
      <w:r>
        <w:rPr>
          <w:rFonts w:hint="eastAsia" w:ascii="Arial" w:hAnsi="宋体" w:cs="Arial"/>
          <w:bCs/>
          <w:sz w:val="26"/>
          <w:szCs w:val="26"/>
        </w:rPr>
        <w:t>施工期固体废物来自场地清理出的表土、开挖产生的</w:t>
      </w:r>
      <w:r>
        <w:rPr>
          <w:rFonts w:hint="eastAsia" w:ascii="Arial" w:hAnsi="宋体" w:cs="Arial"/>
          <w:bCs/>
          <w:sz w:val="26"/>
          <w:szCs w:val="26"/>
          <w:lang w:eastAsia="zh-CN"/>
        </w:rPr>
        <w:t>弃渣</w:t>
      </w:r>
      <w:r>
        <w:rPr>
          <w:rFonts w:hint="eastAsia" w:ascii="Arial" w:hAnsi="宋体" w:cs="Arial"/>
          <w:bCs/>
          <w:sz w:val="26"/>
          <w:szCs w:val="26"/>
        </w:rPr>
        <w:t>、施工机械及运</w:t>
      </w:r>
      <w:r>
        <w:rPr>
          <w:rFonts w:hint="eastAsia" w:ascii="Arial" w:hAnsi="宋体" w:cs="Arial"/>
          <w:bCs/>
          <w:color w:val="auto"/>
          <w:sz w:val="26"/>
          <w:szCs w:val="26"/>
        </w:rPr>
        <w:t>输车辆维修废油、施工人员产生的生活垃圾和餐厨垃圾，以及库区清理出的林木。</w:t>
      </w:r>
    </w:p>
    <w:p w14:paraId="1D620A80">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eastAsia="宋体" w:cs="Arial"/>
          <w:b/>
          <w:bCs/>
          <w:color w:val="auto"/>
          <w:sz w:val="26"/>
          <w:szCs w:val="26"/>
          <w:lang w:eastAsia="zh-CN"/>
        </w:rPr>
      </w:pPr>
      <w:r>
        <w:rPr>
          <w:rFonts w:ascii="Arial" w:hAnsi="Arial" w:cs="Arial"/>
          <w:b/>
          <w:bCs/>
          <w:color w:val="auto"/>
          <w:sz w:val="26"/>
          <w:szCs w:val="26"/>
        </w:rPr>
        <w:t xml:space="preserve">① </w:t>
      </w:r>
      <w:r>
        <w:rPr>
          <w:rFonts w:hint="eastAsia" w:ascii="Arial" w:hAnsi="Arial" w:cs="Arial"/>
          <w:b/>
          <w:bCs/>
          <w:color w:val="auto"/>
          <w:sz w:val="26"/>
          <w:szCs w:val="26"/>
          <w:lang w:eastAsia="zh-CN"/>
        </w:rPr>
        <w:t>表土</w:t>
      </w:r>
    </w:p>
    <w:p w14:paraId="7897BD0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val="en-US" w:eastAsia="zh-CN"/>
        </w:rPr>
      </w:pPr>
      <w:r>
        <w:rPr>
          <w:rFonts w:hint="eastAsia" w:ascii="Arial" w:hAnsi="Arial" w:cs="Arial"/>
          <w:bCs/>
          <w:color w:val="auto"/>
          <w:sz w:val="26"/>
          <w:szCs w:val="26"/>
          <w:lang w:eastAsia="zh-CN"/>
        </w:rPr>
        <w:t>根据项目初设报告，本项目施工期清表产生的表土约</w:t>
      </w:r>
      <w:r>
        <w:rPr>
          <w:rFonts w:hint="eastAsia" w:ascii="Arial" w:hAnsi="Arial" w:cs="Arial"/>
          <w:bCs/>
          <w:color w:val="auto"/>
          <w:sz w:val="26"/>
          <w:szCs w:val="26"/>
          <w:lang w:val="en-US" w:eastAsia="zh-CN"/>
        </w:rPr>
        <w:t>2.51万m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，集中收集后，分区暂存于项目所设弃渣场内，后期全部用作绿化覆土，不外排。</w:t>
      </w:r>
    </w:p>
    <w:p w14:paraId="303FC522">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default" w:ascii="Arial" w:hAnsi="Arial" w:cs="Arial"/>
          <w:b/>
          <w:bCs/>
          <w:color w:val="auto"/>
          <w:sz w:val="26"/>
          <w:szCs w:val="26"/>
          <w:lang w:val="en-US" w:eastAsia="zh-CN"/>
        </w:rPr>
        <w:t>②</w:t>
      </w:r>
      <w:r>
        <w:rPr>
          <w:rFonts w:hint="eastAsia" w:ascii="Arial" w:hAnsi="Arial" w:cs="Arial"/>
          <w:b/>
          <w:bCs/>
          <w:color w:val="auto"/>
          <w:sz w:val="26"/>
          <w:szCs w:val="26"/>
          <w:lang w:val="en-US" w:eastAsia="zh-CN"/>
        </w:rPr>
        <w:t xml:space="preserve"> 弃渣</w:t>
      </w:r>
    </w:p>
    <w:p w14:paraId="3897590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bCs/>
          <w:color w:val="auto"/>
          <w:sz w:val="26"/>
        </w:rPr>
      </w:pPr>
      <w:r>
        <w:rPr>
          <w:rFonts w:hint="eastAsia" w:ascii="Arial" w:hAnsi="Arial" w:cs="Arial"/>
          <w:bCs/>
          <w:color w:val="auto"/>
          <w:sz w:val="26"/>
          <w:szCs w:val="26"/>
          <w:lang w:eastAsia="zh-CN"/>
        </w:rPr>
        <w:t>根据项目初设报告，本项目枢纽工程、输水工程土石方开挖量合计为</w:t>
      </w:r>
      <w:r>
        <w:rPr>
          <w:rFonts w:hint="eastAsia" w:ascii="Arial" w:hAnsi="Arial" w:cs="Arial"/>
          <w:bCs/>
          <w:color w:val="auto"/>
          <w:sz w:val="26"/>
          <w:szCs w:val="26"/>
          <w:lang w:val="en-US" w:eastAsia="zh-CN"/>
        </w:rPr>
        <w:t>11.84万m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，回填利用量为5.03万m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，则弃渣产生量为6.81万m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w:t>
      </w:r>
      <w:r>
        <w:rPr>
          <w:rFonts w:hint="eastAsia" w:ascii="Arial" w:cs="Arial"/>
          <w:color w:val="auto"/>
          <w:sz w:val="26"/>
          <w:szCs w:val="26"/>
        </w:rPr>
        <w:t>本项目施工期共设1处渣场，位于</w:t>
      </w:r>
      <w:r>
        <w:rPr>
          <w:rFonts w:hint="eastAsia" w:ascii="Arial" w:cs="Arial"/>
          <w:color w:val="auto"/>
          <w:sz w:val="26"/>
          <w:szCs w:val="26"/>
          <w:lang w:eastAsia="zh-CN"/>
        </w:rPr>
        <w:t>田家山村村委会附近</w:t>
      </w:r>
      <w:r>
        <w:rPr>
          <w:rFonts w:hint="eastAsia" w:ascii="Arial" w:cs="Arial"/>
          <w:color w:val="auto"/>
          <w:sz w:val="26"/>
          <w:szCs w:val="26"/>
        </w:rPr>
        <w:t>，占地面积约为</w:t>
      </w:r>
      <w:r>
        <w:rPr>
          <w:rFonts w:hint="eastAsia" w:ascii="Arial" w:cs="Arial"/>
          <w:color w:val="auto"/>
          <w:sz w:val="26"/>
          <w:szCs w:val="26"/>
          <w:lang w:val="en-US" w:eastAsia="zh-CN"/>
        </w:rPr>
        <w:t>49.47亩</w:t>
      </w:r>
      <w:r>
        <w:rPr>
          <w:rFonts w:hint="eastAsia" w:ascii="Arial" w:cs="Arial"/>
          <w:color w:val="auto"/>
          <w:sz w:val="26"/>
          <w:szCs w:val="26"/>
        </w:rPr>
        <w:t>，</w:t>
      </w:r>
      <w:r>
        <w:rPr>
          <w:rFonts w:hint="eastAsia" w:ascii="Arial" w:cs="Arial"/>
          <w:bCs/>
          <w:color w:val="auto"/>
          <w:sz w:val="26"/>
        </w:rPr>
        <w:t>堆渣量</w:t>
      </w:r>
      <w:r>
        <w:rPr>
          <w:rFonts w:hint="eastAsia" w:ascii="Arial" w:cs="Arial"/>
          <w:bCs/>
          <w:color w:val="auto"/>
          <w:sz w:val="26"/>
          <w:lang w:val="en-US" w:eastAsia="zh-CN"/>
        </w:rPr>
        <w:t>1</w:t>
      </w:r>
      <w:r>
        <w:rPr>
          <w:rFonts w:hint="eastAsia" w:ascii="Arial" w:cs="Arial"/>
          <w:bCs/>
          <w:color w:val="auto"/>
          <w:sz w:val="26"/>
        </w:rPr>
        <w:t>2万</w:t>
      </w:r>
      <w:r>
        <w:rPr>
          <w:rFonts w:ascii="Arial" w:cs="Arial"/>
          <w:bCs/>
          <w:color w:val="auto"/>
          <w:sz w:val="26"/>
        </w:rPr>
        <w:t>m</w:t>
      </w:r>
      <w:r>
        <w:rPr>
          <w:rFonts w:ascii="Arial" w:cs="Arial"/>
          <w:bCs/>
          <w:color w:val="auto"/>
          <w:sz w:val="26"/>
          <w:vertAlign w:val="superscript"/>
        </w:rPr>
        <w:t>3</w:t>
      </w:r>
      <w:r>
        <w:rPr>
          <w:rFonts w:hint="eastAsia" w:ascii="Arial" w:cs="Arial"/>
          <w:bCs/>
          <w:color w:val="auto"/>
          <w:sz w:val="26"/>
        </w:rPr>
        <w:t>，用于堆存</w:t>
      </w:r>
      <w:r>
        <w:rPr>
          <w:rFonts w:hint="eastAsia" w:ascii="Arial" w:cs="Arial"/>
          <w:bCs/>
          <w:color w:val="auto"/>
          <w:sz w:val="26"/>
          <w:lang w:eastAsia="zh-CN"/>
        </w:rPr>
        <w:t>施工过程中</w:t>
      </w:r>
      <w:r>
        <w:rPr>
          <w:rFonts w:hint="eastAsia" w:ascii="Arial" w:cs="Arial"/>
          <w:bCs/>
          <w:color w:val="auto"/>
          <w:sz w:val="26"/>
        </w:rPr>
        <w:t>产生的</w:t>
      </w:r>
      <w:r>
        <w:rPr>
          <w:rFonts w:hint="eastAsia" w:ascii="Arial" w:cs="Arial"/>
          <w:bCs/>
          <w:color w:val="auto"/>
          <w:sz w:val="26"/>
          <w:lang w:eastAsia="zh-CN"/>
        </w:rPr>
        <w:t>弃渣</w:t>
      </w:r>
      <w:r>
        <w:rPr>
          <w:rFonts w:hint="eastAsia" w:ascii="Arial" w:cs="Arial"/>
          <w:bCs/>
          <w:color w:val="auto"/>
          <w:sz w:val="26"/>
        </w:rPr>
        <w:t>。同时，输水管线施工段应设置临时围挡，严格控制施工活动，做好废弃土石方的暂存、清运工作，严禁向河道内倾倒废渣，减轻对流域</w:t>
      </w:r>
      <w:r>
        <w:rPr>
          <w:rFonts w:hint="eastAsia" w:ascii="Arial" w:cs="Arial"/>
          <w:bCs/>
          <w:color w:val="auto"/>
          <w:sz w:val="26"/>
          <w:lang w:eastAsia="zh-CN"/>
        </w:rPr>
        <w:t>水生生态、水质</w:t>
      </w:r>
      <w:r>
        <w:rPr>
          <w:rFonts w:hint="eastAsia" w:ascii="Arial" w:cs="Arial"/>
          <w:bCs/>
          <w:color w:val="auto"/>
          <w:sz w:val="26"/>
        </w:rPr>
        <w:t>的影响。</w:t>
      </w:r>
    </w:p>
    <w:p w14:paraId="7D085E7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③ 废油</w:t>
      </w:r>
    </w:p>
    <w:p w14:paraId="30023A59">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r>
        <w:rPr>
          <w:rFonts w:hint="eastAsia" w:ascii="Arial" w:hAnsi="Arial" w:cs="Arial"/>
          <w:bCs/>
          <w:color w:val="auto"/>
          <w:sz w:val="26"/>
          <w:szCs w:val="26"/>
          <w:lang w:eastAsia="zh-CN"/>
        </w:rPr>
        <w:t>本项目枢纽工程施工区内设置有机械停放区，会对施工机械进行简易的维护和保养，该工序会产生废矿物油，属于危废废物。桶装收集后，暂存于施工场地内所设的危废贮存间内，定期交有资质的单位统一收运处置。</w:t>
      </w:r>
    </w:p>
    <w:p w14:paraId="66392ADB">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④ 生活垃圾</w:t>
      </w:r>
    </w:p>
    <w:p w14:paraId="15562306">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sz w:val="26"/>
          <w:szCs w:val="26"/>
          <w:lang w:eastAsia="zh-CN"/>
        </w:rPr>
      </w:pPr>
      <w:r>
        <w:rPr>
          <w:rFonts w:hint="eastAsia" w:ascii="Arial" w:hAnsi="Arial" w:cs="Arial"/>
          <w:bCs/>
          <w:color w:val="auto"/>
          <w:sz w:val="26"/>
          <w:szCs w:val="26"/>
          <w:lang w:eastAsia="zh-CN"/>
        </w:rPr>
        <w:t>本项目枢纽工程、输水工程施工期高峰劳动定员合计约</w:t>
      </w:r>
      <w:r>
        <w:rPr>
          <w:rFonts w:hint="eastAsia" w:ascii="Arial" w:hAnsi="Arial" w:cs="Arial"/>
          <w:bCs/>
          <w:color w:val="auto"/>
          <w:sz w:val="26"/>
          <w:szCs w:val="26"/>
          <w:lang w:val="en-US" w:eastAsia="zh-CN"/>
        </w:rPr>
        <w:t>130人，生活垃圾产生量按</w:t>
      </w:r>
      <w:r>
        <w:rPr>
          <w:rFonts w:ascii="Arial" w:hAnsi="Arial" w:cs="Arial"/>
          <w:sz w:val="26"/>
          <w:szCs w:val="26"/>
        </w:rPr>
        <w:t>0.5kg/</w:t>
      </w:r>
      <w:r>
        <w:rPr>
          <w:rFonts w:hint="eastAsia" w:ascii="Arial" w:hAnsi="Arial" w:cs="Arial"/>
          <w:sz w:val="26"/>
          <w:szCs w:val="26"/>
        </w:rPr>
        <w:t>（人</w:t>
      </w:r>
      <w:r>
        <w:rPr>
          <w:rFonts w:ascii="Arial" w:hAnsi="Arial" w:cs="Arial"/>
          <w:sz w:val="26"/>
          <w:szCs w:val="26"/>
        </w:rPr>
        <w:t>.d</w:t>
      </w:r>
      <w:r>
        <w:rPr>
          <w:rFonts w:hint="eastAsia" w:ascii="Arial" w:hAnsi="Arial" w:cs="Arial"/>
          <w:sz w:val="26"/>
          <w:szCs w:val="26"/>
        </w:rPr>
        <w:t>）</w:t>
      </w:r>
      <w:r>
        <w:rPr>
          <w:rFonts w:hint="eastAsia" w:ascii="Arial" w:hAnsi="Arial" w:cs="Arial"/>
          <w:sz w:val="26"/>
          <w:szCs w:val="26"/>
          <w:lang w:eastAsia="zh-CN"/>
        </w:rPr>
        <w:t>计，则生活垃圾产生量为</w:t>
      </w:r>
      <w:r>
        <w:rPr>
          <w:rFonts w:hint="eastAsia" w:ascii="Arial" w:hAnsi="Arial" w:cs="Arial"/>
          <w:sz w:val="26"/>
          <w:szCs w:val="26"/>
          <w:lang w:val="en-US" w:eastAsia="zh-CN"/>
        </w:rPr>
        <w:t>26kg/d。经各施工区设置的垃圾桶</w:t>
      </w:r>
      <w:r>
        <w:rPr>
          <w:rFonts w:hint="eastAsia" w:ascii="Arial" w:hAnsi="Arial" w:cs="Arial"/>
          <w:sz w:val="26"/>
          <w:szCs w:val="26"/>
        </w:rPr>
        <w:t>收集后，交当地环卫部门统一清运处置</w:t>
      </w:r>
      <w:r>
        <w:rPr>
          <w:rFonts w:hint="eastAsia" w:ascii="Arial" w:hAnsi="Arial" w:cs="Arial"/>
          <w:sz w:val="26"/>
          <w:szCs w:val="26"/>
          <w:lang w:eastAsia="zh-CN"/>
        </w:rPr>
        <w:t>。</w:t>
      </w:r>
    </w:p>
    <w:p w14:paraId="3D0C387E">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⑤ 餐厨垃圾</w:t>
      </w:r>
    </w:p>
    <w:p w14:paraId="3A2C12E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default" w:ascii="Arial" w:hAnsi="Arial" w:cs="Arial"/>
          <w:bCs/>
          <w:color w:val="auto"/>
          <w:sz w:val="26"/>
          <w:szCs w:val="26"/>
          <w:lang w:val="en-US" w:eastAsia="zh-CN"/>
        </w:rPr>
      </w:pPr>
      <w:r>
        <w:rPr>
          <w:rFonts w:hint="eastAsia" w:ascii="Arial" w:hAnsi="Arial" w:cs="Arial"/>
          <w:bCs/>
          <w:color w:val="auto"/>
          <w:sz w:val="26"/>
          <w:szCs w:val="26"/>
          <w:lang w:eastAsia="zh-CN"/>
        </w:rPr>
        <w:t>本项目租赁项目区已有居民房屋作施工营地，施工人员大多就近招用，仅少量管理、施工人员合计约</w:t>
      </w:r>
      <w:r>
        <w:rPr>
          <w:rFonts w:hint="eastAsia" w:ascii="Arial" w:hAnsi="Arial" w:cs="Arial"/>
          <w:bCs/>
          <w:color w:val="auto"/>
          <w:sz w:val="26"/>
          <w:szCs w:val="26"/>
          <w:lang w:val="en-US" w:eastAsia="zh-CN"/>
        </w:rPr>
        <w:t>80人</w:t>
      </w:r>
      <w:r>
        <w:rPr>
          <w:rFonts w:hint="eastAsia" w:ascii="Arial" w:hAnsi="Arial" w:cs="Arial"/>
          <w:bCs/>
          <w:color w:val="auto"/>
          <w:sz w:val="26"/>
          <w:szCs w:val="26"/>
          <w:lang w:eastAsia="zh-CN"/>
        </w:rPr>
        <w:t>在施工营地内食宿，餐厨垃圾产生量按</w:t>
      </w:r>
      <w:r>
        <w:rPr>
          <w:rFonts w:hint="eastAsia" w:ascii="Arial" w:hAnsi="Arial" w:cs="Arial"/>
          <w:bCs/>
          <w:color w:val="auto"/>
          <w:sz w:val="26"/>
          <w:szCs w:val="26"/>
          <w:lang w:val="en-US" w:eastAsia="zh-CN"/>
        </w:rPr>
        <w:t>0.2</w:t>
      </w:r>
      <w:r>
        <w:rPr>
          <w:rFonts w:ascii="Arial" w:hAnsi="Arial" w:cs="Arial"/>
          <w:sz w:val="26"/>
          <w:szCs w:val="26"/>
        </w:rPr>
        <w:t>kg/</w:t>
      </w:r>
      <w:r>
        <w:rPr>
          <w:rFonts w:hint="eastAsia" w:ascii="Arial" w:hAnsi="Arial" w:cs="Arial"/>
          <w:sz w:val="26"/>
          <w:szCs w:val="26"/>
        </w:rPr>
        <w:t>（人</w:t>
      </w:r>
      <w:r>
        <w:rPr>
          <w:rFonts w:ascii="Arial" w:hAnsi="Arial" w:cs="Arial"/>
          <w:sz w:val="26"/>
          <w:szCs w:val="26"/>
        </w:rPr>
        <w:t>.d</w:t>
      </w:r>
      <w:r>
        <w:rPr>
          <w:rFonts w:hint="eastAsia" w:ascii="Arial" w:hAnsi="Arial" w:cs="Arial"/>
          <w:sz w:val="26"/>
          <w:szCs w:val="26"/>
        </w:rPr>
        <w:t>）</w:t>
      </w:r>
      <w:r>
        <w:rPr>
          <w:rFonts w:hint="eastAsia" w:ascii="Arial" w:hAnsi="Arial" w:cs="Arial"/>
          <w:sz w:val="26"/>
          <w:szCs w:val="26"/>
          <w:lang w:eastAsia="zh-CN"/>
        </w:rPr>
        <w:t>计，则餐厨垃圾产生量为</w:t>
      </w:r>
      <w:r>
        <w:rPr>
          <w:rFonts w:hint="eastAsia" w:ascii="Arial" w:hAnsi="Arial" w:cs="Arial"/>
          <w:sz w:val="26"/>
          <w:szCs w:val="26"/>
          <w:lang w:val="en-US" w:eastAsia="zh-CN"/>
        </w:rPr>
        <w:t>16kg/d。</w:t>
      </w:r>
      <w:r>
        <w:rPr>
          <w:rFonts w:hint="eastAsia" w:ascii="Arial" w:hAnsi="Arial" w:cs="Arial"/>
          <w:sz w:val="26"/>
          <w:szCs w:val="26"/>
        </w:rPr>
        <w:t>桶装收集后，交有资质的单位清运处置。</w:t>
      </w:r>
    </w:p>
    <w:p w14:paraId="284194E4">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⑥ 清库废物</w:t>
      </w:r>
    </w:p>
    <w:p w14:paraId="30333C58">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r>
        <w:rPr>
          <w:rFonts w:hint="eastAsia" w:ascii="Arial" w:hAnsi="Arial" w:cs="Arial"/>
          <w:bCs/>
          <w:color w:val="auto"/>
          <w:sz w:val="26"/>
          <w:szCs w:val="26"/>
          <w:lang w:eastAsia="zh-CN"/>
        </w:rPr>
        <w:t>项目库底清理包括淹没区内林木清理、卫生清理等，约</w:t>
      </w:r>
      <w:r>
        <w:rPr>
          <w:rFonts w:hint="eastAsia" w:ascii="Arial" w:hAnsi="Arial" w:cs="Arial"/>
          <w:bCs/>
          <w:color w:val="auto"/>
          <w:sz w:val="26"/>
          <w:szCs w:val="26"/>
          <w:lang w:val="en-US" w:eastAsia="zh-CN"/>
        </w:rPr>
        <w:t>850t，</w:t>
      </w:r>
      <w:r>
        <w:rPr>
          <w:rFonts w:hint="eastAsia" w:ascii="Arial" w:hAnsi="Arial" w:cs="Arial"/>
          <w:bCs/>
          <w:color w:val="auto"/>
          <w:sz w:val="26"/>
          <w:szCs w:val="26"/>
          <w:lang w:eastAsia="zh-CN"/>
        </w:rPr>
        <w:t>清理出来的废物按要求进行分类收集处置。生活垃圾等交当地市政环卫部门统一清运处置，木材可外卖进行综合再利用，运输过程中需加盖、遮挡，避免二次污染。</w:t>
      </w:r>
    </w:p>
    <w:p w14:paraId="0C622E63">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eastAsia="宋体" w:cs="Arial"/>
          <w:b/>
          <w:sz w:val="26"/>
          <w:szCs w:val="26"/>
          <w:lang w:val="en-US" w:eastAsia="zh-CN"/>
        </w:rPr>
      </w:pPr>
      <w:r>
        <w:rPr>
          <w:rFonts w:hint="eastAsia" w:ascii="Arial" w:hAnsi="宋体" w:cs="Arial"/>
          <w:b/>
          <w:sz w:val="26"/>
          <w:szCs w:val="26"/>
        </w:rPr>
        <w:t>（</w:t>
      </w:r>
      <w:r>
        <w:rPr>
          <w:rFonts w:hint="eastAsia" w:ascii="Arial" w:hAnsi="宋体" w:cs="Arial"/>
          <w:b/>
          <w:sz w:val="26"/>
          <w:szCs w:val="26"/>
          <w:lang w:val="en-US" w:eastAsia="zh-CN"/>
        </w:rPr>
        <w:t>5</w:t>
      </w:r>
      <w:r>
        <w:rPr>
          <w:rFonts w:hint="eastAsia" w:ascii="Arial" w:hAnsi="宋体" w:cs="Arial"/>
          <w:b/>
          <w:sz w:val="26"/>
          <w:szCs w:val="26"/>
        </w:rPr>
        <w:t>）</w:t>
      </w:r>
      <w:r>
        <w:rPr>
          <w:rFonts w:hint="eastAsia" w:ascii="Arial" w:hAnsi="宋体" w:cs="Arial"/>
          <w:b/>
          <w:sz w:val="26"/>
          <w:szCs w:val="26"/>
          <w:lang w:eastAsia="zh-CN"/>
        </w:rPr>
        <w:t>生态环境</w:t>
      </w:r>
    </w:p>
    <w:p w14:paraId="0CC2C8A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cs="Arial"/>
          <w:sz w:val="26"/>
          <w:szCs w:val="26"/>
        </w:rPr>
        <w:t>施工期工程施工对生态环境的影响表现为：工程占地造成区域土地利用格局的变化，对土地资源的影响；施工占地区域的植被破坏，导致对陆生动、植物的影响；工程施工扰动地表导致原地貌的破坏并造成水土流失。</w:t>
      </w:r>
    </w:p>
    <w:p w14:paraId="724095D3">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① 工程占地造成区域土地利用格局变化</w:t>
      </w:r>
    </w:p>
    <w:p w14:paraId="55475E8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auto"/>
          <w:sz w:val="26"/>
          <w:szCs w:val="26"/>
          <w:lang w:val="en-US" w:eastAsia="zh-CN"/>
        </w:rPr>
      </w:pPr>
      <w:r>
        <w:rPr>
          <w:rFonts w:hint="eastAsia" w:ascii="Arial" w:hAnsi="Arial" w:cs="Arial"/>
          <w:color w:val="auto"/>
          <w:sz w:val="26"/>
          <w:szCs w:val="26"/>
          <w:lang w:eastAsia="zh-CN"/>
        </w:rPr>
        <w:t>本项目总占地面积为</w:t>
      </w:r>
      <w:r>
        <w:rPr>
          <w:rFonts w:hint="eastAsia" w:ascii="Arial" w:hAnsi="Arial" w:cs="Arial"/>
          <w:color w:val="auto"/>
          <w:sz w:val="26"/>
          <w:szCs w:val="26"/>
          <w:lang w:val="en-US" w:eastAsia="zh-CN"/>
        </w:rPr>
        <w:t>24.1126</w:t>
      </w:r>
      <w:r>
        <w:rPr>
          <w:rFonts w:ascii="Arial" w:hAnsi="Arial" w:cs="Arial"/>
          <w:color w:val="auto"/>
          <w:sz w:val="26"/>
          <w:szCs w:val="26"/>
        </w:rPr>
        <w:t>hm</w:t>
      </w:r>
      <w:r>
        <w:rPr>
          <w:rFonts w:ascii="Arial" w:hAnsi="Arial" w:cs="Arial"/>
          <w:color w:val="auto"/>
          <w:sz w:val="26"/>
          <w:szCs w:val="26"/>
          <w:vertAlign w:val="superscript"/>
        </w:rPr>
        <w:t>2</w:t>
      </w:r>
      <w:r>
        <w:rPr>
          <w:rFonts w:ascii="Arial" w:cs="Arial"/>
          <w:color w:val="auto"/>
          <w:sz w:val="26"/>
          <w:szCs w:val="26"/>
        </w:rPr>
        <w:t>，</w:t>
      </w:r>
      <w:r>
        <w:rPr>
          <w:rFonts w:hint="eastAsia" w:ascii="Arial" w:cs="Arial"/>
          <w:color w:val="auto"/>
          <w:sz w:val="26"/>
          <w:szCs w:val="26"/>
          <w:lang w:eastAsia="zh-CN"/>
        </w:rPr>
        <w:t>其中</w:t>
      </w:r>
      <w:r>
        <w:rPr>
          <w:rFonts w:hint="eastAsia" w:ascii="Arial" w:cs="Arial"/>
          <w:color w:val="auto"/>
          <w:sz w:val="26"/>
          <w:szCs w:val="26"/>
          <w:lang w:val="en-US" w:eastAsia="zh-CN"/>
        </w:rPr>
        <w:t>11.3182hm</w:t>
      </w:r>
      <w:r>
        <w:rPr>
          <w:rFonts w:hint="eastAsia" w:ascii="Arial" w:cs="Arial"/>
          <w:color w:val="auto"/>
          <w:sz w:val="26"/>
          <w:szCs w:val="26"/>
          <w:vertAlign w:val="superscript"/>
          <w:lang w:val="en-US" w:eastAsia="zh-CN"/>
        </w:rPr>
        <w:t>2</w:t>
      </w:r>
      <w:r>
        <w:rPr>
          <w:rFonts w:hint="eastAsia" w:ascii="Arial" w:cs="Arial"/>
          <w:color w:val="auto"/>
          <w:sz w:val="26"/>
          <w:szCs w:val="26"/>
          <w:lang w:val="en-US" w:eastAsia="zh-CN"/>
        </w:rPr>
        <w:t>为永久占地、12.7944</w:t>
      </w:r>
      <w:r>
        <w:rPr>
          <w:rFonts w:ascii="Arial" w:hAnsi="Arial" w:cs="Arial"/>
          <w:color w:val="auto"/>
          <w:sz w:val="26"/>
          <w:szCs w:val="26"/>
        </w:rPr>
        <w:t>hm</w:t>
      </w:r>
      <w:r>
        <w:rPr>
          <w:rFonts w:ascii="Arial" w:hAnsi="Arial" w:cs="Arial"/>
          <w:color w:val="auto"/>
          <w:sz w:val="26"/>
          <w:szCs w:val="26"/>
          <w:vertAlign w:val="superscript"/>
        </w:rPr>
        <w:t>2</w:t>
      </w:r>
      <w:r>
        <w:rPr>
          <w:rFonts w:hint="eastAsia" w:ascii="Arial" w:cs="Arial"/>
          <w:color w:val="auto"/>
          <w:sz w:val="26"/>
          <w:szCs w:val="26"/>
          <w:lang w:eastAsia="zh-CN"/>
        </w:rPr>
        <w:t>为临时占地；占地类型主要为耕地、林地。</w:t>
      </w:r>
    </w:p>
    <w:p w14:paraId="55375F6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color w:val="auto"/>
          <w:sz w:val="26"/>
          <w:szCs w:val="26"/>
        </w:rPr>
      </w:pPr>
      <w:r>
        <w:rPr>
          <w:rFonts w:hint="eastAsia" w:ascii="Arial" w:cs="Arial"/>
          <w:color w:val="auto"/>
          <w:sz w:val="26"/>
          <w:szCs w:val="26"/>
          <w:lang w:eastAsia="zh-CN"/>
        </w:rPr>
        <w:t>工程永久占用的土地均将转变为水利设施用地，</w:t>
      </w:r>
      <w:r>
        <w:rPr>
          <w:rFonts w:ascii="Arial" w:cs="Arial"/>
          <w:color w:val="auto"/>
          <w:sz w:val="26"/>
          <w:szCs w:val="26"/>
        </w:rPr>
        <w:t>将使占地范围内的土地利用的结构和类型发生改变，工程建设</w:t>
      </w:r>
      <w:r>
        <w:rPr>
          <w:rFonts w:hint="eastAsia" w:ascii="Arial" w:cs="Arial"/>
          <w:color w:val="auto"/>
          <w:sz w:val="26"/>
          <w:szCs w:val="26"/>
        </w:rPr>
        <w:t>使区域自然体系的生产能力受到一定程度影响，也使生物组分自身的异质性构成发生改变。</w:t>
      </w:r>
    </w:p>
    <w:p w14:paraId="5A1F929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工程临时占地仅在施工期间临时改变原土地类型，施工结束后通过迹地恢复、复垦等措施消除不利影响，对当地土地利用格局影响轻微。</w:t>
      </w:r>
    </w:p>
    <w:p w14:paraId="0AB42A1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default" w:ascii="Arial" w:hAnsi="Arial" w:cs="Arial"/>
          <w:b/>
          <w:bCs/>
          <w:color w:val="auto"/>
          <w:sz w:val="26"/>
          <w:szCs w:val="26"/>
          <w:lang w:val="en-US" w:eastAsia="zh-CN"/>
        </w:rPr>
        <w:t>②</w:t>
      </w:r>
      <w:r>
        <w:rPr>
          <w:rFonts w:hint="eastAsia" w:ascii="Arial" w:hAnsi="Arial" w:cs="Arial"/>
          <w:b/>
          <w:bCs/>
          <w:color w:val="auto"/>
          <w:sz w:val="26"/>
          <w:szCs w:val="26"/>
          <w:lang w:val="en-US" w:eastAsia="zh-CN"/>
        </w:rPr>
        <w:t xml:space="preserve"> 工程扰动对动植物的影响</w:t>
      </w:r>
    </w:p>
    <w:p w14:paraId="69F5A08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本项目施工将破坏占地范围内的植被，造成一定生物量的损失，对植被造成直接破坏；同时将对占地及周边评价范围野生动物的生境造成间接破坏，动物将迁移远离施工区，造成动物资源减少。</w:t>
      </w:r>
    </w:p>
    <w:p w14:paraId="44C6680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待施工结束后，随若永久占地绿化和临时占地迹地恢复，整体植被覆盖度有所恢复，部分动物也将回迁，但整体上工程区范围的动植物资源数量和分布较施工前均有所变化。</w:t>
      </w:r>
    </w:p>
    <w:p w14:paraId="04B6066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③ 工程扰动造成水土流失</w:t>
      </w:r>
    </w:p>
    <w:p w14:paraId="63D28A7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项目施工期场地开挖平整、物料堆放等均将造成地表扰动，破坏了地表稳定的覆盖层，造成土壤裸露，在降雨冲刷、地势自然坡度等作用下，极易造成施工区的水土流失。开挖产生的土石方比较松散，在临时堆存、运输和填埋处置过程中，如不加以防护，将产生明显的水土流失；且弃渣量较大，如控制不当，弃渣场的水土流失将对场地下游的生态环境造成极大破坏。</w:t>
      </w:r>
    </w:p>
    <w:p w14:paraId="61079FB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工程建设中采用拦挡、遮盖、及时硬化等措施治理后，可有效减少开挖扰动造成的水土流失。弃渣及时全部清运至弃渣场内夯实、分台阶堆场，并在弃渣前做好拦挡、截排水沟、沉砂池等设施的建设，可有效减少弃渣造成的水土流失。</w:t>
      </w:r>
    </w:p>
    <w:p w14:paraId="14DC8F0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④ 涉水施工对水生生态的影响</w:t>
      </w:r>
    </w:p>
    <w:p w14:paraId="16D9B2B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本项目枢纽工程设计采用围堰导流的方式施工，导流涵管的宽度要小于原始河面宽度，将造成流速等水文参数变化，同时施工开挖等作业也将造成水体悬浮物增加，水生动物的生存空间受到一-定影响。受影响的水生生物将向下游水量充足区域迁移，总体上枢纽工程施工对水生生态不利影响不大。</w:t>
      </w:r>
    </w:p>
    <w:p w14:paraId="6A74B30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输水管线跨河段设计采用定向钻、顶管等不涉水施工工艺，同时做好废弃土石方的收集处理工作，严格控制施工活动，严禁向河道内倾倒废渣、废渣，避免对河道水生生态产生直接影响。</w:t>
      </w:r>
    </w:p>
    <w:p w14:paraId="08242153">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⑤ 施工活动对生态环境的影响</w:t>
      </w:r>
    </w:p>
    <w:p w14:paraId="759893F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施工队伍进驻带来的人类活动频繁，以及各类施工活动产生的噪声、扬尘、废气等，都将对施工区及其附近的野生动物产生惊吓和干扰，使该区域动物的栖息适宜度降低。工程建设区域占地以林草地为主，施工场地等临建设施的建设，以及施工活动的进行，将破坏林草地景观的整体协调性。</w:t>
      </w:r>
    </w:p>
    <w:p w14:paraId="18BA6BA8">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cs="Arial"/>
          <w:b/>
          <w:sz w:val="26"/>
          <w:szCs w:val="26"/>
        </w:rPr>
      </w:pPr>
      <w:r>
        <w:rPr>
          <w:rFonts w:hint="eastAsia" w:ascii="Arial" w:hAnsi="宋体" w:cs="Arial"/>
          <w:b/>
          <w:sz w:val="26"/>
          <w:szCs w:val="26"/>
          <w:lang w:eastAsia="zh-CN"/>
        </w:rPr>
        <w:t>（</w:t>
      </w:r>
      <w:r>
        <w:rPr>
          <w:rFonts w:hint="eastAsia" w:ascii="Arial" w:hAnsi="宋体" w:cs="Arial"/>
          <w:b/>
          <w:sz w:val="26"/>
          <w:szCs w:val="26"/>
          <w:lang w:val="en-US" w:eastAsia="zh-CN"/>
        </w:rPr>
        <w:t>6）</w:t>
      </w:r>
      <w:r>
        <w:rPr>
          <w:rFonts w:hint="eastAsia" w:ascii="Arial" w:hAnsi="宋体" w:cs="Arial"/>
          <w:b/>
          <w:sz w:val="26"/>
          <w:szCs w:val="26"/>
        </w:rPr>
        <w:t>人群健康</w:t>
      </w:r>
    </w:p>
    <w:p w14:paraId="5F95694D">
      <w:pPr>
        <w:spacing w:line="440" w:lineRule="exact"/>
        <w:ind w:firstLine="520" w:firstLineChars="200"/>
        <w:rPr>
          <w:rFonts w:hint="eastAsia" w:ascii="Arial" w:hAnsi="宋体" w:cs="Arial"/>
          <w:bCs/>
          <w:sz w:val="26"/>
          <w:szCs w:val="26"/>
        </w:rPr>
      </w:pPr>
      <w:r>
        <w:rPr>
          <w:rFonts w:hint="eastAsia" w:ascii="Arial" w:hAnsi="宋体" w:cs="Arial"/>
          <w:bCs/>
          <w:sz w:val="26"/>
          <w:szCs w:val="26"/>
        </w:rPr>
        <w:t>本工程施工期长达2</w:t>
      </w:r>
      <w:r>
        <w:rPr>
          <w:rFonts w:hint="eastAsia" w:ascii="Arial" w:hAnsi="宋体" w:cs="Arial"/>
          <w:bCs/>
          <w:sz w:val="26"/>
          <w:szCs w:val="26"/>
          <w:lang w:val="en-US" w:eastAsia="zh-CN"/>
        </w:rPr>
        <w:t>4</w:t>
      </w:r>
      <w:r>
        <w:rPr>
          <w:rFonts w:hint="eastAsia" w:ascii="Arial" w:hAnsi="宋体" w:cs="Arial"/>
          <w:bCs/>
          <w:sz w:val="26"/>
          <w:szCs w:val="26"/>
        </w:rPr>
        <w:t>个月，高峰期施工人数达到</w:t>
      </w:r>
      <w:r>
        <w:rPr>
          <w:rFonts w:hint="eastAsia" w:ascii="Arial" w:hAnsi="宋体" w:cs="Arial"/>
          <w:bCs/>
          <w:sz w:val="26"/>
          <w:szCs w:val="26"/>
          <w:lang w:val="en-US" w:eastAsia="zh-CN"/>
        </w:rPr>
        <w:t>13</w:t>
      </w:r>
      <w:r>
        <w:rPr>
          <w:rFonts w:ascii="Arial" w:hAnsi="宋体" w:cs="Arial"/>
          <w:bCs/>
          <w:sz w:val="26"/>
          <w:szCs w:val="26"/>
        </w:rPr>
        <w:t>0</w:t>
      </w:r>
      <w:r>
        <w:rPr>
          <w:rFonts w:hint="eastAsia" w:ascii="Arial" w:hAnsi="宋体" w:cs="Arial"/>
          <w:bCs/>
          <w:sz w:val="26"/>
          <w:szCs w:val="26"/>
        </w:rPr>
        <w:t>人。由于施工人员</w:t>
      </w:r>
      <w:r>
        <w:rPr>
          <w:rFonts w:hint="eastAsia" w:ascii="Arial" w:hAnsi="宋体" w:cs="Arial"/>
          <w:bCs/>
          <w:sz w:val="26"/>
          <w:szCs w:val="26"/>
          <w:lang w:eastAsia="zh-CN"/>
        </w:rPr>
        <w:t>可能</w:t>
      </w:r>
      <w:r>
        <w:rPr>
          <w:rFonts w:hint="eastAsia" w:ascii="Arial" w:hAnsi="宋体" w:cs="Arial"/>
          <w:bCs/>
          <w:sz w:val="26"/>
          <w:szCs w:val="26"/>
        </w:rPr>
        <w:t>来自不同地区，大批施工人员集中生活在施工区，使区域人口密度升高，增大了施工人员之间，施工人员与本地人员之间的传染病相互传染的可能性，对地区人群健康带来影响。</w:t>
      </w:r>
    </w:p>
    <w:p w14:paraId="28B60B87">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val="0"/>
          <w:sz w:val="26"/>
          <w:szCs w:val="26"/>
          <w:lang w:val="en-US" w:eastAsia="zh-CN"/>
        </w:rPr>
      </w:pPr>
      <w:r>
        <w:rPr>
          <w:rFonts w:hint="eastAsia" w:ascii="Arial" w:hAnsi="Arial" w:cs="Arial"/>
          <w:b/>
          <w:bCs w:val="0"/>
          <w:sz w:val="26"/>
          <w:szCs w:val="26"/>
          <w:lang w:val="en-US" w:eastAsia="zh-CN"/>
        </w:rPr>
        <w:t>3.1.3施工期主要污染物产生排放汇总表</w:t>
      </w:r>
    </w:p>
    <w:p w14:paraId="77F583AD">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r>
        <w:rPr>
          <w:rFonts w:hint="eastAsia" w:ascii="Arial" w:hAnsi="宋体" w:cs="Arial"/>
          <w:bCs/>
          <w:sz w:val="26"/>
          <w:szCs w:val="26"/>
        </w:rPr>
        <w:t>本工程施工期的污染源及污染物产生和排放情况见表</w:t>
      </w:r>
      <w:r>
        <w:rPr>
          <w:rFonts w:ascii="Arial" w:hAnsi="宋体" w:cs="Arial"/>
          <w:bCs/>
          <w:sz w:val="26"/>
          <w:szCs w:val="26"/>
        </w:rPr>
        <w:t>3.</w:t>
      </w:r>
      <w:r>
        <w:rPr>
          <w:rFonts w:hint="eastAsia" w:ascii="Arial" w:hAnsi="宋体" w:cs="Arial"/>
          <w:bCs/>
          <w:sz w:val="26"/>
          <w:szCs w:val="26"/>
          <w:lang w:val="en-US" w:eastAsia="zh-CN"/>
        </w:rPr>
        <w:t>1</w:t>
      </w:r>
      <w:r>
        <w:rPr>
          <w:rFonts w:ascii="Arial" w:hAnsi="宋体" w:cs="Arial"/>
          <w:bCs/>
          <w:sz w:val="26"/>
          <w:szCs w:val="26"/>
        </w:rPr>
        <w:t>-</w:t>
      </w:r>
      <w:r>
        <w:rPr>
          <w:rFonts w:hint="eastAsia" w:ascii="Arial" w:hAnsi="宋体" w:cs="Arial"/>
          <w:bCs/>
          <w:sz w:val="26"/>
          <w:szCs w:val="26"/>
          <w:lang w:val="en-US" w:eastAsia="zh-CN"/>
        </w:rPr>
        <w:t>5所示，生态环境影响因素详见表3.1-6所设。</w:t>
      </w:r>
    </w:p>
    <w:p w14:paraId="6B72C6B0">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p>
    <w:p w14:paraId="2F962FC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0" w:charSpace="0"/>
        </w:sectPr>
      </w:pPr>
    </w:p>
    <w:p w14:paraId="0FFBA50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cs="Arial"/>
          <w:b/>
          <w:kern w:val="28"/>
          <w:sz w:val="26"/>
          <w:szCs w:val="26"/>
          <w:lang w:eastAsia="zh-CN"/>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w:t>
      </w:r>
      <w:r>
        <w:rPr>
          <w:rFonts w:hint="eastAsia" w:ascii="Arial" w:cs="Arial"/>
          <w:b/>
          <w:kern w:val="28"/>
          <w:sz w:val="26"/>
          <w:szCs w:val="26"/>
          <w:lang w:val="en-US" w:eastAsia="zh-CN"/>
        </w:rPr>
        <w:t>5</w:t>
      </w:r>
      <w:r>
        <w:rPr>
          <w:rFonts w:hint="eastAsia" w:ascii="Arial" w:cs="Arial"/>
          <w:b/>
          <w:kern w:val="28"/>
          <w:sz w:val="26"/>
          <w:szCs w:val="26"/>
        </w:rPr>
        <w:t xml:space="preserve"> </w:t>
      </w:r>
      <w:r>
        <w:rPr>
          <w:rFonts w:hint="eastAsia" w:ascii="Arial" w:cs="Arial"/>
          <w:b/>
          <w:kern w:val="28"/>
          <w:sz w:val="26"/>
          <w:szCs w:val="26"/>
          <w:lang w:val="en-US" w:eastAsia="zh-CN"/>
        </w:rPr>
        <w:t xml:space="preserve"> </w:t>
      </w:r>
      <w:r>
        <w:rPr>
          <w:rFonts w:hint="eastAsia" w:ascii="Arial" w:cs="Arial"/>
          <w:b/>
          <w:kern w:val="28"/>
          <w:sz w:val="26"/>
          <w:szCs w:val="26"/>
        </w:rPr>
        <w:t>施工期</w:t>
      </w:r>
      <w:r>
        <w:rPr>
          <w:rFonts w:hint="eastAsia" w:ascii="Arial" w:cs="Arial"/>
          <w:b/>
          <w:kern w:val="28"/>
          <w:sz w:val="26"/>
          <w:szCs w:val="26"/>
          <w:lang w:eastAsia="zh-CN"/>
        </w:rPr>
        <w:t>污染源及污染物产排情况汇总表</w:t>
      </w:r>
    </w:p>
    <w:tbl>
      <w:tblPr>
        <w:tblStyle w:val="77"/>
        <w:tblW w:w="132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9"/>
        <w:gridCol w:w="592"/>
        <w:gridCol w:w="617"/>
        <w:gridCol w:w="730"/>
        <w:gridCol w:w="1213"/>
        <w:gridCol w:w="1035"/>
        <w:gridCol w:w="1276"/>
        <w:gridCol w:w="1275"/>
        <w:gridCol w:w="2734"/>
        <w:gridCol w:w="1247"/>
        <w:gridCol w:w="915"/>
        <w:gridCol w:w="1019"/>
      </w:tblGrid>
      <w:tr w14:paraId="17A9A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01" w:type="dxa"/>
            <w:gridSpan w:val="2"/>
            <w:tcBorders>
              <w:tl2br w:val="nil"/>
              <w:tr2bl w:val="nil"/>
            </w:tcBorders>
            <w:noWrap w:val="0"/>
            <w:vAlign w:val="center"/>
          </w:tcPr>
          <w:p w14:paraId="789E725C">
            <w:pPr>
              <w:pStyle w:val="946"/>
              <w:spacing w:line="300" w:lineRule="exact"/>
              <w:rPr>
                <w:rFonts w:ascii="Arial" w:hAnsi="Arial" w:cs="Arial"/>
                <w:sz w:val="22"/>
                <w:szCs w:val="22"/>
              </w:rPr>
            </w:pPr>
            <w:r>
              <w:rPr>
                <w:rFonts w:ascii="Arial" w:hAnsi="Arial" w:cs="Arial"/>
                <w:sz w:val="22"/>
                <w:szCs w:val="22"/>
              </w:rPr>
              <w:t>工程阶段</w:t>
            </w:r>
          </w:p>
        </w:tc>
        <w:tc>
          <w:tcPr>
            <w:tcW w:w="1347" w:type="dxa"/>
            <w:gridSpan w:val="2"/>
            <w:tcBorders>
              <w:tl2br w:val="nil"/>
              <w:tr2bl w:val="nil"/>
            </w:tcBorders>
            <w:noWrap w:val="0"/>
            <w:vAlign w:val="center"/>
          </w:tcPr>
          <w:p w14:paraId="6938413E">
            <w:pPr>
              <w:pStyle w:val="946"/>
              <w:spacing w:line="300" w:lineRule="exact"/>
              <w:rPr>
                <w:rFonts w:ascii="Arial" w:hAnsi="Arial" w:cs="Arial"/>
                <w:sz w:val="22"/>
                <w:szCs w:val="22"/>
              </w:rPr>
            </w:pPr>
            <w:r>
              <w:rPr>
                <w:rFonts w:ascii="Arial" w:hAnsi="Arial" w:cs="Arial"/>
                <w:sz w:val="22"/>
                <w:szCs w:val="22"/>
              </w:rPr>
              <w:t>污染源</w:t>
            </w:r>
          </w:p>
        </w:tc>
        <w:tc>
          <w:tcPr>
            <w:tcW w:w="1213" w:type="dxa"/>
            <w:tcBorders>
              <w:tl2br w:val="nil"/>
              <w:tr2bl w:val="nil"/>
            </w:tcBorders>
            <w:noWrap w:val="0"/>
            <w:vAlign w:val="center"/>
          </w:tcPr>
          <w:p w14:paraId="332655CE">
            <w:pPr>
              <w:pStyle w:val="946"/>
              <w:spacing w:line="300" w:lineRule="exact"/>
              <w:rPr>
                <w:rFonts w:ascii="Arial" w:hAnsi="Arial" w:cs="Arial"/>
                <w:sz w:val="22"/>
                <w:szCs w:val="22"/>
              </w:rPr>
            </w:pPr>
            <w:r>
              <w:rPr>
                <w:rFonts w:ascii="Arial" w:hAnsi="Arial" w:cs="Arial"/>
                <w:sz w:val="22"/>
                <w:szCs w:val="22"/>
              </w:rPr>
              <w:t>产生量</w:t>
            </w:r>
          </w:p>
        </w:tc>
        <w:tc>
          <w:tcPr>
            <w:tcW w:w="1035" w:type="dxa"/>
            <w:tcBorders>
              <w:tl2br w:val="nil"/>
              <w:tr2bl w:val="nil"/>
            </w:tcBorders>
            <w:noWrap w:val="0"/>
            <w:vAlign w:val="center"/>
          </w:tcPr>
          <w:p w14:paraId="5E315BF9">
            <w:pPr>
              <w:pStyle w:val="946"/>
              <w:spacing w:line="300" w:lineRule="exact"/>
              <w:rPr>
                <w:rFonts w:ascii="Arial" w:hAnsi="Arial" w:cs="Arial"/>
                <w:sz w:val="22"/>
                <w:szCs w:val="22"/>
              </w:rPr>
            </w:pPr>
            <w:r>
              <w:rPr>
                <w:rFonts w:ascii="Arial" w:hAnsi="Arial" w:cs="Arial"/>
                <w:sz w:val="22"/>
                <w:szCs w:val="22"/>
              </w:rPr>
              <w:t>污染物</w:t>
            </w:r>
          </w:p>
        </w:tc>
        <w:tc>
          <w:tcPr>
            <w:tcW w:w="1276" w:type="dxa"/>
            <w:tcBorders>
              <w:tl2br w:val="nil"/>
              <w:tr2bl w:val="nil"/>
            </w:tcBorders>
            <w:noWrap w:val="0"/>
            <w:vAlign w:val="center"/>
          </w:tcPr>
          <w:p w14:paraId="086D5083">
            <w:pPr>
              <w:pStyle w:val="946"/>
              <w:spacing w:line="300" w:lineRule="exact"/>
              <w:rPr>
                <w:rFonts w:ascii="Arial" w:hAnsi="Arial" w:cs="Arial"/>
                <w:sz w:val="22"/>
                <w:szCs w:val="22"/>
              </w:rPr>
            </w:pPr>
            <w:r>
              <w:rPr>
                <w:rFonts w:ascii="Arial" w:hAnsi="Arial" w:cs="Arial"/>
                <w:sz w:val="22"/>
                <w:szCs w:val="22"/>
              </w:rPr>
              <w:t>产生浓度</w:t>
            </w:r>
          </w:p>
        </w:tc>
        <w:tc>
          <w:tcPr>
            <w:tcW w:w="1275" w:type="dxa"/>
            <w:tcBorders>
              <w:tl2br w:val="nil"/>
              <w:tr2bl w:val="nil"/>
            </w:tcBorders>
            <w:noWrap w:val="0"/>
            <w:vAlign w:val="center"/>
          </w:tcPr>
          <w:p w14:paraId="743FE420">
            <w:pPr>
              <w:pStyle w:val="946"/>
              <w:spacing w:line="300" w:lineRule="exact"/>
              <w:rPr>
                <w:rFonts w:ascii="Arial" w:hAnsi="Arial" w:cs="Arial"/>
                <w:sz w:val="22"/>
                <w:szCs w:val="22"/>
              </w:rPr>
            </w:pPr>
            <w:r>
              <w:rPr>
                <w:rFonts w:ascii="Arial" w:hAnsi="Arial" w:cs="Arial"/>
                <w:sz w:val="22"/>
                <w:szCs w:val="22"/>
              </w:rPr>
              <w:t>污染物</w:t>
            </w:r>
          </w:p>
          <w:p w14:paraId="3C720E52">
            <w:pPr>
              <w:pStyle w:val="946"/>
              <w:spacing w:line="300" w:lineRule="exact"/>
              <w:rPr>
                <w:rFonts w:ascii="Arial" w:hAnsi="Arial" w:cs="Arial"/>
                <w:sz w:val="22"/>
                <w:szCs w:val="22"/>
              </w:rPr>
            </w:pPr>
            <w:r>
              <w:rPr>
                <w:rFonts w:ascii="Arial" w:hAnsi="Arial" w:cs="Arial"/>
                <w:sz w:val="22"/>
                <w:szCs w:val="22"/>
              </w:rPr>
              <w:t>产生量</w:t>
            </w:r>
          </w:p>
        </w:tc>
        <w:tc>
          <w:tcPr>
            <w:tcW w:w="2734" w:type="dxa"/>
            <w:tcBorders>
              <w:tl2br w:val="nil"/>
              <w:tr2bl w:val="nil"/>
            </w:tcBorders>
            <w:noWrap w:val="0"/>
            <w:vAlign w:val="center"/>
          </w:tcPr>
          <w:p w14:paraId="2BA5FCE0">
            <w:pPr>
              <w:pStyle w:val="946"/>
              <w:spacing w:line="300" w:lineRule="exact"/>
              <w:rPr>
                <w:rFonts w:ascii="Arial" w:hAnsi="Arial" w:cs="Arial"/>
                <w:sz w:val="22"/>
                <w:szCs w:val="22"/>
              </w:rPr>
            </w:pPr>
            <w:r>
              <w:rPr>
                <w:rFonts w:ascii="Arial" w:hAnsi="Arial" w:cs="Arial"/>
                <w:sz w:val="22"/>
                <w:szCs w:val="22"/>
              </w:rPr>
              <w:t>环保措施</w:t>
            </w:r>
          </w:p>
        </w:tc>
        <w:tc>
          <w:tcPr>
            <w:tcW w:w="1247" w:type="dxa"/>
            <w:tcBorders>
              <w:tl2br w:val="nil"/>
              <w:tr2bl w:val="nil"/>
            </w:tcBorders>
            <w:noWrap w:val="0"/>
            <w:vAlign w:val="center"/>
          </w:tcPr>
          <w:p w14:paraId="11545476">
            <w:pPr>
              <w:pStyle w:val="946"/>
              <w:spacing w:line="300" w:lineRule="exact"/>
              <w:rPr>
                <w:rFonts w:ascii="Arial" w:hAnsi="Arial" w:cs="Arial"/>
                <w:sz w:val="22"/>
                <w:szCs w:val="22"/>
              </w:rPr>
            </w:pPr>
            <w:r>
              <w:rPr>
                <w:rFonts w:ascii="Arial" w:hAnsi="Arial" w:cs="Arial"/>
                <w:sz w:val="22"/>
                <w:szCs w:val="22"/>
              </w:rPr>
              <w:t>排放量</w:t>
            </w:r>
          </w:p>
        </w:tc>
        <w:tc>
          <w:tcPr>
            <w:tcW w:w="915" w:type="dxa"/>
            <w:tcBorders>
              <w:tl2br w:val="nil"/>
              <w:tr2bl w:val="nil"/>
            </w:tcBorders>
            <w:noWrap w:val="0"/>
            <w:vAlign w:val="center"/>
          </w:tcPr>
          <w:p w14:paraId="0DCAC802">
            <w:pPr>
              <w:pStyle w:val="946"/>
              <w:spacing w:line="300" w:lineRule="exact"/>
              <w:rPr>
                <w:rFonts w:ascii="Arial" w:hAnsi="Arial" w:cs="Arial"/>
                <w:sz w:val="22"/>
                <w:szCs w:val="22"/>
              </w:rPr>
            </w:pPr>
            <w:r>
              <w:rPr>
                <w:rFonts w:ascii="Arial" w:hAnsi="Arial" w:cs="Arial"/>
                <w:sz w:val="22"/>
                <w:szCs w:val="22"/>
              </w:rPr>
              <w:t>排放</w:t>
            </w:r>
          </w:p>
          <w:p w14:paraId="3D04E692">
            <w:pPr>
              <w:pStyle w:val="946"/>
              <w:spacing w:line="300" w:lineRule="exact"/>
              <w:rPr>
                <w:rFonts w:ascii="Arial" w:hAnsi="Arial" w:cs="Arial"/>
                <w:sz w:val="22"/>
                <w:szCs w:val="22"/>
              </w:rPr>
            </w:pPr>
            <w:r>
              <w:rPr>
                <w:rFonts w:ascii="Arial" w:hAnsi="Arial" w:cs="Arial"/>
                <w:sz w:val="22"/>
                <w:szCs w:val="22"/>
              </w:rPr>
              <w:t>浓度</w:t>
            </w:r>
          </w:p>
        </w:tc>
        <w:tc>
          <w:tcPr>
            <w:tcW w:w="1019" w:type="dxa"/>
            <w:tcBorders>
              <w:tl2br w:val="nil"/>
              <w:tr2bl w:val="nil"/>
            </w:tcBorders>
            <w:noWrap w:val="0"/>
            <w:vAlign w:val="center"/>
          </w:tcPr>
          <w:p w14:paraId="3D81F74B">
            <w:pPr>
              <w:pStyle w:val="946"/>
              <w:spacing w:line="300" w:lineRule="exact"/>
              <w:rPr>
                <w:rFonts w:ascii="Arial" w:hAnsi="Arial" w:cs="Arial"/>
                <w:sz w:val="22"/>
                <w:szCs w:val="22"/>
              </w:rPr>
            </w:pPr>
            <w:r>
              <w:rPr>
                <w:rFonts w:ascii="Arial" w:hAnsi="Arial" w:cs="Arial"/>
                <w:sz w:val="22"/>
                <w:szCs w:val="22"/>
              </w:rPr>
              <w:t>污染物</w:t>
            </w:r>
          </w:p>
          <w:p w14:paraId="53295F85">
            <w:pPr>
              <w:pStyle w:val="946"/>
              <w:spacing w:line="300" w:lineRule="exact"/>
              <w:rPr>
                <w:rFonts w:ascii="Arial" w:hAnsi="Arial" w:cs="Arial"/>
                <w:sz w:val="22"/>
                <w:szCs w:val="22"/>
              </w:rPr>
            </w:pPr>
            <w:r>
              <w:rPr>
                <w:rFonts w:ascii="Arial" w:hAnsi="Arial" w:cs="Arial"/>
                <w:sz w:val="22"/>
                <w:szCs w:val="22"/>
              </w:rPr>
              <w:t>排放量</w:t>
            </w:r>
          </w:p>
        </w:tc>
      </w:tr>
      <w:tr w14:paraId="007C6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09" w:type="dxa"/>
            <w:vMerge w:val="restart"/>
            <w:tcBorders>
              <w:tl2br w:val="nil"/>
              <w:tr2bl w:val="nil"/>
            </w:tcBorders>
            <w:noWrap w:val="0"/>
            <w:vAlign w:val="center"/>
          </w:tcPr>
          <w:p w14:paraId="6F1F9962">
            <w:pPr>
              <w:pStyle w:val="946"/>
              <w:spacing w:line="300" w:lineRule="exact"/>
              <w:rPr>
                <w:rFonts w:ascii="Arial" w:hAnsi="Arial" w:cs="Arial"/>
                <w:sz w:val="22"/>
                <w:szCs w:val="22"/>
              </w:rPr>
            </w:pPr>
            <w:r>
              <w:rPr>
                <w:rFonts w:ascii="Arial" w:hAnsi="Arial" w:cs="Arial"/>
                <w:sz w:val="22"/>
                <w:szCs w:val="22"/>
              </w:rPr>
              <w:t>施工期</w:t>
            </w:r>
          </w:p>
        </w:tc>
        <w:tc>
          <w:tcPr>
            <w:tcW w:w="592" w:type="dxa"/>
            <w:vMerge w:val="restart"/>
            <w:tcBorders>
              <w:tl2br w:val="nil"/>
              <w:tr2bl w:val="nil"/>
            </w:tcBorders>
            <w:noWrap w:val="0"/>
            <w:vAlign w:val="center"/>
          </w:tcPr>
          <w:p w14:paraId="4A5B551A">
            <w:pPr>
              <w:pStyle w:val="946"/>
              <w:spacing w:line="300" w:lineRule="exact"/>
              <w:rPr>
                <w:rFonts w:ascii="Arial" w:hAnsi="Arial" w:cs="Arial"/>
                <w:sz w:val="22"/>
                <w:szCs w:val="22"/>
              </w:rPr>
            </w:pPr>
            <w:r>
              <w:rPr>
                <w:rFonts w:ascii="Arial" w:hAnsi="Arial" w:cs="Arial"/>
                <w:sz w:val="22"/>
                <w:szCs w:val="22"/>
              </w:rPr>
              <w:t>废水</w:t>
            </w:r>
          </w:p>
        </w:tc>
        <w:tc>
          <w:tcPr>
            <w:tcW w:w="1347" w:type="dxa"/>
            <w:gridSpan w:val="2"/>
            <w:vMerge w:val="restart"/>
            <w:tcBorders>
              <w:tl2br w:val="nil"/>
              <w:tr2bl w:val="nil"/>
            </w:tcBorders>
            <w:noWrap w:val="0"/>
            <w:vAlign w:val="center"/>
          </w:tcPr>
          <w:p w14:paraId="7BFEE04E">
            <w:pPr>
              <w:widowControl/>
              <w:spacing w:line="300" w:lineRule="exact"/>
              <w:jc w:val="center"/>
              <w:rPr>
                <w:rFonts w:hint="eastAsia" w:ascii="Arial" w:hAnsi="Arial" w:eastAsia="宋体" w:cs="Arial"/>
                <w:sz w:val="22"/>
                <w:szCs w:val="22"/>
                <w:lang w:eastAsia="zh-CN"/>
              </w:rPr>
            </w:pPr>
            <w:r>
              <w:rPr>
                <w:rFonts w:hint="eastAsia" w:ascii="Arial" w:hAnsi="Arial" w:cs="Arial"/>
                <w:sz w:val="22"/>
                <w:szCs w:val="22"/>
              </w:rPr>
              <w:t>混凝土</w:t>
            </w:r>
            <w:r>
              <w:rPr>
                <w:rFonts w:hint="eastAsia" w:ascii="Arial" w:hAnsi="Arial" w:cs="Arial"/>
                <w:sz w:val="22"/>
                <w:szCs w:val="22"/>
                <w:lang w:eastAsia="zh-CN"/>
              </w:rPr>
              <w:t>拌合系统废水</w:t>
            </w:r>
          </w:p>
        </w:tc>
        <w:tc>
          <w:tcPr>
            <w:tcW w:w="1213" w:type="dxa"/>
            <w:vMerge w:val="restart"/>
            <w:tcBorders>
              <w:tl2br w:val="nil"/>
              <w:tr2bl w:val="nil"/>
            </w:tcBorders>
            <w:noWrap w:val="0"/>
            <w:vAlign w:val="center"/>
          </w:tcPr>
          <w:p w14:paraId="3E156FA6">
            <w:pPr>
              <w:widowControl/>
              <w:spacing w:line="300" w:lineRule="exact"/>
              <w:jc w:val="center"/>
              <w:rPr>
                <w:rFonts w:ascii="Arial" w:hAnsi="Arial" w:cs="Arial"/>
                <w:sz w:val="22"/>
                <w:szCs w:val="22"/>
              </w:rPr>
            </w:pPr>
            <w:r>
              <w:rPr>
                <w:rFonts w:hint="eastAsia" w:ascii="Arial" w:hAnsi="Arial" w:cs="Arial"/>
                <w:sz w:val="22"/>
                <w:szCs w:val="22"/>
                <w:lang w:val="en-US" w:eastAsia="zh-CN"/>
              </w:rPr>
              <w:t>23.27</w:t>
            </w:r>
            <w:r>
              <w:rPr>
                <w:rFonts w:ascii="Arial" w:hAnsi="Arial" w:cs="Arial"/>
                <w:sz w:val="22"/>
                <w:szCs w:val="22"/>
              </w:rPr>
              <w:t>m</w:t>
            </w:r>
            <w:r>
              <w:rPr>
                <w:rFonts w:ascii="Arial" w:hAnsi="Arial" w:cs="Arial"/>
                <w:sz w:val="22"/>
                <w:szCs w:val="22"/>
                <w:vertAlign w:val="superscript"/>
              </w:rPr>
              <w:t>3</w:t>
            </w:r>
            <w:r>
              <w:rPr>
                <w:rFonts w:ascii="Arial" w:hAnsi="Arial" w:cs="Arial"/>
                <w:sz w:val="22"/>
                <w:szCs w:val="22"/>
              </w:rPr>
              <w:t>/d</w:t>
            </w:r>
          </w:p>
        </w:tc>
        <w:tc>
          <w:tcPr>
            <w:tcW w:w="1035" w:type="dxa"/>
            <w:tcBorders>
              <w:tl2br w:val="nil"/>
              <w:tr2bl w:val="nil"/>
            </w:tcBorders>
            <w:noWrap w:val="0"/>
            <w:vAlign w:val="center"/>
          </w:tcPr>
          <w:p w14:paraId="60A37B0F">
            <w:pPr>
              <w:pStyle w:val="946"/>
              <w:spacing w:line="300" w:lineRule="exact"/>
              <w:rPr>
                <w:rFonts w:hint="default" w:ascii="Arial" w:hAnsi="Arial" w:eastAsia="宋体" w:cs="Arial"/>
                <w:sz w:val="22"/>
                <w:szCs w:val="22"/>
                <w:lang w:val="en-US" w:eastAsia="zh-CN"/>
              </w:rPr>
            </w:pPr>
            <w:r>
              <w:rPr>
                <w:rFonts w:hint="eastAsia" w:ascii="Arial" w:hAnsi="Arial" w:cs="Arial"/>
                <w:sz w:val="22"/>
                <w:szCs w:val="22"/>
                <w:lang w:val="en-US" w:eastAsia="zh-CN"/>
              </w:rPr>
              <w:t>pH</w:t>
            </w:r>
          </w:p>
        </w:tc>
        <w:tc>
          <w:tcPr>
            <w:tcW w:w="1276" w:type="dxa"/>
            <w:tcBorders>
              <w:tl2br w:val="nil"/>
              <w:tr2bl w:val="nil"/>
            </w:tcBorders>
            <w:noWrap w:val="0"/>
            <w:vAlign w:val="center"/>
          </w:tcPr>
          <w:p w14:paraId="03338D01">
            <w:pPr>
              <w:pStyle w:val="946"/>
              <w:spacing w:line="300" w:lineRule="exact"/>
              <w:rPr>
                <w:rFonts w:hint="default" w:ascii="Arial" w:hAnsi="Arial" w:eastAsia="宋体" w:cs="Arial"/>
                <w:sz w:val="22"/>
                <w:szCs w:val="22"/>
                <w:lang w:val="en-US" w:eastAsia="zh-CN"/>
              </w:rPr>
            </w:pPr>
            <w:r>
              <w:rPr>
                <w:rFonts w:hint="eastAsia" w:ascii="Arial" w:hAnsi="Arial" w:cs="Arial"/>
                <w:sz w:val="22"/>
                <w:szCs w:val="22"/>
                <w:lang w:val="en-US" w:eastAsia="zh-CN"/>
              </w:rPr>
              <w:t>12</w:t>
            </w:r>
          </w:p>
        </w:tc>
        <w:tc>
          <w:tcPr>
            <w:tcW w:w="1275" w:type="dxa"/>
            <w:tcBorders>
              <w:tl2br w:val="nil"/>
              <w:tr2bl w:val="nil"/>
            </w:tcBorders>
            <w:noWrap w:val="0"/>
            <w:vAlign w:val="center"/>
          </w:tcPr>
          <w:p w14:paraId="413C7E01">
            <w:pPr>
              <w:pStyle w:val="946"/>
              <w:spacing w:line="300" w:lineRule="exact"/>
              <w:rPr>
                <w:rFonts w:hint="eastAsia" w:ascii="Arial" w:hAnsi="Arial" w:cs="Arial"/>
                <w:sz w:val="22"/>
                <w:szCs w:val="22"/>
                <w:lang w:eastAsia="zh-CN"/>
              </w:rPr>
            </w:pPr>
            <w:r>
              <w:rPr>
                <w:rFonts w:hint="eastAsia" w:ascii="Arial" w:hAnsi="Arial" w:cs="Arial"/>
                <w:sz w:val="22"/>
                <w:szCs w:val="22"/>
                <w:lang w:val="en-US" w:eastAsia="zh-CN"/>
              </w:rPr>
              <w:t>/</w:t>
            </w:r>
          </w:p>
        </w:tc>
        <w:tc>
          <w:tcPr>
            <w:tcW w:w="2734" w:type="dxa"/>
            <w:vMerge w:val="restart"/>
            <w:tcBorders>
              <w:tl2br w:val="nil"/>
              <w:tr2bl w:val="nil"/>
            </w:tcBorders>
            <w:noWrap w:val="0"/>
            <w:vAlign w:val="center"/>
          </w:tcPr>
          <w:p w14:paraId="0452DA60">
            <w:pPr>
              <w:widowControl/>
              <w:spacing w:line="300" w:lineRule="exact"/>
              <w:jc w:val="center"/>
              <w:rPr>
                <w:rFonts w:ascii="Arial" w:hAnsi="Arial" w:cs="Arial"/>
                <w:sz w:val="22"/>
                <w:szCs w:val="22"/>
              </w:rPr>
            </w:pPr>
            <w:r>
              <w:rPr>
                <w:rFonts w:hint="eastAsia" w:ascii="Arial" w:cs="Arial"/>
                <w:color w:val="auto"/>
                <w:sz w:val="22"/>
                <w:szCs w:val="22"/>
                <w:lang w:val="en-US" w:eastAsia="zh-CN"/>
              </w:rPr>
              <w:t>经pH调节+隔油沉淀池处理后，上清液循环使用或回用作抑尘洒水，不外排。</w:t>
            </w:r>
          </w:p>
        </w:tc>
        <w:tc>
          <w:tcPr>
            <w:tcW w:w="1247" w:type="dxa"/>
            <w:tcBorders>
              <w:tl2br w:val="nil"/>
              <w:tr2bl w:val="nil"/>
            </w:tcBorders>
            <w:noWrap w:val="0"/>
            <w:vAlign w:val="center"/>
          </w:tcPr>
          <w:p w14:paraId="3D48957D">
            <w:pPr>
              <w:pStyle w:val="946"/>
              <w:spacing w:line="300" w:lineRule="exact"/>
              <w:rPr>
                <w:rFonts w:ascii="Arial" w:hAnsi="Arial" w:cs="Arial"/>
                <w:sz w:val="22"/>
                <w:szCs w:val="22"/>
              </w:rPr>
            </w:pPr>
            <w:r>
              <w:rPr>
                <w:rFonts w:ascii="Arial" w:hAnsi="Arial" w:cs="Arial"/>
                <w:sz w:val="22"/>
                <w:szCs w:val="22"/>
              </w:rPr>
              <w:t>0</w:t>
            </w:r>
          </w:p>
        </w:tc>
        <w:tc>
          <w:tcPr>
            <w:tcW w:w="915" w:type="dxa"/>
            <w:tcBorders>
              <w:tl2br w:val="nil"/>
              <w:tr2bl w:val="nil"/>
            </w:tcBorders>
            <w:noWrap w:val="0"/>
            <w:vAlign w:val="center"/>
          </w:tcPr>
          <w:p w14:paraId="4548AD60">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61779356">
            <w:pPr>
              <w:pStyle w:val="946"/>
              <w:spacing w:line="300" w:lineRule="exact"/>
              <w:rPr>
                <w:rFonts w:ascii="Arial" w:hAnsi="Arial" w:cs="Arial"/>
                <w:sz w:val="22"/>
                <w:szCs w:val="22"/>
              </w:rPr>
            </w:pPr>
            <w:r>
              <w:rPr>
                <w:rFonts w:ascii="Arial" w:hAnsi="Arial" w:cs="Arial"/>
                <w:sz w:val="22"/>
                <w:szCs w:val="22"/>
              </w:rPr>
              <w:t>/</w:t>
            </w:r>
          </w:p>
        </w:tc>
      </w:tr>
      <w:tr w14:paraId="4A23B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09" w:type="dxa"/>
            <w:vMerge w:val="continue"/>
            <w:tcBorders>
              <w:tl2br w:val="nil"/>
              <w:tr2bl w:val="nil"/>
            </w:tcBorders>
            <w:noWrap w:val="0"/>
            <w:vAlign w:val="center"/>
          </w:tcPr>
          <w:p w14:paraId="5B5062E8">
            <w:pPr>
              <w:pStyle w:val="946"/>
              <w:spacing w:line="300" w:lineRule="exact"/>
              <w:rPr>
                <w:rFonts w:ascii="Arial" w:hAnsi="Arial" w:cs="Arial"/>
                <w:sz w:val="22"/>
                <w:szCs w:val="22"/>
              </w:rPr>
            </w:pPr>
          </w:p>
        </w:tc>
        <w:tc>
          <w:tcPr>
            <w:tcW w:w="592" w:type="dxa"/>
            <w:vMerge w:val="continue"/>
            <w:tcBorders>
              <w:tl2br w:val="nil"/>
              <w:tr2bl w:val="nil"/>
            </w:tcBorders>
            <w:noWrap w:val="0"/>
            <w:vAlign w:val="center"/>
          </w:tcPr>
          <w:p w14:paraId="397BEE23">
            <w:pPr>
              <w:pStyle w:val="946"/>
              <w:spacing w:line="300" w:lineRule="exact"/>
              <w:rPr>
                <w:rFonts w:ascii="Arial" w:hAnsi="Arial" w:cs="Arial"/>
                <w:sz w:val="22"/>
                <w:szCs w:val="22"/>
              </w:rPr>
            </w:pPr>
          </w:p>
        </w:tc>
        <w:tc>
          <w:tcPr>
            <w:tcW w:w="1347" w:type="dxa"/>
            <w:gridSpan w:val="2"/>
            <w:vMerge w:val="continue"/>
            <w:tcBorders>
              <w:tl2br w:val="nil"/>
              <w:tr2bl w:val="nil"/>
            </w:tcBorders>
            <w:noWrap w:val="0"/>
            <w:vAlign w:val="center"/>
          </w:tcPr>
          <w:p w14:paraId="5605054F">
            <w:pPr>
              <w:widowControl/>
              <w:spacing w:line="300" w:lineRule="exact"/>
              <w:jc w:val="center"/>
              <w:rPr>
                <w:rFonts w:hint="eastAsia" w:ascii="Arial" w:hAnsi="Arial" w:cs="Arial"/>
                <w:sz w:val="22"/>
                <w:szCs w:val="22"/>
              </w:rPr>
            </w:pPr>
          </w:p>
        </w:tc>
        <w:tc>
          <w:tcPr>
            <w:tcW w:w="1213" w:type="dxa"/>
            <w:vMerge w:val="continue"/>
            <w:tcBorders>
              <w:tl2br w:val="nil"/>
              <w:tr2bl w:val="nil"/>
            </w:tcBorders>
            <w:noWrap w:val="0"/>
            <w:vAlign w:val="center"/>
          </w:tcPr>
          <w:p w14:paraId="70119307">
            <w:pPr>
              <w:widowControl/>
              <w:spacing w:line="300" w:lineRule="exact"/>
              <w:jc w:val="center"/>
              <w:rPr>
                <w:rFonts w:hint="eastAsia" w:ascii="Arial" w:hAnsi="Arial" w:cs="Arial"/>
                <w:sz w:val="22"/>
                <w:szCs w:val="22"/>
                <w:lang w:val="en-US" w:eastAsia="zh-CN"/>
              </w:rPr>
            </w:pPr>
          </w:p>
        </w:tc>
        <w:tc>
          <w:tcPr>
            <w:tcW w:w="1035" w:type="dxa"/>
            <w:tcBorders>
              <w:tl2br w:val="nil"/>
              <w:tr2bl w:val="nil"/>
            </w:tcBorders>
            <w:noWrap w:val="0"/>
            <w:vAlign w:val="center"/>
          </w:tcPr>
          <w:p w14:paraId="0E832F7F">
            <w:pPr>
              <w:pStyle w:val="946"/>
              <w:spacing w:line="300" w:lineRule="exact"/>
              <w:rPr>
                <w:rFonts w:ascii="Arial" w:hAnsi="Arial" w:cs="Arial"/>
                <w:sz w:val="22"/>
                <w:szCs w:val="22"/>
              </w:rPr>
            </w:pPr>
            <w:r>
              <w:rPr>
                <w:rFonts w:ascii="Arial" w:hAnsi="Arial" w:cs="Arial"/>
                <w:sz w:val="22"/>
                <w:szCs w:val="22"/>
              </w:rPr>
              <w:t>SS</w:t>
            </w:r>
          </w:p>
        </w:tc>
        <w:tc>
          <w:tcPr>
            <w:tcW w:w="1276" w:type="dxa"/>
            <w:tcBorders>
              <w:tl2br w:val="nil"/>
              <w:tr2bl w:val="nil"/>
            </w:tcBorders>
            <w:noWrap w:val="0"/>
            <w:vAlign w:val="center"/>
          </w:tcPr>
          <w:p w14:paraId="59C6D08C">
            <w:pPr>
              <w:pStyle w:val="946"/>
              <w:spacing w:line="300" w:lineRule="exact"/>
              <w:rPr>
                <w:rFonts w:hint="eastAsia" w:ascii="Arial" w:hAnsi="Arial" w:cs="Arial"/>
                <w:sz w:val="22"/>
                <w:szCs w:val="22"/>
              </w:rPr>
            </w:pPr>
            <w:r>
              <w:rPr>
                <w:rFonts w:hint="eastAsia" w:ascii="Arial" w:hAnsi="Arial" w:cs="Arial"/>
                <w:sz w:val="22"/>
                <w:szCs w:val="22"/>
                <w:lang w:val="en-US" w:eastAsia="zh-CN"/>
              </w:rPr>
              <w:t>20</w:t>
            </w:r>
            <w:r>
              <w:rPr>
                <w:rFonts w:ascii="Arial" w:hAnsi="Arial" w:cs="Arial"/>
                <w:sz w:val="22"/>
                <w:szCs w:val="22"/>
              </w:rPr>
              <w:t>00mg/L</w:t>
            </w:r>
          </w:p>
        </w:tc>
        <w:tc>
          <w:tcPr>
            <w:tcW w:w="1275" w:type="dxa"/>
            <w:tcBorders>
              <w:tl2br w:val="nil"/>
              <w:tr2bl w:val="nil"/>
            </w:tcBorders>
            <w:noWrap w:val="0"/>
            <w:vAlign w:val="center"/>
          </w:tcPr>
          <w:p w14:paraId="064A12F5">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0.0465t/d</w:t>
            </w:r>
          </w:p>
        </w:tc>
        <w:tc>
          <w:tcPr>
            <w:tcW w:w="2734" w:type="dxa"/>
            <w:vMerge w:val="continue"/>
            <w:tcBorders>
              <w:tl2br w:val="nil"/>
              <w:tr2bl w:val="nil"/>
            </w:tcBorders>
            <w:noWrap w:val="0"/>
            <w:vAlign w:val="center"/>
          </w:tcPr>
          <w:p w14:paraId="52518D4A">
            <w:pPr>
              <w:widowControl/>
              <w:spacing w:line="300" w:lineRule="exact"/>
              <w:jc w:val="center"/>
              <w:rPr>
                <w:rFonts w:hint="eastAsia" w:ascii="Arial" w:hAnsi="Arial" w:cs="Arial"/>
                <w:sz w:val="22"/>
                <w:szCs w:val="22"/>
              </w:rPr>
            </w:pPr>
          </w:p>
        </w:tc>
        <w:tc>
          <w:tcPr>
            <w:tcW w:w="1247" w:type="dxa"/>
            <w:tcBorders>
              <w:tl2br w:val="nil"/>
              <w:tr2bl w:val="nil"/>
            </w:tcBorders>
            <w:shd w:val="clear" w:color="auto" w:fill="auto"/>
            <w:noWrap w:val="0"/>
            <w:vAlign w:val="center"/>
          </w:tcPr>
          <w:p w14:paraId="1DD20983">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0</w:t>
            </w:r>
          </w:p>
        </w:tc>
        <w:tc>
          <w:tcPr>
            <w:tcW w:w="915" w:type="dxa"/>
            <w:tcBorders>
              <w:tl2br w:val="nil"/>
              <w:tr2bl w:val="nil"/>
            </w:tcBorders>
            <w:shd w:val="clear" w:color="auto" w:fill="auto"/>
            <w:noWrap w:val="0"/>
            <w:vAlign w:val="center"/>
          </w:tcPr>
          <w:p w14:paraId="0E7788AA">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39A24095">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r>
      <w:tr w14:paraId="25F26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3346A160">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079E2206">
            <w:pPr>
              <w:widowControl/>
              <w:spacing w:line="300" w:lineRule="exact"/>
              <w:jc w:val="center"/>
              <w:rPr>
                <w:rFonts w:ascii="Arial" w:hAnsi="Arial" w:cs="Arial"/>
                <w:sz w:val="22"/>
                <w:szCs w:val="22"/>
              </w:rPr>
            </w:pPr>
          </w:p>
        </w:tc>
        <w:tc>
          <w:tcPr>
            <w:tcW w:w="617" w:type="dxa"/>
            <w:vMerge w:val="restart"/>
            <w:tcBorders>
              <w:tl2br w:val="nil"/>
              <w:tr2bl w:val="nil"/>
            </w:tcBorders>
            <w:noWrap w:val="0"/>
            <w:vAlign w:val="center"/>
          </w:tcPr>
          <w:p w14:paraId="35917C11">
            <w:pPr>
              <w:pStyle w:val="946"/>
              <w:spacing w:line="300" w:lineRule="exact"/>
              <w:rPr>
                <w:rFonts w:ascii="Arial" w:hAnsi="Arial" w:cs="Arial"/>
                <w:sz w:val="22"/>
                <w:szCs w:val="22"/>
              </w:rPr>
            </w:pPr>
            <w:r>
              <w:rPr>
                <w:rFonts w:ascii="Arial" w:hAnsi="Arial" w:cs="Arial"/>
                <w:sz w:val="22"/>
                <w:szCs w:val="22"/>
              </w:rPr>
              <w:t>基坑废水</w:t>
            </w:r>
          </w:p>
        </w:tc>
        <w:tc>
          <w:tcPr>
            <w:tcW w:w="730" w:type="dxa"/>
            <w:tcBorders>
              <w:tl2br w:val="nil"/>
              <w:tr2bl w:val="nil"/>
            </w:tcBorders>
            <w:noWrap w:val="0"/>
            <w:vAlign w:val="center"/>
          </w:tcPr>
          <w:p w14:paraId="373726E1">
            <w:pPr>
              <w:pStyle w:val="946"/>
              <w:spacing w:line="300" w:lineRule="exact"/>
              <w:rPr>
                <w:rFonts w:ascii="Arial" w:hAnsi="Arial" w:cs="Arial"/>
                <w:sz w:val="22"/>
                <w:szCs w:val="22"/>
              </w:rPr>
            </w:pPr>
            <w:r>
              <w:rPr>
                <w:rFonts w:ascii="Arial" w:hAnsi="Arial" w:cs="Arial"/>
                <w:sz w:val="22"/>
                <w:szCs w:val="22"/>
              </w:rPr>
              <w:t>初期排水</w:t>
            </w:r>
          </w:p>
        </w:tc>
        <w:tc>
          <w:tcPr>
            <w:tcW w:w="1213" w:type="dxa"/>
            <w:tcBorders>
              <w:tl2br w:val="nil"/>
              <w:tr2bl w:val="nil"/>
            </w:tcBorders>
            <w:noWrap w:val="0"/>
            <w:vAlign w:val="center"/>
          </w:tcPr>
          <w:p w14:paraId="404CC53C">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少量</w:t>
            </w:r>
          </w:p>
        </w:tc>
        <w:tc>
          <w:tcPr>
            <w:tcW w:w="3586" w:type="dxa"/>
            <w:gridSpan w:val="3"/>
            <w:tcBorders>
              <w:tl2br w:val="nil"/>
              <w:tr2bl w:val="nil"/>
            </w:tcBorders>
            <w:noWrap w:val="0"/>
            <w:vAlign w:val="center"/>
          </w:tcPr>
          <w:p w14:paraId="7D1ED0ED">
            <w:pPr>
              <w:pStyle w:val="946"/>
              <w:spacing w:line="300" w:lineRule="exact"/>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天然水体</w:t>
            </w:r>
          </w:p>
        </w:tc>
        <w:tc>
          <w:tcPr>
            <w:tcW w:w="2734" w:type="dxa"/>
            <w:tcBorders>
              <w:tl2br w:val="nil"/>
              <w:tr2bl w:val="nil"/>
            </w:tcBorders>
            <w:noWrap w:val="0"/>
            <w:vAlign w:val="center"/>
          </w:tcPr>
          <w:p w14:paraId="128F9181">
            <w:pPr>
              <w:widowControl/>
              <w:spacing w:line="300" w:lineRule="exact"/>
              <w:jc w:val="center"/>
              <w:rPr>
                <w:rFonts w:hint="eastAsia" w:ascii="Arial" w:hAnsi="Arial" w:cs="Arial"/>
                <w:color w:val="C00000"/>
                <w:sz w:val="22"/>
                <w:szCs w:val="22"/>
              </w:rPr>
            </w:pPr>
            <w:r>
              <w:rPr>
                <w:rFonts w:hint="eastAsia" w:ascii="Arial" w:hAnsi="Arial" w:cs="Arial"/>
                <w:color w:val="auto"/>
                <w:sz w:val="22"/>
                <w:szCs w:val="22"/>
                <w:lang w:eastAsia="zh-CN"/>
              </w:rPr>
              <w:t>泵入下游河道</w:t>
            </w:r>
          </w:p>
        </w:tc>
        <w:tc>
          <w:tcPr>
            <w:tcW w:w="1247" w:type="dxa"/>
            <w:tcBorders>
              <w:tl2br w:val="nil"/>
              <w:tr2bl w:val="nil"/>
            </w:tcBorders>
            <w:shd w:val="clear" w:color="auto" w:fill="auto"/>
            <w:noWrap w:val="0"/>
            <w:vAlign w:val="center"/>
          </w:tcPr>
          <w:p w14:paraId="2457B76D">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0</w:t>
            </w:r>
          </w:p>
        </w:tc>
        <w:tc>
          <w:tcPr>
            <w:tcW w:w="915" w:type="dxa"/>
            <w:tcBorders>
              <w:tl2br w:val="nil"/>
              <w:tr2bl w:val="nil"/>
            </w:tcBorders>
            <w:shd w:val="clear" w:color="auto" w:fill="auto"/>
            <w:noWrap w:val="0"/>
            <w:vAlign w:val="center"/>
          </w:tcPr>
          <w:p w14:paraId="65C5082A">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4D32B04B">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r>
      <w:tr w14:paraId="2CDF4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2FC646A0">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2D00A626">
            <w:pPr>
              <w:widowControl/>
              <w:spacing w:line="300" w:lineRule="exact"/>
              <w:jc w:val="center"/>
              <w:rPr>
                <w:rFonts w:ascii="Arial" w:hAnsi="Arial" w:cs="Arial"/>
                <w:sz w:val="22"/>
                <w:szCs w:val="22"/>
              </w:rPr>
            </w:pPr>
          </w:p>
        </w:tc>
        <w:tc>
          <w:tcPr>
            <w:tcW w:w="617" w:type="dxa"/>
            <w:vMerge w:val="continue"/>
            <w:tcBorders>
              <w:tl2br w:val="nil"/>
              <w:tr2bl w:val="nil"/>
            </w:tcBorders>
            <w:noWrap w:val="0"/>
            <w:vAlign w:val="center"/>
          </w:tcPr>
          <w:p w14:paraId="4C1EB41F">
            <w:pPr>
              <w:widowControl/>
              <w:spacing w:line="300" w:lineRule="exact"/>
              <w:jc w:val="center"/>
              <w:rPr>
                <w:rFonts w:ascii="Arial" w:hAnsi="Arial" w:cs="Arial"/>
                <w:sz w:val="22"/>
                <w:szCs w:val="22"/>
              </w:rPr>
            </w:pPr>
          </w:p>
        </w:tc>
        <w:tc>
          <w:tcPr>
            <w:tcW w:w="730" w:type="dxa"/>
            <w:tcBorders>
              <w:tl2br w:val="nil"/>
              <w:tr2bl w:val="nil"/>
            </w:tcBorders>
            <w:noWrap w:val="0"/>
            <w:vAlign w:val="center"/>
          </w:tcPr>
          <w:p w14:paraId="149BCB32">
            <w:pPr>
              <w:pStyle w:val="946"/>
              <w:spacing w:line="300" w:lineRule="exact"/>
              <w:rPr>
                <w:rFonts w:ascii="Arial" w:hAnsi="Arial" w:cs="Arial"/>
                <w:sz w:val="22"/>
                <w:szCs w:val="22"/>
              </w:rPr>
            </w:pPr>
            <w:r>
              <w:rPr>
                <w:rFonts w:ascii="Arial" w:hAnsi="Arial" w:cs="Arial"/>
                <w:sz w:val="22"/>
                <w:szCs w:val="22"/>
              </w:rPr>
              <w:t>经常性排水</w:t>
            </w:r>
          </w:p>
        </w:tc>
        <w:tc>
          <w:tcPr>
            <w:tcW w:w="1213" w:type="dxa"/>
            <w:tcBorders>
              <w:tl2br w:val="nil"/>
              <w:tr2bl w:val="nil"/>
            </w:tcBorders>
            <w:noWrap w:val="0"/>
            <w:vAlign w:val="center"/>
          </w:tcPr>
          <w:p w14:paraId="7BFC7C50">
            <w:pPr>
              <w:pStyle w:val="946"/>
              <w:spacing w:line="300" w:lineRule="exact"/>
              <w:rPr>
                <w:rFonts w:hint="eastAsia" w:ascii="Arial" w:hAnsi="Arial" w:eastAsia="宋体" w:cs="Arial"/>
                <w:color w:val="auto"/>
                <w:sz w:val="22"/>
                <w:szCs w:val="22"/>
                <w:lang w:eastAsia="zh-CN"/>
              </w:rPr>
            </w:pPr>
            <w:r>
              <w:rPr>
                <w:rFonts w:hint="eastAsia" w:ascii="Arial" w:hAnsi="Arial" w:cs="Arial"/>
                <w:color w:val="auto"/>
                <w:sz w:val="22"/>
                <w:szCs w:val="22"/>
                <w:lang w:val="en-US" w:eastAsia="zh-CN"/>
              </w:rPr>
              <w:t>14</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w:t>
            </w:r>
            <w:r>
              <w:rPr>
                <w:rFonts w:hint="eastAsia" w:ascii="Arial" w:hAnsi="Arial" w:cs="Arial"/>
                <w:color w:val="auto"/>
                <w:sz w:val="22"/>
                <w:szCs w:val="22"/>
                <w:lang w:val="en-US" w:eastAsia="zh-CN"/>
              </w:rPr>
              <w:t>h</w:t>
            </w:r>
          </w:p>
        </w:tc>
        <w:tc>
          <w:tcPr>
            <w:tcW w:w="1035" w:type="dxa"/>
            <w:tcBorders>
              <w:tl2br w:val="nil"/>
              <w:tr2bl w:val="nil"/>
            </w:tcBorders>
            <w:noWrap w:val="0"/>
            <w:vAlign w:val="center"/>
          </w:tcPr>
          <w:p w14:paraId="1B904A0C">
            <w:pPr>
              <w:pStyle w:val="946"/>
              <w:spacing w:line="300" w:lineRule="exact"/>
              <w:rPr>
                <w:rFonts w:ascii="Arial" w:hAnsi="Arial" w:cs="Arial"/>
                <w:color w:val="auto"/>
                <w:sz w:val="22"/>
                <w:szCs w:val="22"/>
              </w:rPr>
            </w:pPr>
            <w:r>
              <w:rPr>
                <w:rFonts w:ascii="Arial" w:hAnsi="Arial" w:cs="Arial"/>
                <w:color w:val="auto"/>
                <w:sz w:val="22"/>
                <w:szCs w:val="22"/>
              </w:rPr>
              <w:t>SS</w:t>
            </w:r>
          </w:p>
        </w:tc>
        <w:tc>
          <w:tcPr>
            <w:tcW w:w="1276" w:type="dxa"/>
            <w:tcBorders>
              <w:tl2br w:val="nil"/>
              <w:tr2bl w:val="nil"/>
            </w:tcBorders>
            <w:noWrap w:val="0"/>
            <w:vAlign w:val="center"/>
          </w:tcPr>
          <w:p w14:paraId="3FE7842D">
            <w:pPr>
              <w:pStyle w:val="946"/>
              <w:spacing w:line="300" w:lineRule="exact"/>
              <w:rPr>
                <w:rFonts w:ascii="Arial" w:hAnsi="Arial" w:cs="Arial"/>
                <w:color w:val="auto"/>
                <w:sz w:val="22"/>
                <w:szCs w:val="22"/>
              </w:rPr>
            </w:pPr>
            <w:r>
              <w:rPr>
                <w:rFonts w:hint="eastAsia" w:ascii="Arial" w:hAnsi="Arial" w:cs="Arial"/>
                <w:color w:val="auto"/>
                <w:sz w:val="22"/>
                <w:szCs w:val="22"/>
                <w:lang w:val="en-US" w:eastAsia="zh-CN"/>
              </w:rPr>
              <w:t>1</w:t>
            </w:r>
            <w:r>
              <w:rPr>
                <w:rFonts w:ascii="Arial" w:hAnsi="Arial" w:cs="Arial"/>
                <w:color w:val="auto"/>
                <w:sz w:val="22"/>
                <w:szCs w:val="22"/>
              </w:rPr>
              <w:t>000mg/L</w:t>
            </w:r>
          </w:p>
        </w:tc>
        <w:tc>
          <w:tcPr>
            <w:tcW w:w="1275" w:type="dxa"/>
            <w:tcBorders>
              <w:tl2br w:val="nil"/>
              <w:tr2bl w:val="nil"/>
            </w:tcBorders>
            <w:noWrap w:val="0"/>
            <w:vAlign w:val="center"/>
          </w:tcPr>
          <w:p w14:paraId="5B9F79A4">
            <w:pPr>
              <w:pStyle w:val="946"/>
              <w:spacing w:line="300" w:lineRule="exact"/>
              <w:rPr>
                <w:rFonts w:ascii="Arial" w:hAnsi="Arial" w:cs="Arial"/>
                <w:color w:val="auto"/>
                <w:sz w:val="22"/>
                <w:szCs w:val="22"/>
              </w:rPr>
            </w:pPr>
            <w:r>
              <w:rPr>
                <w:rFonts w:hint="eastAsia" w:ascii="Arial" w:hAnsi="Arial" w:cs="Arial"/>
                <w:color w:val="auto"/>
                <w:sz w:val="22"/>
                <w:szCs w:val="22"/>
                <w:lang w:val="en-US" w:eastAsia="zh-CN"/>
              </w:rPr>
              <w:t>0.014</w:t>
            </w:r>
            <w:r>
              <w:rPr>
                <w:rFonts w:ascii="Arial" w:hAnsi="Arial" w:cs="Arial"/>
                <w:color w:val="auto"/>
                <w:sz w:val="22"/>
                <w:szCs w:val="22"/>
              </w:rPr>
              <w:t>t/d</w:t>
            </w:r>
          </w:p>
        </w:tc>
        <w:tc>
          <w:tcPr>
            <w:tcW w:w="2734" w:type="dxa"/>
            <w:tcBorders>
              <w:tl2br w:val="nil"/>
              <w:tr2bl w:val="nil"/>
            </w:tcBorders>
            <w:noWrap w:val="0"/>
            <w:vAlign w:val="center"/>
          </w:tcPr>
          <w:p w14:paraId="72DD8BA9">
            <w:pPr>
              <w:pStyle w:val="946"/>
              <w:spacing w:line="300" w:lineRule="exact"/>
              <w:rPr>
                <w:rFonts w:ascii="Arial" w:hAnsi="Arial" w:cs="Arial"/>
                <w:color w:val="C00000"/>
                <w:sz w:val="22"/>
                <w:szCs w:val="22"/>
              </w:rPr>
            </w:pPr>
            <w:r>
              <w:rPr>
                <w:rFonts w:hint="eastAsia" w:ascii="Arial" w:hAnsi="Times New Roman" w:eastAsia="宋体" w:cs="Arial"/>
                <w:b w:val="0"/>
                <w:color w:val="auto"/>
                <w:kern w:val="2"/>
                <w:sz w:val="22"/>
                <w:szCs w:val="22"/>
                <w:lang w:val="en-US" w:eastAsia="zh-CN" w:bidi="ar-SA"/>
              </w:rPr>
              <w:t>经截水沟、集水坑收集沉淀处理后，上清液可用作施工用水，多余部分泵入下游河道。</w:t>
            </w:r>
          </w:p>
        </w:tc>
        <w:tc>
          <w:tcPr>
            <w:tcW w:w="1247" w:type="dxa"/>
            <w:tcBorders>
              <w:tl2br w:val="nil"/>
              <w:tr2bl w:val="nil"/>
            </w:tcBorders>
            <w:noWrap w:val="0"/>
            <w:vAlign w:val="center"/>
          </w:tcPr>
          <w:p w14:paraId="7B3DC272">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少量</w:t>
            </w:r>
          </w:p>
        </w:tc>
        <w:tc>
          <w:tcPr>
            <w:tcW w:w="915" w:type="dxa"/>
            <w:tcBorders>
              <w:tl2br w:val="nil"/>
              <w:tr2bl w:val="nil"/>
            </w:tcBorders>
            <w:noWrap w:val="0"/>
            <w:vAlign w:val="center"/>
          </w:tcPr>
          <w:p w14:paraId="78C7EEEF">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6BA52CCA">
            <w:pPr>
              <w:pStyle w:val="946"/>
              <w:spacing w:line="300" w:lineRule="exact"/>
              <w:rPr>
                <w:rFonts w:ascii="Arial" w:hAnsi="Arial" w:cs="Arial"/>
                <w:sz w:val="22"/>
                <w:szCs w:val="22"/>
              </w:rPr>
            </w:pPr>
            <w:r>
              <w:rPr>
                <w:rFonts w:ascii="Arial" w:hAnsi="Arial" w:cs="Arial"/>
                <w:sz w:val="22"/>
                <w:szCs w:val="22"/>
              </w:rPr>
              <w:t>/</w:t>
            </w:r>
          </w:p>
        </w:tc>
      </w:tr>
      <w:tr w14:paraId="78FAA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050FE613">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2D93D80E">
            <w:pPr>
              <w:widowControl/>
              <w:spacing w:line="300" w:lineRule="exact"/>
              <w:jc w:val="center"/>
              <w:rPr>
                <w:rFonts w:ascii="Arial" w:hAnsi="Arial" w:cs="Arial"/>
                <w:sz w:val="22"/>
                <w:szCs w:val="22"/>
              </w:rPr>
            </w:pPr>
          </w:p>
        </w:tc>
        <w:tc>
          <w:tcPr>
            <w:tcW w:w="1347" w:type="dxa"/>
            <w:gridSpan w:val="2"/>
            <w:vMerge w:val="restart"/>
            <w:tcBorders>
              <w:tl2br w:val="nil"/>
              <w:tr2bl w:val="nil"/>
            </w:tcBorders>
            <w:noWrap w:val="0"/>
            <w:vAlign w:val="center"/>
          </w:tcPr>
          <w:p w14:paraId="32A532E3">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含油废水</w:t>
            </w:r>
          </w:p>
        </w:tc>
        <w:tc>
          <w:tcPr>
            <w:tcW w:w="1213" w:type="dxa"/>
            <w:vMerge w:val="restart"/>
            <w:tcBorders>
              <w:tl2br w:val="nil"/>
              <w:tr2bl w:val="nil"/>
            </w:tcBorders>
            <w:noWrap w:val="0"/>
            <w:vAlign w:val="center"/>
          </w:tcPr>
          <w:p w14:paraId="2D2B4537">
            <w:pPr>
              <w:pStyle w:val="946"/>
              <w:spacing w:line="300" w:lineRule="exact"/>
              <w:rPr>
                <w:rFonts w:ascii="Arial" w:hAnsi="Arial" w:cs="Arial"/>
                <w:sz w:val="22"/>
                <w:szCs w:val="22"/>
              </w:rPr>
            </w:pPr>
            <w:r>
              <w:rPr>
                <w:rFonts w:ascii="Arial" w:hAnsi="Arial" w:cs="Arial"/>
                <w:sz w:val="22"/>
                <w:szCs w:val="22"/>
              </w:rPr>
              <w:t>3.0m</w:t>
            </w:r>
            <w:r>
              <w:rPr>
                <w:rFonts w:ascii="Arial" w:hAnsi="Arial" w:cs="Arial"/>
                <w:sz w:val="22"/>
                <w:szCs w:val="22"/>
                <w:vertAlign w:val="superscript"/>
              </w:rPr>
              <w:t>3</w:t>
            </w:r>
            <w:r>
              <w:rPr>
                <w:rFonts w:ascii="Arial" w:hAnsi="Arial" w:cs="Arial"/>
                <w:sz w:val="22"/>
                <w:szCs w:val="22"/>
              </w:rPr>
              <w:t>/d</w:t>
            </w:r>
          </w:p>
        </w:tc>
        <w:tc>
          <w:tcPr>
            <w:tcW w:w="1035" w:type="dxa"/>
            <w:tcBorders>
              <w:tl2br w:val="nil"/>
              <w:tr2bl w:val="nil"/>
            </w:tcBorders>
            <w:noWrap w:val="0"/>
            <w:vAlign w:val="center"/>
          </w:tcPr>
          <w:p w14:paraId="16A39B84">
            <w:pPr>
              <w:pStyle w:val="946"/>
              <w:spacing w:line="300" w:lineRule="exact"/>
              <w:rPr>
                <w:rFonts w:ascii="Arial" w:hAnsi="Arial" w:cs="Arial"/>
                <w:sz w:val="22"/>
                <w:szCs w:val="22"/>
              </w:rPr>
            </w:pPr>
            <w:r>
              <w:rPr>
                <w:rFonts w:ascii="Arial" w:hAnsi="Arial" w:cs="Arial"/>
                <w:sz w:val="22"/>
                <w:szCs w:val="22"/>
              </w:rPr>
              <w:t>石油类</w:t>
            </w:r>
          </w:p>
        </w:tc>
        <w:tc>
          <w:tcPr>
            <w:tcW w:w="1276" w:type="dxa"/>
            <w:tcBorders>
              <w:tl2br w:val="nil"/>
              <w:tr2bl w:val="nil"/>
            </w:tcBorders>
            <w:noWrap w:val="0"/>
            <w:vAlign w:val="center"/>
          </w:tcPr>
          <w:p w14:paraId="7F12B5C9">
            <w:pPr>
              <w:pStyle w:val="946"/>
              <w:spacing w:line="300" w:lineRule="exact"/>
              <w:rPr>
                <w:rFonts w:ascii="Arial" w:hAnsi="Arial" w:cs="Arial"/>
                <w:sz w:val="22"/>
                <w:szCs w:val="22"/>
              </w:rPr>
            </w:pPr>
            <w:r>
              <w:rPr>
                <w:rFonts w:hint="eastAsia" w:ascii="Arial" w:hAnsi="Arial" w:cs="Arial"/>
                <w:sz w:val="22"/>
                <w:szCs w:val="22"/>
                <w:lang w:val="en-US" w:eastAsia="zh-CN"/>
              </w:rPr>
              <w:t>12</w:t>
            </w:r>
            <w:r>
              <w:rPr>
                <w:rFonts w:ascii="Arial" w:hAnsi="Arial" w:cs="Arial"/>
                <w:sz w:val="22"/>
                <w:szCs w:val="22"/>
              </w:rPr>
              <w:t>0mg/L</w:t>
            </w:r>
          </w:p>
        </w:tc>
        <w:tc>
          <w:tcPr>
            <w:tcW w:w="1275" w:type="dxa"/>
            <w:tcBorders>
              <w:tl2br w:val="nil"/>
              <w:tr2bl w:val="nil"/>
            </w:tcBorders>
            <w:noWrap w:val="0"/>
            <w:vAlign w:val="center"/>
          </w:tcPr>
          <w:p w14:paraId="3388365C">
            <w:pPr>
              <w:pStyle w:val="946"/>
              <w:spacing w:line="300" w:lineRule="exact"/>
              <w:rPr>
                <w:rFonts w:ascii="Arial" w:hAnsi="Arial" w:cs="Arial"/>
                <w:sz w:val="22"/>
                <w:szCs w:val="22"/>
              </w:rPr>
            </w:pPr>
            <w:r>
              <w:rPr>
                <w:rFonts w:hint="eastAsia" w:ascii="Arial" w:hAnsi="Arial" w:cs="Arial"/>
                <w:sz w:val="22"/>
                <w:szCs w:val="22"/>
                <w:lang w:val="en-US" w:eastAsia="zh-CN"/>
              </w:rPr>
              <w:t>0.36</w:t>
            </w:r>
            <w:r>
              <w:rPr>
                <w:rFonts w:ascii="Arial" w:hAnsi="Arial" w:cs="Arial"/>
                <w:sz w:val="22"/>
                <w:szCs w:val="22"/>
              </w:rPr>
              <w:t>kg/d</w:t>
            </w:r>
          </w:p>
        </w:tc>
        <w:tc>
          <w:tcPr>
            <w:tcW w:w="2734" w:type="dxa"/>
            <w:vMerge w:val="restart"/>
            <w:tcBorders>
              <w:tl2br w:val="nil"/>
              <w:tr2bl w:val="nil"/>
            </w:tcBorders>
            <w:noWrap w:val="0"/>
            <w:vAlign w:val="center"/>
          </w:tcPr>
          <w:p w14:paraId="289B2F53">
            <w:pPr>
              <w:pStyle w:val="946"/>
              <w:spacing w:line="300" w:lineRule="exact"/>
              <w:rPr>
                <w:rFonts w:ascii="Arial" w:hAnsi="Arial" w:cs="Arial"/>
                <w:sz w:val="22"/>
                <w:szCs w:val="22"/>
              </w:rPr>
            </w:pPr>
            <w:r>
              <w:rPr>
                <w:rFonts w:ascii="Arial" w:hAnsi="Arial" w:cs="Arial"/>
                <w:color w:val="auto"/>
                <w:sz w:val="22"/>
                <w:szCs w:val="22"/>
              </w:rPr>
              <w:t>经施工</w:t>
            </w:r>
            <w:r>
              <w:rPr>
                <w:rFonts w:hint="eastAsia" w:ascii="Arial" w:hAnsi="Arial" w:cs="Arial"/>
                <w:color w:val="auto"/>
                <w:sz w:val="22"/>
                <w:szCs w:val="22"/>
              </w:rPr>
              <w:t>区内</w:t>
            </w:r>
            <w:r>
              <w:rPr>
                <w:rFonts w:ascii="Arial" w:hAnsi="Arial" w:cs="Arial"/>
                <w:color w:val="auto"/>
                <w:sz w:val="22"/>
                <w:szCs w:val="22"/>
              </w:rPr>
              <w:t>设置的隔油池处理后全部回用</w:t>
            </w:r>
            <w:r>
              <w:rPr>
                <w:rFonts w:hint="eastAsia" w:ascii="Arial" w:hAnsi="Arial" w:cs="Arial"/>
                <w:color w:val="auto"/>
                <w:sz w:val="22"/>
                <w:szCs w:val="22"/>
                <w:lang w:eastAsia="zh-CN"/>
              </w:rPr>
              <w:t>，</w:t>
            </w:r>
            <w:r>
              <w:rPr>
                <w:rFonts w:ascii="Arial" w:hAnsi="Arial" w:cs="Arial"/>
                <w:color w:val="auto"/>
                <w:sz w:val="22"/>
                <w:szCs w:val="22"/>
              </w:rPr>
              <w:t>不外排</w:t>
            </w:r>
            <w:r>
              <w:rPr>
                <w:rFonts w:hint="eastAsia" w:ascii="Arial" w:hAnsi="Arial" w:cs="Arial"/>
                <w:color w:val="auto"/>
                <w:sz w:val="22"/>
                <w:szCs w:val="22"/>
                <w:lang w:eastAsia="zh-CN"/>
              </w:rPr>
              <w:t>。</w:t>
            </w:r>
          </w:p>
        </w:tc>
        <w:tc>
          <w:tcPr>
            <w:tcW w:w="1247" w:type="dxa"/>
            <w:tcBorders>
              <w:tl2br w:val="nil"/>
              <w:tr2bl w:val="nil"/>
            </w:tcBorders>
            <w:noWrap w:val="0"/>
            <w:vAlign w:val="center"/>
          </w:tcPr>
          <w:p w14:paraId="3AABB26C">
            <w:pPr>
              <w:pStyle w:val="946"/>
              <w:spacing w:line="300" w:lineRule="exact"/>
              <w:rPr>
                <w:rFonts w:ascii="Arial" w:hAnsi="Arial" w:cs="Arial"/>
                <w:sz w:val="22"/>
                <w:szCs w:val="22"/>
              </w:rPr>
            </w:pPr>
            <w:r>
              <w:rPr>
                <w:rFonts w:ascii="Arial" w:hAnsi="Arial" w:cs="Arial"/>
                <w:sz w:val="22"/>
                <w:szCs w:val="22"/>
              </w:rPr>
              <w:t>0</w:t>
            </w:r>
          </w:p>
        </w:tc>
        <w:tc>
          <w:tcPr>
            <w:tcW w:w="915" w:type="dxa"/>
            <w:tcBorders>
              <w:tl2br w:val="nil"/>
              <w:tr2bl w:val="nil"/>
            </w:tcBorders>
            <w:noWrap w:val="0"/>
            <w:vAlign w:val="center"/>
          </w:tcPr>
          <w:p w14:paraId="43FC3EB0">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4FCAEBBE">
            <w:pPr>
              <w:pStyle w:val="946"/>
              <w:spacing w:line="300" w:lineRule="exact"/>
              <w:rPr>
                <w:rFonts w:ascii="Arial" w:hAnsi="Arial" w:cs="Arial"/>
                <w:sz w:val="22"/>
                <w:szCs w:val="22"/>
              </w:rPr>
            </w:pPr>
            <w:r>
              <w:rPr>
                <w:rFonts w:ascii="Arial" w:hAnsi="Arial" w:cs="Arial"/>
                <w:sz w:val="22"/>
                <w:szCs w:val="22"/>
              </w:rPr>
              <w:t>/</w:t>
            </w:r>
          </w:p>
        </w:tc>
      </w:tr>
      <w:tr w14:paraId="2846B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2F40C65E">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68709F46">
            <w:pPr>
              <w:widowControl/>
              <w:spacing w:line="300" w:lineRule="exact"/>
              <w:jc w:val="center"/>
              <w:rPr>
                <w:rFonts w:ascii="Arial" w:hAnsi="Arial" w:cs="Arial"/>
                <w:sz w:val="22"/>
                <w:szCs w:val="22"/>
              </w:rPr>
            </w:pPr>
          </w:p>
        </w:tc>
        <w:tc>
          <w:tcPr>
            <w:tcW w:w="1347" w:type="dxa"/>
            <w:gridSpan w:val="2"/>
            <w:vMerge w:val="continue"/>
            <w:tcBorders>
              <w:tl2br w:val="nil"/>
              <w:tr2bl w:val="nil"/>
            </w:tcBorders>
            <w:noWrap w:val="0"/>
            <w:vAlign w:val="center"/>
          </w:tcPr>
          <w:p w14:paraId="762686FB">
            <w:pPr>
              <w:widowControl/>
              <w:spacing w:line="300" w:lineRule="exact"/>
              <w:jc w:val="center"/>
              <w:rPr>
                <w:rFonts w:ascii="Arial" w:hAnsi="Arial" w:cs="Arial"/>
                <w:sz w:val="22"/>
                <w:szCs w:val="22"/>
              </w:rPr>
            </w:pPr>
          </w:p>
        </w:tc>
        <w:tc>
          <w:tcPr>
            <w:tcW w:w="1213" w:type="dxa"/>
            <w:vMerge w:val="continue"/>
            <w:tcBorders>
              <w:tl2br w:val="nil"/>
              <w:tr2bl w:val="nil"/>
            </w:tcBorders>
            <w:noWrap w:val="0"/>
            <w:vAlign w:val="center"/>
          </w:tcPr>
          <w:p w14:paraId="56A936E7">
            <w:pPr>
              <w:widowControl/>
              <w:spacing w:line="300" w:lineRule="exact"/>
              <w:jc w:val="center"/>
              <w:rPr>
                <w:rFonts w:ascii="Arial" w:hAnsi="Arial" w:cs="Arial"/>
                <w:sz w:val="22"/>
                <w:szCs w:val="22"/>
              </w:rPr>
            </w:pPr>
          </w:p>
        </w:tc>
        <w:tc>
          <w:tcPr>
            <w:tcW w:w="1035" w:type="dxa"/>
            <w:tcBorders>
              <w:tl2br w:val="nil"/>
              <w:tr2bl w:val="nil"/>
            </w:tcBorders>
            <w:noWrap w:val="0"/>
            <w:vAlign w:val="center"/>
          </w:tcPr>
          <w:p w14:paraId="44104F4D">
            <w:pPr>
              <w:pStyle w:val="946"/>
              <w:spacing w:line="300" w:lineRule="exact"/>
              <w:rPr>
                <w:rFonts w:ascii="Arial" w:hAnsi="Arial" w:cs="Arial"/>
                <w:sz w:val="22"/>
                <w:szCs w:val="22"/>
              </w:rPr>
            </w:pPr>
            <w:r>
              <w:rPr>
                <w:rFonts w:ascii="Arial" w:hAnsi="Arial" w:cs="Arial"/>
                <w:sz w:val="22"/>
                <w:szCs w:val="22"/>
              </w:rPr>
              <w:t>SS</w:t>
            </w:r>
          </w:p>
        </w:tc>
        <w:tc>
          <w:tcPr>
            <w:tcW w:w="1276" w:type="dxa"/>
            <w:tcBorders>
              <w:tl2br w:val="nil"/>
              <w:tr2bl w:val="nil"/>
            </w:tcBorders>
            <w:noWrap w:val="0"/>
            <w:vAlign w:val="center"/>
          </w:tcPr>
          <w:p w14:paraId="742CDEBD">
            <w:pPr>
              <w:pStyle w:val="946"/>
              <w:spacing w:line="300" w:lineRule="exact"/>
              <w:rPr>
                <w:rFonts w:ascii="Arial" w:hAnsi="Arial" w:cs="Arial"/>
                <w:sz w:val="22"/>
                <w:szCs w:val="22"/>
              </w:rPr>
            </w:pPr>
            <w:r>
              <w:rPr>
                <w:rFonts w:ascii="Arial" w:hAnsi="Arial" w:cs="Arial"/>
                <w:sz w:val="22"/>
                <w:szCs w:val="22"/>
              </w:rPr>
              <w:t>1</w:t>
            </w:r>
            <w:r>
              <w:rPr>
                <w:rFonts w:hint="eastAsia" w:ascii="Arial" w:hAnsi="Arial" w:cs="Arial"/>
                <w:sz w:val="22"/>
                <w:szCs w:val="22"/>
                <w:lang w:val="en-US" w:eastAsia="zh-CN"/>
              </w:rPr>
              <w:t>0</w:t>
            </w:r>
            <w:r>
              <w:rPr>
                <w:rFonts w:ascii="Arial" w:hAnsi="Arial" w:cs="Arial"/>
                <w:sz w:val="22"/>
                <w:szCs w:val="22"/>
              </w:rPr>
              <w:t>00mg/L</w:t>
            </w:r>
          </w:p>
        </w:tc>
        <w:tc>
          <w:tcPr>
            <w:tcW w:w="1275" w:type="dxa"/>
            <w:tcBorders>
              <w:tl2br w:val="nil"/>
              <w:tr2bl w:val="nil"/>
            </w:tcBorders>
            <w:noWrap w:val="0"/>
            <w:vAlign w:val="center"/>
          </w:tcPr>
          <w:p w14:paraId="1FA7A3B2">
            <w:pPr>
              <w:pStyle w:val="946"/>
              <w:spacing w:line="300" w:lineRule="exact"/>
              <w:rPr>
                <w:rFonts w:ascii="Arial" w:hAnsi="Arial" w:cs="Arial"/>
                <w:sz w:val="22"/>
                <w:szCs w:val="22"/>
              </w:rPr>
            </w:pPr>
            <w:r>
              <w:rPr>
                <w:rFonts w:hint="eastAsia" w:ascii="Arial" w:hAnsi="Arial" w:cs="Arial"/>
                <w:sz w:val="22"/>
                <w:szCs w:val="22"/>
                <w:lang w:val="en-US" w:eastAsia="zh-CN"/>
              </w:rPr>
              <w:t>3</w:t>
            </w:r>
            <w:r>
              <w:rPr>
                <w:rFonts w:ascii="Arial" w:hAnsi="Arial" w:cs="Arial"/>
                <w:sz w:val="22"/>
                <w:szCs w:val="22"/>
              </w:rPr>
              <w:t>kg/d</w:t>
            </w:r>
          </w:p>
        </w:tc>
        <w:tc>
          <w:tcPr>
            <w:tcW w:w="2734" w:type="dxa"/>
            <w:vMerge w:val="continue"/>
            <w:tcBorders>
              <w:tl2br w:val="nil"/>
              <w:tr2bl w:val="nil"/>
            </w:tcBorders>
            <w:noWrap w:val="0"/>
            <w:vAlign w:val="center"/>
          </w:tcPr>
          <w:p w14:paraId="68C97FC2">
            <w:pPr>
              <w:pStyle w:val="946"/>
              <w:spacing w:line="300" w:lineRule="exact"/>
              <w:rPr>
                <w:rFonts w:ascii="Arial" w:hAnsi="Arial" w:cs="Arial"/>
                <w:sz w:val="22"/>
                <w:szCs w:val="22"/>
              </w:rPr>
            </w:pPr>
          </w:p>
        </w:tc>
        <w:tc>
          <w:tcPr>
            <w:tcW w:w="1247" w:type="dxa"/>
            <w:tcBorders>
              <w:tl2br w:val="nil"/>
              <w:tr2bl w:val="nil"/>
            </w:tcBorders>
            <w:noWrap w:val="0"/>
            <w:vAlign w:val="center"/>
          </w:tcPr>
          <w:p w14:paraId="63685ECB">
            <w:pPr>
              <w:pStyle w:val="946"/>
              <w:spacing w:line="300" w:lineRule="exact"/>
              <w:rPr>
                <w:rFonts w:ascii="Arial" w:hAnsi="Arial" w:cs="Arial"/>
                <w:sz w:val="22"/>
                <w:szCs w:val="22"/>
              </w:rPr>
            </w:pPr>
            <w:r>
              <w:rPr>
                <w:rFonts w:ascii="Arial" w:hAnsi="Arial" w:cs="Arial"/>
                <w:sz w:val="22"/>
                <w:szCs w:val="22"/>
              </w:rPr>
              <w:t>0</w:t>
            </w:r>
          </w:p>
        </w:tc>
        <w:tc>
          <w:tcPr>
            <w:tcW w:w="915" w:type="dxa"/>
            <w:tcBorders>
              <w:tl2br w:val="nil"/>
              <w:tr2bl w:val="nil"/>
            </w:tcBorders>
            <w:noWrap w:val="0"/>
            <w:vAlign w:val="center"/>
          </w:tcPr>
          <w:p w14:paraId="58B2580D">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0DAC34BA">
            <w:pPr>
              <w:pStyle w:val="946"/>
              <w:spacing w:line="300" w:lineRule="exact"/>
              <w:rPr>
                <w:rFonts w:ascii="Arial" w:hAnsi="Arial" w:cs="Arial"/>
                <w:sz w:val="22"/>
                <w:szCs w:val="22"/>
              </w:rPr>
            </w:pPr>
            <w:r>
              <w:rPr>
                <w:rFonts w:ascii="Arial" w:hAnsi="Arial" w:cs="Arial"/>
                <w:sz w:val="22"/>
                <w:szCs w:val="22"/>
              </w:rPr>
              <w:t>/</w:t>
            </w:r>
          </w:p>
        </w:tc>
      </w:tr>
      <w:tr w14:paraId="11E45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1AD91D9D">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765D6AD2">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651E829A">
            <w:pPr>
              <w:widowControl/>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初期雨水</w:t>
            </w:r>
          </w:p>
        </w:tc>
        <w:tc>
          <w:tcPr>
            <w:tcW w:w="1213" w:type="dxa"/>
            <w:tcBorders>
              <w:tl2br w:val="nil"/>
              <w:tr2bl w:val="nil"/>
            </w:tcBorders>
            <w:noWrap w:val="0"/>
            <w:vAlign w:val="center"/>
          </w:tcPr>
          <w:p w14:paraId="0037500C">
            <w:pPr>
              <w:widowControl/>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w:t>
            </w:r>
          </w:p>
        </w:tc>
        <w:tc>
          <w:tcPr>
            <w:tcW w:w="1035" w:type="dxa"/>
            <w:tcBorders>
              <w:tl2br w:val="nil"/>
              <w:tr2bl w:val="nil"/>
            </w:tcBorders>
            <w:noWrap w:val="0"/>
            <w:vAlign w:val="center"/>
          </w:tcPr>
          <w:p w14:paraId="6CA98CA7">
            <w:pPr>
              <w:pStyle w:val="946"/>
              <w:spacing w:line="300" w:lineRule="exact"/>
              <w:rPr>
                <w:rFonts w:hint="default" w:ascii="Arial" w:hAnsi="Arial" w:eastAsia="宋体" w:cs="Arial"/>
                <w:sz w:val="22"/>
                <w:szCs w:val="22"/>
                <w:lang w:val="en-US" w:eastAsia="zh-CN"/>
              </w:rPr>
            </w:pPr>
            <w:r>
              <w:rPr>
                <w:rFonts w:hint="eastAsia" w:ascii="Arial" w:hAnsi="Arial" w:cs="Arial"/>
                <w:sz w:val="22"/>
                <w:szCs w:val="22"/>
                <w:lang w:val="en-US" w:eastAsia="zh-CN"/>
              </w:rPr>
              <w:t>SS</w:t>
            </w:r>
          </w:p>
        </w:tc>
        <w:tc>
          <w:tcPr>
            <w:tcW w:w="1276" w:type="dxa"/>
            <w:tcBorders>
              <w:tl2br w:val="nil"/>
              <w:tr2bl w:val="nil"/>
            </w:tcBorders>
            <w:shd w:val="clear" w:color="auto" w:fill="auto"/>
            <w:noWrap w:val="0"/>
            <w:vAlign w:val="center"/>
          </w:tcPr>
          <w:p w14:paraId="48BA3482">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275" w:type="dxa"/>
            <w:tcBorders>
              <w:tl2br w:val="nil"/>
              <w:tr2bl w:val="nil"/>
            </w:tcBorders>
            <w:shd w:val="clear" w:color="auto" w:fill="auto"/>
            <w:noWrap w:val="0"/>
            <w:vAlign w:val="center"/>
          </w:tcPr>
          <w:p w14:paraId="7C793CF0">
            <w:pPr>
              <w:pStyle w:val="946"/>
              <w:spacing w:line="300" w:lineRule="exact"/>
              <w:rPr>
                <w:rFonts w:hint="eastAsia" w:ascii="Arial" w:hAnsi="Arial" w:eastAsia="宋体" w:cs="Arial"/>
                <w:kern w:val="2"/>
                <w:sz w:val="22"/>
                <w:szCs w:val="22"/>
                <w:lang w:val="en-US" w:eastAsia="zh-CN" w:bidi="ar-SA"/>
              </w:rPr>
            </w:pPr>
            <w:r>
              <w:rPr>
                <w:rFonts w:ascii="Arial" w:hAnsi="Arial" w:cs="Arial"/>
                <w:sz w:val="22"/>
                <w:szCs w:val="22"/>
              </w:rPr>
              <w:t>/</w:t>
            </w:r>
          </w:p>
        </w:tc>
        <w:tc>
          <w:tcPr>
            <w:tcW w:w="2734" w:type="dxa"/>
            <w:tcBorders>
              <w:tl2br w:val="nil"/>
              <w:tr2bl w:val="nil"/>
            </w:tcBorders>
            <w:noWrap w:val="0"/>
            <w:vAlign w:val="center"/>
          </w:tcPr>
          <w:p w14:paraId="0545259A">
            <w:pPr>
              <w:pStyle w:val="946"/>
              <w:spacing w:line="300" w:lineRule="exact"/>
              <w:rPr>
                <w:rFonts w:ascii="Arial" w:hAnsi="Arial" w:cs="Arial"/>
                <w:sz w:val="22"/>
                <w:szCs w:val="22"/>
              </w:rPr>
            </w:pPr>
            <w:r>
              <w:rPr>
                <w:rFonts w:hint="eastAsia" w:ascii="Arial" w:hAnsi="Arial" w:cs="Arial"/>
                <w:color w:val="auto"/>
                <w:sz w:val="22"/>
                <w:szCs w:val="22"/>
                <w:lang w:eastAsia="zh-CN"/>
              </w:rPr>
              <w:t>经截排水沟、沉砂池收集处处理后，作施工用水。</w:t>
            </w:r>
          </w:p>
        </w:tc>
        <w:tc>
          <w:tcPr>
            <w:tcW w:w="1247" w:type="dxa"/>
            <w:tcBorders>
              <w:tl2br w:val="nil"/>
              <w:tr2bl w:val="nil"/>
            </w:tcBorders>
            <w:shd w:val="clear" w:color="auto" w:fill="auto"/>
            <w:noWrap w:val="0"/>
            <w:vAlign w:val="center"/>
          </w:tcPr>
          <w:p w14:paraId="61C2D695">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0</w:t>
            </w:r>
          </w:p>
        </w:tc>
        <w:tc>
          <w:tcPr>
            <w:tcW w:w="915" w:type="dxa"/>
            <w:tcBorders>
              <w:tl2br w:val="nil"/>
              <w:tr2bl w:val="nil"/>
            </w:tcBorders>
            <w:shd w:val="clear" w:color="auto" w:fill="auto"/>
            <w:noWrap w:val="0"/>
            <w:vAlign w:val="center"/>
          </w:tcPr>
          <w:p w14:paraId="6C5EBCE5">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4278E5D8">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r>
      <w:tr w14:paraId="6C516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609" w:type="dxa"/>
            <w:vMerge w:val="continue"/>
            <w:tcBorders>
              <w:tl2br w:val="nil"/>
              <w:tr2bl w:val="nil"/>
            </w:tcBorders>
            <w:noWrap w:val="0"/>
            <w:vAlign w:val="center"/>
          </w:tcPr>
          <w:p w14:paraId="42530F14">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51BF1CB8">
            <w:pPr>
              <w:widowControl/>
              <w:spacing w:line="300" w:lineRule="exact"/>
              <w:jc w:val="center"/>
              <w:rPr>
                <w:rFonts w:ascii="Arial" w:hAnsi="Arial" w:cs="Arial"/>
                <w:sz w:val="22"/>
                <w:szCs w:val="22"/>
              </w:rPr>
            </w:pPr>
          </w:p>
        </w:tc>
        <w:tc>
          <w:tcPr>
            <w:tcW w:w="617" w:type="dxa"/>
            <w:vMerge w:val="restart"/>
            <w:tcBorders>
              <w:tl2br w:val="nil"/>
              <w:tr2bl w:val="nil"/>
            </w:tcBorders>
            <w:noWrap w:val="0"/>
            <w:vAlign w:val="center"/>
          </w:tcPr>
          <w:p w14:paraId="77BEA3B2">
            <w:pPr>
              <w:pStyle w:val="946"/>
              <w:spacing w:line="300" w:lineRule="exact"/>
              <w:rPr>
                <w:rFonts w:ascii="Arial" w:hAnsi="Arial" w:cs="Arial"/>
                <w:sz w:val="22"/>
                <w:szCs w:val="22"/>
              </w:rPr>
            </w:pPr>
            <w:r>
              <w:rPr>
                <w:rFonts w:ascii="Arial" w:hAnsi="Arial" w:cs="Arial"/>
                <w:sz w:val="22"/>
                <w:szCs w:val="22"/>
              </w:rPr>
              <w:t>施工人员生活废水</w:t>
            </w:r>
          </w:p>
        </w:tc>
        <w:tc>
          <w:tcPr>
            <w:tcW w:w="730" w:type="dxa"/>
            <w:tcBorders>
              <w:tl2br w:val="nil"/>
              <w:tr2bl w:val="nil"/>
            </w:tcBorders>
            <w:noWrap w:val="0"/>
            <w:vAlign w:val="center"/>
          </w:tcPr>
          <w:p w14:paraId="3EFCEEA1">
            <w:pPr>
              <w:pStyle w:val="946"/>
              <w:spacing w:line="300" w:lineRule="exact"/>
              <w:rPr>
                <w:rFonts w:ascii="Arial" w:hAnsi="Arial" w:cs="Arial"/>
                <w:sz w:val="22"/>
                <w:szCs w:val="22"/>
              </w:rPr>
            </w:pPr>
            <w:r>
              <w:rPr>
                <w:rFonts w:ascii="Arial" w:hAnsi="Arial" w:cs="Arial"/>
                <w:sz w:val="22"/>
                <w:szCs w:val="22"/>
              </w:rPr>
              <w:t>枢纽工程</w:t>
            </w:r>
          </w:p>
        </w:tc>
        <w:tc>
          <w:tcPr>
            <w:tcW w:w="1213" w:type="dxa"/>
            <w:tcBorders>
              <w:tl2br w:val="nil"/>
              <w:tr2bl w:val="nil"/>
            </w:tcBorders>
            <w:noWrap w:val="0"/>
            <w:vAlign w:val="center"/>
          </w:tcPr>
          <w:p w14:paraId="7648C1B0">
            <w:pPr>
              <w:spacing w:line="300" w:lineRule="exact"/>
              <w:jc w:val="center"/>
              <w:rPr>
                <w:rFonts w:ascii="Arial" w:hAnsi="Arial" w:cs="Arial"/>
                <w:sz w:val="22"/>
                <w:szCs w:val="22"/>
              </w:rPr>
            </w:pPr>
            <w:r>
              <w:rPr>
                <w:rFonts w:hint="eastAsia" w:ascii="Arial" w:hAnsi="Arial" w:cs="Arial"/>
                <w:sz w:val="22"/>
                <w:szCs w:val="22"/>
                <w:lang w:val="en-US" w:eastAsia="zh-CN"/>
              </w:rPr>
              <w:t>8.1</w:t>
            </w:r>
            <w:r>
              <w:rPr>
                <w:rFonts w:ascii="Arial" w:hAnsi="Arial" w:cs="Arial"/>
                <w:sz w:val="22"/>
                <w:szCs w:val="22"/>
              </w:rPr>
              <w:t>m</w:t>
            </w:r>
            <w:r>
              <w:rPr>
                <w:rFonts w:ascii="Arial" w:hAnsi="Arial" w:cs="Arial"/>
                <w:sz w:val="22"/>
                <w:szCs w:val="22"/>
                <w:vertAlign w:val="superscript"/>
              </w:rPr>
              <w:t>3</w:t>
            </w:r>
            <w:r>
              <w:rPr>
                <w:rFonts w:ascii="Arial" w:hAnsi="Arial" w:cs="Arial"/>
                <w:sz w:val="22"/>
                <w:szCs w:val="22"/>
              </w:rPr>
              <w:t>/d</w:t>
            </w:r>
          </w:p>
        </w:tc>
        <w:tc>
          <w:tcPr>
            <w:tcW w:w="1035" w:type="dxa"/>
            <w:tcBorders>
              <w:tl2br w:val="nil"/>
              <w:tr2bl w:val="nil"/>
            </w:tcBorders>
            <w:noWrap w:val="0"/>
            <w:vAlign w:val="center"/>
          </w:tcPr>
          <w:p w14:paraId="6E396C6B">
            <w:pPr>
              <w:pStyle w:val="946"/>
              <w:spacing w:line="300" w:lineRule="exact"/>
              <w:rPr>
                <w:rFonts w:ascii="Arial" w:hAnsi="Arial" w:cs="Arial"/>
                <w:sz w:val="22"/>
                <w:szCs w:val="22"/>
              </w:rPr>
            </w:pPr>
            <w:r>
              <w:rPr>
                <w:rFonts w:ascii="Arial" w:hAnsi="Arial" w:cs="Arial"/>
                <w:sz w:val="22"/>
                <w:szCs w:val="22"/>
              </w:rPr>
              <w:t>COD</w:t>
            </w:r>
          </w:p>
          <w:p w14:paraId="3AA5FA9A">
            <w:pPr>
              <w:pStyle w:val="946"/>
              <w:spacing w:line="300" w:lineRule="exact"/>
              <w:rPr>
                <w:rFonts w:ascii="Arial" w:hAnsi="Arial" w:cs="Arial"/>
                <w:sz w:val="22"/>
                <w:szCs w:val="22"/>
              </w:rPr>
            </w:pPr>
            <w:r>
              <w:rPr>
                <w:rFonts w:ascii="Arial" w:hAnsi="Arial" w:cs="Arial"/>
                <w:sz w:val="22"/>
                <w:szCs w:val="22"/>
              </w:rPr>
              <w:t>BOD</w:t>
            </w:r>
            <w:r>
              <w:rPr>
                <w:rFonts w:ascii="Arial" w:hAnsi="Arial" w:cs="Arial"/>
                <w:sz w:val="22"/>
                <w:szCs w:val="22"/>
                <w:vertAlign w:val="subscript"/>
              </w:rPr>
              <w:t>5</w:t>
            </w:r>
          </w:p>
          <w:p w14:paraId="54F63010">
            <w:pPr>
              <w:pStyle w:val="946"/>
              <w:spacing w:line="300" w:lineRule="exact"/>
              <w:rPr>
                <w:rFonts w:ascii="Arial" w:hAnsi="Arial" w:cs="Arial"/>
                <w:sz w:val="22"/>
                <w:szCs w:val="22"/>
              </w:rPr>
            </w:pPr>
            <w:r>
              <w:rPr>
                <w:rFonts w:ascii="Arial" w:hAnsi="Arial" w:cs="Arial"/>
                <w:sz w:val="22"/>
                <w:szCs w:val="22"/>
              </w:rPr>
              <w:t>SS</w:t>
            </w:r>
          </w:p>
          <w:p w14:paraId="4A3C4A0B">
            <w:pPr>
              <w:pStyle w:val="946"/>
              <w:spacing w:line="300" w:lineRule="exact"/>
              <w:rPr>
                <w:rFonts w:ascii="Arial" w:hAnsi="Arial" w:cs="Arial"/>
                <w:sz w:val="22"/>
                <w:szCs w:val="22"/>
              </w:rPr>
            </w:pPr>
            <w:r>
              <w:rPr>
                <w:rFonts w:ascii="Arial" w:hAnsi="Arial" w:cs="Arial"/>
                <w:sz w:val="22"/>
                <w:szCs w:val="22"/>
              </w:rPr>
              <w:t>氨氮</w:t>
            </w:r>
          </w:p>
        </w:tc>
        <w:tc>
          <w:tcPr>
            <w:tcW w:w="1276" w:type="dxa"/>
            <w:tcBorders>
              <w:tl2br w:val="nil"/>
              <w:tr2bl w:val="nil"/>
            </w:tcBorders>
            <w:noWrap w:val="0"/>
            <w:vAlign w:val="center"/>
          </w:tcPr>
          <w:p w14:paraId="6380129D">
            <w:pPr>
              <w:pStyle w:val="946"/>
              <w:spacing w:line="300" w:lineRule="exact"/>
              <w:rPr>
                <w:rFonts w:ascii="Arial" w:hAnsi="Arial" w:cs="Arial"/>
                <w:sz w:val="22"/>
                <w:szCs w:val="22"/>
              </w:rPr>
            </w:pPr>
            <w:r>
              <w:rPr>
                <w:rFonts w:ascii="Arial" w:hAnsi="Arial" w:cs="Arial"/>
                <w:sz w:val="22"/>
                <w:szCs w:val="22"/>
              </w:rPr>
              <w:t>450mg/L</w:t>
            </w:r>
          </w:p>
          <w:p w14:paraId="7BD618F0">
            <w:pPr>
              <w:pStyle w:val="946"/>
              <w:spacing w:line="300" w:lineRule="exact"/>
              <w:rPr>
                <w:rFonts w:ascii="Arial" w:hAnsi="Arial" w:cs="Arial"/>
                <w:sz w:val="22"/>
                <w:szCs w:val="22"/>
              </w:rPr>
            </w:pPr>
            <w:r>
              <w:rPr>
                <w:rFonts w:ascii="Arial" w:hAnsi="Arial" w:cs="Arial"/>
                <w:sz w:val="22"/>
                <w:szCs w:val="22"/>
              </w:rPr>
              <w:t>250mg/L</w:t>
            </w:r>
          </w:p>
          <w:p w14:paraId="596B3E5D">
            <w:pPr>
              <w:pStyle w:val="946"/>
              <w:spacing w:line="300" w:lineRule="exact"/>
              <w:rPr>
                <w:rFonts w:ascii="Arial" w:hAnsi="Arial" w:cs="Arial"/>
                <w:sz w:val="22"/>
                <w:szCs w:val="22"/>
              </w:rPr>
            </w:pPr>
            <w:r>
              <w:rPr>
                <w:rFonts w:ascii="Arial" w:hAnsi="Arial" w:cs="Arial"/>
                <w:sz w:val="22"/>
                <w:szCs w:val="22"/>
              </w:rPr>
              <w:t>250mg/L</w:t>
            </w:r>
          </w:p>
          <w:p w14:paraId="41319439">
            <w:pPr>
              <w:pStyle w:val="946"/>
              <w:spacing w:line="300" w:lineRule="exact"/>
              <w:rPr>
                <w:rFonts w:ascii="Arial" w:hAnsi="Arial" w:cs="Arial"/>
                <w:sz w:val="22"/>
                <w:szCs w:val="22"/>
              </w:rPr>
            </w:pPr>
            <w:r>
              <w:rPr>
                <w:rFonts w:ascii="Arial" w:hAnsi="Arial" w:cs="Arial"/>
                <w:sz w:val="22"/>
                <w:szCs w:val="22"/>
              </w:rPr>
              <w:t>30mg/L</w:t>
            </w:r>
          </w:p>
        </w:tc>
        <w:tc>
          <w:tcPr>
            <w:tcW w:w="1275" w:type="dxa"/>
            <w:tcBorders>
              <w:tl2br w:val="nil"/>
              <w:tr2bl w:val="nil"/>
            </w:tcBorders>
            <w:noWrap w:val="0"/>
            <w:vAlign w:val="center"/>
          </w:tcPr>
          <w:p w14:paraId="1154974E">
            <w:pPr>
              <w:pStyle w:val="946"/>
              <w:spacing w:line="300" w:lineRule="exact"/>
              <w:rPr>
                <w:rFonts w:ascii="Arial" w:hAnsi="Arial" w:cs="Arial"/>
                <w:sz w:val="22"/>
                <w:szCs w:val="22"/>
              </w:rPr>
            </w:pPr>
            <w:r>
              <w:rPr>
                <w:rFonts w:hint="eastAsia" w:ascii="Arial" w:hAnsi="Arial" w:cs="Arial"/>
                <w:sz w:val="22"/>
                <w:szCs w:val="22"/>
                <w:lang w:val="en-US" w:eastAsia="zh-CN"/>
              </w:rPr>
              <w:t>3.645</w:t>
            </w:r>
            <w:r>
              <w:rPr>
                <w:rFonts w:ascii="Arial" w:hAnsi="Arial" w:cs="Arial"/>
                <w:sz w:val="22"/>
                <w:szCs w:val="22"/>
              </w:rPr>
              <w:t>kg/d</w:t>
            </w:r>
          </w:p>
          <w:p w14:paraId="47958708">
            <w:pPr>
              <w:pStyle w:val="946"/>
              <w:spacing w:line="300" w:lineRule="exact"/>
              <w:rPr>
                <w:rFonts w:ascii="Arial" w:hAnsi="Arial" w:cs="Arial"/>
                <w:sz w:val="22"/>
                <w:szCs w:val="22"/>
              </w:rPr>
            </w:pPr>
            <w:r>
              <w:rPr>
                <w:rFonts w:hint="eastAsia" w:ascii="Arial" w:hAnsi="Arial" w:cs="Arial"/>
                <w:sz w:val="22"/>
                <w:szCs w:val="22"/>
                <w:lang w:val="en-US" w:eastAsia="zh-CN"/>
              </w:rPr>
              <w:t>2.025</w:t>
            </w:r>
            <w:r>
              <w:rPr>
                <w:rFonts w:ascii="Arial" w:hAnsi="Arial" w:cs="Arial"/>
                <w:sz w:val="22"/>
                <w:szCs w:val="22"/>
              </w:rPr>
              <w:t>kg/d</w:t>
            </w:r>
          </w:p>
          <w:p w14:paraId="03A3607F">
            <w:pPr>
              <w:pStyle w:val="946"/>
              <w:spacing w:line="300" w:lineRule="exact"/>
              <w:rPr>
                <w:rFonts w:ascii="Arial" w:hAnsi="Arial" w:cs="Arial"/>
                <w:sz w:val="22"/>
                <w:szCs w:val="22"/>
              </w:rPr>
            </w:pPr>
            <w:r>
              <w:rPr>
                <w:rFonts w:hint="eastAsia" w:ascii="Arial" w:hAnsi="Arial" w:cs="Arial"/>
                <w:sz w:val="22"/>
                <w:szCs w:val="22"/>
                <w:lang w:val="en-US" w:eastAsia="zh-CN"/>
              </w:rPr>
              <w:t>2.025</w:t>
            </w:r>
            <w:r>
              <w:rPr>
                <w:rFonts w:ascii="Arial" w:hAnsi="Arial" w:cs="Arial"/>
                <w:sz w:val="22"/>
                <w:szCs w:val="22"/>
              </w:rPr>
              <w:t>kg/d</w:t>
            </w:r>
          </w:p>
          <w:p w14:paraId="15454E4A">
            <w:pPr>
              <w:pStyle w:val="946"/>
              <w:spacing w:line="300" w:lineRule="exact"/>
              <w:rPr>
                <w:rFonts w:ascii="Arial" w:hAnsi="Arial" w:cs="Arial"/>
                <w:sz w:val="22"/>
                <w:szCs w:val="22"/>
              </w:rPr>
            </w:pPr>
            <w:r>
              <w:rPr>
                <w:rFonts w:hint="eastAsia" w:ascii="Arial" w:hAnsi="Arial" w:cs="Arial"/>
                <w:sz w:val="22"/>
                <w:szCs w:val="22"/>
                <w:lang w:val="en-US" w:eastAsia="zh-CN"/>
              </w:rPr>
              <w:t>0.243</w:t>
            </w:r>
            <w:r>
              <w:rPr>
                <w:rFonts w:ascii="Arial" w:hAnsi="Arial" w:cs="Arial"/>
                <w:sz w:val="22"/>
                <w:szCs w:val="22"/>
              </w:rPr>
              <w:t>kg/d</w:t>
            </w:r>
          </w:p>
        </w:tc>
        <w:tc>
          <w:tcPr>
            <w:tcW w:w="2734" w:type="dxa"/>
            <w:vMerge w:val="restart"/>
            <w:tcBorders>
              <w:tl2br w:val="nil"/>
              <w:tr2bl w:val="nil"/>
            </w:tcBorders>
            <w:noWrap w:val="0"/>
            <w:vAlign w:val="center"/>
          </w:tcPr>
          <w:p w14:paraId="787D0283">
            <w:pPr>
              <w:pStyle w:val="946"/>
              <w:spacing w:line="300" w:lineRule="exact"/>
              <w:rPr>
                <w:rFonts w:hint="eastAsia" w:ascii="Arial" w:hAnsi="Arial" w:cs="Arial"/>
                <w:sz w:val="22"/>
                <w:szCs w:val="22"/>
                <w:lang w:eastAsia="zh-CN"/>
              </w:rPr>
            </w:pPr>
            <w:r>
              <w:rPr>
                <w:rFonts w:hint="eastAsia" w:ascii="Arial" w:cs="Arial"/>
                <w:color w:val="auto"/>
                <w:sz w:val="22"/>
                <w:szCs w:val="22"/>
                <w:lang w:eastAsia="zh-CN"/>
              </w:rPr>
              <w:t>经租赁居民房屋内已有的旱厕收集处理后，全部回用作农肥，不外排。</w:t>
            </w:r>
          </w:p>
        </w:tc>
        <w:tc>
          <w:tcPr>
            <w:tcW w:w="1247" w:type="dxa"/>
            <w:vMerge w:val="restart"/>
            <w:tcBorders>
              <w:tl2br w:val="nil"/>
              <w:tr2bl w:val="nil"/>
            </w:tcBorders>
            <w:shd w:val="clear" w:color="auto" w:fill="auto"/>
            <w:noWrap w:val="0"/>
            <w:vAlign w:val="center"/>
          </w:tcPr>
          <w:p w14:paraId="6149B26A">
            <w:pPr>
              <w:pStyle w:val="946"/>
              <w:spacing w:line="300" w:lineRule="exact"/>
              <w:rPr>
                <w:rFonts w:hint="eastAsia" w:ascii="Arial" w:hAnsi="Arial" w:eastAsia="宋体" w:cs="Arial"/>
                <w:kern w:val="2"/>
                <w:sz w:val="22"/>
                <w:szCs w:val="22"/>
                <w:lang w:val="en-US" w:eastAsia="zh-CN" w:bidi="ar-SA"/>
              </w:rPr>
            </w:pPr>
            <w:r>
              <w:rPr>
                <w:rFonts w:ascii="Arial" w:hAnsi="Arial" w:cs="Arial"/>
                <w:sz w:val="22"/>
                <w:szCs w:val="22"/>
              </w:rPr>
              <w:t>0</w:t>
            </w:r>
          </w:p>
        </w:tc>
        <w:tc>
          <w:tcPr>
            <w:tcW w:w="915" w:type="dxa"/>
            <w:vMerge w:val="restart"/>
            <w:tcBorders>
              <w:tl2br w:val="nil"/>
              <w:tr2bl w:val="nil"/>
            </w:tcBorders>
            <w:shd w:val="clear" w:color="auto" w:fill="auto"/>
            <w:noWrap w:val="0"/>
            <w:vAlign w:val="center"/>
          </w:tcPr>
          <w:p w14:paraId="081F3031">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vMerge w:val="restart"/>
            <w:tcBorders>
              <w:tl2br w:val="nil"/>
              <w:tr2bl w:val="nil"/>
            </w:tcBorders>
            <w:shd w:val="clear" w:color="auto" w:fill="auto"/>
            <w:noWrap w:val="0"/>
            <w:vAlign w:val="center"/>
          </w:tcPr>
          <w:p w14:paraId="40FD3BB5">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r>
      <w:tr w14:paraId="43F82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609" w:type="dxa"/>
            <w:vMerge w:val="continue"/>
            <w:tcBorders>
              <w:tl2br w:val="nil"/>
              <w:tr2bl w:val="nil"/>
            </w:tcBorders>
            <w:noWrap w:val="0"/>
            <w:vAlign w:val="center"/>
          </w:tcPr>
          <w:p w14:paraId="6158B843">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5BBC3EE9">
            <w:pPr>
              <w:widowControl/>
              <w:spacing w:line="300" w:lineRule="exact"/>
              <w:jc w:val="center"/>
              <w:rPr>
                <w:rFonts w:ascii="Arial" w:hAnsi="Arial" w:cs="Arial"/>
                <w:sz w:val="22"/>
                <w:szCs w:val="22"/>
              </w:rPr>
            </w:pPr>
          </w:p>
        </w:tc>
        <w:tc>
          <w:tcPr>
            <w:tcW w:w="617" w:type="dxa"/>
            <w:vMerge w:val="continue"/>
            <w:tcBorders>
              <w:tl2br w:val="nil"/>
              <w:tr2bl w:val="nil"/>
            </w:tcBorders>
            <w:noWrap w:val="0"/>
            <w:vAlign w:val="center"/>
          </w:tcPr>
          <w:p w14:paraId="14C7C645">
            <w:pPr>
              <w:widowControl/>
              <w:spacing w:line="300" w:lineRule="exact"/>
              <w:jc w:val="center"/>
              <w:rPr>
                <w:rFonts w:ascii="Arial" w:hAnsi="Arial" w:cs="Arial"/>
                <w:sz w:val="22"/>
                <w:szCs w:val="22"/>
              </w:rPr>
            </w:pPr>
          </w:p>
        </w:tc>
        <w:tc>
          <w:tcPr>
            <w:tcW w:w="730" w:type="dxa"/>
            <w:tcBorders>
              <w:tl2br w:val="nil"/>
              <w:tr2bl w:val="nil"/>
            </w:tcBorders>
            <w:noWrap w:val="0"/>
            <w:vAlign w:val="center"/>
          </w:tcPr>
          <w:p w14:paraId="3F26EF06">
            <w:pPr>
              <w:pStyle w:val="946"/>
              <w:spacing w:line="300" w:lineRule="exact"/>
              <w:rPr>
                <w:rFonts w:ascii="Arial" w:hAnsi="Arial" w:cs="Arial"/>
                <w:sz w:val="22"/>
                <w:szCs w:val="22"/>
              </w:rPr>
            </w:pPr>
            <w:r>
              <w:rPr>
                <w:rFonts w:ascii="Arial" w:hAnsi="Arial" w:cs="Arial"/>
                <w:sz w:val="22"/>
                <w:szCs w:val="22"/>
              </w:rPr>
              <w:t>灌区工程</w:t>
            </w:r>
          </w:p>
        </w:tc>
        <w:tc>
          <w:tcPr>
            <w:tcW w:w="1213" w:type="dxa"/>
            <w:tcBorders>
              <w:tl2br w:val="nil"/>
              <w:tr2bl w:val="nil"/>
            </w:tcBorders>
            <w:noWrap w:val="0"/>
            <w:vAlign w:val="center"/>
          </w:tcPr>
          <w:p w14:paraId="423F6100">
            <w:pPr>
              <w:spacing w:line="300" w:lineRule="exact"/>
              <w:jc w:val="center"/>
              <w:rPr>
                <w:rFonts w:ascii="Arial" w:hAnsi="Arial" w:cs="Arial"/>
                <w:sz w:val="22"/>
                <w:szCs w:val="22"/>
              </w:rPr>
            </w:pPr>
            <w:r>
              <w:rPr>
                <w:rFonts w:hint="eastAsia" w:ascii="Arial" w:hAnsi="Arial" w:cs="Arial"/>
                <w:sz w:val="22"/>
                <w:szCs w:val="22"/>
                <w:lang w:val="en-US" w:eastAsia="zh-CN"/>
              </w:rPr>
              <w:t>3.6</w:t>
            </w:r>
            <w:r>
              <w:rPr>
                <w:rFonts w:ascii="Arial" w:hAnsi="Arial" w:cs="Arial"/>
                <w:sz w:val="22"/>
                <w:szCs w:val="22"/>
              </w:rPr>
              <w:t>m</w:t>
            </w:r>
            <w:r>
              <w:rPr>
                <w:rFonts w:ascii="Arial" w:hAnsi="Arial" w:cs="Arial"/>
                <w:sz w:val="22"/>
                <w:szCs w:val="22"/>
                <w:vertAlign w:val="superscript"/>
              </w:rPr>
              <w:t>3</w:t>
            </w:r>
            <w:r>
              <w:rPr>
                <w:rFonts w:ascii="Arial" w:hAnsi="Arial" w:cs="Arial"/>
                <w:sz w:val="22"/>
                <w:szCs w:val="22"/>
              </w:rPr>
              <w:t>/d</w:t>
            </w:r>
          </w:p>
        </w:tc>
        <w:tc>
          <w:tcPr>
            <w:tcW w:w="1035" w:type="dxa"/>
            <w:tcBorders>
              <w:tl2br w:val="nil"/>
              <w:tr2bl w:val="nil"/>
            </w:tcBorders>
            <w:noWrap w:val="0"/>
            <w:vAlign w:val="center"/>
          </w:tcPr>
          <w:p w14:paraId="0CC6284A">
            <w:pPr>
              <w:pStyle w:val="946"/>
              <w:spacing w:line="300" w:lineRule="exact"/>
              <w:rPr>
                <w:rFonts w:ascii="Arial" w:hAnsi="Arial" w:cs="Arial"/>
                <w:sz w:val="22"/>
                <w:szCs w:val="22"/>
              </w:rPr>
            </w:pPr>
            <w:r>
              <w:rPr>
                <w:rFonts w:ascii="Arial" w:hAnsi="Arial" w:cs="Arial"/>
                <w:sz w:val="22"/>
                <w:szCs w:val="22"/>
              </w:rPr>
              <w:t>COD</w:t>
            </w:r>
          </w:p>
          <w:p w14:paraId="2222FBBD">
            <w:pPr>
              <w:pStyle w:val="946"/>
              <w:spacing w:line="300" w:lineRule="exact"/>
              <w:rPr>
                <w:rFonts w:ascii="Arial" w:hAnsi="Arial" w:cs="Arial"/>
                <w:sz w:val="22"/>
                <w:szCs w:val="22"/>
              </w:rPr>
            </w:pPr>
            <w:r>
              <w:rPr>
                <w:rFonts w:ascii="Arial" w:hAnsi="Arial" w:cs="Arial"/>
                <w:sz w:val="22"/>
                <w:szCs w:val="22"/>
              </w:rPr>
              <w:t>BOD</w:t>
            </w:r>
            <w:r>
              <w:rPr>
                <w:rFonts w:ascii="Arial" w:hAnsi="Arial" w:cs="Arial"/>
                <w:sz w:val="22"/>
                <w:szCs w:val="22"/>
                <w:vertAlign w:val="subscript"/>
              </w:rPr>
              <w:t>5</w:t>
            </w:r>
          </w:p>
          <w:p w14:paraId="1A7699F5">
            <w:pPr>
              <w:pStyle w:val="946"/>
              <w:spacing w:line="300" w:lineRule="exact"/>
              <w:rPr>
                <w:rFonts w:ascii="Arial" w:hAnsi="Arial" w:cs="Arial"/>
                <w:sz w:val="22"/>
                <w:szCs w:val="22"/>
              </w:rPr>
            </w:pPr>
            <w:r>
              <w:rPr>
                <w:rFonts w:ascii="Arial" w:hAnsi="Arial" w:cs="Arial"/>
                <w:sz w:val="22"/>
                <w:szCs w:val="22"/>
              </w:rPr>
              <w:t>SS</w:t>
            </w:r>
          </w:p>
          <w:p w14:paraId="783E682B">
            <w:pPr>
              <w:pStyle w:val="946"/>
              <w:spacing w:line="300" w:lineRule="exact"/>
              <w:rPr>
                <w:rFonts w:ascii="Arial" w:hAnsi="Arial" w:cs="Arial"/>
                <w:sz w:val="22"/>
                <w:szCs w:val="22"/>
              </w:rPr>
            </w:pPr>
            <w:r>
              <w:rPr>
                <w:rFonts w:ascii="Arial" w:hAnsi="Arial" w:cs="Arial"/>
                <w:sz w:val="22"/>
                <w:szCs w:val="22"/>
              </w:rPr>
              <w:t>氨氮</w:t>
            </w:r>
          </w:p>
        </w:tc>
        <w:tc>
          <w:tcPr>
            <w:tcW w:w="1276" w:type="dxa"/>
            <w:tcBorders>
              <w:tl2br w:val="nil"/>
              <w:tr2bl w:val="nil"/>
            </w:tcBorders>
            <w:noWrap w:val="0"/>
            <w:vAlign w:val="center"/>
          </w:tcPr>
          <w:p w14:paraId="52F4402F">
            <w:pPr>
              <w:pStyle w:val="946"/>
              <w:spacing w:line="300" w:lineRule="exact"/>
              <w:rPr>
                <w:rFonts w:ascii="Arial" w:hAnsi="Arial" w:cs="Arial"/>
                <w:sz w:val="22"/>
                <w:szCs w:val="22"/>
              </w:rPr>
            </w:pPr>
            <w:r>
              <w:rPr>
                <w:rFonts w:ascii="Arial" w:hAnsi="Arial" w:cs="Arial"/>
                <w:sz w:val="22"/>
                <w:szCs w:val="22"/>
              </w:rPr>
              <w:t>450mg/L</w:t>
            </w:r>
          </w:p>
          <w:p w14:paraId="41EEAC88">
            <w:pPr>
              <w:pStyle w:val="946"/>
              <w:spacing w:line="300" w:lineRule="exact"/>
              <w:rPr>
                <w:rFonts w:ascii="Arial" w:hAnsi="Arial" w:cs="Arial"/>
                <w:sz w:val="22"/>
                <w:szCs w:val="22"/>
              </w:rPr>
            </w:pPr>
            <w:r>
              <w:rPr>
                <w:rFonts w:ascii="Arial" w:hAnsi="Arial" w:cs="Arial"/>
                <w:sz w:val="22"/>
                <w:szCs w:val="22"/>
              </w:rPr>
              <w:t>250mg/L</w:t>
            </w:r>
          </w:p>
          <w:p w14:paraId="2DDAB91E">
            <w:pPr>
              <w:pStyle w:val="946"/>
              <w:spacing w:line="300" w:lineRule="exact"/>
              <w:rPr>
                <w:rFonts w:ascii="Arial" w:hAnsi="Arial" w:cs="Arial"/>
                <w:sz w:val="22"/>
                <w:szCs w:val="22"/>
              </w:rPr>
            </w:pPr>
            <w:r>
              <w:rPr>
                <w:rFonts w:ascii="Arial" w:hAnsi="Arial" w:cs="Arial"/>
                <w:sz w:val="22"/>
                <w:szCs w:val="22"/>
              </w:rPr>
              <w:t>250mg/L</w:t>
            </w:r>
          </w:p>
          <w:p w14:paraId="721497A8">
            <w:pPr>
              <w:pStyle w:val="946"/>
              <w:spacing w:line="300" w:lineRule="exact"/>
              <w:rPr>
                <w:rFonts w:ascii="Arial" w:hAnsi="Arial" w:cs="Arial"/>
                <w:sz w:val="22"/>
                <w:szCs w:val="22"/>
              </w:rPr>
            </w:pPr>
            <w:r>
              <w:rPr>
                <w:rFonts w:ascii="Arial" w:hAnsi="Arial" w:cs="Arial"/>
                <w:sz w:val="22"/>
                <w:szCs w:val="22"/>
              </w:rPr>
              <w:t>30mg/L</w:t>
            </w:r>
          </w:p>
        </w:tc>
        <w:tc>
          <w:tcPr>
            <w:tcW w:w="1275" w:type="dxa"/>
            <w:tcBorders>
              <w:tl2br w:val="nil"/>
              <w:tr2bl w:val="nil"/>
            </w:tcBorders>
            <w:noWrap w:val="0"/>
            <w:vAlign w:val="center"/>
          </w:tcPr>
          <w:p w14:paraId="2A0F4922">
            <w:pPr>
              <w:pStyle w:val="946"/>
              <w:spacing w:line="300" w:lineRule="exact"/>
              <w:rPr>
                <w:rFonts w:ascii="Arial" w:hAnsi="Arial" w:cs="Arial"/>
                <w:sz w:val="22"/>
                <w:szCs w:val="22"/>
              </w:rPr>
            </w:pPr>
            <w:r>
              <w:rPr>
                <w:rFonts w:hint="eastAsia" w:ascii="Arial" w:hAnsi="Arial" w:cs="Arial"/>
                <w:sz w:val="22"/>
                <w:szCs w:val="22"/>
                <w:lang w:val="en-US" w:eastAsia="zh-CN"/>
              </w:rPr>
              <w:t>1.62</w:t>
            </w:r>
            <w:r>
              <w:rPr>
                <w:rFonts w:ascii="Arial" w:hAnsi="Arial" w:cs="Arial"/>
                <w:sz w:val="22"/>
                <w:szCs w:val="22"/>
              </w:rPr>
              <w:t>kg/d</w:t>
            </w:r>
          </w:p>
          <w:p w14:paraId="78CB01BE">
            <w:pPr>
              <w:pStyle w:val="946"/>
              <w:spacing w:line="300" w:lineRule="exact"/>
              <w:rPr>
                <w:rFonts w:ascii="Arial" w:hAnsi="Arial" w:cs="Arial"/>
                <w:sz w:val="22"/>
                <w:szCs w:val="22"/>
              </w:rPr>
            </w:pPr>
            <w:r>
              <w:rPr>
                <w:rFonts w:hint="eastAsia" w:ascii="Arial" w:hAnsi="Arial" w:cs="Arial"/>
                <w:sz w:val="22"/>
                <w:szCs w:val="22"/>
                <w:lang w:val="en-US" w:eastAsia="zh-CN"/>
              </w:rPr>
              <w:t>0.9</w:t>
            </w:r>
            <w:r>
              <w:rPr>
                <w:rFonts w:ascii="Arial" w:hAnsi="Arial" w:cs="Arial"/>
                <w:sz w:val="22"/>
                <w:szCs w:val="22"/>
              </w:rPr>
              <w:t>kg/d</w:t>
            </w:r>
          </w:p>
          <w:p w14:paraId="72927800">
            <w:pPr>
              <w:pStyle w:val="946"/>
              <w:spacing w:line="300" w:lineRule="exact"/>
              <w:rPr>
                <w:rFonts w:ascii="Arial" w:hAnsi="Arial" w:cs="Arial"/>
                <w:sz w:val="22"/>
                <w:szCs w:val="22"/>
              </w:rPr>
            </w:pPr>
            <w:r>
              <w:rPr>
                <w:rFonts w:hint="eastAsia" w:ascii="Arial" w:hAnsi="Arial" w:cs="Arial"/>
                <w:sz w:val="22"/>
                <w:szCs w:val="22"/>
                <w:lang w:val="en-US" w:eastAsia="zh-CN"/>
              </w:rPr>
              <w:t>0.9</w:t>
            </w:r>
            <w:r>
              <w:rPr>
                <w:rFonts w:ascii="Arial" w:hAnsi="Arial" w:cs="Arial"/>
                <w:sz w:val="22"/>
                <w:szCs w:val="22"/>
              </w:rPr>
              <w:t>kg/d</w:t>
            </w:r>
          </w:p>
          <w:p w14:paraId="35931650">
            <w:pPr>
              <w:pStyle w:val="946"/>
              <w:spacing w:line="300" w:lineRule="exact"/>
              <w:rPr>
                <w:rFonts w:ascii="Arial" w:hAnsi="Arial" w:cs="Arial"/>
                <w:sz w:val="22"/>
                <w:szCs w:val="22"/>
              </w:rPr>
            </w:pPr>
            <w:r>
              <w:rPr>
                <w:rFonts w:hint="eastAsia" w:ascii="Arial" w:hAnsi="Arial" w:cs="Arial"/>
                <w:sz w:val="22"/>
                <w:szCs w:val="22"/>
                <w:lang w:val="en-US" w:eastAsia="zh-CN"/>
              </w:rPr>
              <w:t>0.108</w:t>
            </w:r>
            <w:r>
              <w:rPr>
                <w:rFonts w:ascii="Arial" w:hAnsi="Arial" w:cs="Arial"/>
                <w:sz w:val="22"/>
                <w:szCs w:val="22"/>
              </w:rPr>
              <w:t>kg/d</w:t>
            </w:r>
          </w:p>
        </w:tc>
        <w:tc>
          <w:tcPr>
            <w:tcW w:w="2734" w:type="dxa"/>
            <w:vMerge w:val="continue"/>
            <w:tcBorders>
              <w:tl2br w:val="nil"/>
              <w:tr2bl w:val="nil"/>
            </w:tcBorders>
            <w:noWrap w:val="0"/>
            <w:vAlign w:val="center"/>
          </w:tcPr>
          <w:p w14:paraId="22771F85">
            <w:pPr>
              <w:widowControl/>
              <w:spacing w:line="300" w:lineRule="exact"/>
              <w:jc w:val="center"/>
              <w:rPr>
                <w:rFonts w:ascii="Arial" w:hAnsi="Arial" w:cs="Arial"/>
                <w:sz w:val="22"/>
                <w:szCs w:val="22"/>
              </w:rPr>
            </w:pPr>
          </w:p>
        </w:tc>
        <w:tc>
          <w:tcPr>
            <w:tcW w:w="1247" w:type="dxa"/>
            <w:vMerge w:val="continue"/>
            <w:tcBorders>
              <w:tl2br w:val="nil"/>
              <w:tr2bl w:val="nil"/>
            </w:tcBorders>
            <w:noWrap w:val="0"/>
            <w:vAlign w:val="center"/>
          </w:tcPr>
          <w:p w14:paraId="1AE94D07">
            <w:pPr>
              <w:widowControl/>
              <w:spacing w:line="300" w:lineRule="exact"/>
              <w:jc w:val="center"/>
              <w:rPr>
                <w:rFonts w:ascii="Arial" w:hAnsi="Arial" w:cs="Arial"/>
                <w:sz w:val="22"/>
                <w:szCs w:val="22"/>
              </w:rPr>
            </w:pPr>
          </w:p>
        </w:tc>
        <w:tc>
          <w:tcPr>
            <w:tcW w:w="915" w:type="dxa"/>
            <w:vMerge w:val="continue"/>
            <w:tcBorders>
              <w:tl2br w:val="nil"/>
              <w:tr2bl w:val="nil"/>
            </w:tcBorders>
            <w:noWrap w:val="0"/>
            <w:vAlign w:val="center"/>
          </w:tcPr>
          <w:p w14:paraId="50D16468">
            <w:pPr>
              <w:widowControl/>
              <w:spacing w:line="300" w:lineRule="exact"/>
              <w:jc w:val="center"/>
              <w:rPr>
                <w:rFonts w:ascii="Arial" w:hAnsi="Arial" w:cs="Arial"/>
                <w:sz w:val="22"/>
                <w:szCs w:val="22"/>
              </w:rPr>
            </w:pPr>
          </w:p>
        </w:tc>
        <w:tc>
          <w:tcPr>
            <w:tcW w:w="1019" w:type="dxa"/>
            <w:vMerge w:val="continue"/>
            <w:tcBorders>
              <w:tl2br w:val="nil"/>
              <w:tr2bl w:val="nil"/>
            </w:tcBorders>
            <w:noWrap w:val="0"/>
            <w:vAlign w:val="center"/>
          </w:tcPr>
          <w:p w14:paraId="07B3B3B8">
            <w:pPr>
              <w:widowControl/>
              <w:spacing w:line="300" w:lineRule="exact"/>
              <w:jc w:val="center"/>
              <w:rPr>
                <w:rFonts w:ascii="Arial" w:hAnsi="Arial" w:cs="Arial"/>
                <w:sz w:val="22"/>
                <w:szCs w:val="22"/>
              </w:rPr>
            </w:pPr>
          </w:p>
        </w:tc>
      </w:tr>
      <w:tr w14:paraId="24D1A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6927AB42">
            <w:pPr>
              <w:widowControl/>
              <w:spacing w:line="300" w:lineRule="exact"/>
              <w:jc w:val="center"/>
              <w:rPr>
                <w:rFonts w:ascii="Arial" w:hAnsi="Arial" w:cs="Arial"/>
                <w:sz w:val="22"/>
                <w:szCs w:val="22"/>
              </w:rPr>
            </w:pPr>
          </w:p>
        </w:tc>
        <w:tc>
          <w:tcPr>
            <w:tcW w:w="592" w:type="dxa"/>
            <w:vMerge w:val="restart"/>
            <w:tcBorders>
              <w:tl2br w:val="nil"/>
              <w:tr2bl w:val="nil"/>
            </w:tcBorders>
            <w:noWrap w:val="0"/>
            <w:vAlign w:val="center"/>
          </w:tcPr>
          <w:p w14:paraId="645FE861">
            <w:pPr>
              <w:pStyle w:val="946"/>
              <w:spacing w:line="300" w:lineRule="exact"/>
              <w:rPr>
                <w:rFonts w:ascii="Arial" w:hAnsi="Arial" w:cs="Arial"/>
                <w:sz w:val="22"/>
                <w:szCs w:val="22"/>
              </w:rPr>
            </w:pPr>
            <w:r>
              <w:rPr>
                <w:rFonts w:ascii="Arial" w:hAnsi="Arial" w:cs="Arial"/>
                <w:sz w:val="22"/>
                <w:szCs w:val="22"/>
              </w:rPr>
              <w:t>废气</w:t>
            </w:r>
          </w:p>
        </w:tc>
        <w:tc>
          <w:tcPr>
            <w:tcW w:w="1347" w:type="dxa"/>
            <w:gridSpan w:val="2"/>
            <w:tcBorders>
              <w:tl2br w:val="nil"/>
              <w:tr2bl w:val="nil"/>
            </w:tcBorders>
            <w:noWrap w:val="0"/>
            <w:vAlign w:val="center"/>
          </w:tcPr>
          <w:p w14:paraId="4234641B">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施工抑尘</w:t>
            </w:r>
          </w:p>
        </w:tc>
        <w:tc>
          <w:tcPr>
            <w:tcW w:w="1213" w:type="dxa"/>
            <w:tcBorders>
              <w:tl2br w:val="nil"/>
              <w:tr2bl w:val="nil"/>
            </w:tcBorders>
            <w:noWrap w:val="0"/>
            <w:vAlign w:val="center"/>
          </w:tcPr>
          <w:p w14:paraId="188A19DA">
            <w:pPr>
              <w:pStyle w:val="946"/>
              <w:spacing w:line="300" w:lineRule="exact"/>
              <w:rPr>
                <w:rFonts w:hint="default" w:ascii="Arial" w:hAnsi="Arial" w:eastAsia="宋体" w:cs="Arial"/>
                <w:sz w:val="22"/>
                <w:szCs w:val="22"/>
                <w:lang w:val="en-US" w:eastAsia="zh-CN"/>
              </w:rPr>
            </w:pPr>
            <w:r>
              <w:rPr>
                <w:rFonts w:hint="eastAsia" w:ascii="Arial" w:hAnsi="Arial" w:cs="Arial"/>
                <w:sz w:val="22"/>
                <w:szCs w:val="22"/>
                <w:lang w:val="en-US" w:eastAsia="zh-CN"/>
              </w:rPr>
              <w:t>7.78t</w:t>
            </w:r>
          </w:p>
        </w:tc>
        <w:tc>
          <w:tcPr>
            <w:tcW w:w="1035" w:type="dxa"/>
            <w:tcBorders>
              <w:tl2br w:val="nil"/>
              <w:tr2bl w:val="nil"/>
            </w:tcBorders>
            <w:noWrap w:val="0"/>
            <w:vAlign w:val="center"/>
          </w:tcPr>
          <w:p w14:paraId="4034C826">
            <w:pPr>
              <w:pStyle w:val="946"/>
              <w:spacing w:line="300" w:lineRule="exact"/>
              <w:rPr>
                <w:rFonts w:ascii="Arial" w:hAnsi="Arial" w:cs="Arial"/>
                <w:sz w:val="22"/>
                <w:szCs w:val="22"/>
              </w:rPr>
            </w:pPr>
            <w:r>
              <w:rPr>
                <w:rFonts w:ascii="Arial" w:hAnsi="Arial" w:cs="Arial"/>
                <w:sz w:val="22"/>
                <w:szCs w:val="22"/>
              </w:rPr>
              <w:t>TSP</w:t>
            </w:r>
          </w:p>
        </w:tc>
        <w:tc>
          <w:tcPr>
            <w:tcW w:w="1276" w:type="dxa"/>
            <w:tcBorders>
              <w:tl2br w:val="nil"/>
              <w:tr2bl w:val="nil"/>
            </w:tcBorders>
            <w:noWrap w:val="0"/>
            <w:vAlign w:val="center"/>
          </w:tcPr>
          <w:p w14:paraId="0AA1DC9D">
            <w:pPr>
              <w:pStyle w:val="946"/>
              <w:spacing w:line="300" w:lineRule="exact"/>
              <w:rPr>
                <w:rFonts w:hint="eastAsia" w:ascii="Arial" w:hAnsi="Arial" w:eastAsia="宋体" w:cs="Arial"/>
                <w:sz w:val="22"/>
                <w:szCs w:val="22"/>
                <w:lang w:eastAsia="zh-CN"/>
              </w:rPr>
            </w:pPr>
            <w:r>
              <w:rPr>
                <w:rFonts w:hint="eastAsia" w:ascii="Arial" w:hAnsi="Arial" w:cs="Arial"/>
                <w:sz w:val="22"/>
                <w:szCs w:val="22"/>
                <w:lang w:val="en-US" w:eastAsia="zh-CN"/>
              </w:rPr>
              <w:t>/</w:t>
            </w:r>
          </w:p>
        </w:tc>
        <w:tc>
          <w:tcPr>
            <w:tcW w:w="1275" w:type="dxa"/>
            <w:tcBorders>
              <w:tl2br w:val="nil"/>
              <w:tr2bl w:val="nil"/>
            </w:tcBorders>
            <w:noWrap w:val="0"/>
            <w:vAlign w:val="center"/>
          </w:tcPr>
          <w:p w14:paraId="5C2F4522">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2E86B566">
            <w:pPr>
              <w:pStyle w:val="946"/>
              <w:spacing w:line="300" w:lineRule="exact"/>
              <w:rPr>
                <w:rFonts w:ascii="Arial" w:hAnsi="Arial" w:cs="Arial"/>
                <w:sz w:val="22"/>
                <w:szCs w:val="22"/>
              </w:rPr>
            </w:pPr>
            <w:r>
              <w:rPr>
                <w:rFonts w:hint="eastAsia" w:ascii="Arial" w:hAnsi="Arial" w:cs="Arial"/>
                <w:bCs/>
                <w:color w:val="auto"/>
                <w:sz w:val="22"/>
                <w:szCs w:val="22"/>
                <w:vertAlign w:val="baseline"/>
                <w:lang w:val="en-US" w:eastAsia="zh-CN"/>
              </w:rPr>
              <w:t>采取湿法作业，洒水抑尘，大风天气对开挖边坡、裸露地面等进行遮盖。</w:t>
            </w:r>
          </w:p>
        </w:tc>
        <w:tc>
          <w:tcPr>
            <w:tcW w:w="1247" w:type="dxa"/>
            <w:tcBorders>
              <w:tl2br w:val="nil"/>
              <w:tr2bl w:val="nil"/>
            </w:tcBorders>
            <w:noWrap w:val="0"/>
            <w:vAlign w:val="center"/>
          </w:tcPr>
          <w:p w14:paraId="59C58D5C">
            <w:pPr>
              <w:pStyle w:val="946"/>
              <w:spacing w:line="300" w:lineRule="exact"/>
              <w:rPr>
                <w:rFonts w:ascii="Arial" w:hAnsi="Arial" w:cs="Arial"/>
                <w:sz w:val="22"/>
                <w:szCs w:val="22"/>
              </w:rPr>
            </w:pPr>
            <w:r>
              <w:rPr>
                <w:rFonts w:hint="eastAsia" w:ascii="Arial" w:hAnsi="Arial" w:cs="Arial"/>
                <w:bCs/>
                <w:color w:val="auto"/>
                <w:sz w:val="22"/>
                <w:szCs w:val="22"/>
                <w:vertAlign w:val="baseline"/>
                <w:lang w:val="en-US" w:eastAsia="zh-CN"/>
              </w:rPr>
              <w:t>1.56t</w:t>
            </w:r>
          </w:p>
        </w:tc>
        <w:tc>
          <w:tcPr>
            <w:tcW w:w="915" w:type="dxa"/>
            <w:tcBorders>
              <w:tl2br w:val="nil"/>
              <w:tr2bl w:val="nil"/>
            </w:tcBorders>
            <w:noWrap w:val="0"/>
            <w:vAlign w:val="center"/>
          </w:tcPr>
          <w:p w14:paraId="0DA96C3D">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00B0DA7E">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w:t>
            </w:r>
          </w:p>
        </w:tc>
      </w:tr>
      <w:tr w14:paraId="75C6F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389B1CEB">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497BF940">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2CB4B64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装卸粉尘</w:t>
            </w:r>
          </w:p>
        </w:tc>
        <w:tc>
          <w:tcPr>
            <w:tcW w:w="1213" w:type="dxa"/>
            <w:tcBorders>
              <w:tl2br w:val="nil"/>
              <w:tr2bl w:val="nil"/>
            </w:tcBorders>
            <w:noWrap w:val="0"/>
            <w:vAlign w:val="center"/>
          </w:tcPr>
          <w:p w14:paraId="48CB6F6B">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14.2932t</w:t>
            </w:r>
          </w:p>
        </w:tc>
        <w:tc>
          <w:tcPr>
            <w:tcW w:w="1035" w:type="dxa"/>
            <w:tcBorders>
              <w:tl2br w:val="nil"/>
              <w:tr2bl w:val="nil"/>
            </w:tcBorders>
            <w:noWrap w:val="0"/>
            <w:vAlign w:val="center"/>
          </w:tcPr>
          <w:p w14:paraId="17CA63AE">
            <w:pPr>
              <w:pStyle w:val="946"/>
              <w:spacing w:line="300" w:lineRule="exact"/>
              <w:rPr>
                <w:rFonts w:ascii="Arial" w:hAnsi="Arial" w:cs="Arial"/>
                <w:sz w:val="22"/>
                <w:szCs w:val="22"/>
              </w:rPr>
            </w:pPr>
            <w:r>
              <w:rPr>
                <w:rFonts w:ascii="Arial" w:hAnsi="Arial" w:cs="Arial"/>
                <w:sz w:val="22"/>
                <w:szCs w:val="22"/>
              </w:rPr>
              <w:t>TSP</w:t>
            </w:r>
          </w:p>
        </w:tc>
        <w:tc>
          <w:tcPr>
            <w:tcW w:w="1276" w:type="dxa"/>
            <w:tcBorders>
              <w:tl2br w:val="nil"/>
              <w:tr2bl w:val="nil"/>
            </w:tcBorders>
            <w:noWrap w:val="0"/>
            <w:vAlign w:val="center"/>
          </w:tcPr>
          <w:p w14:paraId="68D7A2FB">
            <w:pPr>
              <w:pStyle w:val="946"/>
              <w:spacing w:line="300" w:lineRule="exact"/>
              <w:rPr>
                <w:rFonts w:hint="eastAsia" w:ascii="Arial" w:hAnsi="Arial" w:cs="Arial"/>
                <w:sz w:val="22"/>
                <w:szCs w:val="22"/>
                <w:lang w:val="en-US" w:eastAsia="zh-CN"/>
              </w:rPr>
            </w:pPr>
            <w:r>
              <w:rPr>
                <w:rFonts w:hint="eastAsia" w:ascii="Arial" w:hAnsi="Arial" w:cs="Arial"/>
                <w:sz w:val="22"/>
                <w:szCs w:val="22"/>
                <w:lang w:val="en-US" w:eastAsia="zh-CN"/>
              </w:rPr>
              <w:t>/</w:t>
            </w:r>
          </w:p>
        </w:tc>
        <w:tc>
          <w:tcPr>
            <w:tcW w:w="1275" w:type="dxa"/>
            <w:tcBorders>
              <w:tl2br w:val="nil"/>
              <w:tr2bl w:val="nil"/>
            </w:tcBorders>
            <w:noWrap w:val="0"/>
            <w:vAlign w:val="center"/>
          </w:tcPr>
          <w:p w14:paraId="60309B86">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395268BE">
            <w:pPr>
              <w:pStyle w:val="946"/>
              <w:spacing w:line="300" w:lineRule="exact"/>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洒水抑尘、严格控制落料高度、密闭运输。</w:t>
            </w:r>
          </w:p>
        </w:tc>
        <w:tc>
          <w:tcPr>
            <w:tcW w:w="1247" w:type="dxa"/>
            <w:tcBorders>
              <w:tl2br w:val="nil"/>
              <w:tr2bl w:val="nil"/>
            </w:tcBorders>
            <w:noWrap w:val="0"/>
            <w:vAlign w:val="center"/>
          </w:tcPr>
          <w:p w14:paraId="6F510E14">
            <w:pPr>
              <w:pStyle w:val="946"/>
              <w:spacing w:line="300" w:lineRule="exact"/>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2.8586t</w:t>
            </w:r>
          </w:p>
        </w:tc>
        <w:tc>
          <w:tcPr>
            <w:tcW w:w="915" w:type="dxa"/>
            <w:tcBorders>
              <w:tl2br w:val="nil"/>
              <w:tr2bl w:val="nil"/>
            </w:tcBorders>
            <w:shd w:val="clear" w:color="auto" w:fill="auto"/>
            <w:noWrap w:val="0"/>
            <w:vAlign w:val="center"/>
          </w:tcPr>
          <w:p w14:paraId="36C5A32E">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60A75C05">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06995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38C77093">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74440BCE">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1C32777D">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运输扬尘</w:t>
            </w:r>
          </w:p>
        </w:tc>
        <w:tc>
          <w:tcPr>
            <w:tcW w:w="1213" w:type="dxa"/>
            <w:tcBorders>
              <w:tl2br w:val="nil"/>
              <w:tr2bl w:val="nil"/>
            </w:tcBorders>
            <w:noWrap w:val="0"/>
            <w:vAlign w:val="center"/>
          </w:tcPr>
          <w:p w14:paraId="0D4DA39D">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15.388t</w:t>
            </w:r>
          </w:p>
        </w:tc>
        <w:tc>
          <w:tcPr>
            <w:tcW w:w="1035" w:type="dxa"/>
            <w:tcBorders>
              <w:tl2br w:val="nil"/>
              <w:tr2bl w:val="nil"/>
            </w:tcBorders>
            <w:shd w:val="clear" w:color="auto" w:fill="auto"/>
            <w:noWrap w:val="0"/>
            <w:vAlign w:val="center"/>
          </w:tcPr>
          <w:p w14:paraId="5802A7DB">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TSP</w:t>
            </w:r>
          </w:p>
        </w:tc>
        <w:tc>
          <w:tcPr>
            <w:tcW w:w="1276" w:type="dxa"/>
            <w:tcBorders>
              <w:tl2br w:val="nil"/>
              <w:tr2bl w:val="nil"/>
            </w:tcBorders>
            <w:shd w:val="clear" w:color="auto" w:fill="auto"/>
            <w:noWrap w:val="0"/>
            <w:vAlign w:val="center"/>
          </w:tcPr>
          <w:p w14:paraId="2C49A699">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c>
          <w:tcPr>
            <w:tcW w:w="1275" w:type="dxa"/>
            <w:tcBorders>
              <w:tl2br w:val="nil"/>
              <w:tr2bl w:val="nil"/>
            </w:tcBorders>
            <w:shd w:val="clear" w:color="auto" w:fill="auto"/>
            <w:noWrap w:val="0"/>
            <w:vAlign w:val="center"/>
          </w:tcPr>
          <w:p w14:paraId="4881E5C0">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2734" w:type="dxa"/>
            <w:tcBorders>
              <w:tl2br w:val="nil"/>
              <w:tr2bl w:val="nil"/>
            </w:tcBorders>
            <w:noWrap w:val="0"/>
            <w:vAlign w:val="center"/>
          </w:tcPr>
          <w:p w14:paraId="25D765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宋体" w:hAnsi="宋体" w:eastAsia="宋体" w:cs="宋体"/>
                <w:bCs/>
                <w:color w:val="auto"/>
                <w:sz w:val="22"/>
                <w:szCs w:val="22"/>
                <w:lang w:eastAsia="zh-CN"/>
              </w:rPr>
              <w:t>硬化运输道路、安排专人清扫、洒水抑尘、限速限载、冲洗运输车辆等</w:t>
            </w:r>
          </w:p>
        </w:tc>
        <w:tc>
          <w:tcPr>
            <w:tcW w:w="1247" w:type="dxa"/>
            <w:tcBorders>
              <w:tl2br w:val="nil"/>
              <w:tr2bl w:val="nil"/>
            </w:tcBorders>
            <w:noWrap w:val="0"/>
            <w:vAlign w:val="center"/>
          </w:tcPr>
          <w:p w14:paraId="11EE90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3.0776t</w:t>
            </w:r>
          </w:p>
        </w:tc>
        <w:tc>
          <w:tcPr>
            <w:tcW w:w="915" w:type="dxa"/>
            <w:tcBorders>
              <w:tl2br w:val="nil"/>
              <w:tr2bl w:val="nil"/>
            </w:tcBorders>
            <w:shd w:val="clear" w:color="auto" w:fill="auto"/>
            <w:noWrap w:val="0"/>
            <w:vAlign w:val="center"/>
          </w:tcPr>
          <w:p w14:paraId="5A8481DB">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36083819">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1AF34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2394A017">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7AC55BC0">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186C23FC">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混凝土拌合粉尘</w:t>
            </w:r>
          </w:p>
        </w:tc>
        <w:tc>
          <w:tcPr>
            <w:tcW w:w="1213" w:type="dxa"/>
            <w:tcBorders>
              <w:tl2br w:val="nil"/>
              <w:tr2bl w:val="nil"/>
            </w:tcBorders>
            <w:noWrap w:val="0"/>
            <w:vAlign w:val="center"/>
          </w:tcPr>
          <w:p w14:paraId="3E7D47D2">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1.8288t</w:t>
            </w:r>
          </w:p>
        </w:tc>
        <w:tc>
          <w:tcPr>
            <w:tcW w:w="1035" w:type="dxa"/>
            <w:tcBorders>
              <w:tl2br w:val="nil"/>
              <w:tr2bl w:val="nil"/>
            </w:tcBorders>
            <w:shd w:val="clear" w:color="auto" w:fill="auto"/>
            <w:noWrap w:val="0"/>
            <w:vAlign w:val="center"/>
          </w:tcPr>
          <w:p w14:paraId="7381F4EE">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TSP</w:t>
            </w:r>
          </w:p>
        </w:tc>
        <w:tc>
          <w:tcPr>
            <w:tcW w:w="1276" w:type="dxa"/>
            <w:tcBorders>
              <w:tl2br w:val="nil"/>
              <w:tr2bl w:val="nil"/>
            </w:tcBorders>
            <w:shd w:val="clear" w:color="auto" w:fill="auto"/>
            <w:noWrap w:val="0"/>
            <w:vAlign w:val="center"/>
          </w:tcPr>
          <w:p w14:paraId="475F9018">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c>
          <w:tcPr>
            <w:tcW w:w="1275" w:type="dxa"/>
            <w:tcBorders>
              <w:tl2br w:val="nil"/>
              <w:tr2bl w:val="nil"/>
            </w:tcBorders>
            <w:shd w:val="clear" w:color="auto" w:fill="auto"/>
            <w:noWrap w:val="0"/>
            <w:vAlign w:val="center"/>
          </w:tcPr>
          <w:p w14:paraId="00D6DC68">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2734" w:type="dxa"/>
            <w:tcBorders>
              <w:tl2br w:val="nil"/>
              <w:tr2bl w:val="nil"/>
            </w:tcBorders>
            <w:noWrap w:val="0"/>
            <w:vAlign w:val="center"/>
          </w:tcPr>
          <w:p w14:paraId="60C6BD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color w:val="auto"/>
                <w:sz w:val="22"/>
                <w:szCs w:val="22"/>
                <w:lang w:eastAsia="zh-CN"/>
              </w:rPr>
            </w:pPr>
            <w:r>
              <w:rPr>
                <w:rFonts w:hint="eastAsia" w:ascii="Arial" w:hAnsi="Arial" w:cs="Arial"/>
                <w:bCs/>
                <w:color w:val="auto"/>
                <w:sz w:val="22"/>
                <w:szCs w:val="22"/>
                <w:vertAlign w:val="baseline"/>
                <w:lang w:val="en-US" w:eastAsia="zh-CN"/>
              </w:rPr>
              <w:t>水泥、粉煤灰等粉质物料采取筒仓储存，并配置仓顶除尘器；碎石骨料堆存区设围挡和顶棚，对</w:t>
            </w:r>
            <w:r>
              <w:rPr>
                <w:rFonts w:hint="eastAsia" w:ascii="Arial" w:hAnsi="Arial" w:eastAsia="宋体" w:cs="Arial"/>
                <w:b w:val="0"/>
                <w:bCs/>
                <w:kern w:val="0"/>
                <w:sz w:val="22"/>
                <w:szCs w:val="22"/>
                <w:lang w:val="en-US" w:eastAsia="zh-CN" w:bidi="ar-SA"/>
              </w:rPr>
              <w:t>搅拌机、料斗、输送皮带及转载点设施等产尘点进行洒水降尘</w:t>
            </w:r>
          </w:p>
        </w:tc>
        <w:tc>
          <w:tcPr>
            <w:tcW w:w="1247" w:type="dxa"/>
            <w:tcBorders>
              <w:tl2br w:val="nil"/>
              <w:tr2bl w:val="nil"/>
            </w:tcBorders>
            <w:noWrap w:val="0"/>
            <w:vAlign w:val="center"/>
          </w:tcPr>
          <w:p w14:paraId="6E4D74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0.1829t</w:t>
            </w:r>
          </w:p>
        </w:tc>
        <w:tc>
          <w:tcPr>
            <w:tcW w:w="915" w:type="dxa"/>
            <w:tcBorders>
              <w:tl2br w:val="nil"/>
              <w:tr2bl w:val="nil"/>
            </w:tcBorders>
            <w:shd w:val="clear" w:color="auto" w:fill="auto"/>
            <w:noWrap w:val="0"/>
            <w:vAlign w:val="center"/>
          </w:tcPr>
          <w:p w14:paraId="3FADE497">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389EEC81">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01855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1539E2EE">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36C07416">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203DA629">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堆场扬尘</w:t>
            </w:r>
          </w:p>
        </w:tc>
        <w:tc>
          <w:tcPr>
            <w:tcW w:w="1213" w:type="dxa"/>
            <w:tcBorders>
              <w:tl2br w:val="nil"/>
              <w:tr2bl w:val="nil"/>
            </w:tcBorders>
            <w:noWrap w:val="0"/>
            <w:vAlign w:val="center"/>
          </w:tcPr>
          <w:p w14:paraId="176510AB">
            <w:pPr>
              <w:pStyle w:val="946"/>
              <w:spacing w:line="300" w:lineRule="exact"/>
              <w:rPr>
                <w:rFonts w:hint="eastAsia" w:ascii="Arial" w:hAnsi="Arial" w:cs="Arial"/>
                <w:sz w:val="22"/>
                <w:szCs w:val="22"/>
                <w:lang w:val="en-US" w:eastAsia="zh-CN"/>
              </w:rPr>
            </w:pPr>
            <w:r>
              <w:rPr>
                <w:rFonts w:hint="eastAsia" w:ascii="Arial" w:hAnsi="Arial" w:cs="Arial"/>
                <w:sz w:val="22"/>
                <w:szCs w:val="22"/>
                <w:lang w:val="en-US" w:eastAsia="zh-CN"/>
              </w:rPr>
              <w:t>少量</w:t>
            </w:r>
          </w:p>
        </w:tc>
        <w:tc>
          <w:tcPr>
            <w:tcW w:w="1035" w:type="dxa"/>
            <w:tcBorders>
              <w:tl2br w:val="nil"/>
              <w:tr2bl w:val="nil"/>
            </w:tcBorders>
            <w:shd w:val="clear" w:color="auto" w:fill="auto"/>
            <w:noWrap w:val="0"/>
            <w:vAlign w:val="center"/>
          </w:tcPr>
          <w:p w14:paraId="13722482">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TSP</w:t>
            </w:r>
          </w:p>
        </w:tc>
        <w:tc>
          <w:tcPr>
            <w:tcW w:w="1276" w:type="dxa"/>
            <w:tcBorders>
              <w:tl2br w:val="nil"/>
              <w:tr2bl w:val="nil"/>
            </w:tcBorders>
            <w:shd w:val="clear" w:color="auto" w:fill="auto"/>
            <w:noWrap w:val="0"/>
            <w:vAlign w:val="center"/>
          </w:tcPr>
          <w:p w14:paraId="49DF4D46">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c>
          <w:tcPr>
            <w:tcW w:w="1275" w:type="dxa"/>
            <w:tcBorders>
              <w:tl2br w:val="nil"/>
              <w:tr2bl w:val="nil"/>
            </w:tcBorders>
            <w:shd w:val="clear" w:color="auto" w:fill="auto"/>
            <w:noWrap w:val="0"/>
            <w:vAlign w:val="center"/>
          </w:tcPr>
          <w:p w14:paraId="3312BDD2">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2734" w:type="dxa"/>
            <w:tcBorders>
              <w:tl2br w:val="nil"/>
              <w:tr2bl w:val="nil"/>
            </w:tcBorders>
            <w:noWrap w:val="0"/>
            <w:vAlign w:val="center"/>
          </w:tcPr>
          <w:p w14:paraId="6FF8F0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 w:val="0"/>
                <w:bCs/>
                <w:sz w:val="22"/>
                <w:szCs w:val="22"/>
                <w:lang w:val="en-US" w:eastAsia="zh-CN"/>
              </w:rPr>
              <w:t>水泥等粉质物料均集中堆存，并采取篷布或围挡、顶棚进行遮盖；弃渣场夯实堆存，并洒水抑尘。</w:t>
            </w:r>
          </w:p>
        </w:tc>
        <w:tc>
          <w:tcPr>
            <w:tcW w:w="1247" w:type="dxa"/>
            <w:tcBorders>
              <w:tl2br w:val="nil"/>
              <w:tr2bl w:val="nil"/>
            </w:tcBorders>
            <w:noWrap w:val="0"/>
            <w:vAlign w:val="center"/>
          </w:tcPr>
          <w:p w14:paraId="315DD3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c>
          <w:tcPr>
            <w:tcW w:w="915" w:type="dxa"/>
            <w:tcBorders>
              <w:tl2br w:val="nil"/>
              <w:tr2bl w:val="nil"/>
            </w:tcBorders>
            <w:shd w:val="clear" w:color="auto" w:fill="auto"/>
            <w:noWrap w:val="0"/>
            <w:vAlign w:val="center"/>
          </w:tcPr>
          <w:p w14:paraId="5EA4D890">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shd w:val="clear" w:color="auto" w:fill="auto"/>
            <w:noWrap w:val="0"/>
            <w:vAlign w:val="center"/>
          </w:tcPr>
          <w:p w14:paraId="4AE90D81">
            <w:pPr>
              <w:pStyle w:val="946"/>
              <w:spacing w:line="300" w:lineRule="exact"/>
              <w:rPr>
                <w:rFonts w:hint="eastAsia" w:ascii="Arial" w:hAnsi="Arial" w:cs="Arial"/>
                <w:sz w:val="22"/>
                <w:szCs w:val="22"/>
                <w:lang w:val="en-US" w:eastAsia="zh-CN"/>
              </w:rPr>
            </w:pPr>
            <w:r>
              <w:rPr>
                <w:rFonts w:hint="eastAsia" w:ascii="Arial" w:hAnsi="Arial" w:cs="Arial"/>
                <w:sz w:val="22"/>
                <w:szCs w:val="22"/>
                <w:lang w:val="en-US" w:eastAsia="zh-CN"/>
              </w:rPr>
              <w:t>/</w:t>
            </w:r>
          </w:p>
        </w:tc>
      </w:tr>
      <w:tr w14:paraId="6BDE5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688942A3">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56A69685">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0BFAA602">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燃油废气</w:t>
            </w:r>
          </w:p>
        </w:tc>
        <w:tc>
          <w:tcPr>
            <w:tcW w:w="1213" w:type="dxa"/>
            <w:tcBorders>
              <w:tl2br w:val="nil"/>
              <w:tr2bl w:val="nil"/>
            </w:tcBorders>
            <w:noWrap w:val="0"/>
            <w:vAlign w:val="center"/>
          </w:tcPr>
          <w:p w14:paraId="4F299868">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w:t>
            </w:r>
          </w:p>
        </w:tc>
        <w:tc>
          <w:tcPr>
            <w:tcW w:w="1035" w:type="dxa"/>
            <w:tcBorders>
              <w:tl2br w:val="nil"/>
              <w:tr2bl w:val="nil"/>
            </w:tcBorders>
            <w:noWrap w:val="0"/>
            <w:vAlign w:val="center"/>
          </w:tcPr>
          <w:p w14:paraId="48ECE11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CO、NOx、THC</w:t>
            </w:r>
          </w:p>
        </w:tc>
        <w:tc>
          <w:tcPr>
            <w:tcW w:w="1276" w:type="dxa"/>
            <w:tcBorders>
              <w:tl2br w:val="nil"/>
              <w:tr2bl w:val="nil"/>
            </w:tcBorders>
            <w:noWrap w:val="0"/>
            <w:vAlign w:val="center"/>
          </w:tcPr>
          <w:p w14:paraId="541A64D4">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3F36E4B7">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17481C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sz w:val="22"/>
                <w:szCs w:val="22"/>
                <w:lang w:eastAsia="zh-CN"/>
              </w:rPr>
            </w:pPr>
            <w:r>
              <w:rPr>
                <w:rFonts w:hint="eastAsia" w:ascii="Arial" w:hAnsi="Arial" w:cs="Arial"/>
                <w:b w:val="0"/>
                <w:bCs/>
                <w:sz w:val="22"/>
                <w:szCs w:val="22"/>
                <w:lang w:val="en-US" w:eastAsia="zh-CN"/>
              </w:rPr>
              <w:t>以柴油、汽油为燃料，加强对施工机械的维护、保养，使其处于良好的工作状态。</w:t>
            </w:r>
          </w:p>
        </w:tc>
        <w:tc>
          <w:tcPr>
            <w:tcW w:w="1247" w:type="dxa"/>
            <w:tcBorders>
              <w:tl2br w:val="nil"/>
              <w:tr2bl w:val="nil"/>
            </w:tcBorders>
            <w:noWrap w:val="0"/>
            <w:vAlign w:val="center"/>
          </w:tcPr>
          <w:p w14:paraId="681D97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sz w:val="22"/>
                <w:szCs w:val="22"/>
              </w:rPr>
            </w:pPr>
            <w:r>
              <w:rPr>
                <w:rFonts w:hint="eastAsia" w:ascii="Arial" w:hAnsi="Arial" w:cs="Arial"/>
                <w:bCs/>
                <w:color w:val="auto"/>
                <w:sz w:val="22"/>
                <w:szCs w:val="22"/>
                <w:vertAlign w:val="baseline"/>
                <w:lang w:val="en-US" w:eastAsia="zh-CN"/>
              </w:rPr>
              <w:t>少量</w:t>
            </w:r>
          </w:p>
        </w:tc>
        <w:tc>
          <w:tcPr>
            <w:tcW w:w="915" w:type="dxa"/>
            <w:tcBorders>
              <w:tl2br w:val="nil"/>
              <w:tr2bl w:val="nil"/>
            </w:tcBorders>
            <w:noWrap w:val="0"/>
            <w:vAlign w:val="center"/>
          </w:tcPr>
          <w:p w14:paraId="167EB7BC">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35403963">
            <w:pPr>
              <w:pStyle w:val="946"/>
              <w:spacing w:line="300" w:lineRule="exact"/>
              <w:rPr>
                <w:rFonts w:hint="eastAsia" w:ascii="Arial" w:hAnsi="Arial" w:cs="Arial"/>
                <w:sz w:val="22"/>
                <w:szCs w:val="22"/>
                <w:lang w:eastAsia="zh-CN"/>
              </w:rPr>
            </w:pPr>
            <w:r>
              <w:rPr>
                <w:rFonts w:hint="eastAsia" w:ascii="Arial" w:hAnsi="Arial" w:cs="Arial"/>
                <w:sz w:val="22"/>
                <w:szCs w:val="22"/>
                <w:lang w:val="en-US" w:eastAsia="zh-CN"/>
              </w:rPr>
              <w:t>/</w:t>
            </w:r>
          </w:p>
        </w:tc>
      </w:tr>
      <w:tr w14:paraId="2CA8C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7034B4B1">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44587D6D">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29FE40BE">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生活燃料废气</w:t>
            </w:r>
          </w:p>
        </w:tc>
        <w:tc>
          <w:tcPr>
            <w:tcW w:w="1213" w:type="dxa"/>
            <w:tcBorders>
              <w:tl2br w:val="nil"/>
              <w:tr2bl w:val="nil"/>
            </w:tcBorders>
            <w:noWrap w:val="0"/>
            <w:vAlign w:val="center"/>
          </w:tcPr>
          <w:p w14:paraId="60F38D5F">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少量</w:t>
            </w:r>
          </w:p>
        </w:tc>
        <w:tc>
          <w:tcPr>
            <w:tcW w:w="1035" w:type="dxa"/>
            <w:tcBorders>
              <w:tl2br w:val="nil"/>
              <w:tr2bl w:val="nil"/>
            </w:tcBorders>
            <w:noWrap w:val="0"/>
            <w:vAlign w:val="center"/>
          </w:tcPr>
          <w:p w14:paraId="45090F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SO</w:t>
            </w:r>
            <w:r>
              <w:rPr>
                <w:rFonts w:hint="eastAsia" w:ascii="Arial" w:hAnsi="Arial" w:cs="Arial"/>
                <w:bCs/>
                <w:color w:val="auto"/>
                <w:sz w:val="22"/>
                <w:szCs w:val="22"/>
                <w:vertAlign w:val="subscript"/>
                <w:lang w:val="en-US" w:eastAsia="zh-CN"/>
              </w:rPr>
              <w:t>2</w:t>
            </w:r>
          </w:p>
          <w:p w14:paraId="0D4DA5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NO</w:t>
            </w:r>
            <w:r>
              <w:rPr>
                <w:rFonts w:hint="eastAsia" w:ascii="Arial" w:hAnsi="Arial" w:cs="Arial"/>
                <w:bCs/>
                <w:color w:val="auto"/>
                <w:sz w:val="22"/>
                <w:szCs w:val="22"/>
                <w:vertAlign w:val="subscript"/>
                <w:lang w:val="en-US" w:eastAsia="zh-CN"/>
              </w:rPr>
              <w:t>2</w:t>
            </w:r>
          </w:p>
          <w:p w14:paraId="03A189C8">
            <w:pPr>
              <w:pStyle w:val="946"/>
              <w:spacing w:line="300" w:lineRule="exact"/>
              <w:rPr>
                <w:rFonts w:ascii="Arial" w:hAnsi="Arial" w:cs="Arial"/>
                <w:sz w:val="22"/>
                <w:szCs w:val="22"/>
              </w:rPr>
            </w:pPr>
            <w:r>
              <w:rPr>
                <w:rFonts w:hint="eastAsia" w:ascii="Arial" w:hAnsi="Arial" w:cs="Arial"/>
                <w:bCs/>
                <w:color w:val="auto"/>
                <w:sz w:val="22"/>
                <w:szCs w:val="22"/>
                <w:vertAlign w:val="baseline"/>
                <w:lang w:val="en-US" w:eastAsia="zh-CN"/>
              </w:rPr>
              <w:t>烟尘</w:t>
            </w:r>
          </w:p>
        </w:tc>
        <w:tc>
          <w:tcPr>
            <w:tcW w:w="1276" w:type="dxa"/>
            <w:tcBorders>
              <w:tl2br w:val="nil"/>
              <w:tr2bl w:val="nil"/>
            </w:tcBorders>
            <w:noWrap w:val="0"/>
            <w:vAlign w:val="center"/>
          </w:tcPr>
          <w:p w14:paraId="6229C8E4">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04F886E2">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1D661C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sz w:val="22"/>
                <w:szCs w:val="22"/>
              </w:rPr>
            </w:pPr>
            <w:r>
              <w:rPr>
                <w:rFonts w:hint="eastAsia" w:ascii="Arial" w:hAnsi="Arial" w:cs="Arial"/>
                <w:b w:val="0"/>
                <w:bCs/>
                <w:sz w:val="22"/>
                <w:szCs w:val="22"/>
                <w:lang w:val="en-US" w:eastAsia="zh-CN"/>
              </w:rPr>
              <w:t>供热及生活主要采取电、液化石油气等清洁能源</w:t>
            </w:r>
          </w:p>
        </w:tc>
        <w:tc>
          <w:tcPr>
            <w:tcW w:w="1247" w:type="dxa"/>
            <w:tcBorders>
              <w:tl2br w:val="nil"/>
              <w:tr2bl w:val="nil"/>
            </w:tcBorders>
            <w:noWrap w:val="0"/>
            <w:vAlign w:val="center"/>
          </w:tcPr>
          <w:p w14:paraId="2FDEB9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sz w:val="22"/>
                <w:szCs w:val="22"/>
              </w:rPr>
            </w:pPr>
            <w:r>
              <w:rPr>
                <w:rFonts w:hint="eastAsia" w:ascii="Arial" w:hAnsi="Arial" w:cs="Arial"/>
                <w:bCs/>
                <w:color w:val="auto"/>
                <w:sz w:val="22"/>
                <w:szCs w:val="22"/>
                <w:vertAlign w:val="baseline"/>
                <w:lang w:val="en-US" w:eastAsia="zh-CN"/>
              </w:rPr>
              <w:t>少量</w:t>
            </w:r>
          </w:p>
        </w:tc>
        <w:tc>
          <w:tcPr>
            <w:tcW w:w="915" w:type="dxa"/>
            <w:tcBorders>
              <w:tl2br w:val="nil"/>
              <w:tr2bl w:val="nil"/>
            </w:tcBorders>
            <w:noWrap w:val="0"/>
            <w:vAlign w:val="center"/>
          </w:tcPr>
          <w:p w14:paraId="096AF82B">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3864A092">
            <w:pPr>
              <w:pStyle w:val="946"/>
              <w:spacing w:line="300" w:lineRule="exact"/>
              <w:rPr>
                <w:rFonts w:ascii="Arial" w:hAnsi="Arial" w:cs="Arial"/>
                <w:sz w:val="22"/>
                <w:szCs w:val="22"/>
              </w:rPr>
            </w:pPr>
            <w:r>
              <w:rPr>
                <w:rFonts w:ascii="Arial" w:hAnsi="Arial" w:cs="Arial"/>
                <w:sz w:val="22"/>
                <w:szCs w:val="22"/>
              </w:rPr>
              <w:t>/</w:t>
            </w:r>
          </w:p>
        </w:tc>
      </w:tr>
      <w:tr w14:paraId="38FAE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shd w:val="clear" w:color="auto" w:fill="auto"/>
            <w:noWrap w:val="0"/>
            <w:vAlign w:val="center"/>
          </w:tcPr>
          <w:p w14:paraId="00E820BC">
            <w:pPr>
              <w:widowControl/>
              <w:spacing w:line="300" w:lineRule="exact"/>
              <w:jc w:val="center"/>
              <w:rPr>
                <w:rFonts w:ascii="Arial" w:hAnsi="Arial" w:cs="Arial"/>
                <w:sz w:val="22"/>
                <w:szCs w:val="22"/>
              </w:rPr>
            </w:pPr>
          </w:p>
        </w:tc>
        <w:tc>
          <w:tcPr>
            <w:tcW w:w="592" w:type="dxa"/>
            <w:vMerge w:val="restart"/>
            <w:tcBorders>
              <w:tl2br w:val="nil"/>
              <w:tr2bl w:val="nil"/>
            </w:tcBorders>
            <w:shd w:val="clear" w:color="auto" w:fill="auto"/>
            <w:noWrap w:val="0"/>
            <w:vAlign w:val="center"/>
          </w:tcPr>
          <w:p w14:paraId="04A05655">
            <w:pPr>
              <w:pStyle w:val="946"/>
              <w:spacing w:line="300" w:lineRule="exact"/>
              <w:rPr>
                <w:rFonts w:ascii="Arial" w:hAnsi="Arial" w:cs="Arial"/>
                <w:sz w:val="22"/>
                <w:szCs w:val="22"/>
              </w:rPr>
            </w:pPr>
            <w:r>
              <w:rPr>
                <w:rFonts w:ascii="Arial" w:hAnsi="Arial" w:cs="Arial"/>
                <w:sz w:val="22"/>
                <w:szCs w:val="22"/>
              </w:rPr>
              <w:t>固体废物</w:t>
            </w:r>
          </w:p>
        </w:tc>
        <w:tc>
          <w:tcPr>
            <w:tcW w:w="617" w:type="dxa"/>
            <w:vMerge w:val="restart"/>
            <w:tcBorders>
              <w:tl2br w:val="nil"/>
              <w:tr2bl w:val="nil"/>
            </w:tcBorders>
            <w:shd w:val="clear" w:color="auto" w:fill="auto"/>
            <w:noWrap w:val="0"/>
            <w:vAlign w:val="center"/>
          </w:tcPr>
          <w:p w14:paraId="4773B932">
            <w:pPr>
              <w:pStyle w:val="946"/>
              <w:spacing w:line="300" w:lineRule="exact"/>
              <w:rPr>
                <w:rFonts w:hint="eastAsia" w:ascii="Arial" w:hAnsi="Arial" w:eastAsia="宋体" w:cs="Arial"/>
                <w:color w:val="auto"/>
                <w:sz w:val="22"/>
                <w:szCs w:val="22"/>
                <w:lang w:eastAsia="zh-CN"/>
              </w:rPr>
            </w:pPr>
            <w:r>
              <w:rPr>
                <w:rFonts w:hint="eastAsia" w:ascii="Arial" w:hAnsi="Arial" w:cs="Arial"/>
                <w:color w:val="auto"/>
                <w:sz w:val="22"/>
                <w:szCs w:val="22"/>
                <w:lang w:eastAsia="zh-CN"/>
              </w:rPr>
              <w:t>弃渣</w:t>
            </w:r>
          </w:p>
        </w:tc>
        <w:tc>
          <w:tcPr>
            <w:tcW w:w="730" w:type="dxa"/>
            <w:tcBorders>
              <w:tl2br w:val="nil"/>
              <w:tr2bl w:val="nil"/>
            </w:tcBorders>
            <w:shd w:val="clear" w:color="auto" w:fill="auto"/>
            <w:noWrap w:val="0"/>
            <w:vAlign w:val="center"/>
          </w:tcPr>
          <w:p w14:paraId="397122DB">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枢纽工程</w:t>
            </w:r>
          </w:p>
        </w:tc>
        <w:tc>
          <w:tcPr>
            <w:tcW w:w="1213" w:type="dxa"/>
            <w:tcBorders>
              <w:tl2br w:val="nil"/>
              <w:tr2bl w:val="nil"/>
            </w:tcBorders>
            <w:noWrap w:val="0"/>
            <w:vAlign w:val="center"/>
          </w:tcPr>
          <w:p w14:paraId="6CE016FC">
            <w:pPr>
              <w:pStyle w:val="946"/>
              <w:spacing w:line="300" w:lineRule="exact"/>
              <w:rPr>
                <w:rFonts w:ascii="Arial" w:hAnsi="Arial" w:cs="Arial"/>
                <w:color w:val="auto"/>
                <w:sz w:val="22"/>
                <w:szCs w:val="22"/>
              </w:rPr>
            </w:pPr>
            <w:r>
              <w:rPr>
                <w:rFonts w:hint="eastAsia" w:ascii="Arial" w:hAnsi="Arial" w:cs="Arial"/>
                <w:color w:val="auto"/>
                <w:sz w:val="22"/>
                <w:szCs w:val="22"/>
                <w:lang w:val="en-US" w:eastAsia="zh-CN" w:bidi="he-IL"/>
              </w:rPr>
              <w:t>6.6</w:t>
            </w:r>
            <w:r>
              <w:rPr>
                <w:rFonts w:ascii="Arial" w:hAnsi="Arial" w:cs="Arial"/>
                <w:color w:val="auto"/>
                <w:sz w:val="22"/>
                <w:szCs w:val="22"/>
                <w:lang w:bidi="he-IL"/>
              </w:rPr>
              <w:t>万</w:t>
            </w:r>
            <w:r>
              <w:rPr>
                <w:rFonts w:ascii="Arial" w:hAnsi="Arial" w:cs="Arial"/>
                <w:color w:val="auto"/>
                <w:sz w:val="22"/>
                <w:szCs w:val="22"/>
                <w:lang w:val="zh-CN" w:bidi="he-IL"/>
              </w:rPr>
              <w:t>m</w:t>
            </w:r>
            <w:r>
              <w:rPr>
                <w:rFonts w:ascii="Arial" w:hAnsi="Arial" w:cs="Arial"/>
                <w:color w:val="auto"/>
                <w:sz w:val="22"/>
                <w:szCs w:val="22"/>
                <w:vertAlign w:val="superscript"/>
                <w:lang w:val="zh-CN" w:bidi="he-IL"/>
              </w:rPr>
              <w:t>3</w:t>
            </w:r>
          </w:p>
        </w:tc>
        <w:tc>
          <w:tcPr>
            <w:tcW w:w="1035" w:type="dxa"/>
            <w:tcBorders>
              <w:tl2br w:val="nil"/>
              <w:tr2bl w:val="nil"/>
            </w:tcBorders>
            <w:noWrap w:val="0"/>
            <w:vAlign w:val="center"/>
          </w:tcPr>
          <w:p w14:paraId="44168BA4">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noWrap w:val="0"/>
            <w:vAlign w:val="center"/>
          </w:tcPr>
          <w:p w14:paraId="74AF8EA7">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78941A51">
            <w:pPr>
              <w:pStyle w:val="946"/>
              <w:spacing w:line="300" w:lineRule="exact"/>
              <w:rPr>
                <w:rFonts w:ascii="Arial" w:hAnsi="Arial" w:cs="Arial"/>
                <w:sz w:val="22"/>
                <w:szCs w:val="22"/>
              </w:rPr>
            </w:pPr>
            <w:r>
              <w:rPr>
                <w:rFonts w:ascii="Arial" w:hAnsi="Arial" w:cs="Arial"/>
                <w:sz w:val="22"/>
                <w:szCs w:val="22"/>
              </w:rPr>
              <w:t>/</w:t>
            </w:r>
          </w:p>
        </w:tc>
        <w:tc>
          <w:tcPr>
            <w:tcW w:w="2734" w:type="dxa"/>
            <w:vMerge w:val="restart"/>
            <w:tcBorders>
              <w:tl2br w:val="nil"/>
              <w:tr2bl w:val="nil"/>
            </w:tcBorders>
            <w:noWrap w:val="0"/>
            <w:vAlign w:val="center"/>
          </w:tcPr>
          <w:p w14:paraId="3E282419">
            <w:pPr>
              <w:pStyle w:val="946"/>
              <w:spacing w:line="300" w:lineRule="exact"/>
              <w:rPr>
                <w:rFonts w:hint="eastAsia" w:ascii="Arial" w:hAnsi="Arial" w:cs="Arial"/>
                <w:color w:val="00B0F0"/>
                <w:sz w:val="22"/>
                <w:szCs w:val="22"/>
                <w:lang w:eastAsia="zh-CN"/>
              </w:rPr>
            </w:pPr>
            <w:r>
              <w:rPr>
                <w:rFonts w:hint="eastAsia" w:ascii="Arial" w:hAnsi="Arial" w:cs="Arial"/>
                <w:color w:val="auto"/>
                <w:sz w:val="22"/>
                <w:szCs w:val="22"/>
                <w:lang w:eastAsia="zh-CN"/>
              </w:rPr>
              <w:t>及时清运至项目于田家山村村委会附近所设弃渣场内夯实填埋处置。</w:t>
            </w:r>
          </w:p>
        </w:tc>
        <w:tc>
          <w:tcPr>
            <w:tcW w:w="1247" w:type="dxa"/>
            <w:tcBorders>
              <w:tl2br w:val="nil"/>
              <w:tr2bl w:val="nil"/>
            </w:tcBorders>
            <w:noWrap w:val="0"/>
            <w:vAlign w:val="center"/>
          </w:tcPr>
          <w:p w14:paraId="34122715">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378D614D">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54F83E49">
            <w:pPr>
              <w:pStyle w:val="946"/>
              <w:spacing w:line="300" w:lineRule="exact"/>
              <w:rPr>
                <w:rFonts w:ascii="Arial" w:hAnsi="Arial" w:cs="Arial"/>
                <w:sz w:val="22"/>
                <w:szCs w:val="22"/>
              </w:rPr>
            </w:pPr>
            <w:r>
              <w:rPr>
                <w:rFonts w:ascii="Arial" w:hAnsi="Arial" w:cs="Arial"/>
                <w:sz w:val="22"/>
                <w:szCs w:val="22"/>
              </w:rPr>
              <w:t>/</w:t>
            </w:r>
          </w:p>
        </w:tc>
      </w:tr>
      <w:tr w14:paraId="536DD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shd w:val="clear" w:color="auto" w:fill="auto"/>
            <w:noWrap w:val="0"/>
            <w:vAlign w:val="center"/>
          </w:tcPr>
          <w:p w14:paraId="249EC573">
            <w:pPr>
              <w:widowControl/>
              <w:spacing w:line="300" w:lineRule="exact"/>
              <w:jc w:val="center"/>
              <w:rPr>
                <w:rFonts w:ascii="Arial" w:hAnsi="Arial" w:cs="Arial"/>
                <w:sz w:val="22"/>
                <w:szCs w:val="22"/>
              </w:rPr>
            </w:pPr>
          </w:p>
        </w:tc>
        <w:tc>
          <w:tcPr>
            <w:tcW w:w="592" w:type="dxa"/>
            <w:vMerge w:val="continue"/>
            <w:tcBorders>
              <w:tl2br w:val="nil"/>
              <w:tr2bl w:val="nil"/>
            </w:tcBorders>
            <w:shd w:val="clear" w:color="auto" w:fill="auto"/>
            <w:noWrap w:val="0"/>
            <w:vAlign w:val="center"/>
          </w:tcPr>
          <w:p w14:paraId="23067303">
            <w:pPr>
              <w:pStyle w:val="946"/>
              <w:spacing w:line="300" w:lineRule="exact"/>
              <w:rPr>
                <w:rFonts w:ascii="Arial" w:hAnsi="Arial" w:cs="Arial"/>
                <w:sz w:val="22"/>
                <w:szCs w:val="22"/>
              </w:rPr>
            </w:pPr>
          </w:p>
        </w:tc>
        <w:tc>
          <w:tcPr>
            <w:tcW w:w="617" w:type="dxa"/>
            <w:vMerge w:val="continue"/>
            <w:tcBorders>
              <w:tl2br w:val="nil"/>
              <w:tr2bl w:val="nil"/>
            </w:tcBorders>
            <w:shd w:val="clear" w:color="auto" w:fill="auto"/>
            <w:noWrap w:val="0"/>
            <w:vAlign w:val="center"/>
          </w:tcPr>
          <w:p w14:paraId="62D484E2">
            <w:pPr>
              <w:pStyle w:val="946"/>
              <w:spacing w:line="300" w:lineRule="exact"/>
              <w:rPr>
                <w:rFonts w:ascii="Arial" w:hAnsi="Arial" w:cs="Arial"/>
                <w:color w:val="auto"/>
                <w:sz w:val="22"/>
                <w:szCs w:val="22"/>
              </w:rPr>
            </w:pPr>
          </w:p>
        </w:tc>
        <w:tc>
          <w:tcPr>
            <w:tcW w:w="730" w:type="dxa"/>
            <w:tcBorders>
              <w:tl2br w:val="nil"/>
              <w:tr2bl w:val="nil"/>
            </w:tcBorders>
            <w:shd w:val="clear" w:color="auto" w:fill="auto"/>
            <w:noWrap w:val="0"/>
            <w:vAlign w:val="center"/>
          </w:tcPr>
          <w:p w14:paraId="16634FE2">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输水工程</w:t>
            </w:r>
          </w:p>
        </w:tc>
        <w:tc>
          <w:tcPr>
            <w:tcW w:w="1213" w:type="dxa"/>
            <w:tcBorders>
              <w:tl2br w:val="nil"/>
              <w:tr2bl w:val="nil"/>
            </w:tcBorders>
            <w:noWrap w:val="0"/>
            <w:vAlign w:val="center"/>
          </w:tcPr>
          <w:p w14:paraId="1123D174">
            <w:pPr>
              <w:pStyle w:val="946"/>
              <w:spacing w:line="300" w:lineRule="exact"/>
              <w:rPr>
                <w:rFonts w:hint="eastAsia" w:ascii="Arial" w:hAnsi="Arial" w:cs="Arial"/>
                <w:color w:val="auto"/>
                <w:sz w:val="22"/>
                <w:szCs w:val="22"/>
                <w:lang w:eastAsia="zh-CN" w:bidi="he-IL"/>
              </w:rPr>
            </w:pPr>
            <w:r>
              <w:rPr>
                <w:rFonts w:hint="eastAsia" w:ascii="Arial" w:hAnsi="Arial" w:cs="Arial"/>
                <w:color w:val="auto"/>
                <w:sz w:val="22"/>
                <w:szCs w:val="22"/>
                <w:lang w:val="en-US" w:eastAsia="zh-CN" w:bidi="he-IL"/>
              </w:rPr>
              <w:t>0.21</w:t>
            </w:r>
            <w:r>
              <w:rPr>
                <w:rFonts w:ascii="Arial" w:hAnsi="Arial" w:cs="Arial"/>
                <w:color w:val="auto"/>
                <w:sz w:val="22"/>
                <w:szCs w:val="22"/>
                <w:lang w:bidi="he-IL"/>
              </w:rPr>
              <w:t>万</w:t>
            </w:r>
            <w:r>
              <w:rPr>
                <w:rFonts w:ascii="Arial" w:hAnsi="Arial" w:cs="Arial"/>
                <w:color w:val="auto"/>
                <w:sz w:val="22"/>
                <w:szCs w:val="22"/>
                <w:lang w:val="zh-CN" w:bidi="he-IL"/>
              </w:rPr>
              <w:t>m</w:t>
            </w:r>
            <w:r>
              <w:rPr>
                <w:rFonts w:ascii="Arial" w:hAnsi="Arial" w:cs="Arial"/>
                <w:color w:val="auto"/>
                <w:sz w:val="22"/>
                <w:szCs w:val="22"/>
                <w:vertAlign w:val="superscript"/>
                <w:lang w:val="zh-CN" w:bidi="he-IL"/>
              </w:rPr>
              <w:t>3</w:t>
            </w:r>
          </w:p>
        </w:tc>
        <w:tc>
          <w:tcPr>
            <w:tcW w:w="1035" w:type="dxa"/>
            <w:tcBorders>
              <w:tl2br w:val="nil"/>
              <w:tr2bl w:val="nil"/>
            </w:tcBorders>
            <w:noWrap w:val="0"/>
            <w:vAlign w:val="center"/>
          </w:tcPr>
          <w:p w14:paraId="7AF2A8B9">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noWrap w:val="0"/>
            <w:vAlign w:val="center"/>
          </w:tcPr>
          <w:p w14:paraId="3D8DEBCC">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20339A50">
            <w:pPr>
              <w:pStyle w:val="946"/>
              <w:spacing w:line="300" w:lineRule="exact"/>
              <w:rPr>
                <w:rFonts w:ascii="Arial" w:hAnsi="Arial" w:cs="Arial"/>
                <w:sz w:val="22"/>
                <w:szCs w:val="22"/>
              </w:rPr>
            </w:pPr>
            <w:r>
              <w:rPr>
                <w:rFonts w:ascii="Arial" w:hAnsi="Arial" w:cs="Arial"/>
                <w:sz w:val="22"/>
                <w:szCs w:val="22"/>
              </w:rPr>
              <w:t>/</w:t>
            </w:r>
          </w:p>
        </w:tc>
        <w:tc>
          <w:tcPr>
            <w:tcW w:w="2734" w:type="dxa"/>
            <w:vMerge w:val="continue"/>
            <w:tcBorders>
              <w:tl2br w:val="nil"/>
              <w:tr2bl w:val="nil"/>
            </w:tcBorders>
            <w:noWrap w:val="0"/>
            <w:vAlign w:val="center"/>
          </w:tcPr>
          <w:p w14:paraId="51D76D70">
            <w:pPr>
              <w:pStyle w:val="946"/>
              <w:spacing w:line="300" w:lineRule="exact"/>
              <w:rPr>
                <w:rFonts w:hint="eastAsia" w:ascii="Arial" w:hAnsi="Arial" w:cs="Arial"/>
                <w:sz w:val="22"/>
                <w:szCs w:val="22"/>
                <w:lang w:eastAsia="zh-CN" w:bidi="he-IL"/>
              </w:rPr>
            </w:pPr>
          </w:p>
        </w:tc>
        <w:tc>
          <w:tcPr>
            <w:tcW w:w="1247" w:type="dxa"/>
            <w:tcBorders>
              <w:tl2br w:val="nil"/>
              <w:tr2bl w:val="nil"/>
            </w:tcBorders>
            <w:noWrap w:val="0"/>
            <w:vAlign w:val="center"/>
          </w:tcPr>
          <w:p w14:paraId="2C3D1DD0">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6466CDE6">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14B279DE">
            <w:pPr>
              <w:pStyle w:val="946"/>
              <w:spacing w:line="300" w:lineRule="exact"/>
              <w:rPr>
                <w:rFonts w:ascii="Arial" w:hAnsi="Arial" w:cs="Arial"/>
                <w:sz w:val="22"/>
                <w:szCs w:val="22"/>
              </w:rPr>
            </w:pPr>
            <w:r>
              <w:rPr>
                <w:rFonts w:ascii="Arial" w:hAnsi="Arial" w:cs="Arial"/>
                <w:sz w:val="22"/>
                <w:szCs w:val="22"/>
              </w:rPr>
              <w:t>/</w:t>
            </w:r>
          </w:p>
        </w:tc>
      </w:tr>
      <w:tr w14:paraId="12C6E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7B3E7949">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212EC9A1">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76110822">
            <w:pPr>
              <w:pStyle w:val="946"/>
              <w:spacing w:line="300" w:lineRule="exact"/>
              <w:rPr>
                <w:rFonts w:ascii="Arial" w:hAnsi="Arial" w:cs="Arial"/>
                <w:sz w:val="22"/>
                <w:szCs w:val="22"/>
              </w:rPr>
            </w:pPr>
            <w:r>
              <w:rPr>
                <w:rFonts w:ascii="Arial" w:hAnsi="Arial" w:cs="Arial"/>
                <w:sz w:val="22"/>
                <w:szCs w:val="22"/>
              </w:rPr>
              <w:t>表土</w:t>
            </w:r>
          </w:p>
        </w:tc>
        <w:tc>
          <w:tcPr>
            <w:tcW w:w="1213" w:type="dxa"/>
            <w:tcBorders>
              <w:tl2br w:val="nil"/>
              <w:tr2bl w:val="nil"/>
            </w:tcBorders>
            <w:noWrap w:val="0"/>
            <w:vAlign w:val="center"/>
          </w:tcPr>
          <w:p w14:paraId="76A91972">
            <w:pPr>
              <w:pStyle w:val="946"/>
              <w:spacing w:line="300" w:lineRule="exact"/>
              <w:rPr>
                <w:rFonts w:ascii="Arial" w:hAnsi="Arial" w:cs="Arial"/>
                <w:sz w:val="22"/>
                <w:szCs w:val="22"/>
                <w:lang w:bidi="he-IL"/>
              </w:rPr>
            </w:pPr>
            <w:r>
              <w:rPr>
                <w:rFonts w:hint="eastAsia" w:ascii="Arial" w:hAnsi="Arial" w:cs="Arial"/>
                <w:sz w:val="22"/>
                <w:szCs w:val="22"/>
                <w:lang w:eastAsia="zh-CN"/>
              </w:rPr>
              <w:t>6.36</w:t>
            </w:r>
            <w:r>
              <w:rPr>
                <w:rFonts w:ascii="Arial" w:hAnsi="Arial" w:cs="Arial"/>
                <w:sz w:val="22"/>
                <w:szCs w:val="22"/>
              </w:rPr>
              <w:t>万m</w:t>
            </w:r>
            <w:r>
              <w:rPr>
                <w:rFonts w:ascii="Arial" w:hAnsi="Arial" w:cs="Arial"/>
                <w:sz w:val="22"/>
                <w:szCs w:val="22"/>
                <w:vertAlign w:val="superscript"/>
              </w:rPr>
              <w:t>3</w:t>
            </w:r>
          </w:p>
        </w:tc>
        <w:tc>
          <w:tcPr>
            <w:tcW w:w="1035" w:type="dxa"/>
            <w:tcBorders>
              <w:tl2br w:val="nil"/>
              <w:tr2bl w:val="nil"/>
            </w:tcBorders>
            <w:noWrap w:val="0"/>
            <w:vAlign w:val="center"/>
          </w:tcPr>
          <w:p w14:paraId="43BA179C">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noWrap w:val="0"/>
            <w:vAlign w:val="center"/>
          </w:tcPr>
          <w:p w14:paraId="11C89628">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101843B8">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7BF34016">
            <w:pPr>
              <w:pStyle w:val="946"/>
              <w:spacing w:line="300" w:lineRule="exact"/>
              <w:rPr>
                <w:rFonts w:ascii="Arial" w:hAnsi="Arial" w:cs="Arial"/>
                <w:sz w:val="22"/>
                <w:szCs w:val="22"/>
                <w:lang w:bidi="he-IL"/>
              </w:rPr>
            </w:pPr>
            <w:r>
              <w:rPr>
                <w:rFonts w:hint="eastAsia" w:ascii="Arial" w:hAnsi="Arial" w:cs="Arial"/>
                <w:sz w:val="22"/>
                <w:szCs w:val="22"/>
                <w:lang w:val="en-US" w:eastAsia="zh-CN" w:bidi="he-IL"/>
              </w:rPr>
              <w:t>集中收集后，分区暂存于项目所设弃渣场内，后期全部用作绿化覆土，不外排。</w:t>
            </w:r>
          </w:p>
        </w:tc>
        <w:tc>
          <w:tcPr>
            <w:tcW w:w="1247" w:type="dxa"/>
            <w:tcBorders>
              <w:tl2br w:val="nil"/>
              <w:tr2bl w:val="nil"/>
            </w:tcBorders>
            <w:noWrap w:val="0"/>
            <w:vAlign w:val="center"/>
          </w:tcPr>
          <w:p w14:paraId="39E42123">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47A57743">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67735CC7">
            <w:pPr>
              <w:pStyle w:val="946"/>
              <w:spacing w:line="300" w:lineRule="exact"/>
              <w:rPr>
                <w:rFonts w:ascii="Arial" w:hAnsi="Arial" w:cs="Arial"/>
                <w:sz w:val="22"/>
                <w:szCs w:val="22"/>
              </w:rPr>
            </w:pPr>
            <w:r>
              <w:rPr>
                <w:rFonts w:ascii="Arial" w:hAnsi="Arial" w:cs="Arial"/>
                <w:sz w:val="22"/>
                <w:szCs w:val="22"/>
              </w:rPr>
              <w:t>/</w:t>
            </w:r>
          </w:p>
        </w:tc>
      </w:tr>
      <w:tr w14:paraId="53F37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1B63DA7B">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1364EC5C">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5E8836B0">
            <w:pPr>
              <w:pStyle w:val="946"/>
              <w:spacing w:line="300" w:lineRule="exact"/>
              <w:rPr>
                <w:rFonts w:ascii="Arial" w:hAnsi="Arial" w:cs="Arial"/>
                <w:sz w:val="22"/>
                <w:szCs w:val="22"/>
              </w:rPr>
            </w:pPr>
            <w:r>
              <w:rPr>
                <w:rFonts w:ascii="Arial" w:hAnsi="Arial" w:cs="Arial"/>
                <w:sz w:val="22"/>
                <w:szCs w:val="22"/>
              </w:rPr>
              <w:t>施工机械、车辆</w:t>
            </w:r>
            <w:r>
              <w:rPr>
                <w:rFonts w:hint="eastAsia" w:ascii="Arial" w:hAnsi="Arial" w:cs="Arial"/>
                <w:sz w:val="22"/>
                <w:szCs w:val="22"/>
                <w:lang w:eastAsia="zh-CN"/>
              </w:rPr>
              <w:t>维护和保养</w:t>
            </w:r>
            <w:r>
              <w:rPr>
                <w:rFonts w:ascii="Arial" w:hAnsi="Arial" w:cs="Arial"/>
                <w:sz w:val="22"/>
                <w:szCs w:val="22"/>
              </w:rPr>
              <w:t>废油</w:t>
            </w:r>
          </w:p>
        </w:tc>
        <w:tc>
          <w:tcPr>
            <w:tcW w:w="1213" w:type="dxa"/>
            <w:tcBorders>
              <w:tl2br w:val="nil"/>
              <w:tr2bl w:val="nil"/>
            </w:tcBorders>
            <w:noWrap w:val="0"/>
            <w:vAlign w:val="center"/>
          </w:tcPr>
          <w:p w14:paraId="627B7511">
            <w:pPr>
              <w:pStyle w:val="946"/>
              <w:spacing w:line="300" w:lineRule="exact"/>
              <w:rPr>
                <w:rFonts w:ascii="Arial" w:hAnsi="Arial" w:cs="Arial"/>
                <w:sz w:val="22"/>
                <w:szCs w:val="22"/>
                <w:lang w:bidi="he-IL"/>
              </w:rPr>
            </w:pPr>
            <w:r>
              <w:rPr>
                <w:rFonts w:ascii="Arial" w:hAnsi="Arial" w:cs="Arial"/>
                <w:sz w:val="22"/>
                <w:szCs w:val="22"/>
                <w:lang w:bidi="he-IL"/>
              </w:rPr>
              <w:t>少量</w:t>
            </w:r>
          </w:p>
        </w:tc>
        <w:tc>
          <w:tcPr>
            <w:tcW w:w="1035" w:type="dxa"/>
            <w:tcBorders>
              <w:tl2br w:val="nil"/>
              <w:tr2bl w:val="nil"/>
            </w:tcBorders>
            <w:noWrap w:val="0"/>
            <w:vAlign w:val="center"/>
          </w:tcPr>
          <w:p w14:paraId="1C74197C">
            <w:pPr>
              <w:pStyle w:val="946"/>
              <w:spacing w:line="300" w:lineRule="exact"/>
              <w:rPr>
                <w:rFonts w:ascii="Arial" w:hAnsi="Arial" w:cs="Arial"/>
                <w:sz w:val="22"/>
                <w:szCs w:val="22"/>
              </w:rPr>
            </w:pPr>
            <w:r>
              <w:rPr>
                <w:rFonts w:ascii="Arial" w:hAnsi="Arial" w:cs="Arial"/>
                <w:sz w:val="22"/>
                <w:szCs w:val="22"/>
              </w:rPr>
              <w:t>废油</w:t>
            </w:r>
          </w:p>
        </w:tc>
        <w:tc>
          <w:tcPr>
            <w:tcW w:w="1276" w:type="dxa"/>
            <w:tcBorders>
              <w:tl2br w:val="nil"/>
              <w:tr2bl w:val="nil"/>
            </w:tcBorders>
            <w:noWrap w:val="0"/>
            <w:vAlign w:val="center"/>
          </w:tcPr>
          <w:p w14:paraId="7D72CD45">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202E1064">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5F313987">
            <w:pPr>
              <w:pStyle w:val="946"/>
              <w:spacing w:line="300" w:lineRule="exact"/>
              <w:rPr>
                <w:rFonts w:ascii="Arial" w:hAnsi="Arial" w:cs="Arial"/>
                <w:sz w:val="22"/>
                <w:szCs w:val="22"/>
                <w:lang w:bidi="he-IL"/>
              </w:rPr>
            </w:pPr>
            <w:r>
              <w:rPr>
                <w:rFonts w:hint="eastAsia" w:ascii="Arial" w:hAnsi="Arial" w:cs="Arial"/>
                <w:sz w:val="22"/>
                <w:szCs w:val="22"/>
                <w:lang w:eastAsia="zh-CN" w:bidi="he-IL"/>
              </w:rPr>
              <w:t>桶装收集后，暂存于施工场地内所设的危废贮存间内，定期交有资质的单位统一收运处置。</w:t>
            </w:r>
          </w:p>
        </w:tc>
        <w:tc>
          <w:tcPr>
            <w:tcW w:w="1247" w:type="dxa"/>
            <w:tcBorders>
              <w:tl2br w:val="nil"/>
              <w:tr2bl w:val="nil"/>
            </w:tcBorders>
            <w:noWrap w:val="0"/>
            <w:vAlign w:val="center"/>
          </w:tcPr>
          <w:p w14:paraId="141A8838">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3363551C">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0375D28B">
            <w:pPr>
              <w:pStyle w:val="946"/>
              <w:spacing w:line="300" w:lineRule="exact"/>
              <w:rPr>
                <w:rFonts w:ascii="Arial" w:hAnsi="Arial" w:cs="Arial"/>
                <w:sz w:val="22"/>
                <w:szCs w:val="22"/>
              </w:rPr>
            </w:pPr>
            <w:r>
              <w:rPr>
                <w:rFonts w:ascii="Arial" w:hAnsi="Arial" w:cs="Arial"/>
                <w:sz w:val="22"/>
                <w:szCs w:val="22"/>
              </w:rPr>
              <w:t>/</w:t>
            </w:r>
          </w:p>
        </w:tc>
      </w:tr>
      <w:tr w14:paraId="45D47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shd w:val="clear" w:color="auto" w:fill="auto"/>
            <w:noWrap w:val="0"/>
            <w:vAlign w:val="center"/>
          </w:tcPr>
          <w:p w14:paraId="472A022A">
            <w:pPr>
              <w:widowControl/>
              <w:spacing w:line="300" w:lineRule="exact"/>
              <w:jc w:val="center"/>
              <w:rPr>
                <w:rFonts w:ascii="Arial" w:hAnsi="Arial" w:cs="Arial"/>
                <w:sz w:val="22"/>
                <w:szCs w:val="22"/>
              </w:rPr>
            </w:pPr>
          </w:p>
        </w:tc>
        <w:tc>
          <w:tcPr>
            <w:tcW w:w="592" w:type="dxa"/>
            <w:vMerge w:val="continue"/>
            <w:tcBorders>
              <w:tl2br w:val="nil"/>
              <w:tr2bl w:val="nil"/>
            </w:tcBorders>
            <w:shd w:val="clear" w:color="auto" w:fill="auto"/>
            <w:noWrap w:val="0"/>
            <w:vAlign w:val="center"/>
          </w:tcPr>
          <w:p w14:paraId="3006F14C">
            <w:pPr>
              <w:widowControl/>
              <w:spacing w:line="300" w:lineRule="exact"/>
              <w:jc w:val="center"/>
              <w:rPr>
                <w:rFonts w:ascii="Arial" w:hAnsi="Arial" w:cs="Arial"/>
                <w:sz w:val="22"/>
                <w:szCs w:val="22"/>
              </w:rPr>
            </w:pPr>
          </w:p>
        </w:tc>
        <w:tc>
          <w:tcPr>
            <w:tcW w:w="1347" w:type="dxa"/>
            <w:gridSpan w:val="2"/>
            <w:tcBorders>
              <w:tl2br w:val="nil"/>
              <w:tr2bl w:val="nil"/>
            </w:tcBorders>
            <w:shd w:val="clear" w:color="auto" w:fill="auto"/>
            <w:noWrap w:val="0"/>
            <w:vAlign w:val="center"/>
          </w:tcPr>
          <w:p w14:paraId="0E382EAD">
            <w:pPr>
              <w:pStyle w:val="946"/>
              <w:spacing w:line="300" w:lineRule="exact"/>
              <w:rPr>
                <w:rFonts w:ascii="Arial" w:hAnsi="Arial" w:cs="Arial"/>
                <w:sz w:val="22"/>
                <w:szCs w:val="22"/>
              </w:rPr>
            </w:pPr>
            <w:r>
              <w:rPr>
                <w:rFonts w:ascii="Arial" w:hAnsi="Arial" w:cs="Arial"/>
                <w:sz w:val="22"/>
                <w:szCs w:val="22"/>
              </w:rPr>
              <w:t>施工人员生活垃圾</w:t>
            </w:r>
          </w:p>
        </w:tc>
        <w:tc>
          <w:tcPr>
            <w:tcW w:w="1213" w:type="dxa"/>
            <w:tcBorders>
              <w:tl2br w:val="nil"/>
              <w:tr2bl w:val="nil"/>
            </w:tcBorders>
            <w:shd w:val="clear" w:color="auto" w:fill="auto"/>
            <w:noWrap w:val="0"/>
            <w:vAlign w:val="center"/>
          </w:tcPr>
          <w:p w14:paraId="7DA011E3">
            <w:pPr>
              <w:pStyle w:val="946"/>
              <w:spacing w:line="300" w:lineRule="exact"/>
              <w:rPr>
                <w:rFonts w:ascii="Arial" w:hAnsi="Arial" w:cs="Arial"/>
                <w:sz w:val="22"/>
                <w:szCs w:val="22"/>
              </w:rPr>
            </w:pPr>
            <w:r>
              <w:rPr>
                <w:rFonts w:hint="eastAsia" w:ascii="Arial" w:hAnsi="Arial" w:cs="Arial"/>
                <w:sz w:val="22"/>
                <w:szCs w:val="22"/>
                <w:lang w:val="en-US" w:eastAsia="zh-CN"/>
              </w:rPr>
              <w:t>26</w:t>
            </w:r>
            <w:r>
              <w:rPr>
                <w:rFonts w:ascii="Arial" w:hAnsi="Arial" w:cs="Arial"/>
                <w:sz w:val="22"/>
                <w:szCs w:val="22"/>
              </w:rPr>
              <w:t>kg/d</w:t>
            </w:r>
          </w:p>
        </w:tc>
        <w:tc>
          <w:tcPr>
            <w:tcW w:w="1035" w:type="dxa"/>
            <w:tcBorders>
              <w:tl2br w:val="nil"/>
              <w:tr2bl w:val="nil"/>
            </w:tcBorders>
            <w:shd w:val="clear" w:color="auto" w:fill="auto"/>
            <w:noWrap w:val="0"/>
            <w:vAlign w:val="center"/>
          </w:tcPr>
          <w:p w14:paraId="070A3DD3">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shd w:val="clear" w:color="auto" w:fill="auto"/>
            <w:noWrap w:val="0"/>
            <w:vAlign w:val="center"/>
          </w:tcPr>
          <w:p w14:paraId="112F9C5D">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shd w:val="clear" w:color="auto" w:fill="auto"/>
            <w:noWrap w:val="0"/>
            <w:vAlign w:val="center"/>
          </w:tcPr>
          <w:p w14:paraId="41242964">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shd w:val="clear" w:color="auto" w:fill="auto"/>
            <w:noWrap w:val="0"/>
            <w:vAlign w:val="center"/>
          </w:tcPr>
          <w:p w14:paraId="6DD1B713">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统一收集后，交当地市政环卫部门清运处置</w:t>
            </w:r>
          </w:p>
        </w:tc>
        <w:tc>
          <w:tcPr>
            <w:tcW w:w="1247" w:type="dxa"/>
            <w:tcBorders>
              <w:tl2br w:val="nil"/>
              <w:tr2bl w:val="nil"/>
            </w:tcBorders>
            <w:noWrap w:val="0"/>
            <w:vAlign w:val="center"/>
          </w:tcPr>
          <w:p w14:paraId="3B8DBFED">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0019E0E1">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7EBB7AA2">
            <w:pPr>
              <w:pStyle w:val="946"/>
              <w:spacing w:line="300" w:lineRule="exact"/>
              <w:rPr>
                <w:rFonts w:ascii="Arial" w:hAnsi="Arial" w:cs="Arial"/>
                <w:sz w:val="22"/>
                <w:szCs w:val="22"/>
              </w:rPr>
            </w:pPr>
            <w:r>
              <w:rPr>
                <w:rFonts w:ascii="Arial" w:hAnsi="Arial" w:cs="Arial"/>
                <w:sz w:val="22"/>
                <w:szCs w:val="22"/>
              </w:rPr>
              <w:t>/</w:t>
            </w:r>
          </w:p>
        </w:tc>
      </w:tr>
      <w:tr w14:paraId="706C7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shd w:val="clear" w:color="auto" w:fill="auto"/>
            <w:noWrap w:val="0"/>
            <w:vAlign w:val="center"/>
          </w:tcPr>
          <w:p w14:paraId="312A2B89">
            <w:pPr>
              <w:widowControl/>
              <w:spacing w:line="300" w:lineRule="exact"/>
              <w:jc w:val="center"/>
              <w:rPr>
                <w:rFonts w:ascii="Arial" w:hAnsi="Arial" w:cs="Arial"/>
                <w:sz w:val="22"/>
                <w:szCs w:val="22"/>
              </w:rPr>
            </w:pPr>
          </w:p>
        </w:tc>
        <w:tc>
          <w:tcPr>
            <w:tcW w:w="592" w:type="dxa"/>
            <w:vMerge w:val="continue"/>
            <w:tcBorders>
              <w:tl2br w:val="nil"/>
              <w:tr2bl w:val="nil"/>
            </w:tcBorders>
            <w:shd w:val="clear" w:color="auto" w:fill="auto"/>
            <w:noWrap w:val="0"/>
            <w:vAlign w:val="center"/>
          </w:tcPr>
          <w:p w14:paraId="1B564CAD">
            <w:pPr>
              <w:widowControl/>
              <w:spacing w:line="300" w:lineRule="exact"/>
              <w:jc w:val="center"/>
              <w:rPr>
                <w:rFonts w:ascii="Arial" w:hAnsi="Arial" w:cs="Arial"/>
                <w:sz w:val="22"/>
                <w:szCs w:val="22"/>
              </w:rPr>
            </w:pPr>
          </w:p>
        </w:tc>
        <w:tc>
          <w:tcPr>
            <w:tcW w:w="1347" w:type="dxa"/>
            <w:gridSpan w:val="2"/>
            <w:tcBorders>
              <w:tl2br w:val="nil"/>
              <w:tr2bl w:val="nil"/>
            </w:tcBorders>
            <w:shd w:val="clear" w:color="auto" w:fill="auto"/>
            <w:noWrap w:val="0"/>
            <w:vAlign w:val="center"/>
          </w:tcPr>
          <w:p w14:paraId="357DA902">
            <w:pPr>
              <w:pStyle w:val="946"/>
              <w:spacing w:line="300" w:lineRule="exact"/>
              <w:rPr>
                <w:rFonts w:ascii="Arial" w:hAnsi="Arial" w:cs="Arial"/>
                <w:sz w:val="22"/>
                <w:szCs w:val="22"/>
              </w:rPr>
            </w:pPr>
            <w:r>
              <w:rPr>
                <w:rFonts w:ascii="Arial" w:hAnsi="Arial" w:cs="Arial"/>
                <w:sz w:val="22"/>
                <w:szCs w:val="22"/>
              </w:rPr>
              <w:t>餐厨垃圾</w:t>
            </w:r>
          </w:p>
        </w:tc>
        <w:tc>
          <w:tcPr>
            <w:tcW w:w="1213" w:type="dxa"/>
            <w:tcBorders>
              <w:tl2br w:val="nil"/>
              <w:tr2bl w:val="nil"/>
            </w:tcBorders>
            <w:shd w:val="clear" w:color="auto" w:fill="auto"/>
            <w:noWrap w:val="0"/>
            <w:vAlign w:val="center"/>
          </w:tcPr>
          <w:p w14:paraId="664C2961">
            <w:pPr>
              <w:pStyle w:val="946"/>
              <w:spacing w:line="300" w:lineRule="exact"/>
              <w:rPr>
                <w:rFonts w:ascii="Arial" w:hAnsi="Arial" w:cs="Arial"/>
                <w:sz w:val="22"/>
                <w:szCs w:val="22"/>
              </w:rPr>
            </w:pPr>
            <w:r>
              <w:rPr>
                <w:rFonts w:hint="eastAsia" w:ascii="Arial" w:hAnsi="Arial" w:cs="Arial"/>
                <w:sz w:val="22"/>
                <w:szCs w:val="22"/>
                <w:lang w:val="en-US" w:eastAsia="zh-CN"/>
              </w:rPr>
              <w:t>16</w:t>
            </w:r>
            <w:r>
              <w:rPr>
                <w:rFonts w:ascii="Arial" w:hAnsi="Arial" w:cs="Arial"/>
                <w:sz w:val="22"/>
                <w:szCs w:val="22"/>
              </w:rPr>
              <w:t>kg/d</w:t>
            </w:r>
          </w:p>
        </w:tc>
        <w:tc>
          <w:tcPr>
            <w:tcW w:w="1035" w:type="dxa"/>
            <w:tcBorders>
              <w:tl2br w:val="nil"/>
              <w:tr2bl w:val="nil"/>
            </w:tcBorders>
            <w:shd w:val="clear" w:color="auto" w:fill="auto"/>
            <w:noWrap w:val="0"/>
            <w:vAlign w:val="center"/>
          </w:tcPr>
          <w:p w14:paraId="79A1BF5D">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shd w:val="clear" w:color="auto" w:fill="auto"/>
            <w:noWrap w:val="0"/>
            <w:vAlign w:val="center"/>
          </w:tcPr>
          <w:p w14:paraId="541FD4D7">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shd w:val="clear" w:color="auto" w:fill="auto"/>
            <w:noWrap w:val="0"/>
            <w:vAlign w:val="center"/>
          </w:tcPr>
          <w:p w14:paraId="7B04079C">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shd w:val="clear" w:color="auto" w:fill="auto"/>
            <w:noWrap w:val="0"/>
            <w:vAlign w:val="center"/>
          </w:tcPr>
          <w:p w14:paraId="6DF14874">
            <w:pPr>
              <w:widowControl/>
              <w:spacing w:line="300" w:lineRule="exact"/>
              <w:jc w:val="center"/>
              <w:rPr>
                <w:rFonts w:hint="eastAsia" w:ascii="Arial" w:hAnsi="Arial" w:cs="Arial"/>
                <w:sz w:val="22"/>
                <w:szCs w:val="22"/>
              </w:rPr>
            </w:pPr>
            <w:r>
              <w:rPr>
                <w:rFonts w:hint="eastAsia" w:ascii="Arial" w:hAnsi="Arial" w:cs="Arial"/>
                <w:sz w:val="22"/>
                <w:szCs w:val="22"/>
              </w:rPr>
              <w:t>桶装收集后，交有资质单位收运处置</w:t>
            </w:r>
          </w:p>
        </w:tc>
        <w:tc>
          <w:tcPr>
            <w:tcW w:w="1247" w:type="dxa"/>
            <w:tcBorders>
              <w:tl2br w:val="nil"/>
              <w:tr2bl w:val="nil"/>
            </w:tcBorders>
            <w:noWrap w:val="0"/>
            <w:vAlign w:val="center"/>
          </w:tcPr>
          <w:p w14:paraId="307F5A9A">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0C57A29B">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5ECB773C">
            <w:pPr>
              <w:pStyle w:val="946"/>
              <w:spacing w:line="300" w:lineRule="exact"/>
              <w:rPr>
                <w:rFonts w:ascii="Arial" w:hAnsi="Arial" w:cs="Arial"/>
                <w:sz w:val="22"/>
                <w:szCs w:val="22"/>
              </w:rPr>
            </w:pPr>
            <w:r>
              <w:rPr>
                <w:rFonts w:ascii="Arial" w:hAnsi="Arial" w:cs="Arial"/>
                <w:sz w:val="22"/>
                <w:szCs w:val="22"/>
              </w:rPr>
              <w:t>/</w:t>
            </w:r>
          </w:p>
        </w:tc>
      </w:tr>
      <w:tr w14:paraId="0594C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4A79322F">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3229C729">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6ECCCFE8">
            <w:pPr>
              <w:pStyle w:val="946"/>
              <w:spacing w:line="300" w:lineRule="exact"/>
              <w:rPr>
                <w:rFonts w:ascii="Arial" w:hAnsi="Arial" w:cs="Arial"/>
                <w:sz w:val="22"/>
                <w:szCs w:val="22"/>
              </w:rPr>
            </w:pPr>
            <w:r>
              <w:rPr>
                <w:rFonts w:ascii="Arial" w:hAnsi="Arial" w:cs="Arial"/>
                <w:sz w:val="22"/>
                <w:szCs w:val="22"/>
              </w:rPr>
              <w:t>库区清理林、草木</w:t>
            </w:r>
          </w:p>
        </w:tc>
        <w:tc>
          <w:tcPr>
            <w:tcW w:w="1213" w:type="dxa"/>
            <w:tcBorders>
              <w:tl2br w:val="nil"/>
              <w:tr2bl w:val="nil"/>
            </w:tcBorders>
            <w:noWrap w:val="0"/>
            <w:vAlign w:val="center"/>
          </w:tcPr>
          <w:p w14:paraId="5C2765B1">
            <w:pPr>
              <w:pStyle w:val="946"/>
              <w:spacing w:line="300" w:lineRule="exact"/>
              <w:rPr>
                <w:rFonts w:ascii="Arial" w:hAnsi="Arial" w:cs="Arial"/>
                <w:sz w:val="22"/>
                <w:szCs w:val="22"/>
              </w:rPr>
            </w:pPr>
            <w:r>
              <w:rPr>
                <w:rFonts w:hint="eastAsia" w:ascii="Arial" w:hAnsi="Arial" w:cs="Arial"/>
                <w:sz w:val="22"/>
                <w:szCs w:val="22"/>
                <w:lang w:val="en-US" w:eastAsia="zh-CN"/>
              </w:rPr>
              <w:t>85</w:t>
            </w:r>
            <w:r>
              <w:rPr>
                <w:rFonts w:hint="eastAsia" w:ascii="Arial" w:hAnsi="Arial" w:cs="Arial"/>
                <w:sz w:val="22"/>
                <w:szCs w:val="22"/>
                <w:lang w:eastAsia="zh-CN"/>
              </w:rPr>
              <w:t>0</w:t>
            </w:r>
            <w:r>
              <w:rPr>
                <w:rFonts w:ascii="Arial" w:hAnsi="Arial" w:cs="Arial"/>
                <w:sz w:val="22"/>
                <w:szCs w:val="22"/>
              </w:rPr>
              <w:t>t</w:t>
            </w:r>
          </w:p>
        </w:tc>
        <w:tc>
          <w:tcPr>
            <w:tcW w:w="1035" w:type="dxa"/>
            <w:tcBorders>
              <w:tl2br w:val="nil"/>
              <w:tr2bl w:val="nil"/>
            </w:tcBorders>
            <w:noWrap w:val="0"/>
            <w:vAlign w:val="center"/>
          </w:tcPr>
          <w:p w14:paraId="649E3F17">
            <w:pPr>
              <w:pStyle w:val="946"/>
              <w:spacing w:line="300" w:lineRule="exact"/>
              <w:rPr>
                <w:rFonts w:ascii="Arial" w:hAnsi="Arial" w:cs="Arial"/>
                <w:sz w:val="22"/>
                <w:szCs w:val="22"/>
              </w:rPr>
            </w:pPr>
            <w:r>
              <w:rPr>
                <w:rFonts w:ascii="Arial" w:hAnsi="Arial" w:cs="Arial"/>
                <w:sz w:val="22"/>
                <w:szCs w:val="22"/>
              </w:rPr>
              <w:t>林、草木</w:t>
            </w:r>
          </w:p>
        </w:tc>
        <w:tc>
          <w:tcPr>
            <w:tcW w:w="1276" w:type="dxa"/>
            <w:tcBorders>
              <w:tl2br w:val="nil"/>
              <w:tr2bl w:val="nil"/>
            </w:tcBorders>
            <w:noWrap w:val="0"/>
            <w:vAlign w:val="center"/>
          </w:tcPr>
          <w:p w14:paraId="559A89D6">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7F5A6369">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68DE3144">
            <w:pPr>
              <w:pStyle w:val="946"/>
              <w:spacing w:line="300" w:lineRule="exact"/>
              <w:rPr>
                <w:rFonts w:ascii="Arial" w:hAnsi="Arial" w:cs="Arial"/>
                <w:sz w:val="22"/>
                <w:szCs w:val="22"/>
              </w:rPr>
            </w:pPr>
            <w:r>
              <w:rPr>
                <w:rFonts w:ascii="Arial" w:hAnsi="Arial" w:cs="Arial"/>
                <w:sz w:val="22"/>
                <w:szCs w:val="22"/>
              </w:rPr>
              <w:t>分类收集</w:t>
            </w:r>
            <w:r>
              <w:rPr>
                <w:rFonts w:hint="eastAsia" w:ascii="Arial" w:hAnsi="Arial" w:cs="Arial"/>
                <w:sz w:val="22"/>
                <w:szCs w:val="22"/>
                <w:lang w:eastAsia="zh-CN"/>
              </w:rPr>
              <w:t>，</w:t>
            </w:r>
            <w:r>
              <w:rPr>
                <w:rFonts w:hint="eastAsia" w:ascii="Arial" w:hAnsi="Arial" w:cs="Arial"/>
                <w:bCs/>
                <w:color w:val="auto"/>
                <w:sz w:val="22"/>
                <w:szCs w:val="22"/>
                <w:lang w:eastAsia="zh-CN"/>
              </w:rPr>
              <w:t>生活垃圾等交当地市政环卫部门统一清运处置，木材可外卖进行综合再利用。</w:t>
            </w:r>
          </w:p>
        </w:tc>
        <w:tc>
          <w:tcPr>
            <w:tcW w:w="1247" w:type="dxa"/>
            <w:tcBorders>
              <w:tl2br w:val="nil"/>
              <w:tr2bl w:val="nil"/>
            </w:tcBorders>
            <w:noWrap w:val="0"/>
            <w:vAlign w:val="center"/>
          </w:tcPr>
          <w:p w14:paraId="7F4CC537">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4ACB70BF">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6E86C498">
            <w:pPr>
              <w:pStyle w:val="946"/>
              <w:spacing w:line="300" w:lineRule="exact"/>
              <w:rPr>
                <w:rFonts w:ascii="Arial" w:hAnsi="Arial" w:cs="Arial"/>
                <w:sz w:val="22"/>
                <w:szCs w:val="22"/>
              </w:rPr>
            </w:pPr>
            <w:r>
              <w:rPr>
                <w:rFonts w:ascii="Arial" w:hAnsi="Arial" w:cs="Arial"/>
                <w:sz w:val="22"/>
                <w:szCs w:val="22"/>
              </w:rPr>
              <w:t>/</w:t>
            </w:r>
          </w:p>
        </w:tc>
      </w:tr>
    </w:tbl>
    <w:p w14:paraId="501828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Arial" w:cs="Arial"/>
          <w:b/>
          <w:kern w:val="28"/>
          <w:sz w:val="26"/>
          <w:szCs w:val="26"/>
        </w:rPr>
      </w:pPr>
    </w:p>
    <w:p w14:paraId="43A8D2B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cs="Arial"/>
          <w:b/>
          <w:kern w:val="28"/>
          <w:sz w:val="26"/>
          <w:szCs w:val="26"/>
          <w:lang w:eastAsia="zh-CN"/>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w:t>
      </w:r>
      <w:r>
        <w:rPr>
          <w:rFonts w:hint="eastAsia" w:ascii="Arial" w:cs="Arial"/>
          <w:b/>
          <w:kern w:val="28"/>
          <w:sz w:val="26"/>
          <w:szCs w:val="26"/>
          <w:lang w:val="en-US" w:eastAsia="zh-CN"/>
        </w:rPr>
        <w:t>6</w:t>
      </w:r>
      <w:r>
        <w:rPr>
          <w:rFonts w:hint="eastAsia" w:ascii="Arial" w:cs="Arial"/>
          <w:b/>
          <w:kern w:val="28"/>
          <w:sz w:val="26"/>
          <w:szCs w:val="26"/>
        </w:rPr>
        <w:t xml:space="preserve"> </w:t>
      </w:r>
      <w:r>
        <w:rPr>
          <w:rFonts w:hint="eastAsia" w:ascii="Arial" w:cs="Arial"/>
          <w:b/>
          <w:kern w:val="28"/>
          <w:sz w:val="26"/>
          <w:szCs w:val="26"/>
          <w:lang w:val="en-US" w:eastAsia="zh-CN"/>
        </w:rPr>
        <w:t xml:space="preserve"> </w:t>
      </w:r>
      <w:r>
        <w:rPr>
          <w:rFonts w:hint="eastAsia" w:ascii="Arial" w:cs="Arial"/>
          <w:b/>
          <w:kern w:val="28"/>
          <w:sz w:val="26"/>
          <w:szCs w:val="26"/>
        </w:rPr>
        <w:t>施工期</w:t>
      </w:r>
      <w:r>
        <w:rPr>
          <w:rFonts w:hint="eastAsia" w:ascii="Arial" w:cs="Arial"/>
          <w:b/>
          <w:kern w:val="28"/>
          <w:sz w:val="26"/>
          <w:szCs w:val="26"/>
          <w:lang w:eastAsia="zh-CN"/>
        </w:rPr>
        <w:t>生态环境影响因素汇总表</w:t>
      </w:r>
    </w:p>
    <w:tbl>
      <w:tblPr>
        <w:tblStyle w:val="77"/>
        <w:tblW w:w="136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9"/>
        <w:gridCol w:w="1555"/>
        <w:gridCol w:w="3265"/>
        <w:gridCol w:w="2405"/>
        <w:gridCol w:w="5291"/>
      </w:tblGrid>
      <w:tr w14:paraId="41E16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109" w:type="dxa"/>
            <w:noWrap w:val="0"/>
            <w:vAlign w:val="center"/>
          </w:tcPr>
          <w:p w14:paraId="2EDDC28C">
            <w:pPr>
              <w:pStyle w:val="946"/>
              <w:spacing w:line="300" w:lineRule="exact"/>
              <w:rPr>
                <w:rFonts w:ascii="Arial" w:hAnsi="Arial" w:cs="Arial"/>
                <w:color w:val="auto"/>
                <w:sz w:val="22"/>
                <w:szCs w:val="22"/>
              </w:rPr>
            </w:pPr>
            <w:r>
              <w:rPr>
                <w:rFonts w:ascii="Arial" w:hAnsi="Arial" w:cs="Arial"/>
                <w:color w:val="auto"/>
                <w:sz w:val="22"/>
                <w:szCs w:val="22"/>
              </w:rPr>
              <w:t>工程阶段</w:t>
            </w:r>
          </w:p>
        </w:tc>
        <w:tc>
          <w:tcPr>
            <w:tcW w:w="1555" w:type="dxa"/>
            <w:noWrap w:val="0"/>
            <w:vAlign w:val="center"/>
          </w:tcPr>
          <w:p w14:paraId="0EFD27DA">
            <w:pPr>
              <w:pStyle w:val="946"/>
              <w:spacing w:line="300" w:lineRule="exact"/>
              <w:rPr>
                <w:rFonts w:ascii="Arial" w:hAnsi="Arial" w:cs="Arial"/>
                <w:color w:val="auto"/>
                <w:sz w:val="22"/>
                <w:szCs w:val="22"/>
              </w:rPr>
            </w:pPr>
            <w:r>
              <w:rPr>
                <w:rFonts w:ascii="Arial" w:hAnsi="Arial" w:cs="Arial"/>
                <w:color w:val="auto"/>
                <w:sz w:val="22"/>
                <w:szCs w:val="22"/>
              </w:rPr>
              <w:t>工程行为</w:t>
            </w:r>
          </w:p>
        </w:tc>
        <w:tc>
          <w:tcPr>
            <w:tcW w:w="3265" w:type="dxa"/>
            <w:noWrap w:val="0"/>
            <w:vAlign w:val="center"/>
          </w:tcPr>
          <w:p w14:paraId="04B4057D">
            <w:pPr>
              <w:pStyle w:val="946"/>
              <w:spacing w:line="300" w:lineRule="exact"/>
              <w:rPr>
                <w:rFonts w:ascii="Arial" w:hAnsi="Arial" w:cs="Arial"/>
                <w:color w:val="auto"/>
                <w:sz w:val="22"/>
                <w:szCs w:val="22"/>
              </w:rPr>
            </w:pPr>
            <w:r>
              <w:rPr>
                <w:rFonts w:ascii="Arial" w:hAnsi="Arial" w:cs="Arial"/>
                <w:color w:val="auto"/>
                <w:sz w:val="22"/>
                <w:szCs w:val="22"/>
              </w:rPr>
              <w:t>生态影响因素</w:t>
            </w:r>
          </w:p>
        </w:tc>
        <w:tc>
          <w:tcPr>
            <w:tcW w:w="2405" w:type="dxa"/>
            <w:noWrap w:val="0"/>
            <w:vAlign w:val="center"/>
          </w:tcPr>
          <w:p w14:paraId="5B4F6113">
            <w:pPr>
              <w:pStyle w:val="946"/>
              <w:spacing w:line="300" w:lineRule="exact"/>
              <w:rPr>
                <w:rFonts w:ascii="Arial" w:hAnsi="Arial" w:cs="Arial"/>
                <w:color w:val="auto"/>
                <w:sz w:val="22"/>
                <w:szCs w:val="22"/>
              </w:rPr>
            </w:pPr>
            <w:r>
              <w:rPr>
                <w:rFonts w:ascii="Arial" w:hAnsi="Arial" w:cs="Arial"/>
                <w:color w:val="auto"/>
                <w:sz w:val="22"/>
                <w:szCs w:val="22"/>
              </w:rPr>
              <w:t>影响对象</w:t>
            </w:r>
          </w:p>
        </w:tc>
        <w:tc>
          <w:tcPr>
            <w:tcW w:w="5291" w:type="dxa"/>
            <w:noWrap w:val="0"/>
            <w:vAlign w:val="center"/>
          </w:tcPr>
          <w:p w14:paraId="753508E6">
            <w:pPr>
              <w:pStyle w:val="946"/>
              <w:spacing w:line="300" w:lineRule="exact"/>
              <w:rPr>
                <w:rFonts w:ascii="Arial" w:hAnsi="Arial" w:cs="Arial"/>
                <w:color w:val="auto"/>
                <w:sz w:val="22"/>
                <w:szCs w:val="22"/>
              </w:rPr>
            </w:pPr>
            <w:r>
              <w:rPr>
                <w:rFonts w:ascii="Arial" w:hAnsi="Arial" w:cs="Arial"/>
                <w:color w:val="auto"/>
                <w:sz w:val="22"/>
                <w:szCs w:val="22"/>
              </w:rPr>
              <w:t>影响程度</w:t>
            </w:r>
          </w:p>
        </w:tc>
      </w:tr>
      <w:tr w14:paraId="282B2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109" w:type="dxa"/>
            <w:vMerge w:val="restart"/>
            <w:noWrap w:val="0"/>
            <w:vAlign w:val="center"/>
          </w:tcPr>
          <w:p w14:paraId="47879FB4">
            <w:pPr>
              <w:pStyle w:val="946"/>
              <w:spacing w:line="300" w:lineRule="exact"/>
              <w:rPr>
                <w:rFonts w:ascii="Arial" w:hAnsi="Arial" w:cs="Arial"/>
                <w:color w:val="auto"/>
                <w:sz w:val="22"/>
                <w:szCs w:val="22"/>
              </w:rPr>
            </w:pPr>
            <w:r>
              <w:rPr>
                <w:rFonts w:ascii="Arial" w:hAnsi="Arial" w:cs="Arial"/>
                <w:color w:val="auto"/>
                <w:sz w:val="22"/>
                <w:szCs w:val="22"/>
              </w:rPr>
              <w:t>施工期</w:t>
            </w:r>
          </w:p>
        </w:tc>
        <w:tc>
          <w:tcPr>
            <w:tcW w:w="1555" w:type="dxa"/>
            <w:vMerge w:val="restart"/>
            <w:noWrap w:val="0"/>
            <w:vAlign w:val="center"/>
          </w:tcPr>
          <w:p w14:paraId="2C3896E7">
            <w:pPr>
              <w:pStyle w:val="946"/>
              <w:spacing w:line="300" w:lineRule="exact"/>
              <w:rPr>
                <w:rFonts w:ascii="Arial" w:hAnsi="Arial" w:cs="Arial"/>
                <w:color w:val="auto"/>
                <w:sz w:val="22"/>
                <w:szCs w:val="22"/>
              </w:rPr>
            </w:pPr>
            <w:r>
              <w:rPr>
                <w:rFonts w:ascii="Arial" w:hAnsi="Arial" w:cs="Arial"/>
                <w:color w:val="auto"/>
                <w:sz w:val="22"/>
                <w:szCs w:val="22"/>
              </w:rPr>
              <w:t>工程占地</w:t>
            </w:r>
          </w:p>
        </w:tc>
        <w:tc>
          <w:tcPr>
            <w:tcW w:w="3265" w:type="dxa"/>
            <w:vMerge w:val="restart"/>
            <w:noWrap w:val="0"/>
            <w:vAlign w:val="center"/>
          </w:tcPr>
          <w:p w14:paraId="468CAF39">
            <w:pPr>
              <w:pStyle w:val="946"/>
              <w:spacing w:line="300" w:lineRule="exact"/>
              <w:rPr>
                <w:rFonts w:ascii="Arial" w:hAnsi="Arial" w:cs="Arial"/>
                <w:color w:val="auto"/>
                <w:sz w:val="22"/>
                <w:szCs w:val="22"/>
              </w:rPr>
            </w:pPr>
            <w:r>
              <w:rPr>
                <w:rFonts w:ascii="Arial" w:hAnsi="Arial" w:cs="Arial"/>
                <w:color w:val="auto"/>
                <w:sz w:val="22"/>
                <w:szCs w:val="22"/>
              </w:rPr>
              <w:t>永久占地、临时占地</w:t>
            </w:r>
          </w:p>
        </w:tc>
        <w:tc>
          <w:tcPr>
            <w:tcW w:w="2405" w:type="dxa"/>
            <w:noWrap w:val="0"/>
            <w:vAlign w:val="center"/>
          </w:tcPr>
          <w:p w14:paraId="1B842179">
            <w:pPr>
              <w:pStyle w:val="946"/>
              <w:spacing w:line="300" w:lineRule="exact"/>
              <w:rPr>
                <w:rFonts w:ascii="Arial" w:hAnsi="Arial" w:cs="Arial"/>
                <w:color w:val="auto"/>
                <w:sz w:val="22"/>
                <w:szCs w:val="22"/>
              </w:rPr>
            </w:pPr>
            <w:r>
              <w:rPr>
                <w:rFonts w:ascii="Arial" w:hAnsi="Arial" w:cs="Arial"/>
                <w:color w:val="auto"/>
                <w:sz w:val="22"/>
                <w:szCs w:val="22"/>
              </w:rPr>
              <w:t>林地</w:t>
            </w:r>
          </w:p>
        </w:tc>
        <w:tc>
          <w:tcPr>
            <w:tcW w:w="5291" w:type="dxa"/>
            <w:vMerge w:val="restart"/>
            <w:noWrap w:val="0"/>
            <w:vAlign w:val="center"/>
          </w:tcPr>
          <w:p w14:paraId="5F87A0C6">
            <w:pPr>
              <w:pStyle w:val="946"/>
              <w:spacing w:line="300" w:lineRule="exact"/>
              <w:rPr>
                <w:rFonts w:hint="eastAsia" w:ascii="Arial" w:hAnsi="Arial" w:cs="Arial"/>
                <w:color w:val="auto"/>
                <w:sz w:val="22"/>
                <w:szCs w:val="22"/>
                <w:lang w:eastAsia="zh-CN"/>
              </w:rPr>
            </w:pPr>
            <w:r>
              <w:rPr>
                <w:rFonts w:ascii="Arial" w:hAnsi="Arial" w:cs="Arial"/>
                <w:color w:val="auto"/>
                <w:sz w:val="22"/>
                <w:szCs w:val="22"/>
                <w:lang w:val="zh-CN"/>
              </w:rPr>
              <w:t>改变土地利用结构和类型</w:t>
            </w:r>
            <w:r>
              <w:rPr>
                <w:rFonts w:hint="eastAsia" w:ascii="Arial" w:hAnsi="Arial" w:cs="Arial"/>
                <w:color w:val="auto"/>
                <w:sz w:val="22"/>
                <w:szCs w:val="22"/>
                <w:lang w:val="zh-CN" w:eastAsia="zh-CN"/>
              </w:rPr>
              <w:t>，</w:t>
            </w:r>
            <w:r>
              <w:rPr>
                <w:rFonts w:ascii="Arial" w:hAnsi="Arial" w:cs="Arial"/>
                <w:color w:val="auto"/>
                <w:spacing w:val="14"/>
                <w:sz w:val="22"/>
                <w:szCs w:val="22"/>
              </w:rPr>
              <w:t>陆生生物量损失</w:t>
            </w:r>
            <w:r>
              <w:rPr>
                <w:rFonts w:hint="eastAsia" w:ascii="Arial" w:hAnsi="Arial" w:cs="Arial"/>
                <w:color w:val="auto"/>
                <w:spacing w:val="14"/>
                <w:sz w:val="22"/>
                <w:szCs w:val="22"/>
                <w:lang w:eastAsia="zh-CN"/>
              </w:rPr>
              <w:t>，</w:t>
            </w:r>
            <w:r>
              <w:rPr>
                <w:rFonts w:ascii="Arial" w:hAnsi="Arial" w:cs="Arial"/>
                <w:color w:val="auto"/>
                <w:sz w:val="22"/>
                <w:szCs w:val="22"/>
                <w:lang w:val="zh-CN"/>
              </w:rPr>
              <w:t>降低周区的动物栖息适宜度</w:t>
            </w:r>
            <w:r>
              <w:rPr>
                <w:rFonts w:hint="eastAsia" w:ascii="Arial" w:hAnsi="Arial" w:cs="Arial"/>
                <w:color w:val="auto"/>
                <w:sz w:val="22"/>
                <w:szCs w:val="22"/>
                <w:lang w:val="zh-CN" w:eastAsia="zh-CN"/>
              </w:rPr>
              <w:t>，</w:t>
            </w:r>
            <w:r>
              <w:rPr>
                <w:rFonts w:ascii="Arial" w:hAnsi="Arial" w:cs="Arial"/>
                <w:color w:val="auto"/>
                <w:sz w:val="22"/>
                <w:szCs w:val="22"/>
                <w:lang w:val="zh-CN"/>
              </w:rPr>
              <w:t>影响范围内水土保持功能将迅速降低或丧失</w:t>
            </w:r>
            <w:r>
              <w:rPr>
                <w:rFonts w:hint="eastAsia" w:ascii="Arial" w:hAnsi="Arial" w:cs="Arial"/>
                <w:color w:val="auto"/>
                <w:sz w:val="22"/>
                <w:szCs w:val="22"/>
                <w:lang w:val="zh-CN" w:eastAsia="zh-CN"/>
              </w:rPr>
              <w:t>；</w:t>
            </w:r>
            <w:r>
              <w:rPr>
                <w:rFonts w:hint="eastAsia" w:ascii="Arial" w:hAnsi="Arial" w:cs="Arial"/>
                <w:bCs/>
                <w:color w:val="auto"/>
                <w:sz w:val="22"/>
                <w:szCs w:val="22"/>
                <w:lang w:val="en-US"/>
              </w:rPr>
              <w:t>施工期枢纽工程由于大坝拦蓄作用，使河道内水量、水流速度和水道</w:t>
            </w:r>
            <w:r>
              <w:rPr>
                <w:rFonts w:hint="eastAsia" w:ascii="Arial" w:hAnsi="Arial" w:cs="Arial"/>
                <w:bCs/>
                <w:color w:val="auto"/>
                <w:sz w:val="22"/>
                <w:szCs w:val="22"/>
                <w:lang w:val="en-US" w:eastAsia="zh-CN"/>
              </w:rPr>
              <w:t>理化</w:t>
            </w:r>
            <w:r>
              <w:rPr>
                <w:rFonts w:hint="eastAsia" w:ascii="Arial" w:hAnsi="Arial" w:cs="Arial"/>
                <w:bCs/>
                <w:color w:val="auto"/>
                <w:sz w:val="22"/>
                <w:szCs w:val="22"/>
                <w:lang w:val="en-US"/>
              </w:rPr>
              <w:t>性质发生变化</w:t>
            </w:r>
            <w:r>
              <w:rPr>
                <w:rFonts w:hint="eastAsia" w:ascii="Arial" w:hAnsi="Arial" w:cs="Arial"/>
                <w:bCs/>
                <w:color w:val="auto"/>
                <w:sz w:val="22"/>
                <w:szCs w:val="22"/>
                <w:lang w:val="en-US" w:eastAsia="zh-CN"/>
              </w:rPr>
              <w:t>；同时若未做好基坑废水、废弃土石方的收集处理工作，会污染流域水质，</w:t>
            </w:r>
            <w:r>
              <w:rPr>
                <w:rFonts w:hint="eastAsia" w:ascii="Arial" w:hAnsi="Arial" w:cs="Arial"/>
                <w:bCs/>
                <w:color w:val="auto"/>
                <w:sz w:val="22"/>
                <w:szCs w:val="22"/>
                <w:lang w:val="en-US"/>
              </w:rPr>
              <w:t>因而会对水生生物产生一定的影响。</w:t>
            </w:r>
          </w:p>
        </w:tc>
      </w:tr>
      <w:tr w14:paraId="23052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109" w:type="dxa"/>
            <w:vMerge w:val="continue"/>
            <w:noWrap w:val="0"/>
            <w:vAlign w:val="center"/>
          </w:tcPr>
          <w:p w14:paraId="4062AEDA">
            <w:pPr>
              <w:widowControl/>
              <w:spacing w:line="300" w:lineRule="exact"/>
              <w:jc w:val="center"/>
              <w:rPr>
                <w:rFonts w:ascii="Arial" w:hAnsi="Arial" w:cs="Arial"/>
                <w:color w:val="auto"/>
                <w:sz w:val="22"/>
                <w:szCs w:val="22"/>
              </w:rPr>
            </w:pPr>
          </w:p>
        </w:tc>
        <w:tc>
          <w:tcPr>
            <w:tcW w:w="1555" w:type="dxa"/>
            <w:vMerge w:val="continue"/>
            <w:noWrap w:val="0"/>
            <w:vAlign w:val="center"/>
          </w:tcPr>
          <w:p w14:paraId="21C5579B">
            <w:pPr>
              <w:widowControl/>
              <w:spacing w:line="300" w:lineRule="exact"/>
              <w:jc w:val="center"/>
              <w:rPr>
                <w:rFonts w:ascii="Arial" w:hAnsi="Arial" w:cs="Arial"/>
                <w:color w:val="auto"/>
                <w:sz w:val="22"/>
                <w:szCs w:val="22"/>
              </w:rPr>
            </w:pPr>
          </w:p>
        </w:tc>
        <w:tc>
          <w:tcPr>
            <w:tcW w:w="3265" w:type="dxa"/>
            <w:vMerge w:val="continue"/>
            <w:noWrap w:val="0"/>
            <w:vAlign w:val="center"/>
          </w:tcPr>
          <w:p w14:paraId="272402E6">
            <w:pPr>
              <w:widowControl/>
              <w:spacing w:line="300" w:lineRule="exact"/>
              <w:jc w:val="center"/>
              <w:rPr>
                <w:rFonts w:ascii="Arial" w:hAnsi="Arial" w:cs="Arial"/>
                <w:color w:val="auto"/>
                <w:sz w:val="22"/>
                <w:szCs w:val="22"/>
              </w:rPr>
            </w:pPr>
          </w:p>
        </w:tc>
        <w:tc>
          <w:tcPr>
            <w:tcW w:w="2405" w:type="dxa"/>
            <w:noWrap w:val="0"/>
            <w:vAlign w:val="center"/>
          </w:tcPr>
          <w:p w14:paraId="7DAEE25A">
            <w:pPr>
              <w:pStyle w:val="946"/>
              <w:spacing w:line="300" w:lineRule="exact"/>
              <w:rPr>
                <w:rFonts w:ascii="Arial" w:hAnsi="Arial" w:cs="Arial"/>
                <w:color w:val="auto"/>
                <w:sz w:val="22"/>
                <w:szCs w:val="22"/>
              </w:rPr>
            </w:pPr>
            <w:r>
              <w:rPr>
                <w:rFonts w:ascii="Arial" w:hAnsi="Arial" w:cs="Arial"/>
                <w:color w:val="auto"/>
                <w:sz w:val="22"/>
                <w:szCs w:val="22"/>
                <w:lang w:val="zh-CN"/>
              </w:rPr>
              <w:t>植被</w:t>
            </w:r>
          </w:p>
        </w:tc>
        <w:tc>
          <w:tcPr>
            <w:tcW w:w="5291" w:type="dxa"/>
            <w:vMerge w:val="continue"/>
            <w:noWrap w:val="0"/>
            <w:vAlign w:val="center"/>
          </w:tcPr>
          <w:p w14:paraId="2947F8CF">
            <w:pPr>
              <w:pStyle w:val="946"/>
              <w:spacing w:line="300" w:lineRule="exact"/>
              <w:rPr>
                <w:rFonts w:ascii="Arial" w:hAnsi="Arial" w:cs="Arial"/>
                <w:color w:val="auto"/>
                <w:sz w:val="22"/>
                <w:szCs w:val="22"/>
              </w:rPr>
            </w:pPr>
          </w:p>
        </w:tc>
      </w:tr>
      <w:tr w14:paraId="60FE7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109" w:type="dxa"/>
            <w:vMerge w:val="continue"/>
            <w:noWrap w:val="0"/>
            <w:vAlign w:val="center"/>
          </w:tcPr>
          <w:p w14:paraId="2F7C230F">
            <w:pPr>
              <w:widowControl/>
              <w:spacing w:line="300" w:lineRule="exact"/>
              <w:jc w:val="center"/>
              <w:rPr>
                <w:rFonts w:ascii="Arial" w:hAnsi="Arial" w:cs="Arial"/>
                <w:color w:val="auto"/>
                <w:sz w:val="22"/>
                <w:szCs w:val="22"/>
              </w:rPr>
            </w:pPr>
          </w:p>
        </w:tc>
        <w:tc>
          <w:tcPr>
            <w:tcW w:w="1555" w:type="dxa"/>
            <w:vMerge w:val="restart"/>
            <w:noWrap w:val="0"/>
            <w:vAlign w:val="center"/>
          </w:tcPr>
          <w:p w14:paraId="794F2A4E">
            <w:pPr>
              <w:pStyle w:val="946"/>
              <w:spacing w:line="300" w:lineRule="exact"/>
              <w:rPr>
                <w:rFonts w:ascii="Arial" w:hAnsi="Arial" w:cs="Arial"/>
                <w:color w:val="auto"/>
                <w:sz w:val="22"/>
                <w:szCs w:val="22"/>
              </w:rPr>
            </w:pPr>
            <w:r>
              <w:rPr>
                <w:rFonts w:ascii="Arial" w:hAnsi="Arial" w:cs="Arial"/>
                <w:color w:val="auto"/>
                <w:sz w:val="22"/>
                <w:szCs w:val="22"/>
                <w:lang w:val="zh-CN"/>
              </w:rPr>
              <w:t>施工活动</w:t>
            </w:r>
          </w:p>
        </w:tc>
        <w:tc>
          <w:tcPr>
            <w:tcW w:w="3265" w:type="dxa"/>
            <w:noWrap w:val="0"/>
            <w:vAlign w:val="center"/>
          </w:tcPr>
          <w:p w14:paraId="5B388EFC">
            <w:pPr>
              <w:pStyle w:val="946"/>
              <w:spacing w:line="300" w:lineRule="exact"/>
              <w:rPr>
                <w:rFonts w:ascii="Arial" w:hAnsi="Arial" w:cs="Arial"/>
                <w:color w:val="auto"/>
                <w:sz w:val="22"/>
                <w:szCs w:val="22"/>
              </w:rPr>
            </w:pPr>
            <w:r>
              <w:rPr>
                <w:rFonts w:ascii="Arial" w:hAnsi="Arial" w:cs="Arial"/>
                <w:color w:val="auto"/>
                <w:sz w:val="22"/>
                <w:szCs w:val="22"/>
                <w:lang w:val="zh-CN"/>
              </w:rPr>
              <w:t>施工噪声、扬尘、废气</w:t>
            </w:r>
          </w:p>
        </w:tc>
        <w:tc>
          <w:tcPr>
            <w:tcW w:w="2405" w:type="dxa"/>
            <w:noWrap w:val="0"/>
            <w:vAlign w:val="center"/>
          </w:tcPr>
          <w:p w14:paraId="6F3A3F0B">
            <w:pPr>
              <w:pStyle w:val="946"/>
              <w:spacing w:line="300" w:lineRule="exact"/>
              <w:rPr>
                <w:rFonts w:ascii="Arial" w:hAnsi="Arial" w:cs="Arial"/>
                <w:color w:val="auto"/>
                <w:sz w:val="22"/>
                <w:szCs w:val="22"/>
              </w:rPr>
            </w:pPr>
            <w:r>
              <w:rPr>
                <w:rFonts w:ascii="Arial" w:hAnsi="Arial" w:cs="Arial"/>
                <w:color w:val="auto"/>
                <w:sz w:val="22"/>
                <w:szCs w:val="22"/>
                <w:lang w:val="zh-CN"/>
              </w:rPr>
              <w:t>野生动物</w:t>
            </w:r>
          </w:p>
        </w:tc>
        <w:tc>
          <w:tcPr>
            <w:tcW w:w="5291" w:type="dxa"/>
            <w:vMerge w:val="continue"/>
            <w:noWrap w:val="0"/>
            <w:vAlign w:val="center"/>
          </w:tcPr>
          <w:p w14:paraId="3E75D3FE">
            <w:pPr>
              <w:pStyle w:val="946"/>
              <w:spacing w:line="300" w:lineRule="exact"/>
              <w:rPr>
                <w:rFonts w:ascii="Arial" w:hAnsi="Arial" w:cs="Arial"/>
                <w:color w:val="auto"/>
                <w:sz w:val="22"/>
                <w:szCs w:val="22"/>
              </w:rPr>
            </w:pPr>
          </w:p>
        </w:tc>
      </w:tr>
      <w:tr w14:paraId="29936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109" w:type="dxa"/>
            <w:vMerge w:val="continue"/>
            <w:noWrap w:val="0"/>
            <w:vAlign w:val="center"/>
          </w:tcPr>
          <w:p w14:paraId="7F7D1961">
            <w:pPr>
              <w:widowControl/>
              <w:spacing w:line="300" w:lineRule="exact"/>
              <w:jc w:val="center"/>
              <w:rPr>
                <w:rFonts w:ascii="Arial" w:hAnsi="Arial" w:cs="Arial"/>
                <w:color w:val="auto"/>
                <w:sz w:val="22"/>
                <w:szCs w:val="22"/>
              </w:rPr>
            </w:pPr>
          </w:p>
        </w:tc>
        <w:tc>
          <w:tcPr>
            <w:tcW w:w="1555" w:type="dxa"/>
            <w:vMerge w:val="continue"/>
            <w:noWrap w:val="0"/>
            <w:vAlign w:val="center"/>
          </w:tcPr>
          <w:p w14:paraId="6C2EA535">
            <w:pPr>
              <w:pStyle w:val="946"/>
              <w:spacing w:line="300" w:lineRule="exact"/>
              <w:rPr>
                <w:rFonts w:ascii="Arial" w:hAnsi="Arial" w:cs="Arial"/>
                <w:color w:val="auto"/>
                <w:sz w:val="22"/>
                <w:szCs w:val="22"/>
                <w:lang w:val="zh-CN"/>
              </w:rPr>
            </w:pPr>
          </w:p>
        </w:tc>
        <w:tc>
          <w:tcPr>
            <w:tcW w:w="3265" w:type="dxa"/>
            <w:noWrap w:val="0"/>
            <w:vAlign w:val="center"/>
          </w:tcPr>
          <w:p w14:paraId="0993DAC0">
            <w:pPr>
              <w:pStyle w:val="946"/>
              <w:spacing w:line="300" w:lineRule="exact"/>
              <w:rPr>
                <w:rFonts w:hint="eastAsia" w:ascii="Arial" w:hAnsi="Arial" w:cs="Arial"/>
                <w:color w:val="auto"/>
                <w:sz w:val="22"/>
                <w:szCs w:val="22"/>
                <w:lang w:val="zh-CN" w:eastAsia="zh-CN"/>
              </w:rPr>
            </w:pPr>
            <w:r>
              <w:rPr>
                <w:rFonts w:hint="eastAsia" w:ascii="Arial" w:hAnsi="Arial" w:cs="Arial"/>
                <w:color w:val="auto"/>
                <w:sz w:val="22"/>
                <w:szCs w:val="22"/>
                <w:lang w:val="zh-CN" w:eastAsia="zh-CN"/>
              </w:rPr>
              <w:t>拦河、涉水施工</w:t>
            </w:r>
          </w:p>
        </w:tc>
        <w:tc>
          <w:tcPr>
            <w:tcW w:w="2405" w:type="dxa"/>
            <w:noWrap w:val="0"/>
            <w:vAlign w:val="center"/>
          </w:tcPr>
          <w:p w14:paraId="1F2096BF">
            <w:pPr>
              <w:pStyle w:val="946"/>
              <w:spacing w:line="300" w:lineRule="exact"/>
              <w:rPr>
                <w:rFonts w:hint="eastAsia" w:ascii="Arial" w:hAnsi="Arial" w:cs="Arial"/>
                <w:color w:val="auto"/>
                <w:sz w:val="22"/>
                <w:szCs w:val="22"/>
                <w:lang w:val="zh-CN" w:eastAsia="zh-CN"/>
              </w:rPr>
            </w:pPr>
            <w:r>
              <w:rPr>
                <w:rFonts w:hint="eastAsia" w:ascii="Arial" w:hAnsi="Arial" w:cs="Arial"/>
                <w:color w:val="auto"/>
                <w:sz w:val="22"/>
                <w:szCs w:val="22"/>
                <w:lang w:val="zh-CN" w:eastAsia="zh-CN"/>
              </w:rPr>
              <w:t>水生生态环境</w:t>
            </w:r>
          </w:p>
        </w:tc>
        <w:tc>
          <w:tcPr>
            <w:tcW w:w="5291" w:type="dxa"/>
            <w:vMerge w:val="continue"/>
            <w:noWrap w:val="0"/>
            <w:vAlign w:val="center"/>
          </w:tcPr>
          <w:p w14:paraId="5FCD3690">
            <w:pPr>
              <w:pStyle w:val="946"/>
              <w:spacing w:line="300" w:lineRule="exact"/>
              <w:rPr>
                <w:rFonts w:ascii="Arial" w:hAnsi="Arial" w:cs="Arial"/>
                <w:color w:val="auto"/>
                <w:sz w:val="22"/>
                <w:szCs w:val="22"/>
              </w:rPr>
            </w:pPr>
          </w:p>
        </w:tc>
      </w:tr>
      <w:tr w14:paraId="5A233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109" w:type="dxa"/>
            <w:vMerge w:val="continue"/>
            <w:noWrap w:val="0"/>
            <w:vAlign w:val="center"/>
          </w:tcPr>
          <w:p w14:paraId="1EF83A1A">
            <w:pPr>
              <w:widowControl/>
              <w:spacing w:line="300" w:lineRule="exact"/>
              <w:jc w:val="center"/>
              <w:rPr>
                <w:rFonts w:ascii="Arial" w:hAnsi="Arial" w:cs="Arial"/>
                <w:color w:val="auto"/>
                <w:sz w:val="22"/>
                <w:szCs w:val="22"/>
              </w:rPr>
            </w:pPr>
          </w:p>
        </w:tc>
        <w:tc>
          <w:tcPr>
            <w:tcW w:w="1555" w:type="dxa"/>
            <w:vMerge w:val="continue"/>
            <w:noWrap w:val="0"/>
            <w:vAlign w:val="center"/>
          </w:tcPr>
          <w:p w14:paraId="35340EA3">
            <w:pPr>
              <w:widowControl/>
              <w:spacing w:line="300" w:lineRule="exact"/>
              <w:jc w:val="center"/>
              <w:rPr>
                <w:rFonts w:ascii="Arial" w:hAnsi="Arial" w:cs="Arial"/>
                <w:color w:val="auto"/>
                <w:sz w:val="22"/>
                <w:szCs w:val="22"/>
              </w:rPr>
            </w:pPr>
          </w:p>
        </w:tc>
        <w:tc>
          <w:tcPr>
            <w:tcW w:w="3265" w:type="dxa"/>
            <w:noWrap w:val="0"/>
            <w:vAlign w:val="center"/>
          </w:tcPr>
          <w:p w14:paraId="6DA704FB">
            <w:pPr>
              <w:pStyle w:val="946"/>
              <w:spacing w:line="300" w:lineRule="exact"/>
              <w:rPr>
                <w:rFonts w:ascii="Arial" w:hAnsi="Arial" w:cs="Arial"/>
                <w:color w:val="auto"/>
                <w:sz w:val="22"/>
                <w:szCs w:val="22"/>
                <w:lang w:val="zh-CN"/>
              </w:rPr>
            </w:pPr>
            <w:r>
              <w:rPr>
                <w:rFonts w:ascii="Arial" w:hAnsi="Arial" w:cs="Arial"/>
                <w:color w:val="auto"/>
                <w:sz w:val="22"/>
                <w:szCs w:val="22"/>
                <w:lang w:val="zh-CN"/>
              </w:rPr>
              <w:t>损坏原有地貌植被、堆放弃土石</w:t>
            </w:r>
          </w:p>
        </w:tc>
        <w:tc>
          <w:tcPr>
            <w:tcW w:w="2405" w:type="dxa"/>
            <w:noWrap w:val="0"/>
            <w:vAlign w:val="center"/>
          </w:tcPr>
          <w:p w14:paraId="40C65CAE">
            <w:pPr>
              <w:pStyle w:val="946"/>
              <w:spacing w:line="300" w:lineRule="exact"/>
              <w:rPr>
                <w:rFonts w:ascii="Arial" w:hAnsi="Arial" w:cs="Arial"/>
                <w:color w:val="auto"/>
                <w:sz w:val="22"/>
                <w:szCs w:val="22"/>
                <w:lang w:val="zh-CN"/>
              </w:rPr>
            </w:pPr>
            <w:r>
              <w:rPr>
                <w:rFonts w:ascii="Arial" w:hAnsi="Arial" w:cs="Arial"/>
                <w:color w:val="auto"/>
                <w:sz w:val="22"/>
                <w:szCs w:val="22"/>
                <w:lang w:val="zh-CN"/>
              </w:rPr>
              <w:t>水土流失</w:t>
            </w:r>
          </w:p>
        </w:tc>
        <w:tc>
          <w:tcPr>
            <w:tcW w:w="5291" w:type="dxa"/>
            <w:vMerge w:val="continue"/>
            <w:noWrap w:val="0"/>
            <w:vAlign w:val="center"/>
          </w:tcPr>
          <w:p w14:paraId="131DB93A">
            <w:pPr>
              <w:pStyle w:val="946"/>
              <w:spacing w:line="300" w:lineRule="exact"/>
              <w:rPr>
                <w:rFonts w:ascii="Arial" w:hAnsi="Arial" w:cs="Arial"/>
                <w:color w:val="auto"/>
                <w:sz w:val="22"/>
                <w:szCs w:val="22"/>
                <w:lang w:val="zh-CN"/>
              </w:rPr>
            </w:pPr>
          </w:p>
        </w:tc>
      </w:tr>
    </w:tbl>
    <w:p w14:paraId="483B8DD8">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sectPr>
          <w:pgSz w:w="15840" w:h="12240" w:orient="landscape"/>
          <w:pgMar w:top="1701" w:right="1440" w:bottom="1701" w:left="1440" w:header="1077" w:footer="794" w:gutter="0"/>
          <w:pgBorders>
            <w:top w:val="none" w:sz="0" w:space="0"/>
            <w:left w:val="none" w:sz="0" w:space="0"/>
            <w:bottom w:val="none" w:sz="0" w:space="0"/>
            <w:right w:val="none" w:sz="0" w:space="0"/>
          </w:pgBorders>
          <w:pgNumType w:fmt="decimal"/>
          <w:cols w:space="0" w:num="1"/>
          <w:rtlGutter w:val="0"/>
          <w:docGrid w:linePitch="0" w:charSpace="0"/>
        </w:sectPr>
      </w:pPr>
    </w:p>
    <w:p w14:paraId="056F1629">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3.2</w:t>
      </w:r>
      <w:r>
        <w:rPr>
          <w:rFonts w:hint="eastAsia" w:ascii="Arial" w:hAnsi="Arial" w:cs="Arial"/>
          <w:sz w:val="26"/>
          <w:szCs w:val="26"/>
          <w:lang w:val="en-US" w:eastAsia="zh-CN"/>
        </w:rPr>
        <w:t>运营期环境影响因素分析</w:t>
      </w:r>
    </w:p>
    <w:p w14:paraId="03A15A2B">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cs="Arial"/>
          <w:b/>
          <w:bCs w:val="0"/>
          <w:color w:val="auto"/>
          <w:sz w:val="26"/>
          <w:szCs w:val="26"/>
          <w:lang w:val="en-US"/>
        </w:rPr>
      </w:pPr>
      <w:r>
        <w:rPr>
          <w:rFonts w:hint="eastAsia" w:ascii="Arial" w:hAnsi="Arial" w:cs="Arial"/>
          <w:b/>
          <w:bCs w:val="0"/>
          <w:color w:val="auto"/>
          <w:sz w:val="26"/>
          <w:szCs w:val="26"/>
          <w:lang w:val="en-US" w:eastAsia="zh-CN"/>
        </w:rPr>
        <w:t>3.2.1退水</w:t>
      </w:r>
    </w:p>
    <w:p w14:paraId="440D5BA6">
      <w:pPr>
        <w:spacing w:line="440" w:lineRule="exact"/>
        <w:ind w:firstLine="520" w:firstLineChars="200"/>
        <w:rPr>
          <w:rFonts w:ascii="Arial" w:hAnsi="Arial" w:cs="Arial"/>
          <w:bCs/>
          <w:sz w:val="26"/>
          <w:szCs w:val="26"/>
        </w:rPr>
      </w:pPr>
      <w:r>
        <w:rPr>
          <w:rFonts w:ascii="Arial" w:cs="Arial"/>
          <w:sz w:val="26"/>
          <w:szCs w:val="26"/>
        </w:rPr>
        <w:t>水库运行过程中的退水可能对地表水质造成影响，退水主要包括管理人员生活用水退水和灌溉回归水。</w:t>
      </w:r>
    </w:p>
    <w:p w14:paraId="0372B344">
      <w:pPr>
        <w:tabs>
          <w:tab w:val="right" w:pos="8730"/>
        </w:tabs>
        <w:adjustRightInd w:val="0"/>
        <w:snapToGrid w:val="0"/>
        <w:spacing w:line="440" w:lineRule="exact"/>
        <w:ind w:firstLine="520" w:firstLineChars="200"/>
        <w:rPr>
          <w:rFonts w:ascii="Arial" w:hAnsi="Arial" w:cs="Arial"/>
          <w:sz w:val="26"/>
          <w:szCs w:val="26"/>
        </w:rPr>
      </w:pPr>
      <w:r>
        <w:rPr>
          <w:rFonts w:ascii="Arial" w:cs="Arial"/>
          <w:sz w:val="26"/>
          <w:szCs w:val="26"/>
        </w:rPr>
        <w:t>营运期本工程管理人员</w:t>
      </w:r>
      <w:r>
        <w:rPr>
          <w:rFonts w:hint="eastAsia" w:ascii="Arial" w:cs="Arial"/>
          <w:sz w:val="26"/>
          <w:szCs w:val="26"/>
        </w:rPr>
        <w:t>共计</w:t>
      </w:r>
      <w:r>
        <w:rPr>
          <w:rFonts w:hint="eastAsia" w:ascii="Arial" w:hAnsi="Arial" w:cs="Arial"/>
          <w:sz w:val="26"/>
          <w:szCs w:val="26"/>
          <w:lang w:val="en-US" w:eastAsia="zh-CN"/>
        </w:rPr>
        <w:t>4</w:t>
      </w:r>
      <w:r>
        <w:rPr>
          <w:rFonts w:ascii="Arial" w:cs="Arial"/>
          <w:sz w:val="26"/>
          <w:szCs w:val="26"/>
        </w:rPr>
        <w:t>人，主要负责水库管理，工程运行、工程维修及水费征收</w:t>
      </w:r>
      <w:r>
        <w:rPr>
          <w:rFonts w:hint="eastAsia" w:ascii="Arial" w:cs="Arial"/>
          <w:sz w:val="26"/>
          <w:szCs w:val="26"/>
          <w:lang w:val="en-US" w:eastAsia="zh-CN"/>
        </w:rPr>
        <w:t>。</w:t>
      </w:r>
      <w:r>
        <w:rPr>
          <w:rFonts w:ascii="Arial" w:cs="Arial"/>
          <w:sz w:val="26"/>
          <w:szCs w:val="26"/>
        </w:rPr>
        <w:t>每人每天用水量按</w:t>
      </w:r>
      <w:r>
        <w:rPr>
          <w:rFonts w:ascii="Arial" w:hAnsi="Arial" w:cs="Arial"/>
          <w:sz w:val="26"/>
          <w:szCs w:val="26"/>
        </w:rPr>
        <w:t>1</w:t>
      </w:r>
      <w:r>
        <w:rPr>
          <w:rFonts w:hint="eastAsia" w:ascii="Arial" w:hAnsi="Arial" w:cs="Arial"/>
          <w:sz w:val="26"/>
          <w:szCs w:val="26"/>
        </w:rPr>
        <w:t>5</w:t>
      </w:r>
      <w:r>
        <w:rPr>
          <w:rFonts w:ascii="Arial" w:hAnsi="Arial" w:cs="Arial"/>
          <w:sz w:val="26"/>
          <w:szCs w:val="26"/>
        </w:rPr>
        <w:t>0L</w:t>
      </w:r>
      <w:r>
        <w:rPr>
          <w:rFonts w:ascii="Arial" w:cs="Arial"/>
          <w:sz w:val="26"/>
          <w:szCs w:val="26"/>
        </w:rPr>
        <w:t>计，则</w:t>
      </w:r>
      <w:r>
        <w:rPr>
          <w:rFonts w:ascii="Arial" w:cs="Arial"/>
          <w:snapToGrid w:val="0"/>
          <w:sz w:val="26"/>
          <w:szCs w:val="26"/>
        </w:rPr>
        <w:t>生活用水量约</w:t>
      </w:r>
      <w:r>
        <w:rPr>
          <w:rFonts w:hint="eastAsia" w:ascii="Arial" w:hAnsi="Arial" w:cs="Arial"/>
          <w:snapToGrid w:val="0"/>
          <w:sz w:val="26"/>
          <w:szCs w:val="26"/>
          <w:lang w:val="en-US" w:eastAsia="zh-CN"/>
        </w:rPr>
        <w:t>0.6</w:t>
      </w:r>
      <w:r>
        <w:rPr>
          <w:rFonts w:ascii="Arial" w:hAnsi="Arial" w:cs="Arial"/>
          <w:snapToGrid w:val="0"/>
          <w:sz w:val="26"/>
          <w:szCs w:val="26"/>
        </w:rPr>
        <w:t>m</w:t>
      </w:r>
      <w:r>
        <w:rPr>
          <w:rFonts w:ascii="Arial" w:hAnsi="Arial" w:cs="Arial"/>
          <w:snapToGrid w:val="0"/>
          <w:sz w:val="26"/>
          <w:szCs w:val="26"/>
          <w:vertAlign w:val="superscript"/>
        </w:rPr>
        <w:t>3</w:t>
      </w:r>
      <w:r>
        <w:rPr>
          <w:rFonts w:ascii="Arial" w:hAnsi="Arial" w:cs="Arial"/>
          <w:snapToGrid w:val="0"/>
          <w:sz w:val="26"/>
          <w:szCs w:val="26"/>
        </w:rPr>
        <w:t>/d</w:t>
      </w:r>
      <w:r>
        <w:rPr>
          <w:rFonts w:ascii="Arial" w:cs="Arial"/>
          <w:snapToGrid w:val="0"/>
          <w:sz w:val="26"/>
          <w:szCs w:val="26"/>
        </w:rPr>
        <w:t>，</w:t>
      </w:r>
      <w:r>
        <w:rPr>
          <w:rFonts w:ascii="Arial" w:hAnsi="Arial" w:cs="Arial"/>
          <w:snapToGrid w:val="0"/>
          <w:sz w:val="26"/>
          <w:szCs w:val="26"/>
        </w:rPr>
        <w:t>排污系数取0.9，则生活污水产生量为</w:t>
      </w:r>
      <w:r>
        <w:rPr>
          <w:rFonts w:hint="eastAsia" w:ascii="Arial" w:hAnsi="Arial" w:cs="Arial"/>
          <w:snapToGrid w:val="0"/>
          <w:sz w:val="26"/>
          <w:szCs w:val="26"/>
          <w:lang w:val="en-US" w:eastAsia="zh-CN"/>
        </w:rPr>
        <w:t>0.54</w:t>
      </w:r>
      <w:r>
        <w:rPr>
          <w:rFonts w:ascii="Arial" w:hAnsi="Arial" w:cs="Arial"/>
          <w:snapToGrid w:val="0"/>
          <w:sz w:val="26"/>
          <w:szCs w:val="26"/>
        </w:rPr>
        <w:t>m</w:t>
      </w:r>
      <w:r>
        <w:rPr>
          <w:rFonts w:ascii="Arial" w:hAnsi="Arial" w:cs="Arial"/>
          <w:snapToGrid w:val="0"/>
          <w:sz w:val="26"/>
          <w:szCs w:val="26"/>
          <w:vertAlign w:val="superscript"/>
        </w:rPr>
        <w:t>3</w:t>
      </w:r>
      <w:r>
        <w:rPr>
          <w:rFonts w:ascii="Arial" w:hAnsi="Arial" w:cs="Arial"/>
          <w:snapToGrid w:val="0"/>
          <w:sz w:val="26"/>
          <w:szCs w:val="26"/>
        </w:rPr>
        <w:t>/d，</w:t>
      </w:r>
      <w:r>
        <w:rPr>
          <w:rFonts w:ascii="Arial" w:cs="Arial"/>
          <w:snapToGrid w:val="0"/>
          <w:sz w:val="26"/>
          <w:szCs w:val="26"/>
        </w:rPr>
        <w:t>主要污染物为</w:t>
      </w:r>
      <w:r>
        <w:rPr>
          <w:rFonts w:ascii="Arial" w:hAnsi="Arial" w:cs="Arial"/>
          <w:snapToGrid w:val="0"/>
          <w:sz w:val="26"/>
          <w:szCs w:val="26"/>
        </w:rPr>
        <w:t>COD</w:t>
      </w:r>
      <w:r>
        <w:rPr>
          <w:rFonts w:ascii="Arial" w:cs="Arial"/>
          <w:snapToGrid w:val="0"/>
          <w:sz w:val="26"/>
          <w:szCs w:val="26"/>
        </w:rPr>
        <w:t>、</w:t>
      </w:r>
      <w:r>
        <w:rPr>
          <w:rFonts w:ascii="Arial" w:hAnsi="Arial" w:cs="Arial"/>
          <w:snapToGrid w:val="0"/>
          <w:sz w:val="26"/>
          <w:szCs w:val="26"/>
        </w:rPr>
        <w:t>BOD</w:t>
      </w:r>
      <w:r>
        <w:rPr>
          <w:rFonts w:ascii="Arial" w:hAnsi="Arial" w:cs="Arial"/>
          <w:snapToGrid w:val="0"/>
          <w:sz w:val="26"/>
          <w:szCs w:val="26"/>
          <w:vertAlign w:val="subscript"/>
        </w:rPr>
        <w:t>5</w:t>
      </w:r>
      <w:r>
        <w:rPr>
          <w:rFonts w:ascii="Arial" w:cs="Arial"/>
          <w:snapToGrid w:val="0"/>
          <w:sz w:val="26"/>
          <w:szCs w:val="26"/>
        </w:rPr>
        <w:t>、</w:t>
      </w:r>
      <w:r>
        <w:rPr>
          <w:rFonts w:ascii="Arial" w:hAnsi="Arial" w:cs="Arial"/>
          <w:snapToGrid w:val="0"/>
          <w:sz w:val="26"/>
          <w:szCs w:val="26"/>
        </w:rPr>
        <w:t>SS</w:t>
      </w:r>
      <w:r>
        <w:rPr>
          <w:rFonts w:ascii="Arial" w:cs="Arial"/>
          <w:snapToGrid w:val="0"/>
          <w:sz w:val="26"/>
          <w:szCs w:val="26"/>
        </w:rPr>
        <w:t>、</w:t>
      </w:r>
      <w:r>
        <w:rPr>
          <w:rFonts w:ascii="Arial" w:hAnsi="Arial" w:cs="Arial"/>
          <w:snapToGrid w:val="0"/>
          <w:sz w:val="26"/>
          <w:szCs w:val="26"/>
        </w:rPr>
        <w:t>NH</w:t>
      </w:r>
      <w:r>
        <w:rPr>
          <w:rFonts w:ascii="Arial" w:hAnsi="Arial" w:cs="Arial"/>
          <w:snapToGrid w:val="0"/>
          <w:sz w:val="26"/>
          <w:szCs w:val="26"/>
          <w:vertAlign w:val="subscript"/>
        </w:rPr>
        <w:t>3</w:t>
      </w:r>
      <w:r>
        <w:rPr>
          <w:rFonts w:ascii="Arial" w:hAnsi="Arial" w:cs="Arial"/>
          <w:snapToGrid w:val="0"/>
          <w:sz w:val="26"/>
          <w:szCs w:val="26"/>
        </w:rPr>
        <w:t>-N</w:t>
      </w:r>
      <w:r>
        <w:rPr>
          <w:rFonts w:ascii="Arial" w:cs="Arial"/>
          <w:snapToGrid w:val="0"/>
          <w:sz w:val="26"/>
          <w:szCs w:val="26"/>
        </w:rPr>
        <w:t>，浓度</w:t>
      </w:r>
      <w:r>
        <w:rPr>
          <w:rFonts w:hint="eastAsia" w:ascii="Arial" w:cs="Arial"/>
          <w:snapToGrid w:val="0"/>
          <w:sz w:val="26"/>
          <w:szCs w:val="26"/>
          <w:lang w:eastAsia="zh-CN"/>
        </w:rPr>
        <w:t>分别约</w:t>
      </w:r>
      <w:r>
        <w:rPr>
          <w:rFonts w:ascii="Arial" w:hAnsi="Arial" w:cs="Arial"/>
          <w:snapToGrid w:val="0"/>
          <w:sz w:val="26"/>
          <w:szCs w:val="26"/>
        </w:rPr>
        <w:t>450mg/L</w:t>
      </w:r>
      <w:r>
        <w:rPr>
          <w:rFonts w:ascii="Arial" w:cs="Arial"/>
          <w:snapToGrid w:val="0"/>
          <w:sz w:val="26"/>
          <w:szCs w:val="26"/>
        </w:rPr>
        <w:t>、</w:t>
      </w:r>
      <w:r>
        <w:rPr>
          <w:rFonts w:ascii="Arial" w:hAnsi="Arial" w:cs="Arial"/>
          <w:snapToGrid w:val="0"/>
          <w:sz w:val="26"/>
          <w:szCs w:val="26"/>
        </w:rPr>
        <w:t>550mg/L</w:t>
      </w:r>
      <w:r>
        <w:rPr>
          <w:rFonts w:ascii="Arial" w:cs="Arial"/>
          <w:snapToGrid w:val="0"/>
          <w:sz w:val="26"/>
          <w:szCs w:val="26"/>
        </w:rPr>
        <w:t>、</w:t>
      </w:r>
      <w:r>
        <w:rPr>
          <w:rFonts w:ascii="Arial" w:hAnsi="Arial" w:cs="Arial"/>
          <w:snapToGrid w:val="0"/>
          <w:sz w:val="26"/>
          <w:szCs w:val="26"/>
        </w:rPr>
        <w:t>250mg/L</w:t>
      </w:r>
      <w:r>
        <w:rPr>
          <w:rFonts w:ascii="Arial" w:cs="Arial"/>
          <w:snapToGrid w:val="0"/>
          <w:sz w:val="26"/>
          <w:szCs w:val="26"/>
        </w:rPr>
        <w:t>、</w:t>
      </w:r>
      <w:r>
        <w:rPr>
          <w:rFonts w:ascii="Arial" w:hAnsi="Arial" w:cs="Arial"/>
          <w:snapToGrid w:val="0"/>
          <w:sz w:val="26"/>
          <w:szCs w:val="26"/>
        </w:rPr>
        <w:t>30mg/L</w:t>
      </w:r>
      <w:r>
        <w:rPr>
          <w:rFonts w:ascii="Arial" w:cs="Arial"/>
          <w:snapToGrid w:val="0"/>
          <w:sz w:val="26"/>
          <w:szCs w:val="26"/>
        </w:rPr>
        <w:t>。</w:t>
      </w:r>
      <w:r>
        <w:rPr>
          <w:rFonts w:ascii="Arial" w:cs="Arial"/>
          <w:sz w:val="26"/>
          <w:szCs w:val="26"/>
        </w:rPr>
        <w:t>水库管理</w:t>
      </w:r>
      <w:r>
        <w:rPr>
          <w:rFonts w:hint="eastAsia" w:ascii="Arial" w:cs="Arial"/>
          <w:sz w:val="26"/>
          <w:szCs w:val="26"/>
          <w:lang w:eastAsia="zh-CN"/>
        </w:rPr>
        <w:t>房</w:t>
      </w:r>
      <w:r>
        <w:rPr>
          <w:rFonts w:ascii="Arial" w:cs="Arial"/>
          <w:sz w:val="26"/>
          <w:szCs w:val="26"/>
        </w:rPr>
        <w:t>设</w:t>
      </w:r>
      <w:r>
        <w:rPr>
          <w:rFonts w:ascii="Arial" w:hAnsi="Arial" w:cs="Arial"/>
          <w:sz w:val="26"/>
          <w:szCs w:val="26"/>
        </w:rPr>
        <w:t>1</w:t>
      </w:r>
      <w:r>
        <w:rPr>
          <w:rFonts w:ascii="Arial" w:cs="Arial"/>
          <w:sz w:val="26"/>
          <w:szCs w:val="26"/>
        </w:rPr>
        <w:t>座</w:t>
      </w:r>
      <w:r>
        <w:rPr>
          <w:rFonts w:hint="eastAsia" w:ascii="Arial" w:cs="Arial"/>
          <w:sz w:val="26"/>
          <w:szCs w:val="26"/>
        </w:rPr>
        <w:t>化粪池</w:t>
      </w:r>
      <w:r>
        <w:rPr>
          <w:rFonts w:ascii="Arial" w:cs="Arial"/>
          <w:sz w:val="26"/>
          <w:szCs w:val="26"/>
        </w:rPr>
        <w:t>，生活污水经</w:t>
      </w:r>
      <w:r>
        <w:rPr>
          <w:rFonts w:hint="eastAsia" w:ascii="Arial" w:cs="Arial"/>
          <w:sz w:val="26"/>
          <w:szCs w:val="26"/>
        </w:rPr>
        <w:t>化粪池</w:t>
      </w:r>
      <w:r>
        <w:rPr>
          <w:rFonts w:ascii="Arial" w:cs="Arial"/>
          <w:sz w:val="26"/>
          <w:szCs w:val="26"/>
        </w:rPr>
        <w:t>统一收集</w:t>
      </w:r>
      <w:r>
        <w:rPr>
          <w:rFonts w:hint="eastAsia" w:ascii="Arial" w:cs="Arial"/>
          <w:sz w:val="26"/>
          <w:szCs w:val="26"/>
        </w:rPr>
        <w:t>，交附近居民</w:t>
      </w:r>
      <w:r>
        <w:rPr>
          <w:rFonts w:hint="eastAsia" w:ascii="Arial" w:cs="Arial"/>
          <w:sz w:val="26"/>
          <w:szCs w:val="26"/>
          <w:lang w:eastAsia="zh-CN"/>
        </w:rPr>
        <w:t>作农肥</w:t>
      </w:r>
      <w:r>
        <w:rPr>
          <w:rFonts w:hint="eastAsia" w:ascii="Arial" w:cs="Arial"/>
          <w:sz w:val="26"/>
          <w:szCs w:val="26"/>
        </w:rPr>
        <w:t>，不外排</w:t>
      </w:r>
      <w:r>
        <w:rPr>
          <w:rFonts w:ascii="Arial" w:cs="Arial"/>
          <w:sz w:val="26"/>
          <w:szCs w:val="26"/>
        </w:rPr>
        <w:t>。</w:t>
      </w:r>
    </w:p>
    <w:p w14:paraId="296E07A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cs="Arial"/>
          <w:bCs/>
          <w:color w:val="auto"/>
          <w:sz w:val="26"/>
          <w:szCs w:val="26"/>
        </w:rPr>
      </w:pPr>
      <w:r>
        <w:rPr>
          <w:rFonts w:hint="eastAsia" w:ascii="Arial" w:hAnsi="宋体" w:cs="Arial"/>
          <w:bCs/>
          <w:sz w:val="26"/>
          <w:szCs w:val="26"/>
        </w:rPr>
        <w:t>根据调查，</w:t>
      </w:r>
      <w:r>
        <w:rPr>
          <w:rFonts w:hint="eastAsia" w:ascii="Arial" w:hAnsi="宋体" w:cs="Arial"/>
          <w:bCs/>
          <w:sz w:val="26"/>
          <w:szCs w:val="26"/>
          <w:lang w:eastAsia="zh-CN"/>
        </w:rPr>
        <w:t>海螺沟水库向双龙社区所供生活用水产生的污废水，经双龙镇污水处理厂集中深度处理达标后，进入双龙河；向回龙场村所供生活用水产生的污废水，主要由各农村居民家自建旱厕收集处理后，循序用作农肥，未直接进入河道。海螺沟水库灌区主要分布在双龙社区、回龙场村，</w:t>
      </w:r>
      <w:r>
        <w:rPr>
          <w:rFonts w:hint="eastAsia" w:ascii="Arial" w:hAnsi="Arial" w:cs="Arial"/>
          <w:sz w:val="26"/>
          <w:szCs w:val="26"/>
        </w:rPr>
        <w:t>为流域退水主要来源，</w:t>
      </w:r>
      <w:r>
        <w:rPr>
          <w:rFonts w:hint="eastAsia" w:ascii="Arial" w:hAnsi="宋体" w:cs="Arial"/>
          <w:bCs/>
          <w:sz w:val="26"/>
          <w:szCs w:val="26"/>
        </w:rPr>
        <w:t>灌溉回归水主要来源于管道输水损失、田间渗漏以及作物成熟期的落干排水。根据相关资料，灌溉回归水按灌溉水量的</w:t>
      </w:r>
      <w:r>
        <w:rPr>
          <w:rFonts w:ascii="Arial" w:hAnsi="宋体" w:cs="Arial"/>
          <w:bCs/>
          <w:sz w:val="26"/>
          <w:szCs w:val="26"/>
        </w:rPr>
        <w:t>25%</w:t>
      </w:r>
      <w:r>
        <w:rPr>
          <w:rFonts w:hint="eastAsia" w:ascii="Arial" w:hAnsi="宋体" w:cs="Arial"/>
          <w:bCs/>
          <w:sz w:val="26"/>
          <w:szCs w:val="26"/>
        </w:rPr>
        <w:t>计，则多年平均回归水量为</w:t>
      </w:r>
      <w:r>
        <w:rPr>
          <w:rFonts w:hint="eastAsia" w:ascii="Arial" w:hAnsi="宋体" w:cs="Arial"/>
          <w:bCs/>
          <w:sz w:val="26"/>
          <w:szCs w:val="26"/>
          <w:lang w:val="en-US" w:eastAsia="zh-CN"/>
        </w:rPr>
        <w:t>14.375</w:t>
      </w:r>
      <w:r>
        <w:rPr>
          <w:rFonts w:hint="eastAsia" w:ascii="Arial" w:hAnsi="宋体" w:cs="Arial"/>
          <w:bCs/>
          <w:sz w:val="26"/>
          <w:szCs w:val="26"/>
        </w:rPr>
        <w:t>万</w:t>
      </w:r>
      <w:r>
        <w:rPr>
          <w:rFonts w:ascii="Arial" w:hAnsi="宋体" w:cs="Arial"/>
          <w:bCs/>
          <w:color w:val="auto"/>
          <w:sz w:val="26"/>
          <w:szCs w:val="26"/>
        </w:rPr>
        <w:t>m</w:t>
      </w:r>
      <w:r>
        <w:rPr>
          <w:rFonts w:hint="eastAsia" w:ascii="Arial" w:hAnsi="宋体" w:cs="Arial"/>
          <w:bCs/>
          <w:color w:val="auto"/>
          <w:sz w:val="26"/>
          <w:szCs w:val="26"/>
          <w:vertAlign w:val="superscript"/>
        </w:rPr>
        <w:t>3</w:t>
      </w:r>
      <w:r>
        <w:rPr>
          <w:rFonts w:hint="eastAsia" w:ascii="Arial" w:hAnsi="宋体" w:cs="Arial"/>
          <w:bCs/>
          <w:color w:val="auto"/>
          <w:sz w:val="26"/>
          <w:szCs w:val="26"/>
        </w:rPr>
        <w:t>，灌区退水进入</w:t>
      </w:r>
      <w:r>
        <w:rPr>
          <w:rFonts w:hint="eastAsia" w:ascii="Arial" w:hAnsi="宋体" w:cs="Arial"/>
          <w:bCs/>
          <w:color w:val="auto"/>
          <w:sz w:val="26"/>
          <w:szCs w:val="26"/>
          <w:lang w:eastAsia="zh-CN"/>
        </w:rPr>
        <w:t>海螺沟</w:t>
      </w:r>
      <w:r>
        <w:rPr>
          <w:rFonts w:hint="eastAsia" w:ascii="Arial" w:hAnsi="宋体" w:cs="Arial"/>
          <w:bCs/>
          <w:color w:val="auto"/>
          <w:sz w:val="26"/>
          <w:szCs w:val="26"/>
        </w:rPr>
        <w:t>水库坝后减水河段</w:t>
      </w:r>
      <w:r>
        <w:rPr>
          <w:rFonts w:hint="eastAsia" w:ascii="Arial" w:hAnsi="宋体" w:cs="Arial"/>
          <w:bCs/>
          <w:color w:val="auto"/>
          <w:sz w:val="26"/>
          <w:szCs w:val="26"/>
          <w:lang w:eastAsia="zh-CN"/>
        </w:rPr>
        <w:t>及高洞桥河河段</w:t>
      </w:r>
      <w:r>
        <w:rPr>
          <w:rFonts w:hint="eastAsia" w:ascii="Arial" w:hAnsi="宋体" w:cs="Arial"/>
          <w:bCs/>
          <w:color w:val="auto"/>
          <w:sz w:val="26"/>
          <w:szCs w:val="26"/>
        </w:rPr>
        <w:t>内。</w:t>
      </w:r>
      <w:r>
        <w:rPr>
          <w:rFonts w:hint="eastAsia" w:ascii="Arial" w:hAnsi="宋体" w:cs="Arial"/>
          <w:bCs/>
          <w:sz w:val="26"/>
          <w:szCs w:val="26"/>
        </w:rPr>
        <w:t>由于田间施肥及使用农药，使灌溉水中含总氮、总磷等化肥成分及其它农药成分，从而随回归水带入河道，直接排入河道可能对下游河段水质产生不利影响。</w:t>
      </w:r>
    </w:p>
    <w:p w14:paraId="34175998">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Cs/>
          <w:sz w:val="26"/>
          <w:szCs w:val="26"/>
          <w:lang w:eastAsia="zh-CN"/>
        </w:rPr>
      </w:pPr>
      <w:r>
        <w:rPr>
          <w:rFonts w:hint="eastAsia" w:ascii="Arial" w:hAnsi="Arial" w:cs="Arial"/>
          <w:b/>
          <w:bCs w:val="0"/>
          <w:color w:val="auto"/>
          <w:sz w:val="26"/>
          <w:szCs w:val="26"/>
          <w:lang w:val="en-US" w:eastAsia="zh-CN"/>
        </w:rPr>
        <w:t>3.2.2废气</w:t>
      </w:r>
    </w:p>
    <w:p w14:paraId="0549C187">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pPr>
      <w:r>
        <w:rPr>
          <w:rFonts w:hint="eastAsia"/>
          <w:sz w:val="26"/>
          <w:szCs w:val="26"/>
        </w:rPr>
        <w:t>项目营运期间，工作人员生活用能源采用电能和液化石油天然气，属于清洁能源，产生的大气污染物极少，对环境空气影响较小。</w:t>
      </w:r>
      <w:r>
        <w:rPr>
          <w:rFonts w:hint="eastAsia"/>
          <w:sz w:val="26"/>
          <w:szCs w:val="26"/>
          <w:lang w:eastAsia="zh-CN"/>
        </w:rPr>
        <w:t>职工</w:t>
      </w:r>
      <w:r>
        <w:rPr>
          <w:rFonts w:hint="eastAsia"/>
          <w:sz w:val="26"/>
          <w:szCs w:val="26"/>
        </w:rPr>
        <w:t>食堂</w:t>
      </w:r>
      <w:r>
        <w:rPr>
          <w:rFonts w:hint="eastAsia"/>
          <w:sz w:val="26"/>
          <w:szCs w:val="26"/>
          <w:lang w:eastAsia="zh-CN"/>
        </w:rPr>
        <w:t>仅提供</w:t>
      </w:r>
      <w:r>
        <w:rPr>
          <w:rFonts w:hint="eastAsia"/>
          <w:sz w:val="26"/>
          <w:szCs w:val="26"/>
          <w:lang w:val="en-US" w:eastAsia="zh-CN"/>
        </w:rPr>
        <w:t>4人的工作餐，</w:t>
      </w:r>
      <w:r>
        <w:rPr>
          <w:rFonts w:hint="eastAsia"/>
          <w:sz w:val="26"/>
          <w:szCs w:val="26"/>
        </w:rPr>
        <w:t>产生的油烟</w:t>
      </w:r>
      <w:r>
        <w:rPr>
          <w:rFonts w:hint="eastAsia"/>
          <w:sz w:val="26"/>
          <w:szCs w:val="26"/>
          <w:lang w:eastAsia="zh-CN"/>
        </w:rPr>
        <w:t>量少，引至超屋顶排放</w:t>
      </w:r>
      <w:r>
        <w:rPr>
          <w:rFonts w:hint="eastAsia"/>
          <w:sz w:val="26"/>
          <w:szCs w:val="26"/>
        </w:rPr>
        <w:t>。</w:t>
      </w:r>
    </w:p>
    <w:p w14:paraId="6AF06BFB">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Cs/>
          <w:sz w:val="26"/>
          <w:szCs w:val="26"/>
          <w:lang w:eastAsia="zh-CN"/>
        </w:rPr>
      </w:pPr>
      <w:r>
        <w:rPr>
          <w:rFonts w:hint="eastAsia" w:ascii="Arial" w:hAnsi="Arial" w:cs="Arial"/>
          <w:b/>
          <w:bCs w:val="0"/>
          <w:color w:val="auto"/>
          <w:sz w:val="26"/>
          <w:szCs w:val="26"/>
          <w:lang w:val="en-US" w:eastAsia="zh-CN"/>
        </w:rPr>
        <w:t>3.2.3固体废物</w:t>
      </w:r>
    </w:p>
    <w:p w14:paraId="1CCE52B9">
      <w:pPr>
        <w:spacing w:line="440" w:lineRule="exact"/>
        <w:ind w:firstLine="520" w:firstLineChars="200"/>
        <w:rPr>
          <w:rFonts w:ascii="Arial" w:hAnsi="Arial" w:cs="Arial"/>
          <w:sz w:val="26"/>
          <w:szCs w:val="26"/>
        </w:rPr>
      </w:pPr>
      <w:r>
        <w:rPr>
          <w:rFonts w:ascii="Arial" w:cs="Arial"/>
          <w:sz w:val="26"/>
          <w:szCs w:val="26"/>
        </w:rPr>
        <w:t>营运期固体废物以管理人员生活垃圾、餐厨垃圾和库内漂浮物为主。</w:t>
      </w:r>
    </w:p>
    <w:p w14:paraId="00D823DC">
      <w:pPr>
        <w:spacing w:line="440" w:lineRule="exact"/>
        <w:ind w:firstLine="520" w:firstLineChars="200"/>
        <w:rPr>
          <w:rFonts w:ascii="Arial" w:hAnsi="Arial" w:cs="Arial"/>
          <w:sz w:val="26"/>
          <w:szCs w:val="26"/>
        </w:rPr>
      </w:pPr>
      <w:r>
        <w:rPr>
          <w:rFonts w:ascii="Arial" w:cs="Arial"/>
          <w:sz w:val="26"/>
          <w:szCs w:val="26"/>
        </w:rPr>
        <w:t>生活垃圾、餐厨垃圾产生量</w:t>
      </w:r>
      <w:r>
        <w:rPr>
          <w:rFonts w:hint="eastAsia" w:ascii="Arial" w:cs="Arial"/>
          <w:sz w:val="26"/>
          <w:szCs w:val="26"/>
        </w:rPr>
        <w:t>分别</w:t>
      </w:r>
      <w:r>
        <w:rPr>
          <w:rFonts w:ascii="Arial" w:cs="Arial"/>
          <w:sz w:val="26"/>
          <w:szCs w:val="26"/>
        </w:rPr>
        <w:t>按</w:t>
      </w:r>
      <w:r>
        <w:rPr>
          <w:rFonts w:ascii="Arial" w:hAnsi="Arial" w:cs="Arial"/>
          <w:sz w:val="26"/>
          <w:szCs w:val="26"/>
        </w:rPr>
        <w:t>0.5kg/</w:t>
      </w:r>
      <w:r>
        <w:rPr>
          <w:rFonts w:ascii="Arial" w:cs="Arial"/>
          <w:sz w:val="26"/>
          <w:szCs w:val="26"/>
        </w:rPr>
        <w:t>人</w:t>
      </w:r>
      <w:r>
        <w:rPr>
          <w:rFonts w:ascii="Arial" w:hAnsi="Arial" w:cs="Arial"/>
          <w:sz w:val="26"/>
          <w:szCs w:val="26"/>
        </w:rPr>
        <w:t>·d</w:t>
      </w:r>
      <w:r>
        <w:rPr>
          <w:rFonts w:hint="eastAsia" w:ascii="Arial" w:hAnsi="Arial" w:cs="Arial"/>
          <w:sz w:val="26"/>
          <w:szCs w:val="26"/>
        </w:rPr>
        <w:t>、</w:t>
      </w:r>
      <w:r>
        <w:rPr>
          <w:rFonts w:ascii="Arial" w:hAnsi="Arial" w:cs="Arial"/>
          <w:sz w:val="26"/>
          <w:szCs w:val="26"/>
        </w:rPr>
        <w:t>0.</w:t>
      </w:r>
      <w:r>
        <w:rPr>
          <w:rFonts w:hint="eastAsia" w:ascii="Arial" w:hAnsi="Arial" w:cs="Arial"/>
          <w:sz w:val="26"/>
          <w:szCs w:val="26"/>
        </w:rPr>
        <w:t>2</w:t>
      </w:r>
      <w:r>
        <w:rPr>
          <w:rFonts w:ascii="Arial" w:hAnsi="Arial" w:cs="Arial"/>
          <w:sz w:val="26"/>
          <w:szCs w:val="26"/>
        </w:rPr>
        <w:t>kg/</w:t>
      </w:r>
      <w:r>
        <w:rPr>
          <w:rFonts w:ascii="Arial" w:cs="Arial"/>
          <w:sz w:val="26"/>
          <w:szCs w:val="26"/>
        </w:rPr>
        <w:t>人</w:t>
      </w:r>
      <w:r>
        <w:rPr>
          <w:rFonts w:ascii="Arial" w:hAnsi="Arial" w:cs="Arial"/>
          <w:sz w:val="26"/>
          <w:szCs w:val="26"/>
        </w:rPr>
        <w:t>·d</w:t>
      </w:r>
      <w:r>
        <w:rPr>
          <w:rFonts w:ascii="Arial" w:cs="Arial"/>
          <w:sz w:val="26"/>
          <w:szCs w:val="26"/>
        </w:rPr>
        <w:t>计，则产生量</w:t>
      </w:r>
      <w:r>
        <w:rPr>
          <w:rFonts w:hint="eastAsia" w:ascii="Arial" w:cs="Arial"/>
          <w:sz w:val="26"/>
          <w:szCs w:val="26"/>
        </w:rPr>
        <w:t>分别</w:t>
      </w:r>
      <w:r>
        <w:rPr>
          <w:rFonts w:ascii="Arial" w:cs="Arial"/>
          <w:sz w:val="26"/>
          <w:szCs w:val="26"/>
        </w:rPr>
        <w:t>为</w:t>
      </w:r>
      <w:r>
        <w:rPr>
          <w:rFonts w:hint="eastAsia" w:ascii="Arial" w:hAnsi="Arial" w:cs="Arial"/>
          <w:sz w:val="26"/>
          <w:szCs w:val="26"/>
          <w:lang w:val="en-US" w:eastAsia="zh-CN"/>
        </w:rPr>
        <w:t>2</w:t>
      </w:r>
      <w:r>
        <w:rPr>
          <w:rFonts w:ascii="Arial" w:hAnsi="Arial" w:cs="Arial"/>
          <w:sz w:val="26"/>
          <w:szCs w:val="26"/>
        </w:rPr>
        <w:t>kg/d</w:t>
      </w:r>
      <w:r>
        <w:rPr>
          <w:rFonts w:hint="eastAsia" w:ascii="Arial" w:hAnsi="Arial" w:cs="Arial"/>
          <w:sz w:val="26"/>
          <w:szCs w:val="26"/>
        </w:rPr>
        <w:t>（</w:t>
      </w:r>
      <w:r>
        <w:rPr>
          <w:rFonts w:hint="eastAsia" w:ascii="Arial" w:hAnsi="Arial" w:cs="Arial"/>
          <w:sz w:val="26"/>
          <w:szCs w:val="26"/>
          <w:lang w:val="en-US" w:eastAsia="zh-CN"/>
        </w:rPr>
        <w:t>0.73</w:t>
      </w:r>
      <w:r>
        <w:rPr>
          <w:rFonts w:ascii="Arial" w:hAnsi="Arial" w:cs="Arial"/>
          <w:sz w:val="26"/>
          <w:szCs w:val="26"/>
        </w:rPr>
        <w:t>t/a</w:t>
      </w:r>
      <w:r>
        <w:rPr>
          <w:rFonts w:hint="eastAsia" w:ascii="Arial" w:hAnsi="Arial" w:cs="Arial"/>
          <w:sz w:val="26"/>
          <w:szCs w:val="26"/>
        </w:rPr>
        <w:t>）</w:t>
      </w:r>
      <w:r>
        <w:rPr>
          <w:rFonts w:ascii="Arial" w:cs="Arial"/>
          <w:sz w:val="26"/>
          <w:szCs w:val="26"/>
        </w:rPr>
        <w:t>、</w:t>
      </w:r>
      <w:r>
        <w:rPr>
          <w:rFonts w:hint="eastAsia" w:ascii="Arial" w:hAnsi="Arial" w:cs="Arial"/>
          <w:sz w:val="26"/>
          <w:szCs w:val="26"/>
          <w:lang w:val="en-US" w:eastAsia="zh-CN"/>
        </w:rPr>
        <w:t>0.8</w:t>
      </w:r>
      <w:r>
        <w:rPr>
          <w:rFonts w:ascii="Arial" w:hAnsi="Arial" w:cs="Arial"/>
          <w:sz w:val="26"/>
          <w:szCs w:val="26"/>
        </w:rPr>
        <w:t>kg/d</w:t>
      </w:r>
      <w:r>
        <w:rPr>
          <w:rFonts w:hint="eastAsia" w:ascii="Arial" w:hAnsi="Arial" w:cs="Arial"/>
          <w:sz w:val="26"/>
          <w:szCs w:val="26"/>
        </w:rPr>
        <w:t>（</w:t>
      </w:r>
      <w:r>
        <w:rPr>
          <w:rFonts w:hint="eastAsia" w:ascii="Arial" w:hAnsi="Arial" w:cs="Arial"/>
          <w:sz w:val="26"/>
          <w:szCs w:val="26"/>
          <w:lang w:val="en-US" w:eastAsia="zh-CN"/>
        </w:rPr>
        <w:t>0.292</w:t>
      </w:r>
      <w:r>
        <w:rPr>
          <w:rFonts w:ascii="Arial" w:hAnsi="Arial" w:cs="Arial"/>
          <w:sz w:val="26"/>
          <w:szCs w:val="26"/>
        </w:rPr>
        <w:t>t/a</w:t>
      </w:r>
      <w:r>
        <w:rPr>
          <w:rFonts w:hint="eastAsia" w:ascii="Arial" w:hAnsi="Arial" w:cs="Arial"/>
          <w:sz w:val="26"/>
          <w:szCs w:val="26"/>
        </w:rPr>
        <w:t>）</w:t>
      </w:r>
      <w:r>
        <w:rPr>
          <w:rFonts w:ascii="Arial" w:cs="Arial"/>
          <w:sz w:val="26"/>
          <w:szCs w:val="26"/>
        </w:rPr>
        <w:t>。库区内漂浮物主要以木、草为主，产生量约为</w:t>
      </w:r>
      <w:r>
        <w:rPr>
          <w:rFonts w:hint="eastAsia" w:ascii="Arial" w:hAnsi="Arial" w:cs="Arial"/>
          <w:sz w:val="26"/>
          <w:szCs w:val="26"/>
          <w:lang w:val="en-US" w:eastAsia="zh-CN"/>
        </w:rPr>
        <w:t>18</w:t>
      </w:r>
      <w:r>
        <w:rPr>
          <w:rFonts w:ascii="Arial" w:hAnsi="Arial" w:cs="Arial"/>
          <w:sz w:val="26"/>
          <w:szCs w:val="26"/>
        </w:rPr>
        <w:t>0t/a</w:t>
      </w:r>
      <w:r>
        <w:rPr>
          <w:rFonts w:ascii="Arial" w:cs="Arial"/>
          <w:sz w:val="26"/>
          <w:szCs w:val="26"/>
        </w:rPr>
        <w:t>。</w:t>
      </w:r>
    </w:p>
    <w:p w14:paraId="405C9AE8">
      <w:pPr>
        <w:spacing w:line="440" w:lineRule="exact"/>
        <w:ind w:firstLine="520" w:firstLineChars="200"/>
        <w:rPr>
          <w:rFonts w:ascii="Arial" w:hAnsi="Arial" w:cs="Arial"/>
          <w:sz w:val="26"/>
          <w:szCs w:val="26"/>
        </w:rPr>
      </w:pPr>
      <w:r>
        <w:rPr>
          <w:rFonts w:ascii="Arial" w:cs="Arial"/>
          <w:sz w:val="26"/>
          <w:szCs w:val="26"/>
        </w:rPr>
        <w:t>生活垃圾</w:t>
      </w:r>
      <w:r>
        <w:rPr>
          <w:rFonts w:hint="eastAsia" w:ascii="Arial" w:cs="Arial"/>
          <w:sz w:val="26"/>
          <w:szCs w:val="26"/>
        </w:rPr>
        <w:t>集中收集后，交当地环卫部门统一清运处置；餐厨垃圾桶装收集后，交有资质单位清运处置；</w:t>
      </w:r>
      <w:r>
        <w:rPr>
          <w:rFonts w:ascii="Arial" w:cs="Arial"/>
          <w:sz w:val="26"/>
          <w:szCs w:val="26"/>
        </w:rPr>
        <w:t>打捞出的漂浮物</w:t>
      </w:r>
      <w:r>
        <w:rPr>
          <w:rFonts w:hint="eastAsia" w:ascii="Arial" w:cs="Arial"/>
          <w:sz w:val="26"/>
          <w:szCs w:val="26"/>
        </w:rPr>
        <w:t>交当地环卫部门统一清运处置</w:t>
      </w:r>
      <w:r>
        <w:rPr>
          <w:rFonts w:ascii="Arial" w:cs="Arial"/>
          <w:sz w:val="26"/>
          <w:szCs w:val="26"/>
        </w:rPr>
        <w:t>。</w:t>
      </w:r>
    </w:p>
    <w:p w14:paraId="356D4B23">
      <w:pPr>
        <w:keepNext w:val="0"/>
        <w:keepLines w:val="0"/>
        <w:pageBreakBefore w:val="0"/>
        <w:widowControl w:val="0"/>
        <w:kinsoku/>
        <w:wordWrap/>
        <w:overflowPunct/>
        <w:topLinePunct w:val="0"/>
        <w:autoSpaceDE/>
        <w:autoSpaceDN/>
        <w:bidi w:val="0"/>
        <w:adjustRightInd/>
        <w:snapToGrid/>
        <w:spacing w:line="440" w:lineRule="exact"/>
        <w:ind w:firstLine="522" w:firstLineChars="200"/>
        <w:textAlignment w:val="auto"/>
        <w:rPr>
          <w:rFonts w:hint="eastAsia" w:ascii="Arial" w:hAnsi="Arial" w:cs="Arial"/>
          <w:b/>
          <w:bCs/>
          <w:sz w:val="26"/>
          <w:szCs w:val="26"/>
        </w:rPr>
      </w:pPr>
      <w:r>
        <w:rPr>
          <w:rFonts w:hint="eastAsia" w:ascii="Arial" w:hAnsi="宋体" w:cs="Arial"/>
          <w:b/>
          <w:bCs/>
          <w:sz w:val="26"/>
          <w:szCs w:val="26"/>
          <w:lang w:val="en-US" w:eastAsia="zh-CN"/>
        </w:rPr>
        <w:t>3.2.4</w:t>
      </w:r>
      <w:r>
        <w:rPr>
          <w:rFonts w:hint="eastAsia" w:ascii="Arial" w:hAnsi="Arial" w:cs="Arial"/>
          <w:b/>
          <w:bCs/>
          <w:sz w:val="26"/>
          <w:szCs w:val="26"/>
        </w:rPr>
        <w:t>噪声</w:t>
      </w:r>
    </w:p>
    <w:p w14:paraId="7DDDE66D">
      <w:pPr>
        <w:spacing w:line="440" w:lineRule="exact"/>
        <w:ind w:firstLine="520" w:firstLineChars="200"/>
        <w:rPr>
          <w:rFonts w:hint="eastAsia" w:ascii="Arial" w:hAnsi="Arial" w:eastAsia="宋体" w:cs="Arial"/>
          <w:bCs/>
          <w:sz w:val="26"/>
          <w:szCs w:val="26"/>
          <w:lang w:eastAsia="zh-CN"/>
        </w:rPr>
      </w:pPr>
      <w:r>
        <w:rPr>
          <w:rFonts w:ascii="Arial" w:hAnsi="Arial" w:cs="Arial"/>
          <w:bCs/>
          <w:sz w:val="26"/>
          <w:szCs w:val="26"/>
        </w:rPr>
        <w:t>本项目营运期噪声主要来源于</w:t>
      </w:r>
      <w:r>
        <w:rPr>
          <w:rFonts w:hint="eastAsia" w:ascii="Arial" w:hAnsi="Arial" w:cs="Arial"/>
          <w:bCs/>
          <w:sz w:val="26"/>
          <w:szCs w:val="26"/>
          <w:lang w:eastAsia="zh-CN"/>
        </w:rPr>
        <w:t>闸阀房内设备运行、溢洪道泄洪、上坝道路运行等，闸阀房密闭设置，运行期环境噪声影响有限。对外交通与对内交通的车流量非常少，同时与周边住户距离较远，运行期车辆噪声对敏感点影响轻微。溢洪道泄流时声音较大，但仅在洪水季出现，影响持续时间不长， 且居民点距离较远，影响不大。</w:t>
      </w:r>
    </w:p>
    <w:p w14:paraId="42404D51">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Cs/>
          <w:sz w:val="26"/>
          <w:szCs w:val="26"/>
          <w:lang w:eastAsia="zh-CN"/>
        </w:rPr>
      </w:pPr>
      <w:r>
        <w:rPr>
          <w:rFonts w:hint="eastAsia" w:ascii="Arial" w:hAnsi="宋体" w:cs="Arial"/>
          <w:b/>
          <w:bCs/>
          <w:sz w:val="26"/>
          <w:szCs w:val="26"/>
          <w:lang w:val="en-US" w:eastAsia="zh-CN"/>
        </w:rPr>
        <w:t>3.2.5</w:t>
      </w:r>
      <w:r>
        <w:rPr>
          <w:rFonts w:hint="eastAsia" w:ascii="Arial" w:hAnsi="Arial" w:cs="Arial"/>
          <w:b/>
          <w:bCs/>
          <w:sz w:val="26"/>
          <w:szCs w:val="26"/>
          <w:lang w:eastAsia="zh-CN"/>
        </w:rPr>
        <w:t>生态环境</w:t>
      </w:r>
    </w:p>
    <w:p w14:paraId="7B5BD126">
      <w:pPr>
        <w:spacing w:line="440" w:lineRule="exact"/>
        <w:ind w:firstLine="392" w:firstLineChars="150"/>
        <w:rPr>
          <w:rFonts w:hint="eastAsia" w:ascii="Arial" w:hAnsi="Arial" w:eastAsia="宋体" w:cs="Arial"/>
          <w:b/>
          <w:bCs/>
          <w:sz w:val="26"/>
          <w:szCs w:val="26"/>
          <w:lang w:eastAsia="zh-CN"/>
        </w:rPr>
      </w:pPr>
      <w:r>
        <w:rPr>
          <w:rFonts w:ascii="Arial" w:hAnsi="宋体" w:cs="Arial"/>
          <w:b/>
          <w:bCs/>
          <w:sz w:val="26"/>
          <w:szCs w:val="26"/>
        </w:rPr>
        <w:t>（</w:t>
      </w:r>
      <w:r>
        <w:rPr>
          <w:rFonts w:hint="eastAsia" w:ascii="Arial" w:hAnsi="Arial" w:cs="Arial"/>
          <w:b/>
          <w:bCs/>
          <w:sz w:val="26"/>
          <w:szCs w:val="26"/>
          <w:lang w:val="en-US" w:eastAsia="zh-CN"/>
        </w:rPr>
        <w:t>1</w:t>
      </w:r>
      <w:r>
        <w:rPr>
          <w:rFonts w:ascii="Arial" w:hAnsi="宋体" w:cs="Arial"/>
          <w:b/>
          <w:bCs/>
          <w:sz w:val="26"/>
          <w:szCs w:val="26"/>
        </w:rPr>
        <w:t>）</w:t>
      </w:r>
      <w:r>
        <w:rPr>
          <w:rFonts w:hint="eastAsia" w:ascii="Arial" w:hAnsi="Arial" w:cs="Arial"/>
          <w:b/>
          <w:bCs/>
          <w:sz w:val="26"/>
          <w:szCs w:val="26"/>
          <w:lang w:eastAsia="zh-CN"/>
        </w:rPr>
        <w:t>水库蓄水</w:t>
      </w:r>
    </w:p>
    <w:p w14:paraId="6177D359">
      <w:pPr>
        <w:spacing w:line="440" w:lineRule="exact"/>
        <w:ind w:firstLine="520" w:firstLineChars="200"/>
        <w:rPr>
          <w:rFonts w:ascii="Arial" w:hAnsi="Arial" w:cs="Arial"/>
          <w:sz w:val="26"/>
          <w:szCs w:val="26"/>
        </w:rPr>
      </w:pPr>
      <w:r>
        <w:rPr>
          <w:rFonts w:ascii="Arial" w:cs="Arial"/>
          <w:sz w:val="26"/>
          <w:szCs w:val="26"/>
        </w:rPr>
        <w:t>水库蓄水淹没总面积</w:t>
      </w:r>
      <w:r>
        <w:rPr>
          <w:rFonts w:hint="eastAsia" w:ascii="Arial" w:hAnsi="Arial" w:cs="Arial"/>
          <w:sz w:val="26"/>
          <w:szCs w:val="26"/>
          <w:lang w:val="en-US" w:eastAsia="zh-CN"/>
        </w:rPr>
        <w:t>8.3026</w:t>
      </w:r>
      <w:r>
        <w:rPr>
          <w:rFonts w:ascii="Arial" w:hAnsi="Arial" w:cs="Arial"/>
          <w:sz w:val="26"/>
          <w:szCs w:val="26"/>
        </w:rPr>
        <w:t>hm</w:t>
      </w:r>
      <w:r>
        <w:rPr>
          <w:rFonts w:ascii="Arial" w:hAnsi="Arial" w:cs="Arial"/>
          <w:sz w:val="26"/>
          <w:szCs w:val="26"/>
          <w:vertAlign w:val="superscript"/>
        </w:rPr>
        <w:t>2</w:t>
      </w:r>
      <w:r>
        <w:rPr>
          <w:rFonts w:ascii="Arial" w:cs="Arial"/>
          <w:sz w:val="26"/>
          <w:szCs w:val="26"/>
        </w:rPr>
        <w:t>，</w:t>
      </w:r>
      <w:r>
        <w:rPr>
          <w:rFonts w:hint="eastAsia" w:ascii="Arial" w:cs="Arial"/>
          <w:sz w:val="26"/>
          <w:szCs w:val="26"/>
          <w:lang w:eastAsia="zh-CN"/>
        </w:rPr>
        <w:t>淹没区内主要为林地、耕地</w:t>
      </w:r>
      <w:r>
        <w:rPr>
          <w:rFonts w:ascii="Arial" w:cs="Arial"/>
          <w:sz w:val="26"/>
          <w:szCs w:val="26"/>
        </w:rPr>
        <w:t>，将一定程度减少项目建设区域内的植被生物量。</w:t>
      </w:r>
    </w:p>
    <w:p w14:paraId="400EC243">
      <w:pPr>
        <w:spacing w:line="440" w:lineRule="exact"/>
        <w:ind w:firstLine="520" w:firstLineChars="200"/>
        <w:rPr>
          <w:rFonts w:hint="eastAsia" w:ascii="Arial" w:cs="Arial"/>
          <w:sz w:val="26"/>
          <w:szCs w:val="26"/>
        </w:rPr>
      </w:pPr>
      <w:r>
        <w:rPr>
          <w:rFonts w:ascii="Arial" w:cs="Arial"/>
          <w:sz w:val="26"/>
          <w:szCs w:val="26"/>
        </w:rPr>
        <w:t>水库蓄水后，</w:t>
      </w:r>
      <w:r>
        <w:rPr>
          <w:rFonts w:hint="eastAsia" w:ascii="Arial" w:cs="Arial"/>
          <w:sz w:val="26"/>
          <w:szCs w:val="26"/>
        </w:rPr>
        <w:t>库区内水流变缓、水深增加、急流生境萎缩，河流的水动力学过程将发生较大的变化，水库库尾区域接近原天然河流，具有河流水文水动力学特征；坝前水域水深、面阔、水流缓，呈现湖泊水动力学特征；水库中间河段水域介于河流和湖泊之间，属于过渡段。水文情势的改变，将对库区内的水生生境、浮游动植物和底栖动物带来影响，</w:t>
      </w:r>
      <w:r>
        <w:rPr>
          <w:rFonts w:hint="eastAsia" w:ascii="Arial" w:hAnsi="Arial" w:cs="Arial"/>
          <w:bCs/>
          <w:sz w:val="26"/>
          <w:szCs w:val="26"/>
        </w:rPr>
        <w:t>生态系统中底栖动物群落组成将发生改变，原有生态食物链将被打破。</w:t>
      </w:r>
      <w:r>
        <w:rPr>
          <w:rFonts w:hint="eastAsia" w:ascii="Arial" w:cs="Arial"/>
          <w:sz w:val="26"/>
          <w:szCs w:val="26"/>
        </w:rPr>
        <w:t>且</w:t>
      </w:r>
      <w:r>
        <w:rPr>
          <w:rFonts w:ascii="Arial" w:cs="Arial"/>
          <w:sz w:val="26"/>
          <w:szCs w:val="26"/>
        </w:rPr>
        <w:t>当地下水位低于水库正常高水位时，如果岩层具有一定的透水性时，水库会发生渗漏，使地下水水位升高造成坝后浸没。水位升高还会导致次生盐渍化、砂土液化、地面不均匀沉降等问题。</w:t>
      </w:r>
    </w:p>
    <w:p w14:paraId="5F6748BA">
      <w:pPr>
        <w:spacing w:line="440" w:lineRule="exact"/>
        <w:ind w:firstLine="392" w:firstLineChars="150"/>
        <w:rPr>
          <w:rFonts w:hint="eastAsia" w:ascii="Arial" w:hAnsi="宋体" w:cs="Arial"/>
          <w:b/>
          <w:bCs/>
          <w:sz w:val="26"/>
          <w:szCs w:val="26"/>
        </w:rPr>
      </w:pPr>
      <w:r>
        <w:rPr>
          <w:rFonts w:hint="eastAsia" w:ascii="Arial" w:hAnsi="宋体" w:cs="Arial"/>
          <w:b/>
          <w:bCs/>
          <w:sz w:val="26"/>
          <w:szCs w:val="26"/>
          <w:lang w:eastAsia="zh-CN"/>
        </w:rPr>
        <w:t>（</w:t>
      </w:r>
      <w:r>
        <w:rPr>
          <w:rFonts w:hint="eastAsia" w:ascii="Arial" w:hAnsi="宋体" w:cs="Arial"/>
          <w:b/>
          <w:bCs/>
          <w:sz w:val="26"/>
          <w:szCs w:val="26"/>
          <w:lang w:val="en-US" w:eastAsia="zh-CN"/>
        </w:rPr>
        <w:t>2）</w:t>
      </w:r>
      <w:r>
        <w:rPr>
          <w:rFonts w:hint="eastAsia" w:ascii="Arial" w:hAnsi="宋体" w:cs="Arial"/>
          <w:b/>
          <w:bCs/>
          <w:sz w:val="26"/>
          <w:szCs w:val="26"/>
        </w:rPr>
        <w:t>大坝阻隔</w:t>
      </w:r>
    </w:p>
    <w:p w14:paraId="4ECBA0B8">
      <w:pPr>
        <w:spacing w:line="440" w:lineRule="exact"/>
        <w:ind w:firstLine="520" w:firstLineChars="200"/>
        <w:rPr>
          <w:rFonts w:ascii="Arial" w:cs="Arial"/>
          <w:sz w:val="26"/>
          <w:szCs w:val="26"/>
        </w:rPr>
      </w:pPr>
      <w:r>
        <w:rPr>
          <w:rFonts w:hint="eastAsia" w:ascii="Arial" w:cs="Arial"/>
          <w:sz w:val="26"/>
          <w:szCs w:val="26"/>
        </w:rPr>
        <w:t>水库库区形成后，库区水位明显增高，库内流速将明显减缓，水域环境从急流河道型转为缓流型。坝前、坝后水生生物生境的变化，将引起水生生物种类和分布的变化。</w:t>
      </w:r>
    </w:p>
    <w:p w14:paraId="6ACDA14A">
      <w:pPr>
        <w:spacing w:line="440" w:lineRule="exact"/>
        <w:ind w:firstLine="520" w:firstLineChars="200"/>
        <w:rPr>
          <w:rFonts w:ascii="Arial" w:cs="Arial"/>
          <w:sz w:val="26"/>
          <w:szCs w:val="26"/>
        </w:rPr>
      </w:pPr>
      <w:r>
        <w:rPr>
          <w:rFonts w:hint="eastAsia" w:ascii="Arial" w:cs="Arial"/>
          <w:sz w:val="26"/>
          <w:szCs w:val="26"/>
        </w:rPr>
        <w:t>水库通过修建拦河坝将河道中的水蓄入水库，以满足灌区灌溉用水、居民生活用水，由于拦河坝的修建，将导致坝下河道中的水量减小，形成坝后长约</w:t>
      </w:r>
      <w:r>
        <w:rPr>
          <w:rFonts w:hint="eastAsia" w:ascii="Arial" w:cs="Arial"/>
          <w:sz w:val="26"/>
          <w:szCs w:val="26"/>
          <w:lang w:val="en-US" w:eastAsia="zh-CN"/>
        </w:rPr>
        <w:t>1.54</w:t>
      </w:r>
      <w:r>
        <w:rPr>
          <w:rFonts w:ascii="Arial" w:cs="Arial"/>
          <w:sz w:val="26"/>
          <w:szCs w:val="26"/>
        </w:rPr>
        <w:t>km</w:t>
      </w:r>
      <w:r>
        <w:rPr>
          <w:rFonts w:hint="eastAsia" w:ascii="Arial" w:cs="Arial"/>
          <w:sz w:val="26"/>
          <w:szCs w:val="26"/>
        </w:rPr>
        <w:t>的减水河段。</w:t>
      </w:r>
    </w:p>
    <w:p w14:paraId="3FEEB68A">
      <w:pPr>
        <w:spacing w:line="440" w:lineRule="exact"/>
        <w:ind w:firstLine="520" w:firstLineChars="200"/>
        <w:rPr>
          <w:rFonts w:ascii="Arial" w:cs="Arial"/>
          <w:sz w:val="26"/>
          <w:szCs w:val="26"/>
        </w:rPr>
      </w:pPr>
      <w:r>
        <w:rPr>
          <w:rFonts w:hint="eastAsia" w:ascii="Arial" w:cs="Arial"/>
          <w:sz w:val="26"/>
          <w:szCs w:val="26"/>
        </w:rPr>
        <w:t>在水库正常运行期间，坝址以上入库的全部推移质及大部分悬移质泥沙均被拦蓄在水库内，改变了河道原始输沙能力和输沙量。</w:t>
      </w:r>
    </w:p>
    <w:p w14:paraId="7D918A57">
      <w:pPr>
        <w:spacing w:line="440" w:lineRule="exact"/>
        <w:ind w:firstLine="520" w:firstLineChars="200"/>
        <w:rPr>
          <w:rFonts w:ascii="Arial" w:cs="Arial"/>
          <w:sz w:val="26"/>
          <w:szCs w:val="26"/>
        </w:rPr>
      </w:pPr>
      <w:r>
        <w:rPr>
          <w:rFonts w:hint="eastAsia" w:ascii="Arial" w:cs="Arial"/>
          <w:sz w:val="26"/>
          <w:szCs w:val="26"/>
        </w:rPr>
        <w:t>水库蓄水后，水温作为表征热状况的一个水文要素将发生变化。水库的水温分布受太阳辐射、水库容积、入出库水量和水温、水库形状、水库调度运用方式等多种因素影响，库内水温可能因河水滞留而分层。</w:t>
      </w:r>
    </w:p>
    <w:p w14:paraId="252E1DE1">
      <w:pPr>
        <w:spacing w:line="440" w:lineRule="exact"/>
        <w:ind w:firstLine="392" w:firstLineChars="150"/>
        <w:rPr>
          <w:rFonts w:hint="eastAsia" w:ascii="Arial" w:hAnsi="宋体" w:cs="Arial"/>
          <w:b/>
          <w:bCs/>
          <w:sz w:val="26"/>
          <w:szCs w:val="26"/>
        </w:rPr>
      </w:pPr>
      <w:r>
        <w:rPr>
          <w:rFonts w:hint="eastAsia" w:ascii="Arial" w:hAnsi="宋体" w:cs="Arial"/>
          <w:b/>
          <w:bCs/>
          <w:sz w:val="26"/>
          <w:szCs w:val="26"/>
          <w:lang w:eastAsia="zh-CN"/>
        </w:rPr>
        <w:t>（</w:t>
      </w:r>
      <w:r>
        <w:rPr>
          <w:rFonts w:hint="eastAsia" w:ascii="Arial" w:hAnsi="宋体" w:cs="Arial"/>
          <w:b/>
          <w:bCs/>
          <w:sz w:val="26"/>
          <w:szCs w:val="26"/>
          <w:lang w:val="en-US" w:eastAsia="zh-CN"/>
        </w:rPr>
        <w:t>3）</w:t>
      </w:r>
      <w:r>
        <w:rPr>
          <w:rFonts w:hint="eastAsia" w:ascii="Arial" w:hAnsi="宋体" w:cs="Arial"/>
          <w:b/>
          <w:bCs/>
          <w:sz w:val="26"/>
          <w:szCs w:val="26"/>
        </w:rPr>
        <w:t>低温水下泄</w:t>
      </w:r>
    </w:p>
    <w:p w14:paraId="269E3659">
      <w:pPr>
        <w:spacing w:line="440" w:lineRule="exact"/>
        <w:ind w:firstLine="520" w:firstLineChars="200"/>
        <w:rPr>
          <w:rFonts w:hint="eastAsia" w:ascii="Arial" w:hAnsi="宋体" w:cs="Arial"/>
          <w:bCs/>
          <w:color w:val="auto"/>
          <w:sz w:val="26"/>
          <w:szCs w:val="26"/>
        </w:rPr>
      </w:pPr>
      <w:r>
        <w:rPr>
          <w:rFonts w:hint="eastAsia" w:ascii="Arial" w:hAnsi="宋体" w:cs="Arial"/>
          <w:bCs/>
          <w:color w:val="auto"/>
          <w:sz w:val="26"/>
          <w:szCs w:val="26"/>
        </w:rPr>
        <w:t>水库运行后，河流流动水体转变为流速缓慢的静水水体，由于水库具有</w:t>
      </w:r>
      <w:r>
        <w:rPr>
          <w:rFonts w:hint="eastAsia" w:ascii="Arial" w:hAnsi="宋体" w:cs="Arial"/>
          <w:bCs/>
          <w:color w:val="auto"/>
          <w:sz w:val="26"/>
          <w:szCs w:val="26"/>
          <w:lang w:eastAsia="zh-CN"/>
        </w:rPr>
        <w:t>多</w:t>
      </w:r>
      <w:r>
        <w:rPr>
          <w:rFonts w:hint="eastAsia" w:ascii="Arial" w:hAnsi="宋体" w:cs="Arial"/>
          <w:bCs/>
          <w:color w:val="auto"/>
          <w:sz w:val="26"/>
          <w:szCs w:val="26"/>
        </w:rPr>
        <w:t>年调节特性，蓄水后可能出现水温分层现象，水越深，温度越低，若直接输送、下泄最底层低温水有可能对灌区农作物的生长、坝后减水段内水生生态环境造成不利影响。</w:t>
      </w:r>
    </w:p>
    <w:p w14:paraId="507BEB46">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
          <w:bCs/>
          <w:sz w:val="26"/>
          <w:szCs w:val="26"/>
          <w:lang w:val="en-US" w:eastAsia="zh-CN"/>
        </w:rPr>
      </w:pPr>
      <w:r>
        <w:rPr>
          <w:rFonts w:hint="eastAsia" w:ascii="Arial" w:hAnsi="宋体" w:eastAsia="宋体" w:cs="Arial"/>
          <w:b/>
          <w:bCs/>
          <w:sz w:val="26"/>
          <w:szCs w:val="26"/>
          <w:lang w:val="en-US" w:eastAsia="zh-CN"/>
        </w:rPr>
        <w:t>3.2.6水文情势</w:t>
      </w:r>
    </w:p>
    <w:p w14:paraId="28BCD931">
      <w:pPr>
        <w:spacing w:line="440" w:lineRule="exact"/>
        <w:ind w:firstLine="520" w:firstLineChars="200"/>
        <w:rPr>
          <w:rFonts w:hint="eastAsia" w:ascii="Arial" w:hAnsi="宋体" w:cs="Arial"/>
          <w:bCs/>
          <w:sz w:val="26"/>
          <w:szCs w:val="26"/>
        </w:rPr>
      </w:pPr>
      <w:r>
        <w:rPr>
          <w:rFonts w:hint="eastAsia" w:ascii="Arial" w:hAnsi="宋体" w:cs="Arial"/>
          <w:bCs/>
          <w:sz w:val="26"/>
          <w:szCs w:val="26"/>
          <w:lang w:eastAsia="zh-CN"/>
        </w:rPr>
        <w:t>海螺沟</w:t>
      </w:r>
      <w:r>
        <w:rPr>
          <w:rFonts w:hint="eastAsia" w:ascii="Arial" w:hAnsi="宋体" w:cs="Arial"/>
          <w:bCs/>
          <w:sz w:val="26"/>
          <w:szCs w:val="26"/>
        </w:rPr>
        <w:t>水库营运期正常蓄水位为</w:t>
      </w:r>
      <w:r>
        <w:rPr>
          <w:rFonts w:hint="eastAsia" w:ascii="Arial" w:hAnsi="宋体" w:cs="Arial"/>
          <w:bCs/>
          <w:sz w:val="26"/>
          <w:szCs w:val="26"/>
          <w:lang w:val="en-US" w:eastAsia="zh-CN"/>
        </w:rPr>
        <w:t>420</w:t>
      </w:r>
      <w:r>
        <w:rPr>
          <w:rFonts w:hint="eastAsia" w:ascii="Arial" w:hAnsi="宋体" w:cs="Arial"/>
          <w:bCs/>
          <w:sz w:val="26"/>
          <w:szCs w:val="26"/>
        </w:rPr>
        <w:t>m，水库回水长度为</w:t>
      </w:r>
      <w:r>
        <w:rPr>
          <w:rFonts w:hint="eastAsia" w:ascii="Arial" w:hAnsi="宋体" w:cs="Arial"/>
          <w:bCs/>
          <w:sz w:val="26"/>
          <w:szCs w:val="26"/>
          <w:lang w:val="en-US" w:eastAsia="zh-CN"/>
        </w:rPr>
        <w:t>0.55</w:t>
      </w:r>
      <w:r>
        <w:rPr>
          <w:rFonts w:hint="eastAsia" w:ascii="Arial" w:hAnsi="宋体" w:cs="Arial"/>
          <w:bCs/>
          <w:sz w:val="26"/>
          <w:szCs w:val="26"/>
        </w:rPr>
        <w:t>km，库区水深较天然状态下显著增加，且自上而下水深逐渐加深。库区水流将由流水河流转变为静水水库水体，将形成</w:t>
      </w:r>
      <w:r>
        <w:rPr>
          <w:rFonts w:hint="eastAsia" w:ascii="Arial" w:hAnsi="宋体" w:cs="Arial"/>
          <w:bCs/>
          <w:sz w:val="26"/>
          <w:szCs w:val="26"/>
          <w:lang w:val="en-US" w:eastAsia="zh-CN"/>
        </w:rPr>
        <w:t>8.3028h</w:t>
      </w:r>
      <w:r>
        <w:rPr>
          <w:rFonts w:hint="eastAsia" w:ascii="Arial" w:hAnsi="宋体" w:cs="Arial"/>
          <w:bCs/>
          <w:sz w:val="26"/>
          <w:szCs w:val="26"/>
        </w:rPr>
        <w:t>m</w:t>
      </w:r>
      <w:r>
        <w:rPr>
          <w:rFonts w:hint="eastAsia" w:ascii="Arial" w:hAnsi="宋体" w:cs="Arial"/>
          <w:bCs/>
          <w:sz w:val="26"/>
          <w:szCs w:val="26"/>
          <w:vertAlign w:val="superscript"/>
        </w:rPr>
        <w:t>2</w:t>
      </w:r>
      <w:r>
        <w:rPr>
          <w:rFonts w:hint="eastAsia" w:ascii="Arial" w:hAnsi="宋体" w:cs="Arial"/>
          <w:bCs/>
          <w:sz w:val="26"/>
          <w:szCs w:val="26"/>
        </w:rPr>
        <w:t>的库区水面，库区水面面积增大，水深增加，流速变缓，库区流速整体上将呈自上而下流速逐渐减小的趋势。刘家河水库属于年调节水库，在水位年内将具有一定的变化幅度，使得在库尾处一定范围的河段内将出现一定长度的消落区。</w:t>
      </w:r>
    </w:p>
    <w:p w14:paraId="6DA96581">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
          <w:bCs/>
          <w:sz w:val="26"/>
          <w:szCs w:val="26"/>
          <w:lang w:val="en-US" w:eastAsia="zh-CN"/>
        </w:rPr>
      </w:pPr>
      <w:r>
        <w:rPr>
          <w:rFonts w:hint="eastAsia" w:ascii="Arial" w:hAnsi="宋体" w:eastAsia="宋体" w:cs="Arial"/>
          <w:b/>
          <w:bCs/>
          <w:sz w:val="26"/>
          <w:szCs w:val="26"/>
          <w:lang w:val="en-US" w:eastAsia="zh-CN"/>
        </w:rPr>
        <w:t>3.2.7小结</w:t>
      </w:r>
    </w:p>
    <w:p w14:paraId="6760EAA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pPr>
      <w:r>
        <w:rPr>
          <w:rFonts w:hint="eastAsia" w:ascii="Arial" w:hAnsi="宋体" w:cs="Arial"/>
          <w:bCs/>
          <w:sz w:val="26"/>
          <w:szCs w:val="26"/>
        </w:rPr>
        <w:t>本工程</w:t>
      </w:r>
      <w:r>
        <w:rPr>
          <w:rFonts w:hint="eastAsia" w:ascii="Arial" w:hAnsi="宋体" w:cs="Arial"/>
          <w:bCs/>
          <w:sz w:val="26"/>
          <w:szCs w:val="26"/>
          <w:lang w:eastAsia="zh-CN"/>
        </w:rPr>
        <w:t>运营期</w:t>
      </w:r>
      <w:r>
        <w:rPr>
          <w:rFonts w:hint="eastAsia" w:ascii="Arial" w:hAnsi="宋体" w:cs="Arial"/>
          <w:bCs/>
          <w:sz w:val="26"/>
          <w:szCs w:val="26"/>
        </w:rPr>
        <w:t>的污染源及污染物产生和排放情况见表</w:t>
      </w:r>
      <w:r>
        <w:rPr>
          <w:rFonts w:ascii="Arial" w:hAnsi="宋体" w:cs="Arial"/>
          <w:bCs/>
          <w:sz w:val="26"/>
          <w:szCs w:val="26"/>
        </w:rPr>
        <w:t>3.</w:t>
      </w:r>
      <w:r>
        <w:rPr>
          <w:rFonts w:hint="eastAsia" w:ascii="Arial" w:hAnsi="宋体" w:cs="Arial"/>
          <w:bCs/>
          <w:sz w:val="26"/>
          <w:szCs w:val="26"/>
          <w:lang w:val="en-US" w:eastAsia="zh-CN"/>
        </w:rPr>
        <w:t>2</w:t>
      </w:r>
      <w:r>
        <w:rPr>
          <w:rFonts w:ascii="Arial" w:hAnsi="宋体" w:cs="Arial"/>
          <w:bCs/>
          <w:sz w:val="26"/>
          <w:szCs w:val="26"/>
        </w:rPr>
        <w:t>-</w:t>
      </w:r>
      <w:r>
        <w:rPr>
          <w:rFonts w:hint="eastAsia" w:ascii="Arial" w:hAnsi="宋体" w:cs="Arial"/>
          <w:bCs/>
          <w:sz w:val="26"/>
          <w:szCs w:val="26"/>
          <w:lang w:val="en-US" w:eastAsia="zh-CN"/>
        </w:rPr>
        <w:t>1所示，生态环境影响因素详见表3.2-2所设。</w:t>
      </w:r>
    </w:p>
    <w:p w14:paraId="61C29477">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pPr>
    </w:p>
    <w:p w14:paraId="6D0852E3">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0" w:charSpace="0"/>
        </w:sectPr>
      </w:pPr>
    </w:p>
    <w:p w14:paraId="644C1EC0">
      <w:pPr>
        <w:spacing w:line="440" w:lineRule="exact"/>
        <w:jc w:val="center"/>
        <w:rPr>
          <w:rFonts w:hint="eastAsia" w:ascii="Arial" w:hAnsi="宋体" w:cs="Arial"/>
          <w:b/>
          <w:bCs/>
          <w:sz w:val="26"/>
          <w:szCs w:val="26"/>
        </w:rPr>
      </w:pPr>
      <w:r>
        <w:rPr>
          <w:rFonts w:hint="eastAsia" w:ascii="Arial" w:hAnsi="宋体" w:cs="Arial"/>
          <w:b/>
          <w:bCs/>
          <w:sz w:val="26"/>
          <w:szCs w:val="26"/>
        </w:rPr>
        <w:t>表3.</w:t>
      </w:r>
      <w:r>
        <w:rPr>
          <w:rFonts w:hint="eastAsia" w:ascii="Arial" w:hAnsi="宋体" w:cs="Arial"/>
          <w:b/>
          <w:bCs/>
          <w:sz w:val="26"/>
          <w:szCs w:val="26"/>
          <w:lang w:val="en-US" w:eastAsia="zh-CN"/>
        </w:rPr>
        <w:t>2</w:t>
      </w:r>
      <w:r>
        <w:rPr>
          <w:rFonts w:hint="eastAsia" w:ascii="Arial" w:hAnsi="宋体" w:cs="Arial"/>
          <w:b/>
          <w:bCs/>
          <w:sz w:val="26"/>
          <w:szCs w:val="26"/>
        </w:rPr>
        <w:t>-</w:t>
      </w:r>
      <w:r>
        <w:rPr>
          <w:rFonts w:hint="eastAsia" w:ascii="Arial" w:hAnsi="宋体" w:cs="Arial"/>
          <w:b/>
          <w:bCs/>
          <w:sz w:val="26"/>
          <w:szCs w:val="26"/>
          <w:lang w:val="en-US" w:eastAsia="zh-CN"/>
        </w:rPr>
        <w:t>1</w:t>
      </w:r>
      <w:r>
        <w:rPr>
          <w:rFonts w:hint="eastAsia" w:ascii="Arial" w:hAnsi="宋体" w:cs="Arial"/>
          <w:b/>
          <w:bCs/>
          <w:sz w:val="26"/>
          <w:szCs w:val="26"/>
        </w:rPr>
        <w:t xml:space="preserve"> 工程</w:t>
      </w:r>
      <w:r>
        <w:rPr>
          <w:rFonts w:hint="eastAsia" w:ascii="Arial" w:hAnsi="宋体" w:cs="Arial"/>
          <w:b/>
          <w:bCs/>
          <w:sz w:val="26"/>
          <w:szCs w:val="26"/>
          <w:lang w:eastAsia="zh-CN"/>
        </w:rPr>
        <w:t>运营期</w:t>
      </w:r>
      <w:r>
        <w:rPr>
          <w:rFonts w:hint="eastAsia" w:ascii="Arial" w:hAnsi="宋体" w:cs="Arial"/>
          <w:b/>
          <w:bCs/>
          <w:sz w:val="26"/>
          <w:szCs w:val="26"/>
        </w:rPr>
        <w:t>污染源及污染物</w:t>
      </w:r>
      <w:r>
        <w:rPr>
          <w:rFonts w:hint="eastAsia" w:ascii="Arial" w:hAnsi="宋体" w:cs="Arial"/>
          <w:b/>
          <w:bCs/>
          <w:sz w:val="26"/>
          <w:szCs w:val="26"/>
          <w:lang w:eastAsia="zh-CN"/>
        </w:rPr>
        <w:t>产排</w:t>
      </w:r>
      <w:r>
        <w:rPr>
          <w:rFonts w:hint="eastAsia" w:ascii="Arial" w:hAnsi="宋体" w:cs="Arial"/>
          <w:b/>
          <w:bCs/>
          <w:sz w:val="26"/>
          <w:szCs w:val="26"/>
        </w:rPr>
        <w:t>情况汇总表</w:t>
      </w:r>
    </w:p>
    <w:tbl>
      <w:tblPr>
        <w:tblStyle w:val="77"/>
        <w:tblW w:w="141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9"/>
        <w:gridCol w:w="592"/>
        <w:gridCol w:w="1235"/>
        <w:gridCol w:w="1325"/>
        <w:gridCol w:w="1035"/>
        <w:gridCol w:w="1187"/>
        <w:gridCol w:w="1364"/>
        <w:gridCol w:w="2226"/>
        <w:gridCol w:w="1275"/>
        <w:gridCol w:w="851"/>
        <w:gridCol w:w="1177"/>
        <w:gridCol w:w="1275"/>
      </w:tblGrid>
      <w:tr w14:paraId="04358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01" w:type="dxa"/>
            <w:gridSpan w:val="2"/>
            <w:tcBorders>
              <w:top w:val="single" w:color="auto" w:sz="12" w:space="0"/>
              <w:left w:val="single" w:color="auto" w:sz="12" w:space="0"/>
              <w:bottom w:val="single" w:color="auto" w:sz="6" w:space="0"/>
              <w:right w:val="single" w:color="auto" w:sz="6" w:space="0"/>
            </w:tcBorders>
            <w:noWrap w:val="0"/>
            <w:vAlign w:val="center"/>
          </w:tcPr>
          <w:p w14:paraId="7C274FA8">
            <w:pPr>
              <w:pStyle w:val="946"/>
              <w:spacing w:line="300" w:lineRule="exact"/>
              <w:rPr>
                <w:rFonts w:ascii="Arial" w:hAnsi="Arial" w:cs="Arial"/>
                <w:sz w:val="22"/>
                <w:szCs w:val="22"/>
              </w:rPr>
            </w:pPr>
            <w:r>
              <w:rPr>
                <w:rFonts w:ascii="Arial" w:hAnsi="Arial" w:cs="Arial"/>
                <w:sz w:val="22"/>
                <w:szCs w:val="22"/>
              </w:rPr>
              <w:t>工程阶段</w:t>
            </w:r>
          </w:p>
        </w:tc>
        <w:tc>
          <w:tcPr>
            <w:tcW w:w="1235" w:type="dxa"/>
            <w:tcBorders>
              <w:top w:val="single" w:color="auto" w:sz="12" w:space="0"/>
              <w:left w:val="single" w:color="auto" w:sz="6" w:space="0"/>
              <w:bottom w:val="single" w:color="auto" w:sz="6" w:space="0"/>
              <w:right w:val="single" w:color="auto" w:sz="6" w:space="0"/>
            </w:tcBorders>
            <w:noWrap w:val="0"/>
            <w:vAlign w:val="center"/>
          </w:tcPr>
          <w:p w14:paraId="483B04D8">
            <w:pPr>
              <w:pStyle w:val="946"/>
              <w:spacing w:line="300" w:lineRule="exact"/>
              <w:rPr>
                <w:rFonts w:ascii="Arial" w:hAnsi="Arial" w:cs="Arial"/>
                <w:sz w:val="22"/>
                <w:szCs w:val="22"/>
              </w:rPr>
            </w:pPr>
            <w:r>
              <w:rPr>
                <w:rFonts w:ascii="Arial" w:hAnsi="Arial" w:cs="Arial"/>
                <w:sz w:val="22"/>
                <w:szCs w:val="22"/>
              </w:rPr>
              <w:t>污染源</w:t>
            </w:r>
          </w:p>
        </w:tc>
        <w:tc>
          <w:tcPr>
            <w:tcW w:w="1325" w:type="dxa"/>
            <w:tcBorders>
              <w:top w:val="single" w:color="auto" w:sz="12" w:space="0"/>
              <w:left w:val="single" w:color="auto" w:sz="6" w:space="0"/>
              <w:bottom w:val="single" w:color="auto" w:sz="6" w:space="0"/>
              <w:right w:val="single" w:color="auto" w:sz="6" w:space="0"/>
            </w:tcBorders>
            <w:noWrap w:val="0"/>
            <w:vAlign w:val="center"/>
          </w:tcPr>
          <w:p w14:paraId="352C8079">
            <w:pPr>
              <w:pStyle w:val="946"/>
              <w:spacing w:line="300" w:lineRule="exact"/>
              <w:rPr>
                <w:rFonts w:ascii="Arial" w:hAnsi="Arial" w:cs="Arial"/>
                <w:sz w:val="22"/>
                <w:szCs w:val="22"/>
              </w:rPr>
            </w:pPr>
            <w:r>
              <w:rPr>
                <w:rFonts w:ascii="Arial" w:hAnsi="Arial" w:cs="Arial"/>
                <w:sz w:val="22"/>
                <w:szCs w:val="22"/>
              </w:rPr>
              <w:t>产生量</w:t>
            </w:r>
          </w:p>
        </w:tc>
        <w:tc>
          <w:tcPr>
            <w:tcW w:w="1035" w:type="dxa"/>
            <w:tcBorders>
              <w:top w:val="single" w:color="auto" w:sz="12" w:space="0"/>
              <w:left w:val="single" w:color="auto" w:sz="6" w:space="0"/>
              <w:bottom w:val="single" w:color="auto" w:sz="6" w:space="0"/>
              <w:right w:val="single" w:color="auto" w:sz="6" w:space="0"/>
            </w:tcBorders>
            <w:noWrap w:val="0"/>
            <w:vAlign w:val="center"/>
          </w:tcPr>
          <w:p w14:paraId="3D4E2F69">
            <w:pPr>
              <w:pStyle w:val="946"/>
              <w:spacing w:line="300" w:lineRule="exact"/>
              <w:rPr>
                <w:rFonts w:ascii="Arial" w:hAnsi="Arial" w:cs="Arial"/>
                <w:sz w:val="22"/>
                <w:szCs w:val="22"/>
              </w:rPr>
            </w:pPr>
            <w:r>
              <w:rPr>
                <w:rFonts w:ascii="Arial" w:hAnsi="Arial" w:cs="Arial"/>
                <w:sz w:val="22"/>
                <w:szCs w:val="22"/>
              </w:rPr>
              <w:t>污染物</w:t>
            </w:r>
          </w:p>
        </w:tc>
        <w:tc>
          <w:tcPr>
            <w:tcW w:w="1187" w:type="dxa"/>
            <w:tcBorders>
              <w:top w:val="single" w:color="auto" w:sz="12" w:space="0"/>
              <w:left w:val="single" w:color="auto" w:sz="6" w:space="0"/>
              <w:bottom w:val="single" w:color="auto" w:sz="6" w:space="0"/>
              <w:right w:val="single" w:color="auto" w:sz="6" w:space="0"/>
            </w:tcBorders>
            <w:noWrap w:val="0"/>
            <w:vAlign w:val="center"/>
          </w:tcPr>
          <w:p w14:paraId="11F67C13">
            <w:pPr>
              <w:pStyle w:val="946"/>
              <w:spacing w:line="300" w:lineRule="exact"/>
              <w:rPr>
                <w:rFonts w:ascii="Arial" w:hAnsi="Arial" w:cs="Arial"/>
                <w:sz w:val="22"/>
                <w:szCs w:val="22"/>
              </w:rPr>
            </w:pPr>
            <w:r>
              <w:rPr>
                <w:rFonts w:ascii="Arial" w:hAnsi="Arial" w:cs="Arial"/>
                <w:sz w:val="22"/>
                <w:szCs w:val="22"/>
              </w:rPr>
              <w:t>产生浓度</w:t>
            </w:r>
          </w:p>
        </w:tc>
        <w:tc>
          <w:tcPr>
            <w:tcW w:w="1364" w:type="dxa"/>
            <w:tcBorders>
              <w:top w:val="single" w:color="auto" w:sz="12" w:space="0"/>
              <w:left w:val="single" w:color="auto" w:sz="6" w:space="0"/>
              <w:bottom w:val="single" w:color="auto" w:sz="6" w:space="0"/>
              <w:right w:val="single" w:color="auto" w:sz="6" w:space="0"/>
            </w:tcBorders>
            <w:noWrap w:val="0"/>
            <w:vAlign w:val="center"/>
          </w:tcPr>
          <w:p w14:paraId="0FEC292E">
            <w:pPr>
              <w:pStyle w:val="946"/>
              <w:spacing w:line="300" w:lineRule="exact"/>
              <w:rPr>
                <w:rFonts w:ascii="Arial" w:hAnsi="Arial" w:cs="Arial"/>
                <w:sz w:val="22"/>
                <w:szCs w:val="22"/>
              </w:rPr>
            </w:pPr>
            <w:r>
              <w:rPr>
                <w:rFonts w:ascii="Arial" w:hAnsi="Arial" w:cs="Arial"/>
                <w:sz w:val="22"/>
                <w:szCs w:val="22"/>
              </w:rPr>
              <w:t>污染物</w:t>
            </w:r>
          </w:p>
          <w:p w14:paraId="6A91CB1E">
            <w:pPr>
              <w:pStyle w:val="946"/>
              <w:spacing w:line="300" w:lineRule="exact"/>
              <w:rPr>
                <w:rFonts w:ascii="Arial" w:hAnsi="Arial" w:cs="Arial"/>
                <w:sz w:val="22"/>
                <w:szCs w:val="22"/>
              </w:rPr>
            </w:pPr>
            <w:r>
              <w:rPr>
                <w:rFonts w:ascii="Arial" w:hAnsi="Arial" w:cs="Arial"/>
                <w:sz w:val="22"/>
                <w:szCs w:val="22"/>
              </w:rPr>
              <w:t>产生量</w:t>
            </w:r>
          </w:p>
        </w:tc>
        <w:tc>
          <w:tcPr>
            <w:tcW w:w="2226" w:type="dxa"/>
            <w:tcBorders>
              <w:top w:val="single" w:color="auto" w:sz="12" w:space="0"/>
              <w:left w:val="single" w:color="auto" w:sz="6" w:space="0"/>
              <w:bottom w:val="single" w:color="auto" w:sz="6" w:space="0"/>
              <w:right w:val="single" w:color="auto" w:sz="6" w:space="0"/>
            </w:tcBorders>
            <w:noWrap w:val="0"/>
            <w:vAlign w:val="center"/>
          </w:tcPr>
          <w:p w14:paraId="2BC600B4">
            <w:pPr>
              <w:pStyle w:val="946"/>
              <w:spacing w:line="300" w:lineRule="exact"/>
              <w:rPr>
                <w:rFonts w:ascii="Arial" w:hAnsi="Arial" w:cs="Arial"/>
                <w:sz w:val="22"/>
                <w:szCs w:val="22"/>
              </w:rPr>
            </w:pPr>
            <w:r>
              <w:rPr>
                <w:rFonts w:ascii="Arial" w:hAnsi="Arial" w:cs="Arial"/>
                <w:sz w:val="22"/>
                <w:szCs w:val="22"/>
              </w:rPr>
              <w:t>环保措施</w:t>
            </w:r>
          </w:p>
        </w:tc>
        <w:tc>
          <w:tcPr>
            <w:tcW w:w="1275" w:type="dxa"/>
            <w:tcBorders>
              <w:top w:val="single" w:color="auto" w:sz="12" w:space="0"/>
              <w:left w:val="single" w:color="auto" w:sz="6" w:space="0"/>
              <w:bottom w:val="single" w:color="auto" w:sz="6" w:space="0"/>
              <w:right w:val="single" w:color="auto" w:sz="6" w:space="0"/>
            </w:tcBorders>
            <w:noWrap w:val="0"/>
            <w:vAlign w:val="center"/>
          </w:tcPr>
          <w:p w14:paraId="7B5F13DA">
            <w:pPr>
              <w:pStyle w:val="946"/>
              <w:spacing w:line="300" w:lineRule="exact"/>
              <w:rPr>
                <w:rFonts w:ascii="Arial" w:hAnsi="Arial" w:cs="Arial"/>
                <w:sz w:val="22"/>
                <w:szCs w:val="22"/>
              </w:rPr>
            </w:pPr>
            <w:r>
              <w:rPr>
                <w:rFonts w:ascii="Arial" w:hAnsi="Arial" w:cs="Arial"/>
                <w:sz w:val="22"/>
                <w:szCs w:val="22"/>
              </w:rPr>
              <w:t>排放量</w:t>
            </w:r>
          </w:p>
        </w:tc>
        <w:tc>
          <w:tcPr>
            <w:tcW w:w="851" w:type="dxa"/>
            <w:tcBorders>
              <w:top w:val="single" w:color="auto" w:sz="12" w:space="0"/>
              <w:left w:val="single" w:color="auto" w:sz="6" w:space="0"/>
              <w:bottom w:val="single" w:color="auto" w:sz="6" w:space="0"/>
              <w:right w:val="single" w:color="auto" w:sz="6" w:space="0"/>
            </w:tcBorders>
            <w:noWrap w:val="0"/>
            <w:vAlign w:val="center"/>
          </w:tcPr>
          <w:p w14:paraId="30686BB6">
            <w:pPr>
              <w:pStyle w:val="946"/>
              <w:spacing w:line="300" w:lineRule="exact"/>
              <w:rPr>
                <w:rFonts w:hint="eastAsia" w:ascii="Arial" w:hAnsi="Arial" w:cs="Arial"/>
                <w:sz w:val="22"/>
                <w:szCs w:val="22"/>
                <w:lang w:eastAsia="zh-CN"/>
              </w:rPr>
            </w:pPr>
            <w:r>
              <w:rPr>
                <w:rFonts w:ascii="Arial" w:hAnsi="Arial" w:cs="Arial"/>
                <w:sz w:val="22"/>
                <w:szCs w:val="22"/>
              </w:rPr>
              <w:t>排放</w:t>
            </w:r>
          </w:p>
          <w:p w14:paraId="05F6B696">
            <w:pPr>
              <w:pStyle w:val="946"/>
              <w:spacing w:line="300" w:lineRule="exact"/>
              <w:rPr>
                <w:rFonts w:ascii="Arial" w:hAnsi="Arial" w:cs="Arial"/>
                <w:sz w:val="22"/>
                <w:szCs w:val="22"/>
              </w:rPr>
            </w:pPr>
            <w:r>
              <w:rPr>
                <w:rFonts w:ascii="Arial" w:hAnsi="Arial" w:cs="Arial"/>
                <w:sz w:val="22"/>
                <w:szCs w:val="22"/>
              </w:rPr>
              <w:t>浓度</w:t>
            </w:r>
          </w:p>
        </w:tc>
        <w:tc>
          <w:tcPr>
            <w:tcW w:w="1177" w:type="dxa"/>
            <w:tcBorders>
              <w:top w:val="single" w:color="auto" w:sz="12" w:space="0"/>
              <w:left w:val="single" w:color="auto" w:sz="6" w:space="0"/>
              <w:bottom w:val="single" w:color="auto" w:sz="6" w:space="0"/>
              <w:right w:val="single" w:color="auto" w:sz="6" w:space="0"/>
            </w:tcBorders>
            <w:noWrap w:val="0"/>
            <w:vAlign w:val="center"/>
          </w:tcPr>
          <w:p w14:paraId="1D4DD955">
            <w:pPr>
              <w:pStyle w:val="946"/>
              <w:spacing w:line="300" w:lineRule="exact"/>
              <w:rPr>
                <w:rFonts w:ascii="Arial" w:hAnsi="Arial" w:cs="Arial"/>
                <w:sz w:val="22"/>
                <w:szCs w:val="22"/>
              </w:rPr>
            </w:pPr>
            <w:r>
              <w:rPr>
                <w:rFonts w:ascii="Arial" w:hAnsi="Arial" w:cs="Arial"/>
                <w:sz w:val="22"/>
                <w:szCs w:val="22"/>
              </w:rPr>
              <w:t>污染物</w:t>
            </w:r>
          </w:p>
          <w:p w14:paraId="4F87BF2F">
            <w:pPr>
              <w:pStyle w:val="946"/>
              <w:spacing w:line="300" w:lineRule="exact"/>
              <w:rPr>
                <w:rFonts w:ascii="Arial" w:hAnsi="Arial" w:cs="Arial"/>
                <w:sz w:val="22"/>
                <w:szCs w:val="22"/>
              </w:rPr>
            </w:pPr>
            <w:r>
              <w:rPr>
                <w:rFonts w:ascii="Arial" w:hAnsi="Arial" w:cs="Arial"/>
                <w:sz w:val="22"/>
                <w:szCs w:val="22"/>
              </w:rPr>
              <w:t>排放量</w:t>
            </w:r>
          </w:p>
        </w:tc>
        <w:tc>
          <w:tcPr>
            <w:tcW w:w="1275" w:type="dxa"/>
            <w:tcBorders>
              <w:top w:val="single" w:color="auto" w:sz="12" w:space="0"/>
              <w:left w:val="single" w:color="auto" w:sz="6" w:space="0"/>
              <w:bottom w:val="single" w:color="auto" w:sz="6" w:space="0"/>
              <w:right w:val="single" w:color="auto" w:sz="12" w:space="0"/>
            </w:tcBorders>
            <w:noWrap w:val="0"/>
            <w:vAlign w:val="center"/>
          </w:tcPr>
          <w:p w14:paraId="2EA071F1">
            <w:pPr>
              <w:pStyle w:val="946"/>
              <w:spacing w:line="300" w:lineRule="exact"/>
              <w:rPr>
                <w:rFonts w:ascii="Arial" w:hAnsi="Arial" w:cs="Arial"/>
                <w:sz w:val="22"/>
                <w:szCs w:val="22"/>
              </w:rPr>
            </w:pPr>
            <w:r>
              <w:rPr>
                <w:rFonts w:ascii="Arial" w:hAnsi="Arial" w:cs="Arial"/>
                <w:sz w:val="22"/>
                <w:szCs w:val="22"/>
              </w:rPr>
              <w:t>最终去向</w:t>
            </w:r>
          </w:p>
        </w:tc>
      </w:tr>
      <w:tr w14:paraId="27F02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restart"/>
            <w:tcBorders>
              <w:top w:val="single" w:color="auto" w:sz="6" w:space="0"/>
              <w:left w:val="single" w:color="auto" w:sz="12" w:space="0"/>
              <w:bottom w:val="single" w:color="auto" w:sz="6" w:space="0"/>
              <w:right w:val="single" w:color="auto" w:sz="6" w:space="0"/>
            </w:tcBorders>
            <w:noWrap w:val="0"/>
            <w:vAlign w:val="center"/>
          </w:tcPr>
          <w:p w14:paraId="6087A882">
            <w:pPr>
              <w:pStyle w:val="946"/>
              <w:spacing w:line="300" w:lineRule="exact"/>
              <w:rPr>
                <w:rFonts w:ascii="Arial" w:hAnsi="Arial" w:cs="Arial"/>
                <w:sz w:val="22"/>
                <w:szCs w:val="22"/>
              </w:rPr>
            </w:pPr>
            <w:r>
              <w:rPr>
                <w:rFonts w:ascii="Arial" w:hAnsi="Arial" w:cs="Arial"/>
                <w:sz w:val="22"/>
                <w:szCs w:val="22"/>
              </w:rPr>
              <w:t>营运期</w:t>
            </w:r>
          </w:p>
        </w:tc>
        <w:tc>
          <w:tcPr>
            <w:tcW w:w="592" w:type="dxa"/>
            <w:vMerge w:val="restart"/>
            <w:tcBorders>
              <w:top w:val="single" w:color="auto" w:sz="6" w:space="0"/>
              <w:left w:val="single" w:color="auto" w:sz="6" w:space="0"/>
              <w:bottom w:val="single" w:color="auto" w:sz="6" w:space="0"/>
              <w:right w:val="single" w:color="auto" w:sz="6" w:space="0"/>
            </w:tcBorders>
            <w:noWrap w:val="0"/>
            <w:vAlign w:val="center"/>
          </w:tcPr>
          <w:p w14:paraId="730495BD">
            <w:pPr>
              <w:pStyle w:val="946"/>
              <w:spacing w:line="300" w:lineRule="exact"/>
              <w:rPr>
                <w:rFonts w:ascii="Arial" w:hAnsi="Arial" w:cs="Arial"/>
                <w:sz w:val="22"/>
                <w:szCs w:val="22"/>
              </w:rPr>
            </w:pPr>
            <w:r>
              <w:rPr>
                <w:rFonts w:ascii="Arial" w:hAnsi="Arial" w:cs="Arial"/>
                <w:sz w:val="22"/>
                <w:szCs w:val="22"/>
              </w:rPr>
              <w:t>废水</w:t>
            </w:r>
          </w:p>
        </w:tc>
        <w:tc>
          <w:tcPr>
            <w:tcW w:w="1235" w:type="dxa"/>
            <w:vMerge w:val="restart"/>
            <w:tcBorders>
              <w:top w:val="single" w:color="auto" w:sz="6" w:space="0"/>
              <w:left w:val="single" w:color="auto" w:sz="6" w:space="0"/>
              <w:bottom w:val="single" w:color="auto" w:sz="6" w:space="0"/>
              <w:right w:val="single" w:color="auto" w:sz="6" w:space="0"/>
            </w:tcBorders>
            <w:noWrap w:val="0"/>
            <w:vAlign w:val="center"/>
          </w:tcPr>
          <w:p w14:paraId="2D5BDB2A">
            <w:pPr>
              <w:pStyle w:val="946"/>
              <w:spacing w:line="300" w:lineRule="exact"/>
              <w:rPr>
                <w:rFonts w:ascii="Arial" w:hAnsi="Arial" w:cs="Arial"/>
                <w:sz w:val="22"/>
                <w:szCs w:val="22"/>
              </w:rPr>
            </w:pPr>
            <w:r>
              <w:rPr>
                <w:rFonts w:ascii="Arial" w:hAnsi="Arial" w:cs="Arial"/>
                <w:sz w:val="22"/>
                <w:szCs w:val="22"/>
              </w:rPr>
              <w:t>管理人员生活污水</w:t>
            </w:r>
          </w:p>
        </w:tc>
        <w:tc>
          <w:tcPr>
            <w:tcW w:w="1325" w:type="dxa"/>
            <w:vMerge w:val="restart"/>
            <w:tcBorders>
              <w:top w:val="single" w:color="auto" w:sz="6" w:space="0"/>
              <w:left w:val="single" w:color="auto" w:sz="6" w:space="0"/>
              <w:bottom w:val="single" w:color="auto" w:sz="6" w:space="0"/>
              <w:right w:val="single" w:color="auto" w:sz="6" w:space="0"/>
            </w:tcBorders>
            <w:noWrap w:val="0"/>
            <w:vAlign w:val="center"/>
          </w:tcPr>
          <w:p w14:paraId="5118AD19">
            <w:pPr>
              <w:pStyle w:val="946"/>
              <w:spacing w:line="300" w:lineRule="exact"/>
              <w:rPr>
                <w:rFonts w:ascii="Arial" w:hAnsi="Arial" w:cs="Arial"/>
                <w:sz w:val="22"/>
                <w:szCs w:val="22"/>
              </w:rPr>
            </w:pPr>
            <w:r>
              <w:rPr>
                <w:rFonts w:hint="eastAsia" w:ascii="Arial" w:hAnsi="Arial" w:cs="Arial"/>
                <w:sz w:val="22"/>
                <w:szCs w:val="22"/>
                <w:lang w:val="en-US" w:eastAsia="zh-CN"/>
              </w:rPr>
              <w:t>0.54</w:t>
            </w:r>
            <w:r>
              <w:rPr>
                <w:rFonts w:ascii="Arial" w:hAnsi="Arial" w:cs="Arial"/>
                <w:sz w:val="22"/>
                <w:szCs w:val="22"/>
              </w:rPr>
              <w:t>m</w:t>
            </w:r>
            <w:r>
              <w:rPr>
                <w:rFonts w:ascii="Arial" w:hAnsi="Arial" w:cs="Arial"/>
                <w:sz w:val="22"/>
                <w:szCs w:val="22"/>
                <w:vertAlign w:val="superscript"/>
              </w:rPr>
              <w:t>3</w:t>
            </w:r>
            <w:r>
              <w:rPr>
                <w:rFonts w:ascii="Arial" w:hAnsi="Arial" w:cs="Arial"/>
                <w:sz w:val="22"/>
                <w:szCs w:val="22"/>
              </w:rPr>
              <w:t>/d</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A0F67F0">
            <w:pPr>
              <w:pStyle w:val="946"/>
              <w:spacing w:line="300" w:lineRule="exact"/>
              <w:rPr>
                <w:rFonts w:ascii="Arial" w:hAnsi="Arial" w:cs="Arial"/>
                <w:sz w:val="22"/>
                <w:szCs w:val="22"/>
              </w:rPr>
            </w:pPr>
            <w:r>
              <w:rPr>
                <w:rFonts w:ascii="Arial" w:hAnsi="Arial" w:cs="Arial"/>
                <w:sz w:val="22"/>
                <w:szCs w:val="22"/>
              </w:rPr>
              <w:t>COD</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3CB840FF">
            <w:pPr>
              <w:pStyle w:val="946"/>
              <w:spacing w:line="300" w:lineRule="exact"/>
              <w:rPr>
                <w:rFonts w:ascii="Arial" w:hAnsi="Arial" w:cs="Arial"/>
                <w:sz w:val="22"/>
                <w:szCs w:val="22"/>
              </w:rPr>
            </w:pPr>
            <w:r>
              <w:rPr>
                <w:rFonts w:ascii="Arial" w:hAnsi="Arial" w:cs="Arial"/>
                <w:sz w:val="22"/>
                <w:szCs w:val="22"/>
              </w:rPr>
              <w:t>450mg/L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706EB7E0">
            <w:pPr>
              <w:pStyle w:val="946"/>
              <w:spacing w:line="300" w:lineRule="exact"/>
              <w:rPr>
                <w:rFonts w:ascii="Arial" w:hAnsi="Arial" w:cs="Arial"/>
                <w:sz w:val="22"/>
                <w:szCs w:val="22"/>
              </w:rPr>
            </w:pPr>
            <w:r>
              <w:rPr>
                <w:rFonts w:hint="eastAsia" w:ascii="Arial" w:hAnsi="Arial" w:cs="Arial"/>
                <w:sz w:val="22"/>
                <w:szCs w:val="22"/>
                <w:lang w:val="en-US" w:eastAsia="zh-CN"/>
              </w:rPr>
              <w:t>0.243</w:t>
            </w:r>
            <w:r>
              <w:rPr>
                <w:rFonts w:ascii="Arial" w:hAnsi="Arial" w:cs="Arial"/>
                <w:sz w:val="22"/>
                <w:szCs w:val="22"/>
              </w:rPr>
              <w:t>kg/d</w:t>
            </w:r>
          </w:p>
        </w:tc>
        <w:tc>
          <w:tcPr>
            <w:tcW w:w="2226" w:type="dxa"/>
            <w:vMerge w:val="restart"/>
            <w:tcBorders>
              <w:top w:val="single" w:color="auto" w:sz="6" w:space="0"/>
              <w:left w:val="single" w:color="auto" w:sz="6" w:space="0"/>
              <w:bottom w:val="single" w:color="auto" w:sz="6" w:space="0"/>
              <w:right w:val="single" w:color="auto" w:sz="6" w:space="0"/>
            </w:tcBorders>
            <w:noWrap w:val="0"/>
            <w:vAlign w:val="center"/>
          </w:tcPr>
          <w:p w14:paraId="0E673DD6">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经管理区化粪池收集后，交附近居民</w:t>
            </w:r>
            <w:r>
              <w:rPr>
                <w:rFonts w:hint="eastAsia" w:ascii="Arial" w:hAnsi="Arial" w:cs="Arial"/>
                <w:sz w:val="22"/>
                <w:szCs w:val="22"/>
                <w:lang w:val="en-US" w:eastAsia="zh-CN"/>
              </w:rPr>
              <w:t xml:space="preserve"> </w:t>
            </w:r>
            <w:r>
              <w:rPr>
                <w:rFonts w:hint="eastAsia" w:ascii="Arial" w:hAnsi="Arial" w:cs="Arial"/>
                <w:sz w:val="22"/>
                <w:szCs w:val="22"/>
                <w:lang w:eastAsia="zh-CN"/>
              </w:rPr>
              <w:t>做农肥，不外排。</w:t>
            </w:r>
          </w:p>
        </w:tc>
        <w:tc>
          <w:tcPr>
            <w:tcW w:w="1275" w:type="dxa"/>
            <w:vMerge w:val="restart"/>
            <w:tcBorders>
              <w:top w:val="single" w:color="auto" w:sz="6" w:space="0"/>
              <w:left w:val="single" w:color="auto" w:sz="6" w:space="0"/>
              <w:bottom w:val="single" w:color="auto" w:sz="6" w:space="0"/>
              <w:right w:val="single" w:color="auto" w:sz="6" w:space="0"/>
            </w:tcBorders>
            <w:noWrap w:val="0"/>
            <w:vAlign w:val="center"/>
          </w:tcPr>
          <w:p w14:paraId="7C79CBBA">
            <w:pPr>
              <w:pStyle w:val="946"/>
              <w:spacing w:line="300" w:lineRule="exact"/>
              <w:rPr>
                <w:rFonts w:ascii="Arial" w:hAnsi="Arial" w:cs="Arial"/>
                <w:sz w:val="22"/>
                <w:szCs w:val="22"/>
              </w:rPr>
            </w:pPr>
            <w:r>
              <w:rPr>
                <w:rFonts w:ascii="Arial" w:hAnsi="Arial" w:cs="Arial"/>
                <w:sz w:val="22"/>
                <w:szCs w:val="22"/>
              </w:rPr>
              <w:t>0</w:t>
            </w:r>
          </w:p>
        </w:tc>
        <w:tc>
          <w:tcPr>
            <w:tcW w:w="851" w:type="dxa"/>
            <w:vMerge w:val="restart"/>
            <w:tcBorders>
              <w:top w:val="single" w:color="auto" w:sz="6" w:space="0"/>
              <w:left w:val="single" w:color="auto" w:sz="6" w:space="0"/>
              <w:bottom w:val="single" w:color="auto" w:sz="6" w:space="0"/>
              <w:right w:val="single" w:color="auto" w:sz="6" w:space="0"/>
            </w:tcBorders>
            <w:noWrap w:val="0"/>
            <w:vAlign w:val="center"/>
          </w:tcPr>
          <w:p w14:paraId="389025C5">
            <w:pPr>
              <w:pStyle w:val="946"/>
              <w:spacing w:line="300" w:lineRule="exact"/>
              <w:rPr>
                <w:rFonts w:ascii="Arial" w:hAnsi="Arial" w:cs="Arial"/>
                <w:sz w:val="22"/>
                <w:szCs w:val="22"/>
              </w:rPr>
            </w:pPr>
            <w:r>
              <w:rPr>
                <w:rFonts w:ascii="Arial" w:hAnsi="Arial" w:cs="Arial"/>
                <w:sz w:val="22"/>
                <w:szCs w:val="22"/>
              </w:rPr>
              <w:t>/</w:t>
            </w:r>
          </w:p>
        </w:tc>
        <w:tc>
          <w:tcPr>
            <w:tcW w:w="1177" w:type="dxa"/>
            <w:vMerge w:val="restart"/>
            <w:tcBorders>
              <w:top w:val="single" w:color="auto" w:sz="6" w:space="0"/>
              <w:left w:val="single" w:color="auto" w:sz="6" w:space="0"/>
              <w:bottom w:val="single" w:color="auto" w:sz="6" w:space="0"/>
              <w:right w:val="single" w:color="auto" w:sz="6" w:space="0"/>
            </w:tcBorders>
            <w:noWrap w:val="0"/>
            <w:vAlign w:val="center"/>
          </w:tcPr>
          <w:p w14:paraId="33388030">
            <w:pPr>
              <w:pStyle w:val="946"/>
              <w:spacing w:line="300" w:lineRule="exact"/>
              <w:rPr>
                <w:rFonts w:ascii="Arial" w:hAnsi="Arial" w:cs="Arial"/>
                <w:sz w:val="22"/>
                <w:szCs w:val="22"/>
              </w:rPr>
            </w:pPr>
            <w:r>
              <w:rPr>
                <w:rFonts w:ascii="Arial" w:hAnsi="Arial" w:cs="Arial"/>
                <w:sz w:val="22"/>
                <w:szCs w:val="22"/>
              </w:rPr>
              <w:t>/</w:t>
            </w:r>
          </w:p>
        </w:tc>
        <w:tc>
          <w:tcPr>
            <w:tcW w:w="1275" w:type="dxa"/>
            <w:vMerge w:val="restart"/>
            <w:tcBorders>
              <w:top w:val="single" w:color="auto" w:sz="6" w:space="0"/>
              <w:left w:val="single" w:color="auto" w:sz="6" w:space="0"/>
              <w:bottom w:val="single" w:color="auto" w:sz="6" w:space="0"/>
              <w:right w:val="single" w:color="auto" w:sz="12" w:space="0"/>
            </w:tcBorders>
            <w:noWrap w:val="0"/>
            <w:vAlign w:val="center"/>
          </w:tcPr>
          <w:p w14:paraId="1B7EBBEC">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周边</w:t>
            </w:r>
          </w:p>
          <w:p w14:paraId="14CC8007">
            <w:pPr>
              <w:pStyle w:val="946"/>
              <w:spacing w:line="300" w:lineRule="exact"/>
              <w:rPr>
                <w:rFonts w:ascii="Arial" w:hAnsi="Arial" w:cs="Arial"/>
                <w:sz w:val="22"/>
                <w:szCs w:val="22"/>
              </w:rPr>
            </w:pPr>
            <w:r>
              <w:rPr>
                <w:rFonts w:hint="eastAsia" w:ascii="Arial" w:hAnsi="Arial" w:cs="Arial"/>
                <w:sz w:val="22"/>
                <w:szCs w:val="22"/>
                <w:lang w:eastAsia="zh-CN"/>
              </w:rPr>
              <w:t>农耕地</w:t>
            </w:r>
          </w:p>
        </w:tc>
      </w:tr>
      <w:tr w14:paraId="76A54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281A3E80">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7572EA45">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4E96D79F">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02975718">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2737CB7">
            <w:pPr>
              <w:pStyle w:val="946"/>
              <w:spacing w:line="300" w:lineRule="exact"/>
              <w:rPr>
                <w:rFonts w:ascii="Arial" w:hAnsi="Arial" w:cs="Arial"/>
                <w:sz w:val="22"/>
                <w:szCs w:val="22"/>
              </w:rPr>
            </w:pPr>
            <w:r>
              <w:rPr>
                <w:rFonts w:ascii="Arial" w:hAnsi="Arial" w:cs="Arial"/>
                <w:sz w:val="22"/>
                <w:szCs w:val="22"/>
              </w:rPr>
              <w:t>BOD</w:t>
            </w:r>
            <w:r>
              <w:rPr>
                <w:rFonts w:ascii="Arial" w:hAnsi="Arial" w:cs="Arial"/>
                <w:sz w:val="22"/>
                <w:szCs w:val="22"/>
                <w:vertAlign w:val="subscript"/>
              </w:rPr>
              <w:t>5</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3F22F397">
            <w:pPr>
              <w:pStyle w:val="946"/>
              <w:spacing w:line="300" w:lineRule="exact"/>
              <w:rPr>
                <w:rFonts w:ascii="Arial" w:hAnsi="Arial" w:cs="Arial"/>
                <w:sz w:val="22"/>
                <w:szCs w:val="22"/>
              </w:rPr>
            </w:pPr>
            <w:r>
              <w:rPr>
                <w:rFonts w:ascii="Arial" w:hAnsi="Arial" w:cs="Arial"/>
                <w:sz w:val="22"/>
                <w:szCs w:val="22"/>
              </w:rPr>
              <w:t>250mg/L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25FF55D6">
            <w:pPr>
              <w:pStyle w:val="946"/>
              <w:spacing w:line="300" w:lineRule="exact"/>
              <w:rPr>
                <w:rFonts w:ascii="Arial" w:hAnsi="Arial" w:cs="Arial"/>
                <w:sz w:val="22"/>
                <w:szCs w:val="22"/>
              </w:rPr>
            </w:pPr>
            <w:r>
              <w:rPr>
                <w:rFonts w:hint="eastAsia" w:ascii="Arial" w:hAnsi="Arial" w:cs="Arial"/>
                <w:sz w:val="22"/>
                <w:szCs w:val="22"/>
                <w:lang w:val="en-US" w:eastAsia="zh-CN"/>
              </w:rPr>
              <w:t>0.135</w:t>
            </w:r>
            <w:r>
              <w:rPr>
                <w:rFonts w:ascii="Arial" w:hAnsi="Arial" w:cs="Arial"/>
                <w:sz w:val="22"/>
                <w:szCs w:val="22"/>
              </w:rPr>
              <w:t>kg/d</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276A4213">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62166067">
            <w:pPr>
              <w:widowControl/>
              <w:spacing w:line="300" w:lineRule="exact"/>
              <w:jc w:val="center"/>
              <w:rPr>
                <w:rFonts w:ascii="Arial" w:hAnsi="Arial" w:cs="Arial"/>
                <w:sz w:val="22"/>
                <w:szCs w:val="22"/>
              </w:rPr>
            </w:pPr>
          </w:p>
        </w:tc>
        <w:tc>
          <w:tcPr>
            <w:tcW w:w="851" w:type="dxa"/>
            <w:vMerge w:val="continue"/>
            <w:tcBorders>
              <w:top w:val="single" w:color="auto" w:sz="6" w:space="0"/>
              <w:left w:val="single" w:color="auto" w:sz="6" w:space="0"/>
              <w:bottom w:val="single" w:color="auto" w:sz="6" w:space="0"/>
              <w:right w:val="single" w:color="auto" w:sz="6" w:space="0"/>
            </w:tcBorders>
            <w:noWrap w:val="0"/>
            <w:vAlign w:val="center"/>
          </w:tcPr>
          <w:p w14:paraId="4DBE4F42">
            <w:pPr>
              <w:widowControl/>
              <w:spacing w:line="300" w:lineRule="exact"/>
              <w:jc w:val="center"/>
              <w:rPr>
                <w:rFonts w:ascii="Arial" w:hAnsi="Arial" w:cs="Arial"/>
                <w:sz w:val="22"/>
                <w:szCs w:val="22"/>
              </w:rPr>
            </w:pPr>
          </w:p>
        </w:tc>
        <w:tc>
          <w:tcPr>
            <w:tcW w:w="1177" w:type="dxa"/>
            <w:vMerge w:val="continue"/>
            <w:tcBorders>
              <w:top w:val="single" w:color="auto" w:sz="6" w:space="0"/>
              <w:left w:val="single" w:color="auto" w:sz="6" w:space="0"/>
              <w:bottom w:val="single" w:color="auto" w:sz="6" w:space="0"/>
              <w:right w:val="single" w:color="auto" w:sz="6" w:space="0"/>
            </w:tcBorders>
            <w:noWrap w:val="0"/>
            <w:vAlign w:val="center"/>
          </w:tcPr>
          <w:p w14:paraId="788C42BE">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6EB50065">
            <w:pPr>
              <w:widowControl/>
              <w:spacing w:line="300" w:lineRule="exact"/>
              <w:jc w:val="center"/>
              <w:rPr>
                <w:rFonts w:ascii="Arial" w:hAnsi="Arial" w:cs="Arial"/>
                <w:sz w:val="22"/>
                <w:szCs w:val="22"/>
              </w:rPr>
            </w:pPr>
          </w:p>
        </w:tc>
      </w:tr>
      <w:tr w14:paraId="1AFA5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1BFD5501">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2B53DE08">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6C3E3C41">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18CA8A37">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8A147A1">
            <w:pPr>
              <w:pStyle w:val="946"/>
              <w:spacing w:line="300" w:lineRule="exact"/>
              <w:rPr>
                <w:rFonts w:ascii="Arial" w:hAnsi="Arial" w:cs="Arial"/>
                <w:sz w:val="22"/>
                <w:szCs w:val="22"/>
              </w:rPr>
            </w:pPr>
            <w:r>
              <w:rPr>
                <w:rFonts w:ascii="Arial" w:hAnsi="Arial" w:cs="Arial"/>
                <w:sz w:val="22"/>
                <w:szCs w:val="22"/>
              </w:rPr>
              <w:t>SS</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43FC414B">
            <w:pPr>
              <w:pStyle w:val="946"/>
              <w:spacing w:line="300" w:lineRule="exact"/>
              <w:rPr>
                <w:rFonts w:ascii="Arial" w:hAnsi="Arial" w:cs="Arial"/>
                <w:sz w:val="22"/>
                <w:szCs w:val="22"/>
              </w:rPr>
            </w:pPr>
            <w:r>
              <w:rPr>
                <w:rFonts w:ascii="Arial" w:hAnsi="Arial" w:cs="Arial"/>
                <w:sz w:val="22"/>
                <w:szCs w:val="22"/>
              </w:rPr>
              <w:t>250mg/L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45590697">
            <w:pPr>
              <w:pStyle w:val="946"/>
              <w:spacing w:line="300" w:lineRule="exact"/>
              <w:rPr>
                <w:rFonts w:ascii="Arial" w:hAnsi="Arial" w:cs="Arial"/>
                <w:sz w:val="22"/>
                <w:szCs w:val="22"/>
              </w:rPr>
            </w:pPr>
            <w:r>
              <w:rPr>
                <w:rFonts w:hint="eastAsia" w:ascii="Arial" w:hAnsi="Arial" w:cs="Arial"/>
                <w:sz w:val="22"/>
                <w:szCs w:val="22"/>
                <w:lang w:eastAsia="zh-CN"/>
              </w:rPr>
              <w:t>0.</w:t>
            </w:r>
            <w:r>
              <w:rPr>
                <w:rFonts w:hint="eastAsia" w:ascii="Arial" w:hAnsi="Arial" w:cs="Arial"/>
                <w:sz w:val="22"/>
                <w:szCs w:val="22"/>
                <w:lang w:val="en-US" w:eastAsia="zh-CN"/>
              </w:rPr>
              <w:t>135</w:t>
            </w:r>
            <w:r>
              <w:rPr>
                <w:rFonts w:ascii="Arial" w:hAnsi="Arial" w:cs="Arial"/>
                <w:sz w:val="22"/>
                <w:szCs w:val="22"/>
              </w:rPr>
              <w:t>kg/d</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4668BCBC">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31E9FD3F">
            <w:pPr>
              <w:widowControl/>
              <w:spacing w:line="300" w:lineRule="exact"/>
              <w:jc w:val="center"/>
              <w:rPr>
                <w:rFonts w:ascii="Arial" w:hAnsi="Arial" w:cs="Arial"/>
                <w:sz w:val="22"/>
                <w:szCs w:val="22"/>
              </w:rPr>
            </w:pPr>
          </w:p>
        </w:tc>
        <w:tc>
          <w:tcPr>
            <w:tcW w:w="851" w:type="dxa"/>
            <w:vMerge w:val="continue"/>
            <w:tcBorders>
              <w:top w:val="single" w:color="auto" w:sz="6" w:space="0"/>
              <w:left w:val="single" w:color="auto" w:sz="6" w:space="0"/>
              <w:bottom w:val="single" w:color="auto" w:sz="6" w:space="0"/>
              <w:right w:val="single" w:color="auto" w:sz="6" w:space="0"/>
            </w:tcBorders>
            <w:noWrap w:val="0"/>
            <w:vAlign w:val="center"/>
          </w:tcPr>
          <w:p w14:paraId="6947F75D">
            <w:pPr>
              <w:widowControl/>
              <w:spacing w:line="300" w:lineRule="exact"/>
              <w:jc w:val="center"/>
              <w:rPr>
                <w:rFonts w:ascii="Arial" w:hAnsi="Arial" w:cs="Arial"/>
                <w:sz w:val="22"/>
                <w:szCs w:val="22"/>
              </w:rPr>
            </w:pPr>
          </w:p>
        </w:tc>
        <w:tc>
          <w:tcPr>
            <w:tcW w:w="1177" w:type="dxa"/>
            <w:vMerge w:val="continue"/>
            <w:tcBorders>
              <w:top w:val="single" w:color="auto" w:sz="6" w:space="0"/>
              <w:left w:val="single" w:color="auto" w:sz="6" w:space="0"/>
              <w:bottom w:val="single" w:color="auto" w:sz="6" w:space="0"/>
              <w:right w:val="single" w:color="auto" w:sz="6" w:space="0"/>
            </w:tcBorders>
            <w:noWrap w:val="0"/>
            <w:vAlign w:val="center"/>
          </w:tcPr>
          <w:p w14:paraId="77F5629F">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421A7289">
            <w:pPr>
              <w:widowControl/>
              <w:spacing w:line="300" w:lineRule="exact"/>
              <w:jc w:val="center"/>
              <w:rPr>
                <w:rFonts w:ascii="Arial" w:hAnsi="Arial" w:cs="Arial"/>
                <w:sz w:val="22"/>
                <w:szCs w:val="22"/>
              </w:rPr>
            </w:pPr>
          </w:p>
        </w:tc>
      </w:tr>
      <w:tr w14:paraId="14F9A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07AC9B89">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2DD970C9">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5340B21F">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1038503E">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348110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动植</w:t>
            </w:r>
          </w:p>
          <w:p w14:paraId="691BB26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物油</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4DF7678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35</w:t>
            </w:r>
            <w:r>
              <w:rPr>
                <w:rFonts w:ascii="Arial" w:hAnsi="Arial" w:cs="Arial"/>
                <w:sz w:val="22"/>
                <w:szCs w:val="22"/>
              </w:rPr>
              <w:t>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4087787C">
            <w:pPr>
              <w:pStyle w:val="946"/>
              <w:spacing w:line="300" w:lineRule="exact"/>
              <w:rPr>
                <w:rFonts w:hint="eastAsia" w:ascii="Arial" w:hAnsi="Arial" w:cs="Arial"/>
                <w:sz w:val="22"/>
                <w:szCs w:val="22"/>
                <w:lang w:eastAsia="zh-CN"/>
              </w:rPr>
            </w:pPr>
            <w:r>
              <w:rPr>
                <w:rFonts w:hint="eastAsia" w:ascii="Arial" w:hAnsi="Arial" w:cs="Arial"/>
                <w:sz w:val="22"/>
                <w:szCs w:val="22"/>
                <w:lang w:val="en-US" w:eastAsia="zh-CN"/>
              </w:rPr>
              <w:t>0.0189</w:t>
            </w:r>
            <w:r>
              <w:rPr>
                <w:rFonts w:ascii="Arial" w:hAnsi="Arial" w:cs="Arial"/>
                <w:sz w:val="22"/>
                <w:szCs w:val="22"/>
              </w:rPr>
              <w:t>kg/d</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7ED8A77D">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0D333C5D">
            <w:pPr>
              <w:widowControl/>
              <w:spacing w:line="300" w:lineRule="exact"/>
              <w:jc w:val="center"/>
              <w:rPr>
                <w:rFonts w:ascii="Arial" w:hAnsi="Arial" w:cs="Arial"/>
                <w:sz w:val="22"/>
                <w:szCs w:val="22"/>
              </w:rPr>
            </w:pPr>
          </w:p>
        </w:tc>
        <w:tc>
          <w:tcPr>
            <w:tcW w:w="851" w:type="dxa"/>
            <w:vMerge w:val="continue"/>
            <w:tcBorders>
              <w:top w:val="single" w:color="auto" w:sz="6" w:space="0"/>
              <w:left w:val="single" w:color="auto" w:sz="6" w:space="0"/>
              <w:bottom w:val="single" w:color="auto" w:sz="6" w:space="0"/>
              <w:right w:val="single" w:color="auto" w:sz="6" w:space="0"/>
            </w:tcBorders>
            <w:noWrap w:val="0"/>
            <w:vAlign w:val="center"/>
          </w:tcPr>
          <w:p w14:paraId="0C49BB1F">
            <w:pPr>
              <w:widowControl/>
              <w:spacing w:line="300" w:lineRule="exact"/>
              <w:jc w:val="center"/>
              <w:rPr>
                <w:rFonts w:ascii="Arial" w:hAnsi="Arial" w:cs="Arial"/>
                <w:sz w:val="22"/>
                <w:szCs w:val="22"/>
              </w:rPr>
            </w:pPr>
          </w:p>
        </w:tc>
        <w:tc>
          <w:tcPr>
            <w:tcW w:w="1177" w:type="dxa"/>
            <w:vMerge w:val="continue"/>
            <w:tcBorders>
              <w:top w:val="single" w:color="auto" w:sz="6" w:space="0"/>
              <w:left w:val="single" w:color="auto" w:sz="6" w:space="0"/>
              <w:bottom w:val="single" w:color="auto" w:sz="6" w:space="0"/>
              <w:right w:val="single" w:color="auto" w:sz="6" w:space="0"/>
            </w:tcBorders>
            <w:noWrap w:val="0"/>
            <w:vAlign w:val="center"/>
          </w:tcPr>
          <w:p w14:paraId="5414AAC4">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4231076E">
            <w:pPr>
              <w:widowControl/>
              <w:spacing w:line="300" w:lineRule="exact"/>
              <w:jc w:val="center"/>
              <w:rPr>
                <w:rFonts w:ascii="Arial" w:hAnsi="Arial" w:cs="Arial"/>
                <w:sz w:val="22"/>
                <w:szCs w:val="22"/>
              </w:rPr>
            </w:pPr>
          </w:p>
        </w:tc>
      </w:tr>
      <w:tr w14:paraId="65CC6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27600A0F">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4357C3A0">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5098882E">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7192DC1B">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03A10517">
            <w:pPr>
              <w:pStyle w:val="946"/>
              <w:spacing w:line="300" w:lineRule="exact"/>
              <w:rPr>
                <w:rFonts w:ascii="Arial" w:hAnsi="Arial" w:cs="Arial"/>
                <w:sz w:val="22"/>
                <w:szCs w:val="22"/>
              </w:rPr>
            </w:pPr>
            <w:r>
              <w:rPr>
                <w:rFonts w:ascii="Arial" w:hAnsi="Arial" w:cs="Arial"/>
                <w:sz w:val="22"/>
                <w:szCs w:val="22"/>
              </w:rPr>
              <w:t>NH</w:t>
            </w:r>
            <w:r>
              <w:rPr>
                <w:rFonts w:ascii="Arial" w:hAnsi="Arial" w:cs="Arial"/>
                <w:sz w:val="22"/>
                <w:szCs w:val="22"/>
                <w:vertAlign w:val="subscript"/>
              </w:rPr>
              <w:t>3</w:t>
            </w:r>
            <w:r>
              <w:rPr>
                <w:rFonts w:ascii="Arial" w:hAnsi="Arial" w:cs="Arial"/>
                <w:sz w:val="22"/>
                <w:szCs w:val="22"/>
              </w:rPr>
              <w:t>-N</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38028112">
            <w:pPr>
              <w:pStyle w:val="946"/>
              <w:spacing w:line="300" w:lineRule="exact"/>
              <w:rPr>
                <w:rFonts w:ascii="Arial" w:hAnsi="Arial" w:cs="Arial"/>
                <w:sz w:val="22"/>
                <w:szCs w:val="22"/>
              </w:rPr>
            </w:pPr>
            <w:r>
              <w:rPr>
                <w:rFonts w:ascii="Arial" w:hAnsi="Arial" w:cs="Arial"/>
                <w:sz w:val="22"/>
                <w:szCs w:val="22"/>
              </w:rPr>
              <w:t>30mg/L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73DDE659">
            <w:pPr>
              <w:pStyle w:val="946"/>
              <w:spacing w:line="300" w:lineRule="exact"/>
              <w:rPr>
                <w:rFonts w:ascii="Arial" w:hAnsi="Arial" w:cs="Arial"/>
                <w:sz w:val="22"/>
                <w:szCs w:val="22"/>
              </w:rPr>
            </w:pPr>
            <w:r>
              <w:rPr>
                <w:rFonts w:hint="eastAsia" w:ascii="Arial" w:hAnsi="Arial" w:cs="Arial"/>
                <w:sz w:val="22"/>
                <w:szCs w:val="22"/>
                <w:lang w:val="en-US" w:eastAsia="zh-CN"/>
              </w:rPr>
              <w:t>0.0162</w:t>
            </w:r>
            <w:r>
              <w:rPr>
                <w:rFonts w:ascii="Arial" w:hAnsi="Arial" w:cs="Arial"/>
                <w:sz w:val="22"/>
                <w:szCs w:val="22"/>
              </w:rPr>
              <w:t>kg/d</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21B79DF9">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78A7A663">
            <w:pPr>
              <w:widowControl/>
              <w:spacing w:line="300" w:lineRule="exact"/>
              <w:jc w:val="center"/>
              <w:rPr>
                <w:rFonts w:ascii="Arial" w:hAnsi="Arial" w:cs="Arial"/>
                <w:sz w:val="22"/>
                <w:szCs w:val="22"/>
              </w:rPr>
            </w:pPr>
          </w:p>
        </w:tc>
        <w:tc>
          <w:tcPr>
            <w:tcW w:w="851" w:type="dxa"/>
            <w:vMerge w:val="continue"/>
            <w:tcBorders>
              <w:top w:val="single" w:color="auto" w:sz="6" w:space="0"/>
              <w:left w:val="single" w:color="auto" w:sz="6" w:space="0"/>
              <w:bottom w:val="single" w:color="auto" w:sz="6" w:space="0"/>
              <w:right w:val="single" w:color="auto" w:sz="6" w:space="0"/>
            </w:tcBorders>
            <w:noWrap w:val="0"/>
            <w:vAlign w:val="center"/>
          </w:tcPr>
          <w:p w14:paraId="23AC4B87">
            <w:pPr>
              <w:widowControl/>
              <w:spacing w:line="300" w:lineRule="exact"/>
              <w:jc w:val="center"/>
              <w:rPr>
                <w:rFonts w:ascii="Arial" w:hAnsi="Arial" w:cs="Arial"/>
                <w:sz w:val="22"/>
                <w:szCs w:val="22"/>
              </w:rPr>
            </w:pPr>
          </w:p>
        </w:tc>
        <w:tc>
          <w:tcPr>
            <w:tcW w:w="1177" w:type="dxa"/>
            <w:vMerge w:val="continue"/>
            <w:tcBorders>
              <w:top w:val="single" w:color="auto" w:sz="6" w:space="0"/>
              <w:left w:val="single" w:color="auto" w:sz="6" w:space="0"/>
              <w:bottom w:val="single" w:color="auto" w:sz="6" w:space="0"/>
              <w:right w:val="single" w:color="auto" w:sz="6" w:space="0"/>
            </w:tcBorders>
            <w:noWrap w:val="0"/>
            <w:vAlign w:val="center"/>
          </w:tcPr>
          <w:p w14:paraId="4DA88A4C">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486E92BF">
            <w:pPr>
              <w:widowControl/>
              <w:spacing w:line="300" w:lineRule="exact"/>
              <w:jc w:val="center"/>
              <w:rPr>
                <w:rFonts w:ascii="Arial" w:hAnsi="Arial" w:cs="Arial"/>
                <w:sz w:val="22"/>
                <w:szCs w:val="22"/>
              </w:rPr>
            </w:pPr>
          </w:p>
        </w:tc>
      </w:tr>
      <w:tr w14:paraId="3860E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3C4F16A4">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3E855970">
            <w:pPr>
              <w:widowControl/>
              <w:spacing w:line="300" w:lineRule="exact"/>
              <w:jc w:val="center"/>
              <w:rPr>
                <w:rFonts w:ascii="Arial" w:hAnsi="Arial" w:cs="Arial"/>
                <w:sz w:val="22"/>
                <w:szCs w:val="22"/>
              </w:rPr>
            </w:pPr>
          </w:p>
        </w:tc>
        <w:tc>
          <w:tcPr>
            <w:tcW w:w="1235" w:type="dxa"/>
            <w:vMerge w:val="restart"/>
            <w:tcBorders>
              <w:top w:val="single" w:color="auto" w:sz="6" w:space="0"/>
              <w:left w:val="single" w:color="auto" w:sz="6" w:space="0"/>
              <w:bottom w:val="single" w:color="auto" w:sz="6" w:space="0"/>
              <w:right w:val="single" w:color="auto" w:sz="6" w:space="0"/>
            </w:tcBorders>
            <w:noWrap w:val="0"/>
            <w:vAlign w:val="center"/>
          </w:tcPr>
          <w:p w14:paraId="1AA1ADAE">
            <w:pPr>
              <w:pStyle w:val="946"/>
              <w:spacing w:line="300" w:lineRule="exact"/>
              <w:rPr>
                <w:rFonts w:ascii="Arial" w:hAnsi="Arial" w:cs="Arial"/>
                <w:sz w:val="22"/>
                <w:szCs w:val="22"/>
              </w:rPr>
            </w:pPr>
            <w:r>
              <w:rPr>
                <w:rFonts w:ascii="Arial" w:hAnsi="Arial" w:cs="Arial"/>
                <w:sz w:val="22"/>
                <w:szCs w:val="22"/>
              </w:rPr>
              <w:t>灌溉回</w:t>
            </w:r>
          </w:p>
          <w:p w14:paraId="2A1708E2">
            <w:pPr>
              <w:pStyle w:val="946"/>
              <w:spacing w:line="300" w:lineRule="exact"/>
              <w:rPr>
                <w:rFonts w:ascii="Arial" w:hAnsi="Arial" w:cs="Arial"/>
                <w:sz w:val="22"/>
                <w:szCs w:val="22"/>
              </w:rPr>
            </w:pPr>
            <w:r>
              <w:rPr>
                <w:rFonts w:hint="eastAsia" w:ascii="Arial" w:hAnsi="Arial" w:cs="Arial"/>
                <w:sz w:val="22"/>
                <w:szCs w:val="22"/>
                <w:lang w:val="en-US" w:eastAsia="zh-CN"/>
              </w:rPr>
              <w:t xml:space="preserve"> </w:t>
            </w:r>
            <w:r>
              <w:rPr>
                <w:rFonts w:ascii="Arial" w:hAnsi="Arial" w:cs="Arial"/>
                <w:sz w:val="22"/>
                <w:szCs w:val="22"/>
              </w:rPr>
              <w:t>归水</w:t>
            </w:r>
          </w:p>
        </w:tc>
        <w:tc>
          <w:tcPr>
            <w:tcW w:w="1325" w:type="dxa"/>
            <w:vMerge w:val="restart"/>
            <w:tcBorders>
              <w:top w:val="single" w:color="auto" w:sz="6" w:space="0"/>
              <w:left w:val="single" w:color="auto" w:sz="6" w:space="0"/>
              <w:bottom w:val="single" w:color="auto" w:sz="6" w:space="0"/>
              <w:right w:val="single" w:color="auto" w:sz="6" w:space="0"/>
            </w:tcBorders>
            <w:noWrap w:val="0"/>
            <w:vAlign w:val="center"/>
          </w:tcPr>
          <w:p w14:paraId="58E69418">
            <w:pPr>
              <w:pStyle w:val="946"/>
              <w:spacing w:line="300" w:lineRule="exact"/>
              <w:rPr>
                <w:rFonts w:ascii="Arial" w:hAnsi="Arial" w:cs="Arial"/>
                <w:sz w:val="22"/>
                <w:szCs w:val="22"/>
              </w:rPr>
            </w:pPr>
            <w:r>
              <w:rPr>
                <w:rFonts w:hint="eastAsia" w:ascii="Arial" w:hAnsi="Arial" w:cs="Arial"/>
                <w:sz w:val="22"/>
                <w:szCs w:val="22"/>
                <w:lang w:val="en-US" w:eastAsia="zh-CN"/>
              </w:rPr>
              <w:t>14.375</w:t>
            </w:r>
            <w:r>
              <w:rPr>
                <w:rFonts w:ascii="Arial" w:hAnsi="Arial" w:cs="Arial"/>
                <w:sz w:val="22"/>
                <w:szCs w:val="22"/>
              </w:rPr>
              <w:t>万m³</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13F478C6">
            <w:pPr>
              <w:pStyle w:val="946"/>
              <w:spacing w:line="300" w:lineRule="exact"/>
              <w:rPr>
                <w:rFonts w:ascii="Arial" w:hAnsi="Arial" w:cs="Arial"/>
                <w:sz w:val="22"/>
                <w:szCs w:val="22"/>
              </w:rPr>
            </w:pPr>
            <w:r>
              <w:rPr>
                <w:rFonts w:ascii="Arial" w:hAnsi="Arial" w:cs="Arial"/>
                <w:sz w:val="22"/>
                <w:szCs w:val="22"/>
              </w:rPr>
              <w:t>总氮</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655CCFF3">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5BCFFF8B">
            <w:pPr>
              <w:pStyle w:val="946"/>
              <w:spacing w:line="300" w:lineRule="exact"/>
              <w:rPr>
                <w:rFonts w:ascii="Arial" w:hAnsi="Arial" w:cs="Arial"/>
                <w:sz w:val="22"/>
                <w:szCs w:val="22"/>
              </w:rPr>
            </w:pPr>
            <w:r>
              <w:rPr>
                <w:rFonts w:ascii="Arial" w:hAnsi="Arial" w:cs="Arial"/>
                <w:sz w:val="22"/>
                <w:szCs w:val="22"/>
              </w:rPr>
              <w:t>/</w:t>
            </w:r>
          </w:p>
        </w:tc>
        <w:tc>
          <w:tcPr>
            <w:tcW w:w="2226" w:type="dxa"/>
            <w:vMerge w:val="restart"/>
            <w:tcBorders>
              <w:top w:val="single" w:color="auto" w:sz="6" w:space="0"/>
              <w:left w:val="single" w:color="auto" w:sz="6" w:space="0"/>
              <w:bottom w:val="single" w:color="auto" w:sz="6" w:space="0"/>
              <w:right w:val="single" w:color="auto" w:sz="6" w:space="0"/>
            </w:tcBorders>
            <w:noWrap w:val="0"/>
            <w:vAlign w:val="center"/>
          </w:tcPr>
          <w:p w14:paraId="420622A2">
            <w:pPr>
              <w:pStyle w:val="946"/>
              <w:spacing w:line="300" w:lineRule="exact"/>
              <w:rPr>
                <w:rFonts w:ascii="Arial" w:hAnsi="Arial" w:cs="Arial"/>
                <w:sz w:val="22"/>
                <w:szCs w:val="22"/>
              </w:rPr>
            </w:pPr>
            <w:r>
              <w:rPr>
                <w:rFonts w:ascii="Arial" w:hAnsi="Arial" w:cs="Arial"/>
                <w:sz w:val="22"/>
                <w:szCs w:val="22"/>
              </w:rPr>
              <w:t>/</w:t>
            </w:r>
          </w:p>
        </w:tc>
        <w:tc>
          <w:tcPr>
            <w:tcW w:w="1275" w:type="dxa"/>
            <w:vMerge w:val="restart"/>
            <w:tcBorders>
              <w:top w:val="single" w:color="auto" w:sz="6" w:space="0"/>
              <w:left w:val="single" w:color="auto" w:sz="6" w:space="0"/>
              <w:bottom w:val="single" w:color="auto" w:sz="6" w:space="0"/>
              <w:right w:val="single" w:color="auto" w:sz="6" w:space="0"/>
            </w:tcBorders>
            <w:noWrap w:val="0"/>
            <w:vAlign w:val="center"/>
          </w:tcPr>
          <w:p w14:paraId="3243271A">
            <w:pPr>
              <w:pStyle w:val="946"/>
              <w:spacing w:line="300" w:lineRule="exact"/>
              <w:rPr>
                <w:rFonts w:hint="eastAsia" w:ascii="Arial" w:hAnsi="Arial" w:cs="Arial"/>
                <w:sz w:val="22"/>
                <w:szCs w:val="22"/>
                <w:lang w:eastAsia="zh-CN"/>
              </w:rPr>
            </w:pPr>
            <w:r>
              <w:rPr>
                <w:rFonts w:hint="eastAsia" w:ascii="Arial" w:hAnsi="Arial" w:cs="Arial"/>
                <w:sz w:val="22"/>
                <w:szCs w:val="22"/>
                <w:lang w:val="en-US" w:eastAsia="zh-CN"/>
              </w:rPr>
              <w:t>14.375</w:t>
            </w:r>
            <w:r>
              <w:rPr>
                <w:rFonts w:ascii="Arial" w:hAnsi="Arial" w:cs="Arial"/>
                <w:sz w:val="22"/>
                <w:szCs w:val="22"/>
              </w:rPr>
              <w:t>万m</w:t>
            </w:r>
            <w:r>
              <w:rPr>
                <w:rFonts w:hint="eastAsia" w:ascii="Arial" w:hAnsi="Arial" w:cs="Arial"/>
                <w:sz w:val="22"/>
                <w:szCs w:val="22"/>
                <w:vertAlign w:val="superscript"/>
                <w:lang w:eastAsia="zh-CN"/>
              </w:rPr>
              <w:t>3</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728A43C7">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63C78CDE">
            <w:pPr>
              <w:pStyle w:val="946"/>
              <w:spacing w:line="300" w:lineRule="exact"/>
              <w:rPr>
                <w:rFonts w:ascii="Arial" w:hAnsi="Arial" w:cs="Arial"/>
                <w:sz w:val="22"/>
                <w:szCs w:val="22"/>
              </w:rPr>
            </w:pPr>
            <w:r>
              <w:rPr>
                <w:rFonts w:ascii="Arial" w:hAnsi="Arial" w:cs="Arial"/>
                <w:sz w:val="22"/>
                <w:szCs w:val="22"/>
              </w:rPr>
              <w:t>/</w:t>
            </w:r>
          </w:p>
        </w:tc>
        <w:tc>
          <w:tcPr>
            <w:tcW w:w="1275" w:type="dxa"/>
            <w:vMerge w:val="restart"/>
            <w:tcBorders>
              <w:top w:val="single" w:color="auto" w:sz="6" w:space="0"/>
              <w:left w:val="single" w:color="auto" w:sz="6" w:space="0"/>
              <w:bottom w:val="single" w:color="auto" w:sz="6" w:space="0"/>
              <w:right w:val="single" w:color="auto" w:sz="12" w:space="0"/>
            </w:tcBorders>
            <w:noWrap w:val="0"/>
            <w:vAlign w:val="center"/>
          </w:tcPr>
          <w:p w14:paraId="41D5D0AA">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海螺沟、高洞桥河、双龙河</w:t>
            </w:r>
          </w:p>
        </w:tc>
      </w:tr>
      <w:tr w14:paraId="0FC56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7638CE10">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1327A492">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1930D74D">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7720C400">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B6C16F9">
            <w:pPr>
              <w:pStyle w:val="946"/>
              <w:spacing w:line="300" w:lineRule="exact"/>
              <w:rPr>
                <w:rFonts w:ascii="Arial" w:hAnsi="Arial" w:cs="Arial"/>
                <w:sz w:val="22"/>
                <w:szCs w:val="22"/>
              </w:rPr>
            </w:pPr>
            <w:r>
              <w:rPr>
                <w:rFonts w:ascii="Arial" w:hAnsi="Arial" w:cs="Arial"/>
                <w:sz w:val="22"/>
                <w:szCs w:val="22"/>
              </w:rPr>
              <w:t>总磷</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6E0AC767">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27723006">
            <w:pPr>
              <w:pStyle w:val="946"/>
              <w:spacing w:line="300" w:lineRule="exact"/>
              <w:rPr>
                <w:rFonts w:ascii="Arial" w:hAnsi="Arial" w:cs="Arial"/>
                <w:sz w:val="22"/>
                <w:szCs w:val="22"/>
              </w:rPr>
            </w:pPr>
            <w:r>
              <w:rPr>
                <w:rFonts w:ascii="Arial" w:hAnsi="Arial" w:cs="Arial"/>
                <w:sz w:val="22"/>
                <w:szCs w:val="22"/>
              </w:rPr>
              <w:t>/</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19E456DA">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2044EA9D">
            <w:pPr>
              <w:widowControl/>
              <w:spacing w:line="300" w:lineRule="exact"/>
              <w:jc w:val="center"/>
              <w:rPr>
                <w:rFonts w:ascii="Arial" w:hAnsi="Arial" w:cs="Arial"/>
                <w:sz w:val="22"/>
                <w:szCs w:val="22"/>
              </w:rPr>
            </w:pPr>
          </w:p>
        </w:tc>
        <w:tc>
          <w:tcPr>
            <w:tcW w:w="851" w:type="dxa"/>
            <w:tcBorders>
              <w:top w:val="single" w:color="auto" w:sz="6" w:space="0"/>
              <w:left w:val="single" w:color="auto" w:sz="6" w:space="0"/>
              <w:bottom w:val="single" w:color="auto" w:sz="6" w:space="0"/>
              <w:right w:val="single" w:color="auto" w:sz="6" w:space="0"/>
            </w:tcBorders>
            <w:noWrap w:val="0"/>
            <w:vAlign w:val="center"/>
          </w:tcPr>
          <w:p w14:paraId="55AEB23D">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48F729E9">
            <w:pPr>
              <w:pStyle w:val="946"/>
              <w:spacing w:line="300" w:lineRule="exact"/>
              <w:rPr>
                <w:rFonts w:ascii="Arial" w:hAnsi="Arial" w:cs="Arial"/>
                <w:sz w:val="22"/>
                <w:szCs w:val="22"/>
              </w:rPr>
            </w:pPr>
            <w:r>
              <w:rPr>
                <w:rFonts w:ascii="Arial" w:hAnsi="Arial" w:cs="Arial"/>
                <w:sz w:val="22"/>
                <w:szCs w:val="22"/>
              </w:rPr>
              <w:t>/</w:t>
            </w: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6554C695">
            <w:pPr>
              <w:widowControl/>
              <w:spacing w:line="300" w:lineRule="exact"/>
              <w:jc w:val="center"/>
              <w:rPr>
                <w:rFonts w:ascii="Arial" w:hAnsi="Arial" w:cs="Arial"/>
                <w:sz w:val="22"/>
                <w:szCs w:val="22"/>
              </w:rPr>
            </w:pPr>
          </w:p>
        </w:tc>
      </w:tr>
      <w:tr w14:paraId="73D89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16091BDC">
            <w:pPr>
              <w:widowControl/>
              <w:spacing w:line="300" w:lineRule="exact"/>
              <w:jc w:val="center"/>
              <w:rPr>
                <w:rFonts w:ascii="Arial" w:hAnsi="Arial" w:cs="Arial"/>
                <w:sz w:val="22"/>
                <w:szCs w:val="22"/>
              </w:rPr>
            </w:pPr>
          </w:p>
        </w:tc>
        <w:tc>
          <w:tcPr>
            <w:tcW w:w="592" w:type="dxa"/>
            <w:tcBorders>
              <w:top w:val="single" w:color="auto" w:sz="6" w:space="0"/>
              <w:left w:val="single" w:color="auto" w:sz="6" w:space="0"/>
              <w:bottom w:val="single" w:color="auto" w:sz="6" w:space="0"/>
              <w:right w:val="single" w:color="auto" w:sz="6" w:space="0"/>
            </w:tcBorders>
            <w:noWrap w:val="0"/>
            <w:vAlign w:val="center"/>
          </w:tcPr>
          <w:p w14:paraId="7F71BA9A">
            <w:pPr>
              <w:pStyle w:val="946"/>
              <w:spacing w:line="300" w:lineRule="exact"/>
              <w:rPr>
                <w:rFonts w:ascii="Arial" w:hAnsi="Arial" w:cs="Arial"/>
                <w:sz w:val="22"/>
                <w:szCs w:val="22"/>
              </w:rPr>
            </w:pPr>
            <w:r>
              <w:rPr>
                <w:rFonts w:ascii="Arial" w:hAnsi="Arial" w:cs="Arial"/>
                <w:sz w:val="22"/>
                <w:szCs w:val="22"/>
              </w:rPr>
              <w:t>废气</w:t>
            </w:r>
          </w:p>
        </w:tc>
        <w:tc>
          <w:tcPr>
            <w:tcW w:w="1235" w:type="dxa"/>
            <w:tcBorders>
              <w:top w:val="single" w:color="auto" w:sz="6" w:space="0"/>
              <w:left w:val="single" w:color="auto" w:sz="6" w:space="0"/>
              <w:bottom w:val="single" w:color="auto" w:sz="6" w:space="0"/>
              <w:right w:val="single" w:color="auto" w:sz="6" w:space="0"/>
            </w:tcBorders>
            <w:noWrap w:val="0"/>
            <w:vAlign w:val="center"/>
          </w:tcPr>
          <w:p w14:paraId="000007C0">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管理房内食堂</w:t>
            </w:r>
          </w:p>
        </w:tc>
        <w:tc>
          <w:tcPr>
            <w:tcW w:w="1325" w:type="dxa"/>
            <w:tcBorders>
              <w:top w:val="single" w:color="auto" w:sz="6" w:space="0"/>
              <w:left w:val="single" w:color="auto" w:sz="6" w:space="0"/>
              <w:bottom w:val="single" w:color="auto" w:sz="6" w:space="0"/>
              <w:right w:val="single" w:color="auto" w:sz="6" w:space="0"/>
            </w:tcBorders>
            <w:noWrap w:val="0"/>
            <w:vAlign w:val="center"/>
          </w:tcPr>
          <w:p w14:paraId="3A635A4F">
            <w:pPr>
              <w:pStyle w:val="946"/>
              <w:spacing w:line="300" w:lineRule="exact"/>
              <w:rPr>
                <w:rFonts w:ascii="Arial" w:hAnsi="Arial" w:cs="Arial"/>
                <w:sz w:val="22"/>
                <w:szCs w:val="22"/>
              </w:rPr>
            </w:pPr>
            <w:r>
              <w:rPr>
                <w:rFonts w:ascii="Arial" w:hAnsi="Arial" w:cs="Arial"/>
                <w:sz w:val="22"/>
                <w:szCs w:val="22"/>
              </w:rPr>
              <w:t>/</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BE50087">
            <w:pPr>
              <w:pStyle w:val="946"/>
              <w:spacing w:line="300" w:lineRule="exact"/>
              <w:rPr>
                <w:rFonts w:ascii="Arial" w:hAnsi="Arial" w:cs="Arial"/>
                <w:sz w:val="22"/>
                <w:szCs w:val="22"/>
              </w:rPr>
            </w:pPr>
            <w:r>
              <w:rPr>
                <w:rFonts w:ascii="Arial" w:hAnsi="Arial" w:cs="Arial"/>
                <w:sz w:val="22"/>
                <w:szCs w:val="22"/>
              </w:rPr>
              <w:t>油烟</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6EB93A62">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31C74231">
            <w:pPr>
              <w:pStyle w:val="946"/>
              <w:spacing w:line="300" w:lineRule="exact"/>
              <w:rPr>
                <w:rFonts w:ascii="Arial" w:hAnsi="Arial" w:cs="Arial"/>
                <w:sz w:val="22"/>
                <w:szCs w:val="22"/>
              </w:rPr>
            </w:pPr>
            <w:r>
              <w:rPr>
                <w:rFonts w:ascii="Arial" w:hAnsi="Arial" w:cs="Arial"/>
                <w:sz w:val="22"/>
                <w:szCs w:val="22"/>
              </w:rPr>
              <w:t>少量</w:t>
            </w:r>
          </w:p>
        </w:tc>
        <w:tc>
          <w:tcPr>
            <w:tcW w:w="2226" w:type="dxa"/>
            <w:tcBorders>
              <w:top w:val="single" w:color="auto" w:sz="6" w:space="0"/>
              <w:left w:val="single" w:color="auto" w:sz="6" w:space="0"/>
              <w:bottom w:val="single" w:color="auto" w:sz="6" w:space="0"/>
              <w:right w:val="single" w:color="auto" w:sz="6" w:space="0"/>
            </w:tcBorders>
            <w:noWrap w:val="0"/>
            <w:vAlign w:val="center"/>
          </w:tcPr>
          <w:p w14:paraId="442D41BF">
            <w:pPr>
              <w:pStyle w:val="946"/>
              <w:spacing w:line="300" w:lineRule="exact"/>
              <w:rPr>
                <w:rFonts w:ascii="Arial" w:hAnsi="Arial" w:cs="Arial"/>
                <w:sz w:val="22"/>
                <w:szCs w:val="22"/>
              </w:rPr>
            </w:pPr>
            <w:r>
              <w:rPr>
                <w:rFonts w:ascii="Arial" w:hAnsi="Arial" w:cs="Arial"/>
                <w:sz w:val="22"/>
                <w:szCs w:val="22"/>
              </w:rPr>
              <w:t>油烟净化器净化处理后</w:t>
            </w:r>
            <w:r>
              <w:rPr>
                <w:rFonts w:hint="eastAsia" w:ascii="Arial" w:hAnsi="Arial" w:cs="Arial"/>
                <w:sz w:val="22"/>
                <w:szCs w:val="22"/>
                <w:lang w:eastAsia="zh-CN"/>
              </w:rPr>
              <w:t>引至屋顶</w:t>
            </w:r>
            <w:r>
              <w:rPr>
                <w:rFonts w:ascii="Arial" w:hAnsi="Arial" w:cs="Arial"/>
                <w:sz w:val="22"/>
                <w:szCs w:val="22"/>
              </w:rPr>
              <w:t>排放</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55D77E23">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3A6847ED">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070C49DA">
            <w:pPr>
              <w:pStyle w:val="946"/>
              <w:spacing w:line="300" w:lineRule="exact"/>
              <w:rPr>
                <w:rFonts w:ascii="Arial" w:hAnsi="Arial" w:cs="Arial"/>
                <w:sz w:val="22"/>
                <w:szCs w:val="22"/>
              </w:rPr>
            </w:pPr>
            <w:r>
              <w:rPr>
                <w:rFonts w:ascii="Arial" w:hAnsi="Arial" w:cs="Arial"/>
                <w:sz w:val="22"/>
                <w:szCs w:val="22"/>
              </w:rPr>
              <w:t>/</w:t>
            </w:r>
          </w:p>
        </w:tc>
        <w:tc>
          <w:tcPr>
            <w:tcW w:w="1275" w:type="dxa"/>
            <w:tcBorders>
              <w:top w:val="single" w:color="auto" w:sz="6" w:space="0"/>
              <w:left w:val="single" w:color="auto" w:sz="6" w:space="0"/>
              <w:bottom w:val="single" w:color="auto" w:sz="6" w:space="0"/>
              <w:right w:val="single" w:color="auto" w:sz="12" w:space="0"/>
            </w:tcBorders>
            <w:noWrap w:val="0"/>
            <w:vAlign w:val="center"/>
          </w:tcPr>
          <w:p w14:paraId="4770EC34">
            <w:pPr>
              <w:pStyle w:val="946"/>
              <w:spacing w:line="300" w:lineRule="exact"/>
              <w:rPr>
                <w:rFonts w:ascii="Arial" w:hAnsi="Arial" w:cs="Arial"/>
                <w:sz w:val="22"/>
                <w:szCs w:val="22"/>
              </w:rPr>
            </w:pPr>
            <w:r>
              <w:rPr>
                <w:rFonts w:ascii="Arial" w:hAnsi="Arial" w:cs="Arial"/>
                <w:sz w:val="22"/>
                <w:szCs w:val="22"/>
              </w:rPr>
              <w:t>环境空气</w:t>
            </w:r>
          </w:p>
        </w:tc>
      </w:tr>
      <w:tr w14:paraId="7B0AE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5E14E0FC">
            <w:pPr>
              <w:widowControl/>
              <w:spacing w:line="300" w:lineRule="exact"/>
              <w:jc w:val="center"/>
              <w:rPr>
                <w:rFonts w:ascii="Arial" w:hAnsi="Arial" w:cs="Arial"/>
                <w:sz w:val="22"/>
                <w:szCs w:val="22"/>
              </w:rPr>
            </w:pPr>
          </w:p>
        </w:tc>
        <w:tc>
          <w:tcPr>
            <w:tcW w:w="592" w:type="dxa"/>
            <w:tcBorders>
              <w:top w:val="single" w:color="auto" w:sz="6" w:space="0"/>
              <w:left w:val="single" w:color="auto" w:sz="6" w:space="0"/>
              <w:bottom w:val="single" w:color="auto" w:sz="6" w:space="0"/>
              <w:right w:val="single" w:color="auto" w:sz="6" w:space="0"/>
            </w:tcBorders>
            <w:noWrap w:val="0"/>
            <w:vAlign w:val="center"/>
          </w:tcPr>
          <w:p w14:paraId="19637B4B">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噪声</w:t>
            </w:r>
          </w:p>
        </w:tc>
        <w:tc>
          <w:tcPr>
            <w:tcW w:w="1235" w:type="dxa"/>
            <w:tcBorders>
              <w:top w:val="single" w:color="auto" w:sz="6" w:space="0"/>
              <w:left w:val="single" w:color="auto" w:sz="6" w:space="0"/>
              <w:bottom w:val="single" w:color="auto" w:sz="6" w:space="0"/>
              <w:right w:val="single" w:color="auto" w:sz="6" w:space="0"/>
            </w:tcBorders>
            <w:noWrap w:val="0"/>
            <w:vAlign w:val="center"/>
          </w:tcPr>
          <w:p w14:paraId="25F015DD">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溢洪、阀门、上坝车辆</w:t>
            </w:r>
          </w:p>
        </w:tc>
        <w:tc>
          <w:tcPr>
            <w:tcW w:w="1325" w:type="dxa"/>
            <w:tcBorders>
              <w:top w:val="single" w:color="auto" w:sz="6" w:space="0"/>
              <w:left w:val="single" w:color="auto" w:sz="6" w:space="0"/>
              <w:bottom w:val="single" w:color="auto" w:sz="6" w:space="0"/>
              <w:right w:val="single" w:color="auto" w:sz="6" w:space="0"/>
            </w:tcBorders>
            <w:noWrap w:val="0"/>
            <w:vAlign w:val="center"/>
          </w:tcPr>
          <w:p w14:paraId="1D64FA29">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70~8</w:t>
            </w:r>
            <w:r>
              <w:rPr>
                <w:rFonts w:hint="eastAsia" w:ascii="Arial" w:hAnsi="Arial" w:cs="Arial"/>
                <w:sz w:val="22"/>
                <w:szCs w:val="22"/>
                <w:lang w:val="en-US" w:eastAsia="zh-CN"/>
              </w:rPr>
              <w:t>5</w:t>
            </w:r>
            <w:r>
              <w:rPr>
                <w:rFonts w:hint="eastAsia" w:ascii="Arial" w:hAnsi="Arial" w:cs="Arial"/>
                <w:sz w:val="22"/>
                <w:szCs w:val="22"/>
                <w:lang w:eastAsia="zh-CN"/>
              </w:rPr>
              <w:t>dB（A）</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18A217DD">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噪声</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71945C99">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30EE9E62">
            <w:pPr>
              <w:pStyle w:val="946"/>
              <w:spacing w:line="300" w:lineRule="exact"/>
              <w:rPr>
                <w:rFonts w:ascii="Arial" w:hAnsi="Arial" w:cs="Arial"/>
                <w:sz w:val="22"/>
                <w:szCs w:val="22"/>
              </w:rPr>
            </w:pPr>
            <w:r>
              <w:rPr>
                <w:rFonts w:ascii="Arial" w:hAnsi="Arial" w:cs="Arial"/>
                <w:sz w:val="22"/>
                <w:szCs w:val="22"/>
              </w:rPr>
              <w:t>/</w:t>
            </w:r>
          </w:p>
        </w:tc>
        <w:tc>
          <w:tcPr>
            <w:tcW w:w="2226" w:type="dxa"/>
            <w:tcBorders>
              <w:top w:val="single" w:color="auto" w:sz="6" w:space="0"/>
              <w:left w:val="single" w:color="auto" w:sz="6" w:space="0"/>
              <w:bottom w:val="single" w:color="auto" w:sz="6" w:space="0"/>
              <w:right w:val="single" w:color="auto" w:sz="6" w:space="0"/>
            </w:tcBorders>
            <w:noWrap w:val="0"/>
            <w:vAlign w:val="center"/>
          </w:tcPr>
          <w:p w14:paraId="6D194087">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建筑隔声、距离衰减</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70CCD90B">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20FFAEAA">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14C3BA78">
            <w:pPr>
              <w:pStyle w:val="946"/>
              <w:spacing w:line="300" w:lineRule="exact"/>
              <w:rPr>
                <w:rFonts w:ascii="Arial" w:hAnsi="Arial" w:cs="Arial"/>
                <w:sz w:val="22"/>
                <w:szCs w:val="22"/>
              </w:rPr>
            </w:pPr>
            <w:r>
              <w:rPr>
                <w:rFonts w:ascii="Arial" w:hAnsi="Arial" w:cs="Arial"/>
                <w:sz w:val="22"/>
                <w:szCs w:val="22"/>
              </w:rPr>
              <w:t>/</w:t>
            </w:r>
          </w:p>
        </w:tc>
        <w:tc>
          <w:tcPr>
            <w:tcW w:w="1275" w:type="dxa"/>
            <w:tcBorders>
              <w:top w:val="single" w:color="auto" w:sz="6" w:space="0"/>
              <w:left w:val="single" w:color="auto" w:sz="6" w:space="0"/>
              <w:bottom w:val="single" w:color="auto" w:sz="6" w:space="0"/>
              <w:right w:val="single" w:color="auto" w:sz="12" w:space="0"/>
            </w:tcBorders>
            <w:noWrap w:val="0"/>
            <w:vAlign w:val="center"/>
          </w:tcPr>
          <w:p w14:paraId="3A180812">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声环境</w:t>
            </w:r>
          </w:p>
        </w:tc>
      </w:tr>
      <w:tr w14:paraId="06C9F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shd w:val="clear" w:color="auto" w:fill="auto"/>
            <w:noWrap w:val="0"/>
            <w:vAlign w:val="center"/>
          </w:tcPr>
          <w:p w14:paraId="56CED393">
            <w:pPr>
              <w:widowControl/>
              <w:spacing w:line="300" w:lineRule="exact"/>
              <w:jc w:val="center"/>
              <w:rPr>
                <w:rFonts w:ascii="Arial" w:hAnsi="Arial" w:cs="Arial"/>
                <w:sz w:val="22"/>
                <w:szCs w:val="22"/>
              </w:rPr>
            </w:pPr>
          </w:p>
        </w:tc>
        <w:tc>
          <w:tcPr>
            <w:tcW w:w="592" w:type="dxa"/>
            <w:vMerge w:val="restart"/>
            <w:tcBorders>
              <w:top w:val="single" w:color="auto" w:sz="6" w:space="0"/>
              <w:left w:val="single" w:color="auto" w:sz="6" w:space="0"/>
              <w:bottom w:val="single" w:color="auto" w:sz="6" w:space="0"/>
              <w:right w:val="single" w:color="auto" w:sz="6" w:space="0"/>
            </w:tcBorders>
            <w:shd w:val="clear" w:color="auto" w:fill="auto"/>
            <w:noWrap w:val="0"/>
            <w:vAlign w:val="center"/>
          </w:tcPr>
          <w:p w14:paraId="5BDC116A">
            <w:pPr>
              <w:pStyle w:val="946"/>
              <w:spacing w:line="300" w:lineRule="exact"/>
              <w:rPr>
                <w:rFonts w:ascii="Arial" w:hAnsi="Arial" w:cs="Arial"/>
                <w:sz w:val="22"/>
                <w:szCs w:val="22"/>
              </w:rPr>
            </w:pPr>
            <w:r>
              <w:rPr>
                <w:rFonts w:ascii="Arial" w:hAnsi="Arial" w:cs="Arial"/>
                <w:sz w:val="22"/>
                <w:szCs w:val="22"/>
              </w:rPr>
              <w:t>固体废物</w:t>
            </w:r>
          </w:p>
        </w:tc>
        <w:tc>
          <w:tcPr>
            <w:tcW w:w="1235" w:type="dxa"/>
            <w:vMerge w:val="restart"/>
            <w:tcBorders>
              <w:top w:val="single" w:color="auto" w:sz="6" w:space="0"/>
              <w:left w:val="single" w:color="auto" w:sz="6" w:space="0"/>
              <w:bottom w:val="single" w:color="auto" w:sz="6" w:space="0"/>
              <w:right w:val="single" w:color="auto" w:sz="6" w:space="0"/>
            </w:tcBorders>
            <w:shd w:val="clear" w:color="auto" w:fill="auto"/>
            <w:noWrap w:val="0"/>
            <w:vAlign w:val="center"/>
          </w:tcPr>
          <w:p w14:paraId="4C379F85">
            <w:pPr>
              <w:pStyle w:val="946"/>
              <w:spacing w:line="300" w:lineRule="exact"/>
              <w:rPr>
                <w:rFonts w:ascii="Arial" w:hAnsi="Arial" w:cs="Arial"/>
                <w:sz w:val="22"/>
                <w:szCs w:val="22"/>
              </w:rPr>
            </w:pPr>
            <w:r>
              <w:rPr>
                <w:rFonts w:ascii="Arial" w:hAnsi="Arial" w:cs="Arial"/>
                <w:sz w:val="22"/>
                <w:szCs w:val="22"/>
              </w:rPr>
              <w:t>管理人员</w:t>
            </w:r>
          </w:p>
        </w:tc>
        <w:tc>
          <w:tcPr>
            <w:tcW w:w="13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ACA9A3F">
            <w:pPr>
              <w:pStyle w:val="946"/>
              <w:spacing w:line="300" w:lineRule="exact"/>
              <w:rPr>
                <w:rFonts w:ascii="Arial" w:hAnsi="Arial" w:cs="Arial"/>
                <w:sz w:val="22"/>
                <w:szCs w:val="22"/>
              </w:rPr>
            </w:pPr>
            <w:r>
              <w:rPr>
                <w:rFonts w:hint="eastAsia" w:ascii="Arial" w:hAnsi="Arial" w:cs="Arial"/>
                <w:sz w:val="22"/>
                <w:szCs w:val="22"/>
                <w:lang w:val="en-US" w:eastAsia="zh-CN"/>
              </w:rPr>
              <w:t>2</w:t>
            </w:r>
            <w:r>
              <w:rPr>
                <w:rFonts w:ascii="Arial" w:hAnsi="Arial" w:cs="Arial"/>
                <w:sz w:val="22"/>
                <w:szCs w:val="22"/>
              </w:rPr>
              <w:t>kg/d</w:t>
            </w:r>
          </w:p>
        </w:tc>
        <w:tc>
          <w:tcPr>
            <w:tcW w:w="103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71E8BE7">
            <w:pPr>
              <w:pStyle w:val="946"/>
              <w:spacing w:line="300" w:lineRule="exact"/>
              <w:rPr>
                <w:rFonts w:hint="eastAsia" w:ascii="Arial" w:hAnsi="Arial" w:cs="Arial"/>
                <w:sz w:val="22"/>
                <w:szCs w:val="22"/>
                <w:lang w:eastAsia="zh-CN"/>
              </w:rPr>
            </w:pPr>
            <w:r>
              <w:rPr>
                <w:rFonts w:ascii="Arial" w:hAnsi="Arial" w:cs="Arial"/>
                <w:sz w:val="22"/>
                <w:szCs w:val="22"/>
              </w:rPr>
              <w:t>生活</w:t>
            </w:r>
          </w:p>
          <w:p w14:paraId="1ED012EE">
            <w:pPr>
              <w:pStyle w:val="946"/>
              <w:spacing w:line="300" w:lineRule="exact"/>
              <w:rPr>
                <w:rFonts w:ascii="Arial" w:hAnsi="Arial" w:cs="Arial"/>
                <w:sz w:val="22"/>
                <w:szCs w:val="22"/>
              </w:rPr>
            </w:pPr>
            <w:r>
              <w:rPr>
                <w:rFonts w:ascii="Arial" w:hAnsi="Arial" w:cs="Arial"/>
                <w:sz w:val="22"/>
                <w:szCs w:val="22"/>
              </w:rPr>
              <w:t>垃圾</w:t>
            </w:r>
          </w:p>
        </w:tc>
        <w:tc>
          <w:tcPr>
            <w:tcW w:w="118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7243B6B">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5AC9052">
            <w:pPr>
              <w:pStyle w:val="946"/>
              <w:spacing w:line="300" w:lineRule="exact"/>
              <w:rPr>
                <w:rFonts w:ascii="Arial" w:hAnsi="Arial" w:cs="Arial"/>
                <w:sz w:val="22"/>
                <w:szCs w:val="22"/>
              </w:rPr>
            </w:pPr>
            <w:r>
              <w:rPr>
                <w:rFonts w:ascii="Arial" w:hAnsi="Arial" w:cs="Arial"/>
                <w:sz w:val="22"/>
                <w:szCs w:val="22"/>
              </w:rPr>
              <w:t>/</w:t>
            </w:r>
          </w:p>
        </w:tc>
        <w:tc>
          <w:tcPr>
            <w:tcW w:w="222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A1D6C7D">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集中收集后，交当地市政环卫部门统一清运处置</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4766EEB5">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27E9DFE0">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4101B144">
            <w:pPr>
              <w:pStyle w:val="946"/>
              <w:spacing w:line="300" w:lineRule="exact"/>
              <w:rPr>
                <w:rFonts w:ascii="Arial" w:hAnsi="Arial" w:cs="Arial"/>
                <w:sz w:val="22"/>
                <w:szCs w:val="22"/>
              </w:rPr>
            </w:pPr>
            <w:r>
              <w:rPr>
                <w:rFonts w:ascii="Arial" w:hAnsi="Arial" w:cs="Arial"/>
                <w:sz w:val="22"/>
                <w:szCs w:val="22"/>
              </w:rPr>
              <w:t>/</w:t>
            </w:r>
          </w:p>
        </w:tc>
        <w:tc>
          <w:tcPr>
            <w:tcW w:w="1275" w:type="dxa"/>
            <w:vMerge w:val="restart"/>
            <w:tcBorders>
              <w:top w:val="single" w:color="auto" w:sz="6" w:space="0"/>
              <w:left w:val="single" w:color="auto" w:sz="6" w:space="0"/>
              <w:right w:val="single" w:color="auto" w:sz="12" w:space="0"/>
            </w:tcBorders>
            <w:noWrap w:val="0"/>
            <w:vAlign w:val="center"/>
          </w:tcPr>
          <w:p w14:paraId="434B6686">
            <w:pPr>
              <w:pStyle w:val="946"/>
              <w:spacing w:line="300" w:lineRule="exact"/>
              <w:rPr>
                <w:rFonts w:ascii="Arial" w:hAnsi="Arial" w:cs="Arial"/>
                <w:sz w:val="22"/>
                <w:szCs w:val="22"/>
              </w:rPr>
            </w:pPr>
            <w:r>
              <w:rPr>
                <w:rFonts w:hint="eastAsia" w:ascii="Arial" w:hAnsi="Arial" w:cs="Arial"/>
                <w:sz w:val="22"/>
                <w:szCs w:val="22"/>
                <w:lang w:eastAsia="zh-CN"/>
              </w:rPr>
              <w:t>丰都县</w:t>
            </w:r>
            <w:r>
              <w:rPr>
                <w:rFonts w:ascii="Arial" w:hAnsi="Arial" w:cs="Arial"/>
                <w:sz w:val="22"/>
                <w:szCs w:val="22"/>
              </w:rPr>
              <w:t>生活垃圾填埋场</w:t>
            </w:r>
          </w:p>
        </w:tc>
      </w:tr>
      <w:tr w14:paraId="39AB7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shd w:val="clear" w:color="auto" w:fill="auto"/>
            <w:noWrap w:val="0"/>
            <w:vAlign w:val="center"/>
          </w:tcPr>
          <w:p w14:paraId="03BE8FB3">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shd w:val="clear" w:color="auto" w:fill="auto"/>
            <w:noWrap w:val="0"/>
            <w:vAlign w:val="center"/>
          </w:tcPr>
          <w:p w14:paraId="7876ABA2">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shd w:val="clear" w:color="auto" w:fill="auto"/>
            <w:noWrap w:val="0"/>
            <w:vAlign w:val="center"/>
          </w:tcPr>
          <w:p w14:paraId="36A8059E">
            <w:pPr>
              <w:widowControl/>
              <w:spacing w:line="300" w:lineRule="exact"/>
              <w:jc w:val="center"/>
              <w:rPr>
                <w:rFonts w:ascii="Arial" w:hAnsi="Arial" w:cs="Arial"/>
                <w:sz w:val="22"/>
                <w:szCs w:val="22"/>
              </w:rPr>
            </w:pPr>
          </w:p>
        </w:tc>
        <w:tc>
          <w:tcPr>
            <w:tcW w:w="13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D5ABB0B">
            <w:pPr>
              <w:pStyle w:val="946"/>
              <w:spacing w:line="300" w:lineRule="exact"/>
              <w:rPr>
                <w:rFonts w:ascii="Arial" w:hAnsi="Arial" w:cs="Arial"/>
                <w:sz w:val="22"/>
                <w:szCs w:val="22"/>
              </w:rPr>
            </w:pPr>
            <w:r>
              <w:rPr>
                <w:rFonts w:hint="eastAsia" w:ascii="Arial" w:hAnsi="Arial" w:cs="Arial"/>
                <w:sz w:val="22"/>
                <w:szCs w:val="22"/>
                <w:lang w:val="en-US" w:eastAsia="zh-CN"/>
              </w:rPr>
              <w:t>0.8</w:t>
            </w:r>
            <w:r>
              <w:rPr>
                <w:rFonts w:ascii="Arial" w:hAnsi="Arial" w:cs="Arial"/>
                <w:sz w:val="22"/>
                <w:szCs w:val="22"/>
              </w:rPr>
              <w:t>kg/d</w:t>
            </w:r>
          </w:p>
        </w:tc>
        <w:tc>
          <w:tcPr>
            <w:tcW w:w="103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4D81E1">
            <w:pPr>
              <w:pStyle w:val="946"/>
              <w:spacing w:line="300" w:lineRule="exact"/>
              <w:rPr>
                <w:rFonts w:hint="eastAsia" w:ascii="Arial" w:hAnsi="Arial" w:cs="Arial"/>
                <w:sz w:val="22"/>
                <w:szCs w:val="22"/>
                <w:lang w:eastAsia="zh-CN"/>
              </w:rPr>
            </w:pPr>
            <w:r>
              <w:rPr>
                <w:rFonts w:ascii="Arial" w:hAnsi="Arial" w:cs="Arial"/>
                <w:sz w:val="22"/>
                <w:szCs w:val="22"/>
              </w:rPr>
              <w:t>餐厨</w:t>
            </w:r>
          </w:p>
          <w:p w14:paraId="203B965B">
            <w:pPr>
              <w:pStyle w:val="946"/>
              <w:spacing w:line="300" w:lineRule="exact"/>
              <w:rPr>
                <w:rFonts w:ascii="Arial" w:hAnsi="Arial" w:cs="Arial"/>
                <w:sz w:val="22"/>
                <w:szCs w:val="22"/>
              </w:rPr>
            </w:pPr>
            <w:r>
              <w:rPr>
                <w:rFonts w:ascii="Arial" w:hAnsi="Arial" w:cs="Arial"/>
                <w:sz w:val="22"/>
                <w:szCs w:val="22"/>
              </w:rPr>
              <w:t>垃圾</w:t>
            </w:r>
          </w:p>
        </w:tc>
        <w:tc>
          <w:tcPr>
            <w:tcW w:w="118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E00EFF">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E9D114">
            <w:pPr>
              <w:pStyle w:val="946"/>
              <w:spacing w:line="300" w:lineRule="exact"/>
              <w:rPr>
                <w:rFonts w:ascii="Arial" w:hAnsi="Arial" w:cs="Arial"/>
                <w:sz w:val="22"/>
                <w:szCs w:val="22"/>
              </w:rPr>
            </w:pPr>
            <w:r>
              <w:rPr>
                <w:rFonts w:ascii="Arial" w:hAnsi="Arial" w:cs="Arial"/>
                <w:sz w:val="22"/>
                <w:szCs w:val="22"/>
              </w:rPr>
              <w:t>/</w:t>
            </w:r>
          </w:p>
        </w:tc>
        <w:tc>
          <w:tcPr>
            <w:tcW w:w="222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2CEFE8F">
            <w:pPr>
              <w:widowControl/>
              <w:spacing w:line="300" w:lineRule="exact"/>
              <w:jc w:val="center"/>
              <w:rPr>
                <w:rFonts w:hint="eastAsia" w:ascii="Arial" w:hAnsi="Arial" w:cs="Arial"/>
                <w:sz w:val="22"/>
                <w:szCs w:val="22"/>
              </w:rPr>
            </w:pPr>
            <w:r>
              <w:rPr>
                <w:rFonts w:hint="eastAsia" w:ascii="Arial" w:hAnsi="Arial" w:cs="Arial"/>
                <w:sz w:val="22"/>
                <w:szCs w:val="22"/>
                <w:lang w:eastAsia="zh-CN"/>
              </w:rPr>
              <w:t>桶装收集后，</w:t>
            </w:r>
            <w:r>
              <w:rPr>
                <w:rFonts w:hint="eastAsia" w:ascii="Arial" w:hAnsi="Arial" w:cs="Arial"/>
                <w:sz w:val="22"/>
                <w:szCs w:val="22"/>
              </w:rPr>
              <w:t>交有资质单位收运处置</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6570F77B">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594FFD83">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12E009B6">
            <w:pPr>
              <w:pStyle w:val="946"/>
              <w:spacing w:line="300" w:lineRule="exact"/>
              <w:rPr>
                <w:rFonts w:ascii="Arial" w:hAnsi="Arial" w:cs="Arial"/>
                <w:sz w:val="22"/>
                <w:szCs w:val="22"/>
              </w:rPr>
            </w:pPr>
            <w:r>
              <w:rPr>
                <w:rFonts w:ascii="Arial" w:hAnsi="Arial" w:cs="Arial"/>
                <w:sz w:val="22"/>
                <w:szCs w:val="22"/>
              </w:rPr>
              <w:t>/</w:t>
            </w:r>
          </w:p>
        </w:tc>
        <w:tc>
          <w:tcPr>
            <w:tcW w:w="1275" w:type="dxa"/>
            <w:vMerge w:val="continue"/>
            <w:tcBorders>
              <w:left w:val="single" w:color="auto" w:sz="6" w:space="0"/>
              <w:right w:val="single" w:color="auto" w:sz="12" w:space="0"/>
            </w:tcBorders>
            <w:noWrap w:val="0"/>
            <w:vAlign w:val="center"/>
          </w:tcPr>
          <w:p w14:paraId="68BA5F52">
            <w:pPr>
              <w:widowControl/>
              <w:spacing w:line="300" w:lineRule="exact"/>
              <w:jc w:val="center"/>
              <w:rPr>
                <w:rFonts w:ascii="Arial" w:hAnsi="Arial" w:cs="Arial"/>
                <w:sz w:val="22"/>
                <w:szCs w:val="22"/>
              </w:rPr>
            </w:pPr>
          </w:p>
        </w:tc>
      </w:tr>
      <w:tr w14:paraId="075FE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12" w:space="0"/>
              <w:right w:val="single" w:color="auto" w:sz="6" w:space="0"/>
            </w:tcBorders>
            <w:noWrap w:val="0"/>
            <w:vAlign w:val="center"/>
          </w:tcPr>
          <w:p w14:paraId="0FCFF66C">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12" w:space="0"/>
              <w:right w:val="single" w:color="auto" w:sz="6" w:space="0"/>
            </w:tcBorders>
            <w:noWrap w:val="0"/>
            <w:vAlign w:val="center"/>
          </w:tcPr>
          <w:p w14:paraId="3CEAD040">
            <w:pPr>
              <w:widowControl/>
              <w:spacing w:line="300" w:lineRule="exact"/>
              <w:jc w:val="center"/>
              <w:rPr>
                <w:rFonts w:ascii="Arial" w:hAnsi="Arial" w:cs="Arial"/>
                <w:sz w:val="22"/>
                <w:szCs w:val="22"/>
              </w:rPr>
            </w:pPr>
          </w:p>
        </w:tc>
        <w:tc>
          <w:tcPr>
            <w:tcW w:w="1235" w:type="dxa"/>
            <w:tcBorders>
              <w:top w:val="single" w:color="auto" w:sz="6" w:space="0"/>
              <w:left w:val="single" w:color="auto" w:sz="6" w:space="0"/>
              <w:bottom w:val="single" w:color="auto" w:sz="12" w:space="0"/>
              <w:right w:val="single" w:color="auto" w:sz="6" w:space="0"/>
            </w:tcBorders>
            <w:noWrap w:val="0"/>
            <w:vAlign w:val="center"/>
          </w:tcPr>
          <w:p w14:paraId="0D1A99BD">
            <w:pPr>
              <w:pStyle w:val="946"/>
              <w:spacing w:line="300" w:lineRule="exact"/>
              <w:rPr>
                <w:rFonts w:ascii="Arial" w:hAnsi="Arial" w:cs="Arial"/>
                <w:sz w:val="22"/>
                <w:szCs w:val="22"/>
              </w:rPr>
            </w:pPr>
            <w:r>
              <w:rPr>
                <w:rFonts w:ascii="Arial" w:hAnsi="Arial" w:cs="Arial"/>
                <w:sz w:val="22"/>
                <w:szCs w:val="22"/>
              </w:rPr>
              <w:t>库内清漂</w:t>
            </w:r>
          </w:p>
        </w:tc>
        <w:tc>
          <w:tcPr>
            <w:tcW w:w="1325" w:type="dxa"/>
            <w:tcBorders>
              <w:top w:val="single" w:color="auto" w:sz="6" w:space="0"/>
              <w:left w:val="single" w:color="auto" w:sz="6" w:space="0"/>
              <w:bottom w:val="single" w:color="auto" w:sz="12" w:space="0"/>
              <w:right w:val="single" w:color="auto" w:sz="6" w:space="0"/>
            </w:tcBorders>
            <w:noWrap w:val="0"/>
            <w:vAlign w:val="center"/>
          </w:tcPr>
          <w:p w14:paraId="039F8093">
            <w:pPr>
              <w:pStyle w:val="946"/>
              <w:spacing w:line="300" w:lineRule="exact"/>
              <w:rPr>
                <w:rFonts w:ascii="Arial" w:hAnsi="Arial" w:cs="Arial"/>
                <w:sz w:val="22"/>
                <w:szCs w:val="22"/>
              </w:rPr>
            </w:pPr>
            <w:r>
              <w:rPr>
                <w:rFonts w:hint="eastAsia" w:ascii="Arial" w:hAnsi="Arial" w:cs="Arial"/>
                <w:sz w:val="22"/>
                <w:szCs w:val="22"/>
                <w:lang w:val="en-US" w:eastAsia="zh-CN"/>
              </w:rPr>
              <w:t>180</w:t>
            </w:r>
            <w:r>
              <w:rPr>
                <w:rFonts w:ascii="Arial" w:hAnsi="Arial" w:cs="Arial"/>
                <w:sz w:val="22"/>
                <w:szCs w:val="22"/>
              </w:rPr>
              <w:t>t/a</w:t>
            </w:r>
          </w:p>
        </w:tc>
        <w:tc>
          <w:tcPr>
            <w:tcW w:w="1035" w:type="dxa"/>
            <w:tcBorders>
              <w:top w:val="single" w:color="auto" w:sz="6" w:space="0"/>
              <w:left w:val="single" w:color="auto" w:sz="6" w:space="0"/>
              <w:bottom w:val="single" w:color="auto" w:sz="12" w:space="0"/>
              <w:right w:val="single" w:color="auto" w:sz="6" w:space="0"/>
            </w:tcBorders>
            <w:noWrap w:val="0"/>
            <w:vAlign w:val="center"/>
          </w:tcPr>
          <w:p w14:paraId="55B73A59">
            <w:pPr>
              <w:pStyle w:val="946"/>
              <w:spacing w:line="300" w:lineRule="exact"/>
              <w:rPr>
                <w:rFonts w:ascii="Arial" w:hAnsi="Arial" w:cs="Arial"/>
                <w:sz w:val="22"/>
                <w:szCs w:val="22"/>
              </w:rPr>
            </w:pPr>
            <w:r>
              <w:rPr>
                <w:rFonts w:ascii="Arial" w:hAnsi="Arial" w:cs="Arial"/>
                <w:sz w:val="22"/>
                <w:szCs w:val="22"/>
              </w:rPr>
              <w:t>漂浮物</w:t>
            </w:r>
          </w:p>
        </w:tc>
        <w:tc>
          <w:tcPr>
            <w:tcW w:w="1187" w:type="dxa"/>
            <w:tcBorders>
              <w:top w:val="single" w:color="auto" w:sz="6" w:space="0"/>
              <w:left w:val="single" w:color="auto" w:sz="6" w:space="0"/>
              <w:bottom w:val="single" w:color="auto" w:sz="12" w:space="0"/>
              <w:right w:val="single" w:color="auto" w:sz="6" w:space="0"/>
            </w:tcBorders>
            <w:noWrap w:val="0"/>
            <w:vAlign w:val="center"/>
          </w:tcPr>
          <w:p w14:paraId="4D8FD960">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12" w:space="0"/>
              <w:right w:val="single" w:color="auto" w:sz="6" w:space="0"/>
            </w:tcBorders>
            <w:noWrap w:val="0"/>
            <w:vAlign w:val="center"/>
          </w:tcPr>
          <w:p w14:paraId="6544B829">
            <w:pPr>
              <w:pStyle w:val="946"/>
              <w:spacing w:line="300" w:lineRule="exact"/>
              <w:rPr>
                <w:rFonts w:ascii="Arial" w:hAnsi="Arial" w:cs="Arial"/>
                <w:sz w:val="22"/>
                <w:szCs w:val="22"/>
              </w:rPr>
            </w:pPr>
            <w:r>
              <w:rPr>
                <w:rFonts w:ascii="Arial" w:hAnsi="Arial" w:cs="Arial"/>
                <w:sz w:val="22"/>
                <w:szCs w:val="22"/>
              </w:rPr>
              <w:t>/</w:t>
            </w:r>
          </w:p>
        </w:tc>
        <w:tc>
          <w:tcPr>
            <w:tcW w:w="2226" w:type="dxa"/>
            <w:tcBorders>
              <w:top w:val="single" w:color="auto" w:sz="6" w:space="0"/>
              <w:left w:val="single" w:color="auto" w:sz="6" w:space="0"/>
              <w:bottom w:val="single" w:color="auto" w:sz="12" w:space="0"/>
              <w:right w:val="single" w:color="auto" w:sz="6" w:space="0"/>
            </w:tcBorders>
            <w:noWrap w:val="0"/>
            <w:vAlign w:val="center"/>
          </w:tcPr>
          <w:p w14:paraId="328A652E">
            <w:pPr>
              <w:pStyle w:val="946"/>
              <w:spacing w:line="300" w:lineRule="exact"/>
              <w:rPr>
                <w:rFonts w:ascii="Arial" w:hAnsi="Arial" w:cs="Arial"/>
                <w:sz w:val="22"/>
                <w:szCs w:val="22"/>
              </w:rPr>
            </w:pPr>
            <w:r>
              <w:rPr>
                <w:rFonts w:hint="eastAsia" w:ascii="Arial" w:hAnsi="Arial" w:cs="Arial"/>
                <w:sz w:val="22"/>
                <w:szCs w:val="22"/>
                <w:lang w:eastAsia="zh-CN"/>
              </w:rPr>
              <w:t>定期打捞，交当地市政环卫部门统一清运处置</w:t>
            </w:r>
          </w:p>
        </w:tc>
        <w:tc>
          <w:tcPr>
            <w:tcW w:w="1275" w:type="dxa"/>
            <w:tcBorders>
              <w:top w:val="single" w:color="auto" w:sz="6" w:space="0"/>
              <w:left w:val="single" w:color="auto" w:sz="6" w:space="0"/>
              <w:bottom w:val="single" w:color="auto" w:sz="12" w:space="0"/>
              <w:right w:val="single" w:color="auto" w:sz="6" w:space="0"/>
            </w:tcBorders>
            <w:noWrap w:val="0"/>
            <w:vAlign w:val="center"/>
          </w:tcPr>
          <w:p w14:paraId="16DB1976">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12" w:space="0"/>
              <w:right w:val="single" w:color="auto" w:sz="6" w:space="0"/>
            </w:tcBorders>
            <w:noWrap w:val="0"/>
            <w:vAlign w:val="center"/>
          </w:tcPr>
          <w:p w14:paraId="14D6B665">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12" w:space="0"/>
              <w:right w:val="single" w:color="auto" w:sz="6" w:space="0"/>
            </w:tcBorders>
            <w:noWrap w:val="0"/>
            <w:vAlign w:val="center"/>
          </w:tcPr>
          <w:p w14:paraId="232A158B">
            <w:pPr>
              <w:pStyle w:val="946"/>
              <w:spacing w:line="300" w:lineRule="exact"/>
              <w:rPr>
                <w:rFonts w:ascii="Arial" w:hAnsi="Arial" w:cs="Arial"/>
                <w:sz w:val="22"/>
                <w:szCs w:val="22"/>
              </w:rPr>
            </w:pPr>
            <w:r>
              <w:rPr>
                <w:rFonts w:ascii="Arial" w:hAnsi="Arial" w:cs="Arial"/>
                <w:sz w:val="22"/>
                <w:szCs w:val="22"/>
              </w:rPr>
              <w:t>/</w:t>
            </w:r>
          </w:p>
        </w:tc>
        <w:tc>
          <w:tcPr>
            <w:tcW w:w="1275" w:type="dxa"/>
            <w:vMerge w:val="continue"/>
            <w:tcBorders>
              <w:left w:val="single" w:color="auto" w:sz="6" w:space="0"/>
              <w:bottom w:val="single" w:color="auto" w:sz="12" w:space="0"/>
              <w:right w:val="single" w:color="auto" w:sz="12" w:space="0"/>
            </w:tcBorders>
            <w:noWrap w:val="0"/>
            <w:vAlign w:val="center"/>
          </w:tcPr>
          <w:p w14:paraId="0FDD8E3E">
            <w:pPr>
              <w:pStyle w:val="946"/>
              <w:spacing w:line="300" w:lineRule="exact"/>
              <w:rPr>
                <w:rFonts w:ascii="Arial" w:hAnsi="Arial" w:cs="Arial"/>
                <w:sz w:val="22"/>
                <w:szCs w:val="22"/>
              </w:rPr>
            </w:pPr>
          </w:p>
        </w:tc>
      </w:tr>
    </w:tbl>
    <w:p w14:paraId="29D3B5E2">
      <w:pPr>
        <w:spacing w:line="440" w:lineRule="exact"/>
        <w:jc w:val="center"/>
        <w:rPr>
          <w:rFonts w:hint="eastAsia" w:ascii="Arial" w:hAnsi="宋体" w:cs="Arial"/>
          <w:b/>
          <w:bCs/>
          <w:sz w:val="26"/>
          <w:szCs w:val="26"/>
        </w:rPr>
      </w:pPr>
    </w:p>
    <w:p w14:paraId="199FBC96">
      <w:pPr>
        <w:spacing w:line="440" w:lineRule="exact"/>
        <w:jc w:val="center"/>
        <w:rPr>
          <w:rFonts w:hint="eastAsia" w:ascii="Arial" w:hAnsi="宋体" w:cs="Arial"/>
          <w:b/>
          <w:bCs/>
          <w:sz w:val="26"/>
          <w:szCs w:val="26"/>
        </w:rPr>
      </w:pPr>
      <w:r>
        <w:rPr>
          <w:rFonts w:hint="eastAsia" w:ascii="Arial" w:hAnsi="宋体" w:cs="Arial"/>
          <w:b/>
          <w:bCs/>
          <w:sz w:val="26"/>
          <w:szCs w:val="26"/>
        </w:rPr>
        <w:t>表3.</w:t>
      </w:r>
      <w:r>
        <w:rPr>
          <w:rFonts w:hint="eastAsia" w:ascii="Arial" w:hAnsi="宋体" w:cs="Arial"/>
          <w:b/>
          <w:bCs/>
          <w:sz w:val="26"/>
          <w:szCs w:val="26"/>
          <w:lang w:val="en-US" w:eastAsia="zh-CN"/>
        </w:rPr>
        <w:t>2</w:t>
      </w:r>
      <w:r>
        <w:rPr>
          <w:rFonts w:hint="eastAsia" w:ascii="Arial" w:hAnsi="宋体" w:cs="Arial"/>
          <w:b/>
          <w:bCs/>
          <w:sz w:val="26"/>
          <w:szCs w:val="26"/>
        </w:rPr>
        <w:t>-</w:t>
      </w:r>
      <w:r>
        <w:rPr>
          <w:rFonts w:hint="eastAsia" w:ascii="Arial" w:hAnsi="宋体" w:cs="Arial"/>
          <w:b/>
          <w:bCs/>
          <w:sz w:val="26"/>
          <w:szCs w:val="26"/>
          <w:lang w:val="en-US" w:eastAsia="zh-CN"/>
        </w:rPr>
        <w:t>2</w:t>
      </w:r>
      <w:r>
        <w:rPr>
          <w:rFonts w:hint="eastAsia" w:ascii="Arial" w:hAnsi="宋体" w:cs="Arial"/>
          <w:b/>
          <w:bCs/>
          <w:sz w:val="26"/>
          <w:szCs w:val="26"/>
        </w:rPr>
        <w:t xml:space="preserve"> 工程</w:t>
      </w:r>
      <w:r>
        <w:rPr>
          <w:rFonts w:hint="eastAsia" w:ascii="Arial" w:hAnsi="宋体" w:cs="Arial"/>
          <w:b/>
          <w:bCs/>
          <w:sz w:val="26"/>
          <w:szCs w:val="26"/>
          <w:lang w:eastAsia="zh-CN"/>
        </w:rPr>
        <w:t>运营期</w:t>
      </w:r>
      <w:r>
        <w:rPr>
          <w:rFonts w:hint="eastAsia" w:ascii="Arial" w:hAnsi="宋体" w:cs="Arial"/>
          <w:b/>
          <w:bCs/>
          <w:sz w:val="26"/>
          <w:szCs w:val="26"/>
        </w:rPr>
        <w:t>生态环境影响因素汇总表</w:t>
      </w:r>
    </w:p>
    <w:tbl>
      <w:tblPr>
        <w:tblStyle w:val="7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555"/>
        <w:gridCol w:w="3265"/>
        <w:gridCol w:w="2405"/>
        <w:gridCol w:w="5291"/>
      </w:tblGrid>
      <w:tr w14:paraId="2B128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1384" w:type="dxa"/>
            <w:noWrap w:val="0"/>
            <w:vAlign w:val="center"/>
          </w:tcPr>
          <w:p w14:paraId="4B3E6219">
            <w:pPr>
              <w:pStyle w:val="946"/>
              <w:spacing w:line="300" w:lineRule="exact"/>
              <w:rPr>
                <w:rFonts w:ascii="Arial" w:hAnsi="Arial" w:cs="Arial"/>
                <w:sz w:val="22"/>
                <w:szCs w:val="22"/>
              </w:rPr>
            </w:pPr>
            <w:r>
              <w:rPr>
                <w:rFonts w:ascii="Arial" w:hAnsi="Arial" w:cs="Arial"/>
                <w:sz w:val="22"/>
                <w:szCs w:val="22"/>
              </w:rPr>
              <w:t>工程阶段</w:t>
            </w:r>
          </w:p>
        </w:tc>
        <w:tc>
          <w:tcPr>
            <w:tcW w:w="1555" w:type="dxa"/>
            <w:noWrap w:val="0"/>
            <w:vAlign w:val="center"/>
          </w:tcPr>
          <w:p w14:paraId="608D4262">
            <w:pPr>
              <w:pStyle w:val="946"/>
              <w:spacing w:line="300" w:lineRule="exact"/>
              <w:rPr>
                <w:rFonts w:ascii="Arial" w:hAnsi="Arial" w:cs="Arial"/>
                <w:sz w:val="22"/>
                <w:szCs w:val="22"/>
              </w:rPr>
            </w:pPr>
            <w:r>
              <w:rPr>
                <w:rFonts w:ascii="Arial" w:hAnsi="Arial" w:cs="Arial"/>
                <w:sz w:val="22"/>
                <w:szCs w:val="22"/>
              </w:rPr>
              <w:t>工程行为</w:t>
            </w:r>
          </w:p>
        </w:tc>
        <w:tc>
          <w:tcPr>
            <w:tcW w:w="3265" w:type="dxa"/>
            <w:noWrap w:val="0"/>
            <w:vAlign w:val="center"/>
          </w:tcPr>
          <w:p w14:paraId="7B9CB8BD">
            <w:pPr>
              <w:pStyle w:val="946"/>
              <w:spacing w:line="300" w:lineRule="exact"/>
              <w:rPr>
                <w:rFonts w:ascii="Arial" w:hAnsi="Arial" w:cs="Arial"/>
                <w:sz w:val="22"/>
                <w:szCs w:val="22"/>
              </w:rPr>
            </w:pPr>
            <w:r>
              <w:rPr>
                <w:rFonts w:ascii="Arial" w:hAnsi="Arial" w:cs="Arial"/>
                <w:sz w:val="22"/>
                <w:szCs w:val="22"/>
              </w:rPr>
              <w:t>生态影响因素</w:t>
            </w:r>
          </w:p>
        </w:tc>
        <w:tc>
          <w:tcPr>
            <w:tcW w:w="2405" w:type="dxa"/>
            <w:noWrap w:val="0"/>
            <w:vAlign w:val="center"/>
          </w:tcPr>
          <w:p w14:paraId="3344ACE4">
            <w:pPr>
              <w:pStyle w:val="946"/>
              <w:spacing w:line="300" w:lineRule="exact"/>
              <w:rPr>
                <w:rFonts w:ascii="Arial" w:hAnsi="Arial" w:cs="Arial"/>
                <w:sz w:val="22"/>
                <w:szCs w:val="22"/>
              </w:rPr>
            </w:pPr>
            <w:r>
              <w:rPr>
                <w:rFonts w:ascii="Arial" w:hAnsi="Arial" w:cs="Arial"/>
                <w:sz w:val="22"/>
                <w:szCs w:val="22"/>
              </w:rPr>
              <w:t>影响对象</w:t>
            </w:r>
          </w:p>
        </w:tc>
        <w:tc>
          <w:tcPr>
            <w:tcW w:w="5291" w:type="dxa"/>
            <w:noWrap w:val="0"/>
            <w:vAlign w:val="center"/>
          </w:tcPr>
          <w:p w14:paraId="70B7BD5A">
            <w:pPr>
              <w:pStyle w:val="946"/>
              <w:spacing w:line="300" w:lineRule="exact"/>
              <w:rPr>
                <w:rFonts w:ascii="Arial" w:hAnsi="Arial" w:cs="Arial"/>
                <w:sz w:val="22"/>
                <w:szCs w:val="22"/>
              </w:rPr>
            </w:pPr>
            <w:r>
              <w:rPr>
                <w:rFonts w:ascii="Arial" w:hAnsi="Arial" w:cs="Arial"/>
                <w:sz w:val="22"/>
                <w:szCs w:val="22"/>
              </w:rPr>
              <w:t>影响程度</w:t>
            </w:r>
          </w:p>
        </w:tc>
      </w:tr>
      <w:tr w14:paraId="678D1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restart"/>
            <w:noWrap w:val="0"/>
            <w:vAlign w:val="center"/>
          </w:tcPr>
          <w:p w14:paraId="591A928A">
            <w:pPr>
              <w:pStyle w:val="946"/>
              <w:spacing w:line="300" w:lineRule="exact"/>
              <w:rPr>
                <w:rFonts w:ascii="Arial" w:hAnsi="Arial" w:cs="Arial"/>
                <w:sz w:val="22"/>
                <w:szCs w:val="22"/>
              </w:rPr>
            </w:pPr>
            <w:r>
              <w:rPr>
                <w:rFonts w:ascii="Arial" w:hAnsi="Arial" w:cs="Arial"/>
                <w:sz w:val="22"/>
                <w:szCs w:val="22"/>
              </w:rPr>
              <w:t>营运期</w:t>
            </w:r>
          </w:p>
        </w:tc>
        <w:tc>
          <w:tcPr>
            <w:tcW w:w="1555" w:type="dxa"/>
            <w:vMerge w:val="restart"/>
            <w:noWrap w:val="0"/>
            <w:vAlign w:val="center"/>
          </w:tcPr>
          <w:p w14:paraId="102520F6">
            <w:pPr>
              <w:pStyle w:val="946"/>
              <w:spacing w:line="300" w:lineRule="exact"/>
              <w:rPr>
                <w:rFonts w:ascii="Arial" w:hAnsi="Arial" w:cs="Arial"/>
                <w:sz w:val="22"/>
                <w:szCs w:val="22"/>
                <w:lang w:val="zh-CN"/>
              </w:rPr>
            </w:pPr>
            <w:r>
              <w:rPr>
                <w:rFonts w:ascii="Arial" w:hAnsi="Arial" w:cs="Arial"/>
                <w:sz w:val="22"/>
                <w:szCs w:val="22"/>
              </w:rPr>
              <w:t>水库调度</w:t>
            </w:r>
          </w:p>
        </w:tc>
        <w:tc>
          <w:tcPr>
            <w:tcW w:w="3265" w:type="dxa"/>
            <w:vMerge w:val="restart"/>
            <w:noWrap w:val="0"/>
            <w:vAlign w:val="center"/>
          </w:tcPr>
          <w:p w14:paraId="05D21AA0">
            <w:pPr>
              <w:pStyle w:val="946"/>
              <w:spacing w:line="300" w:lineRule="exact"/>
              <w:rPr>
                <w:rFonts w:ascii="Arial" w:hAnsi="Arial" w:cs="Arial"/>
                <w:sz w:val="22"/>
                <w:szCs w:val="22"/>
                <w:lang w:val="zh-CN"/>
              </w:rPr>
            </w:pPr>
            <w:r>
              <w:rPr>
                <w:rFonts w:ascii="Arial" w:hAnsi="Arial" w:cs="Arial"/>
                <w:sz w:val="22"/>
                <w:szCs w:val="22"/>
              </w:rPr>
              <w:t>水库蓄水</w:t>
            </w:r>
          </w:p>
        </w:tc>
        <w:tc>
          <w:tcPr>
            <w:tcW w:w="2405" w:type="dxa"/>
            <w:noWrap w:val="0"/>
            <w:vAlign w:val="center"/>
          </w:tcPr>
          <w:p w14:paraId="36275065">
            <w:pPr>
              <w:pStyle w:val="946"/>
              <w:spacing w:line="300" w:lineRule="exact"/>
              <w:rPr>
                <w:rFonts w:ascii="Arial" w:hAnsi="Arial" w:cs="Arial"/>
                <w:sz w:val="22"/>
                <w:szCs w:val="22"/>
                <w:lang w:val="zh-CN"/>
              </w:rPr>
            </w:pPr>
            <w:r>
              <w:rPr>
                <w:rFonts w:ascii="Arial" w:hAnsi="Arial" w:cs="Arial"/>
                <w:sz w:val="22"/>
                <w:szCs w:val="22"/>
              </w:rPr>
              <w:t>淹没林地</w:t>
            </w:r>
          </w:p>
        </w:tc>
        <w:tc>
          <w:tcPr>
            <w:tcW w:w="5291" w:type="dxa"/>
            <w:noWrap w:val="0"/>
            <w:vAlign w:val="center"/>
          </w:tcPr>
          <w:p w14:paraId="36A899FE">
            <w:pPr>
              <w:pStyle w:val="946"/>
              <w:spacing w:line="300" w:lineRule="exact"/>
              <w:rPr>
                <w:rFonts w:ascii="Arial" w:hAnsi="Arial" w:cs="Arial"/>
                <w:sz w:val="22"/>
                <w:szCs w:val="22"/>
              </w:rPr>
            </w:pPr>
            <w:r>
              <w:rPr>
                <w:rFonts w:ascii="Arial" w:hAnsi="Arial" w:cs="Arial"/>
                <w:sz w:val="22"/>
                <w:szCs w:val="22"/>
              </w:rPr>
              <w:t>减少项目建设区内的植被生物量</w:t>
            </w:r>
          </w:p>
        </w:tc>
      </w:tr>
      <w:tr w14:paraId="44657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59577554">
            <w:pPr>
              <w:widowControl/>
              <w:spacing w:line="300" w:lineRule="exact"/>
              <w:jc w:val="center"/>
              <w:rPr>
                <w:rFonts w:ascii="Arial" w:hAnsi="Arial" w:cs="Arial"/>
                <w:sz w:val="22"/>
                <w:szCs w:val="22"/>
              </w:rPr>
            </w:pPr>
          </w:p>
        </w:tc>
        <w:tc>
          <w:tcPr>
            <w:tcW w:w="1555" w:type="dxa"/>
            <w:vMerge w:val="continue"/>
            <w:noWrap w:val="0"/>
            <w:vAlign w:val="center"/>
          </w:tcPr>
          <w:p w14:paraId="73909A49">
            <w:pPr>
              <w:widowControl/>
              <w:spacing w:line="300" w:lineRule="exact"/>
              <w:jc w:val="center"/>
              <w:rPr>
                <w:rFonts w:ascii="Arial" w:hAnsi="Arial" w:cs="Arial"/>
                <w:sz w:val="22"/>
                <w:szCs w:val="22"/>
                <w:lang w:val="zh-CN"/>
              </w:rPr>
            </w:pPr>
          </w:p>
        </w:tc>
        <w:tc>
          <w:tcPr>
            <w:tcW w:w="3265" w:type="dxa"/>
            <w:vMerge w:val="continue"/>
            <w:noWrap w:val="0"/>
            <w:vAlign w:val="center"/>
          </w:tcPr>
          <w:p w14:paraId="132906BC">
            <w:pPr>
              <w:widowControl/>
              <w:spacing w:line="300" w:lineRule="exact"/>
              <w:jc w:val="center"/>
              <w:rPr>
                <w:rFonts w:ascii="Arial" w:hAnsi="Arial" w:cs="Arial"/>
                <w:sz w:val="22"/>
                <w:szCs w:val="22"/>
                <w:lang w:val="zh-CN"/>
              </w:rPr>
            </w:pPr>
          </w:p>
        </w:tc>
        <w:tc>
          <w:tcPr>
            <w:tcW w:w="2405" w:type="dxa"/>
            <w:noWrap w:val="0"/>
            <w:vAlign w:val="center"/>
          </w:tcPr>
          <w:p w14:paraId="4AAAF77B">
            <w:pPr>
              <w:pStyle w:val="946"/>
              <w:spacing w:line="300" w:lineRule="exact"/>
              <w:rPr>
                <w:rFonts w:ascii="Arial" w:hAnsi="Arial" w:cs="Arial"/>
                <w:sz w:val="22"/>
                <w:szCs w:val="22"/>
              </w:rPr>
            </w:pPr>
            <w:r>
              <w:rPr>
                <w:rFonts w:ascii="Arial" w:hAnsi="Arial" w:cs="Arial"/>
                <w:sz w:val="22"/>
                <w:szCs w:val="22"/>
              </w:rPr>
              <w:t>地下水环境</w:t>
            </w:r>
          </w:p>
        </w:tc>
        <w:tc>
          <w:tcPr>
            <w:tcW w:w="5291" w:type="dxa"/>
            <w:noWrap w:val="0"/>
            <w:vAlign w:val="center"/>
          </w:tcPr>
          <w:p w14:paraId="33269E48">
            <w:pPr>
              <w:pStyle w:val="946"/>
              <w:spacing w:line="300" w:lineRule="exact"/>
              <w:rPr>
                <w:rFonts w:ascii="Arial" w:hAnsi="Arial" w:cs="Arial"/>
                <w:sz w:val="22"/>
                <w:szCs w:val="22"/>
              </w:rPr>
            </w:pPr>
            <w:r>
              <w:rPr>
                <w:rFonts w:ascii="Arial" w:hAnsi="Arial" w:cs="Arial"/>
                <w:sz w:val="22"/>
                <w:szCs w:val="22"/>
              </w:rPr>
              <w:t>水库可能发生渗漏，使地下水水位升高造成坝后浸没</w:t>
            </w:r>
          </w:p>
        </w:tc>
      </w:tr>
      <w:tr w14:paraId="36D390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0D25A7D0">
            <w:pPr>
              <w:widowControl/>
              <w:spacing w:line="300" w:lineRule="exact"/>
              <w:jc w:val="center"/>
              <w:rPr>
                <w:rFonts w:ascii="Arial" w:hAnsi="Arial" w:cs="Arial"/>
                <w:sz w:val="22"/>
                <w:szCs w:val="22"/>
              </w:rPr>
            </w:pPr>
          </w:p>
        </w:tc>
        <w:tc>
          <w:tcPr>
            <w:tcW w:w="1555" w:type="dxa"/>
            <w:vMerge w:val="continue"/>
            <w:noWrap w:val="0"/>
            <w:vAlign w:val="center"/>
          </w:tcPr>
          <w:p w14:paraId="7FBC7402">
            <w:pPr>
              <w:widowControl/>
              <w:spacing w:line="300" w:lineRule="exact"/>
              <w:jc w:val="center"/>
              <w:rPr>
                <w:rFonts w:ascii="Arial" w:hAnsi="Arial" w:cs="Arial"/>
                <w:sz w:val="22"/>
                <w:szCs w:val="22"/>
                <w:lang w:val="zh-CN"/>
              </w:rPr>
            </w:pPr>
          </w:p>
        </w:tc>
        <w:tc>
          <w:tcPr>
            <w:tcW w:w="3265" w:type="dxa"/>
            <w:vMerge w:val="continue"/>
            <w:noWrap w:val="0"/>
            <w:vAlign w:val="center"/>
          </w:tcPr>
          <w:p w14:paraId="01A60285">
            <w:pPr>
              <w:widowControl/>
              <w:spacing w:line="300" w:lineRule="exact"/>
              <w:jc w:val="center"/>
              <w:rPr>
                <w:rFonts w:ascii="Arial" w:hAnsi="Arial" w:cs="Arial"/>
                <w:sz w:val="22"/>
                <w:szCs w:val="22"/>
                <w:lang w:val="zh-CN"/>
              </w:rPr>
            </w:pPr>
          </w:p>
        </w:tc>
        <w:tc>
          <w:tcPr>
            <w:tcW w:w="2405" w:type="dxa"/>
            <w:noWrap w:val="0"/>
            <w:vAlign w:val="center"/>
          </w:tcPr>
          <w:p w14:paraId="55336314">
            <w:pPr>
              <w:pStyle w:val="946"/>
              <w:spacing w:line="300" w:lineRule="exact"/>
              <w:rPr>
                <w:rFonts w:ascii="Arial" w:hAnsi="Arial" w:cs="Arial"/>
                <w:sz w:val="22"/>
                <w:szCs w:val="22"/>
              </w:rPr>
            </w:pPr>
            <w:r>
              <w:rPr>
                <w:rFonts w:ascii="Arial" w:hAnsi="Arial" w:cs="Arial"/>
                <w:sz w:val="22"/>
                <w:szCs w:val="22"/>
              </w:rPr>
              <w:t>环境地质</w:t>
            </w:r>
          </w:p>
        </w:tc>
        <w:tc>
          <w:tcPr>
            <w:tcW w:w="5291" w:type="dxa"/>
            <w:noWrap w:val="0"/>
            <w:vAlign w:val="center"/>
          </w:tcPr>
          <w:p w14:paraId="52DF2543">
            <w:pPr>
              <w:pStyle w:val="946"/>
              <w:spacing w:line="300" w:lineRule="exact"/>
              <w:rPr>
                <w:rFonts w:ascii="Arial" w:hAnsi="Arial" w:cs="Arial"/>
                <w:sz w:val="22"/>
                <w:szCs w:val="22"/>
              </w:rPr>
            </w:pPr>
            <w:r>
              <w:rPr>
                <w:rFonts w:ascii="Arial" w:hAnsi="Arial" w:cs="Arial"/>
                <w:sz w:val="22"/>
                <w:szCs w:val="22"/>
              </w:rPr>
              <w:t>水位升高可能诱发地震、造成水库渗漏、库区库岸再造、水库淤积等地质问题</w:t>
            </w:r>
          </w:p>
        </w:tc>
      </w:tr>
      <w:tr w14:paraId="2035D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03BDEAFC">
            <w:pPr>
              <w:widowControl/>
              <w:spacing w:line="300" w:lineRule="exact"/>
              <w:jc w:val="center"/>
              <w:rPr>
                <w:rFonts w:ascii="Arial" w:hAnsi="Arial" w:cs="Arial"/>
                <w:sz w:val="22"/>
                <w:szCs w:val="22"/>
              </w:rPr>
            </w:pPr>
          </w:p>
        </w:tc>
        <w:tc>
          <w:tcPr>
            <w:tcW w:w="1555" w:type="dxa"/>
            <w:vMerge w:val="continue"/>
            <w:noWrap w:val="0"/>
            <w:vAlign w:val="center"/>
          </w:tcPr>
          <w:p w14:paraId="388F45FF">
            <w:pPr>
              <w:widowControl/>
              <w:spacing w:line="300" w:lineRule="exact"/>
              <w:jc w:val="center"/>
              <w:rPr>
                <w:rFonts w:ascii="Arial" w:hAnsi="Arial" w:cs="Arial"/>
                <w:sz w:val="22"/>
                <w:szCs w:val="22"/>
                <w:lang w:val="zh-CN"/>
              </w:rPr>
            </w:pPr>
          </w:p>
        </w:tc>
        <w:tc>
          <w:tcPr>
            <w:tcW w:w="3265" w:type="dxa"/>
            <w:vMerge w:val="restart"/>
            <w:noWrap w:val="0"/>
            <w:vAlign w:val="center"/>
          </w:tcPr>
          <w:p w14:paraId="113EDB0B">
            <w:pPr>
              <w:pStyle w:val="946"/>
              <w:spacing w:line="300" w:lineRule="exact"/>
              <w:rPr>
                <w:rFonts w:ascii="Arial" w:hAnsi="Arial" w:cs="Arial"/>
                <w:sz w:val="22"/>
                <w:szCs w:val="22"/>
                <w:lang w:val="zh-CN"/>
              </w:rPr>
            </w:pPr>
            <w:r>
              <w:rPr>
                <w:rFonts w:ascii="Arial" w:hAnsi="Arial" w:cs="Arial"/>
                <w:sz w:val="22"/>
                <w:szCs w:val="22"/>
                <w:lang w:val="zh-CN"/>
              </w:rPr>
              <w:t>大坝阻隔</w:t>
            </w:r>
          </w:p>
        </w:tc>
        <w:tc>
          <w:tcPr>
            <w:tcW w:w="2405" w:type="dxa"/>
            <w:noWrap w:val="0"/>
            <w:vAlign w:val="center"/>
          </w:tcPr>
          <w:p w14:paraId="6BF8D7B9">
            <w:pPr>
              <w:pStyle w:val="946"/>
              <w:spacing w:line="300" w:lineRule="exact"/>
              <w:rPr>
                <w:rFonts w:ascii="Arial" w:hAnsi="Arial" w:cs="Arial"/>
                <w:sz w:val="22"/>
                <w:szCs w:val="22"/>
                <w:lang w:val="zh-CN"/>
              </w:rPr>
            </w:pPr>
            <w:r>
              <w:rPr>
                <w:rFonts w:ascii="Arial" w:hAnsi="Arial" w:cs="Arial"/>
                <w:sz w:val="22"/>
                <w:szCs w:val="22"/>
              </w:rPr>
              <w:t>水生生物生境</w:t>
            </w:r>
          </w:p>
        </w:tc>
        <w:tc>
          <w:tcPr>
            <w:tcW w:w="5291" w:type="dxa"/>
            <w:noWrap w:val="0"/>
            <w:vAlign w:val="center"/>
          </w:tcPr>
          <w:p w14:paraId="557F04DB">
            <w:pPr>
              <w:pStyle w:val="946"/>
              <w:spacing w:line="300" w:lineRule="exact"/>
              <w:rPr>
                <w:rFonts w:ascii="Arial" w:hAnsi="Arial" w:cs="Arial"/>
                <w:sz w:val="22"/>
                <w:szCs w:val="22"/>
              </w:rPr>
            </w:pPr>
            <w:r>
              <w:rPr>
                <w:rFonts w:ascii="Arial" w:hAnsi="Arial" w:cs="Arial"/>
                <w:sz w:val="22"/>
                <w:szCs w:val="22"/>
              </w:rPr>
              <w:t>引起水生生物种类和分布的变化</w:t>
            </w:r>
          </w:p>
        </w:tc>
      </w:tr>
      <w:tr w14:paraId="7F626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761AD99A">
            <w:pPr>
              <w:widowControl/>
              <w:spacing w:line="300" w:lineRule="exact"/>
              <w:jc w:val="center"/>
              <w:rPr>
                <w:rFonts w:ascii="Arial" w:hAnsi="Arial" w:cs="Arial"/>
                <w:sz w:val="22"/>
                <w:szCs w:val="22"/>
              </w:rPr>
            </w:pPr>
          </w:p>
        </w:tc>
        <w:tc>
          <w:tcPr>
            <w:tcW w:w="1555" w:type="dxa"/>
            <w:vMerge w:val="continue"/>
            <w:noWrap w:val="0"/>
            <w:vAlign w:val="center"/>
          </w:tcPr>
          <w:p w14:paraId="0DBCC99D">
            <w:pPr>
              <w:widowControl/>
              <w:spacing w:line="300" w:lineRule="exact"/>
              <w:jc w:val="center"/>
              <w:rPr>
                <w:rFonts w:ascii="Arial" w:hAnsi="Arial" w:cs="Arial"/>
                <w:sz w:val="22"/>
                <w:szCs w:val="22"/>
                <w:lang w:val="zh-CN"/>
              </w:rPr>
            </w:pPr>
          </w:p>
        </w:tc>
        <w:tc>
          <w:tcPr>
            <w:tcW w:w="3265" w:type="dxa"/>
            <w:vMerge w:val="continue"/>
            <w:noWrap w:val="0"/>
            <w:vAlign w:val="center"/>
          </w:tcPr>
          <w:p w14:paraId="7FE9FD95">
            <w:pPr>
              <w:widowControl/>
              <w:spacing w:line="300" w:lineRule="exact"/>
              <w:jc w:val="center"/>
              <w:rPr>
                <w:rFonts w:ascii="Arial" w:hAnsi="Arial" w:cs="Arial"/>
                <w:sz w:val="22"/>
                <w:szCs w:val="22"/>
                <w:lang w:val="zh-CN"/>
              </w:rPr>
            </w:pPr>
          </w:p>
        </w:tc>
        <w:tc>
          <w:tcPr>
            <w:tcW w:w="2405" w:type="dxa"/>
            <w:noWrap w:val="0"/>
            <w:vAlign w:val="center"/>
          </w:tcPr>
          <w:p w14:paraId="4416BFE0">
            <w:pPr>
              <w:pStyle w:val="946"/>
              <w:spacing w:line="300" w:lineRule="exact"/>
              <w:rPr>
                <w:rFonts w:ascii="Arial" w:hAnsi="Arial" w:cs="Arial"/>
                <w:color w:val="auto"/>
                <w:sz w:val="22"/>
                <w:szCs w:val="22"/>
              </w:rPr>
            </w:pPr>
            <w:r>
              <w:rPr>
                <w:rFonts w:ascii="Arial" w:hAnsi="Arial" w:cs="Arial"/>
                <w:color w:val="auto"/>
                <w:sz w:val="22"/>
                <w:szCs w:val="22"/>
              </w:rPr>
              <w:t>地表水水文情势</w:t>
            </w:r>
          </w:p>
        </w:tc>
        <w:tc>
          <w:tcPr>
            <w:tcW w:w="5291" w:type="dxa"/>
            <w:noWrap w:val="0"/>
            <w:vAlign w:val="center"/>
          </w:tcPr>
          <w:p w14:paraId="634B5256">
            <w:pPr>
              <w:pStyle w:val="946"/>
              <w:spacing w:line="300" w:lineRule="exact"/>
              <w:rPr>
                <w:rFonts w:ascii="Arial" w:hAnsi="Arial" w:cs="Arial"/>
                <w:color w:val="auto"/>
                <w:sz w:val="22"/>
                <w:szCs w:val="22"/>
              </w:rPr>
            </w:pPr>
            <w:r>
              <w:rPr>
                <w:rFonts w:ascii="Arial" w:hAnsi="Arial" w:cs="Arial"/>
                <w:color w:val="auto"/>
                <w:sz w:val="22"/>
                <w:szCs w:val="22"/>
              </w:rPr>
              <w:t>导致坝下河道中的水量减小，在水库坝址～</w:t>
            </w:r>
            <w:r>
              <w:rPr>
                <w:rFonts w:hint="eastAsia" w:ascii="Arial" w:hAnsi="Arial" w:cs="Arial"/>
                <w:color w:val="auto"/>
                <w:sz w:val="22"/>
                <w:szCs w:val="22"/>
                <w:lang w:eastAsia="zh-CN"/>
              </w:rPr>
              <w:t>高洞桥河</w:t>
            </w:r>
            <w:r>
              <w:rPr>
                <w:rFonts w:ascii="Arial" w:hAnsi="Arial" w:cs="Arial"/>
                <w:color w:val="auto"/>
                <w:sz w:val="22"/>
                <w:szCs w:val="22"/>
              </w:rPr>
              <w:t>河口形成长约</w:t>
            </w:r>
            <w:r>
              <w:rPr>
                <w:rFonts w:hint="eastAsia" w:ascii="Arial" w:hAnsi="Arial" w:cs="Arial"/>
                <w:color w:val="auto"/>
                <w:sz w:val="22"/>
                <w:szCs w:val="22"/>
                <w:lang w:val="en-US" w:eastAsia="zh-CN"/>
              </w:rPr>
              <w:t>1.54</w:t>
            </w:r>
            <w:r>
              <w:rPr>
                <w:rFonts w:ascii="Arial" w:hAnsi="Arial" w:cs="Arial"/>
                <w:color w:val="auto"/>
                <w:sz w:val="22"/>
                <w:szCs w:val="22"/>
              </w:rPr>
              <w:t>km的减水河段</w:t>
            </w:r>
          </w:p>
        </w:tc>
      </w:tr>
      <w:tr w14:paraId="103E0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6B020BCF">
            <w:pPr>
              <w:widowControl/>
              <w:spacing w:line="300" w:lineRule="exact"/>
              <w:jc w:val="center"/>
              <w:rPr>
                <w:rFonts w:ascii="Arial" w:hAnsi="Arial" w:cs="Arial"/>
                <w:sz w:val="22"/>
                <w:szCs w:val="22"/>
              </w:rPr>
            </w:pPr>
          </w:p>
        </w:tc>
        <w:tc>
          <w:tcPr>
            <w:tcW w:w="1555" w:type="dxa"/>
            <w:vMerge w:val="continue"/>
            <w:noWrap w:val="0"/>
            <w:vAlign w:val="center"/>
          </w:tcPr>
          <w:p w14:paraId="6729E286">
            <w:pPr>
              <w:widowControl/>
              <w:spacing w:line="300" w:lineRule="exact"/>
              <w:jc w:val="center"/>
              <w:rPr>
                <w:rFonts w:ascii="Arial" w:hAnsi="Arial" w:cs="Arial"/>
                <w:sz w:val="22"/>
                <w:szCs w:val="22"/>
                <w:lang w:val="zh-CN"/>
              </w:rPr>
            </w:pPr>
          </w:p>
        </w:tc>
        <w:tc>
          <w:tcPr>
            <w:tcW w:w="3265" w:type="dxa"/>
            <w:vMerge w:val="continue"/>
            <w:noWrap w:val="0"/>
            <w:vAlign w:val="center"/>
          </w:tcPr>
          <w:p w14:paraId="29333B41">
            <w:pPr>
              <w:widowControl/>
              <w:spacing w:line="300" w:lineRule="exact"/>
              <w:jc w:val="center"/>
              <w:rPr>
                <w:rFonts w:ascii="Arial" w:hAnsi="Arial" w:cs="Arial"/>
                <w:sz w:val="22"/>
                <w:szCs w:val="22"/>
                <w:lang w:val="zh-CN"/>
              </w:rPr>
            </w:pPr>
          </w:p>
        </w:tc>
        <w:tc>
          <w:tcPr>
            <w:tcW w:w="2405" w:type="dxa"/>
            <w:noWrap w:val="0"/>
            <w:vAlign w:val="center"/>
          </w:tcPr>
          <w:p w14:paraId="27B3F926">
            <w:pPr>
              <w:pStyle w:val="946"/>
              <w:spacing w:line="300" w:lineRule="exact"/>
              <w:rPr>
                <w:rFonts w:ascii="Arial" w:hAnsi="Arial" w:cs="Arial"/>
                <w:color w:val="auto"/>
                <w:sz w:val="22"/>
                <w:szCs w:val="22"/>
              </w:rPr>
            </w:pPr>
            <w:r>
              <w:rPr>
                <w:rFonts w:ascii="Arial" w:hAnsi="Arial" w:cs="Arial"/>
                <w:color w:val="auto"/>
                <w:sz w:val="22"/>
                <w:szCs w:val="22"/>
              </w:rPr>
              <w:t>河道输沙</w:t>
            </w:r>
          </w:p>
        </w:tc>
        <w:tc>
          <w:tcPr>
            <w:tcW w:w="5291" w:type="dxa"/>
            <w:noWrap w:val="0"/>
            <w:vAlign w:val="center"/>
          </w:tcPr>
          <w:p w14:paraId="4FB896F2">
            <w:pPr>
              <w:pStyle w:val="946"/>
              <w:spacing w:line="300" w:lineRule="exact"/>
              <w:rPr>
                <w:rFonts w:ascii="Arial" w:hAnsi="Arial" w:cs="Arial"/>
                <w:color w:val="auto"/>
                <w:sz w:val="22"/>
                <w:szCs w:val="22"/>
              </w:rPr>
            </w:pPr>
            <w:r>
              <w:rPr>
                <w:rFonts w:ascii="Arial" w:hAnsi="Arial" w:cs="Arial"/>
                <w:color w:val="auto"/>
                <w:sz w:val="22"/>
                <w:szCs w:val="22"/>
              </w:rPr>
              <w:t>改变河道原始输沙能力和输沙量</w:t>
            </w:r>
          </w:p>
        </w:tc>
      </w:tr>
      <w:tr w14:paraId="271DB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647FFE07">
            <w:pPr>
              <w:widowControl/>
              <w:spacing w:line="300" w:lineRule="exact"/>
              <w:jc w:val="center"/>
              <w:rPr>
                <w:rFonts w:ascii="Arial" w:hAnsi="Arial" w:cs="Arial"/>
                <w:sz w:val="22"/>
                <w:szCs w:val="22"/>
              </w:rPr>
            </w:pPr>
          </w:p>
        </w:tc>
        <w:tc>
          <w:tcPr>
            <w:tcW w:w="1555" w:type="dxa"/>
            <w:vMerge w:val="continue"/>
            <w:noWrap w:val="0"/>
            <w:vAlign w:val="center"/>
          </w:tcPr>
          <w:p w14:paraId="57426455">
            <w:pPr>
              <w:widowControl/>
              <w:spacing w:line="300" w:lineRule="exact"/>
              <w:jc w:val="center"/>
              <w:rPr>
                <w:rFonts w:ascii="Arial" w:hAnsi="Arial" w:cs="Arial"/>
                <w:sz w:val="22"/>
                <w:szCs w:val="22"/>
                <w:lang w:val="zh-CN"/>
              </w:rPr>
            </w:pPr>
          </w:p>
        </w:tc>
        <w:tc>
          <w:tcPr>
            <w:tcW w:w="3265" w:type="dxa"/>
            <w:vMerge w:val="continue"/>
            <w:noWrap w:val="0"/>
            <w:vAlign w:val="center"/>
          </w:tcPr>
          <w:p w14:paraId="5EE1B7CA">
            <w:pPr>
              <w:widowControl/>
              <w:spacing w:line="300" w:lineRule="exact"/>
              <w:jc w:val="center"/>
              <w:rPr>
                <w:rFonts w:ascii="Arial" w:hAnsi="Arial" w:cs="Arial"/>
                <w:sz w:val="22"/>
                <w:szCs w:val="22"/>
                <w:lang w:val="zh-CN"/>
              </w:rPr>
            </w:pPr>
          </w:p>
        </w:tc>
        <w:tc>
          <w:tcPr>
            <w:tcW w:w="2405" w:type="dxa"/>
            <w:noWrap w:val="0"/>
            <w:vAlign w:val="center"/>
          </w:tcPr>
          <w:p w14:paraId="08267B6A">
            <w:pPr>
              <w:pStyle w:val="946"/>
              <w:spacing w:line="300" w:lineRule="exact"/>
              <w:rPr>
                <w:rFonts w:ascii="Arial" w:hAnsi="Arial" w:cs="Arial"/>
                <w:color w:val="auto"/>
                <w:sz w:val="22"/>
                <w:szCs w:val="22"/>
              </w:rPr>
            </w:pPr>
            <w:r>
              <w:rPr>
                <w:rFonts w:ascii="Arial" w:hAnsi="Arial" w:cs="Arial"/>
                <w:color w:val="auto"/>
                <w:sz w:val="22"/>
                <w:szCs w:val="22"/>
              </w:rPr>
              <w:t>水温</w:t>
            </w:r>
          </w:p>
        </w:tc>
        <w:tc>
          <w:tcPr>
            <w:tcW w:w="5291" w:type="dxa"/>
            <w:vMerge w:val="restart"/>
            <w:noWrap w:val="0"/>
            <w:vAlign w:val="center"/>
          </w:tcPr>
          <w:p w14:paraId="1C2AC779">
            <w:pPr>
              <w:pStyle w:val="946"/>
              <w:spacing w:line="300" w:lineRule="exact"/>
              <w:rPr>
                <w:rFonts w:hint="eastAsia" w:ascii="Arial" w:hAnsi="Arial" w:cs="Arial"/>
                <w:color w:val="auto"/>
                <w:sz w:val="22"/>
                <w:szCs w:val="22"/>
                <w:lang w:eastAsia="zh-CN"/>
              </w:rPr>
            </w:pPr>
            <w:r>
              <w:rPr>
                <w:rFonts w:ascii="Arial" w:hAnsi="Arial" w:cs="Arial"/>
                <w:color w:val="auto"/>
                <w:sz w:val="22"/>
                <w:szCs w:val="22"/>
              </w:rPr>
              <w:t>库内水温可能因河水滞留而分层</w:t>
            </w:r>
            <w:r>
              <w:rPr>
                <w:rFonts w:hint="eastAsia" w:ascii="Arial" w:hAnsi="Arial" w:cs="Arial"/>
                <w:color w:val="auto"/>
                <w:sz w:val="22"/>
                <w:szCs w:val="22"/>
                <w:lang w:eastAsia="zh-CN"/>
              </w:rPr>
              <w:t>，低温水直接输送、下泄对坝后灌区农作物生长、水生生态环境造成破坏</w:t>
            </w:r>
          </w:p>
        </w:tc>
      </w:tr>
      <w:tr w14:paraId="2AAFB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5428FE21">
            <w:pPr>
              <w:widowControl/>
              <w:spacing w:line="300" w:lineRule="exact"/>
              <w:jc w:val="center"/>
              <w:rPr>
                <w:rFonts w:ascii="Arial" w:hAnsi="Arial" w:cs="Arial"/>
                <w:sz w:val="22"/>
                <w:szCs w:val="22"/>
              </w:rPr>
            </w:pPr>
          </w:p>
        </w:tc>
        <w:tc>
          <w:tcPr>
            <w:tcW w:w="1555" w:type="dxa"/>
            <w:noWrap w:val="0"/>
            <w:vAlign w:val="center"/>
          </w:tcPr>
          <w:p w14:paraId="17EC9507">
            <w:pPr>
              <w:pStyle w:val="946"/>
              <w:spacing w:line="300" w:lineRule="exact"/>
              <w:rPr>
                <w:rFonts w:ascii="Arial" w:hAnsi="Arial" w:cs="Arial"/>
                <w:sz w:val="22"/>
                <w:szCs w:val="22"/>
                <w:lang w:val="zh-CN"/>
              </w:rPr>
            </w:pPr>
            <w:r>
              <w:rPr>
                <w:rFonts w:ascii="Arial" w:hAnsi="Arial" w:cs="Arial"/>
                <w:sz w:val="22"/>
                <w:szCs w:val="22"/>
                <w:lang w:val="zh-CN"/>
              </w:rPr>
              <w:t>灌区输水</w:t>
            </w:r>
          </w:p>
        </w:tc>
        <w:tc>
          <w:tcPr>
            <w:tcW w:w="3265" w:type="dxa"/>
            <w:noWrap w:val="0"/>
            <w:vAlign w:val="center"/>
          </w:tcPr>
          <w:p w14:paraId="70180D14">
            <w:pPr>
              <w:pStyle w:val="946"/>
              <w:spacing w:line="300" w:lineRule="exact"/>
              <w:rPr>
                <w:rFonts w:ascii="Arial" w:hAnsi="Arial" w:cs="Arial"/>
                <w:sz w:val="22"/>
                <w:szCs w:val="22"/>
                <w:lang w:val="zh-CN"/>
              </w:rPr>
            </w:pPr>
            <w:r>
              <w:rPr>
                <w:rFonts w:ascii="Arial" w:hAnsi="Arial" w:cs="Arial"/>
                <w:sz w:val="22"/>
                <w:szCs w:val="22"/>
                <w:lang w:val="zh-CN"/>
              </w:rPr>
              <w:t>低温水</w:t>
            </w:r>
          </w:p>
        </w:tc>
        <w:tc>
          <w:tcPr>
            <w:tcW w:w="2405" w:type="dxa"/>
            <w:noWrap w:val="0"/>
            <w:vAlign w:val="center"/>
          </w:tcPr>
          <w:p w14:paraId="668994F6">
            <w:pPr>
              <w:pStyle w:val="946"/>
              <w:spacing w:line="300" w:lineRule="exact"/>
              <w:rPr>
                <w:rFonts w:ascii="Arial" w:hAnsi="Arial" w:cs="Arial"/>
                <w:sz w:val="22"/>
                <w:szCs w:val="22"/>
              </w:rPr>
            </w:pPr>
            <w:r>
              <w:rPr>
                <w:rFonts w:hint="eastAsia" w:ascii="Arial" w:hAnsi="Arial" w:cs="Arial"/>
                <w:sz w:val="22"/>
                <w:szCs w:val="22"/>
                <w:lang w:eastAsia="zh-CN"/>
              </w:rPr>
              <w:t>灌区</w:t>
            </w:r>
            <w:r>
              <w:rPr>
                <w:rFonts w:ascii="Arial" w:hAnsi="Arial" w:cs="Arial"/>
                <w:sz w:val="22"/>
                <w:szCs w:val="22"/>
              </w:rPr>
              <w:t>农作物</w:t>
            </w:r>
          </w:p>
        </w:tc>
        <w:tc>
          <w:tcPr>
            <w:tcW w:w="5291" w:type="dxa"/>
            <w:vMerge w:val="continue"/>
            <w:noWrap w:val="0"/>
            <w:vAlign w:val="center"/>
          </w:tcPr>
          <w:p w14:paraId="588CACC7">
            <w:pPr>
              <w:pStyle w:val="946"/>
              <w:spacing w:line="300" w:lineRule="exact"/>
              <w:rPr>
                <w:rFonts w:ascii="Arial" w:hAnsi="Arial" w:cs="Arial"/>
                <w:sz w:val="22"/>
                <w:szCs w:val="22"/>
              </w:rPr>
            </w:pPr>
          </w:p>
        </w:tc>
      </w:tr>
    </w:tbl>
    <w:p w14:paraId="2E743184">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sectPr>
          <w:pgSz w:w="15840" w:h="12240" w:orient="landscape"/>
          <w:pgMar w:top="1701" w:right="1440" w:bottom="1701" w:left="1440" w:header="1020" w:footer="794" w:gutter="0"/>
          <w:pgBorders>
            <w:top w:val="none" w:sz="0" w:space="0"/>
            <w:left w:val="none" w:sz="0" w:space="0"/>
            <w:bottom w:val="none" w:sz="0" w:space="0"/>
            <w:right w:val="none" w:sz="0" w:space="0"/>
          </w:pgBorders>
          <w:pgNumType w:fmt="decimal"/>
          <w:cols w:space="0" w:num="1"/>
          <w:rtlGutter w:val="0"/>
          <w:docGrid w:linePitch="0" w:charSpace="0"/>
        </w:sectPr>
      </w:pPr>
    </w:p>
    <w:bookmarkEnd w:id="85"/>
    <w:bookmarkEnd w:id="86"/>
    <w:bookmarkEnd w:id="87"/>
    <w:p w14:paraId="348C3EA4">
      <w:pPr>
        <w:keepNext w:val="0"/>
        <w:keepLines w:val="0"/>
        <w:pageBreakBefore w:val="0"/>
        <w:widowControl w:val="0"/>
        <w:kinsoku/>
        <w:wordWrap/>
        <w:overflowPunct/>
        <w:topLinePunct w:val="0"/>
        <w:autoSpaceDE/>
        <w:autoSpaceDN/>
        <w:bidi w:val="0"/>
        <w:adjustRightInd w:val="0"/>
        <w:snapToGrid w:val="0"/>
        <w:spacing w:before="0" w:beforeLines="100" w:after="0" w:afterLines="100" w:line="460" w:lineRule="exact"/>
        <w:jc w:val="center"/>
        <w:textAlignment w:val="auto"/>
        <w:outlineLvl w:val="0"/>
        <w:rPr>
          <w:rFonts w:hint="default" w:ascii="Arial" w:hAnsi="Arial" w:cs="Arial"/>
          <w:b/>
          <w:sz w:val="26"/>
          <w:szCs w:val="26"/>
          <w:highlight w:val="none"/>
        </w:rPr>
      </w:pPr>
      <w:bookmarkStart w:id="88" w:name="_Toc3317"/>
      <w:r>
        <w:rPr>
          <w:rFonts w:hint="default" w:ascii="Arial" w:hAnsi="Arial" w:cs="Arial"/>
          <w:b/>
          <w:sz w:val="26"/>
          <w:szCs w:val="26"/>
          <w:highlight w:val="none"/>
        </w:rPr>
        <w:t>4 区域环境概况</w:t>
      </w:r>
      <w:bookmarkEnd w:id="88"/>
    </w:p>
    <w:p w14:paraId="06DA8E94">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rPr>
      </w:pPr>
      <w:bookmarkStart w:id="89" w:name="_Toc4030"/>
      <w:r>
        <w:rPr>
          <w:rFonts w:hint="default" w:ascii="Arial" w:hAnsi="Arial" w:eastAsia="宋体" w:cs="Arial"/>
          <w:sz w:val="26"/>
          <w:szCs w:val="26"/>
        </w:rPr>
        <w:t>4.1</w:t>
      </w:r>
      <w:r>
        <w:rPr>
          <w:rFonts w:hint="eastAsia" w:ascii="Arial" w:hAnsi="Arial" w:eastAsia="宋体" w:cs="Arial"/>
          <w:sz w:val="26"/>
          <w:szCs w:val="26"/>
        </w:rPr>
        <w:t>自然环境概况</w:t>
      </w:r>
      <w:bookmarkEnd w:id="89"/>
    </w:p>
    <w:p w14:paraId="78C2B52C">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4.1.1地理位置</w:t>
      </w:r>
    </w:p>
    <w:p w14:paraId="44563C79">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丰都县位于长江上游地区、重庆东部，地处三峡库区腹心，上距重庆主城九区水路172</w:t>
      </w:r>
      <w:r>
        <w:rPr>
          <w:rFonts w:hint="eastAsia" w:ascii="Arial" w:hAnsi="Arial" w:cs="Arial"/>
          <w:b w:val="0"/>
          <w:color w:val="auto"/>
          <w:kern w:val="2"/>
          <w:sz w:val="26"/>
          <w:szCs w:val="26"/>
          <w:lang w:val="en-US" w:eastAsia="zh-CN" w:bidi="ar-SA"/>
        </w:rPr>
        <w:t>km</w:t>
      </w:r>
      <w:r>
        <w:rPr>
          <w:rFonts w:hint="default" w:ascii="Arial" w:hAnsi="Arial" w:cs="Arial"/>
          <w:b w:val="0"/>
          <w:color w:val="auto"/>
          <w:kern w:val="2"/>
          <w:sz w:val="26"/>
          <w:szCs w:val="26"/>
          <w:lang w:val="en-US" w:eastAsia="zh-CN" w:bidi="ar-SA"/>
        </w:rPr>
        <w:t>，下距湖北宜昌476</w:t>
      </w:r>
      <w:r>
        <w:rPr>
          <w:rFonts w:hint="eastAsia" w:ascii="Arial" w:hAnsi="Arial" w:cs="Arial"/>
          <w:b w:val="0"/>
          <w:color w:val="auto"/>
          <w:kern w:val="2"/>
          <w:sz w:val="26"/>
          <w:szCs w:val="26"/>
          <w:lang w:val="en-US" w:eastAsia="zh-CN" w:bidi="ar-SA"/>
        </w:rPr>
        <w:t>km</w:t>
      </w:r>
      <w:r>
        <w:rPr>
          <w:rFonts w:hint="default" w:ascii="Arial" w:hAnsi="Arial" w:cs="Arial"/>
          <w:b w:val="0"/>
          <w:color w:val="auto"/>
          <w:kern w:val="2"/>
          <w:sz w:val="26"/>
          <w:szCs w:val="26"/>
          <w:lang w:val="en-US" w:eastAsia="zh-CN" w:bidi="ar-SA"/>
        </w:rPr>
        <w:t>。东依石柱土家族自治县，南接武隆区、彭水县，西靠涪陵区，北邻忠县、垫江县。县境呈西北</w:t>
      </w:r>
      <w:r>
        <w:rPr>
          <w:rFonts w:hint="eastAsia" w:ascii="Arial" w:hAnsi="Arial" w:cs="Arial"/>
          <w:b w:val="0"/>
          <w:color w:val="auto"/>
          <w:kern w:val="2"/>
          <w:sz w:val="26"/>
          <w:szCs w:val="26"/>
          <w:lang w:val="en-US" w:eastAsia="zh-CN" w:bidi="ar-SA"/>
        </w:rPr>
        <w:t>—</w:t>
      </w:r>
      <w:r>
        <w:rPr>
          <w:rFonts w:hint="default" w:ascii="Arial" w:hAnsi="Arial" w:cs="Arial"/>
          <w:b w:val="0"/>
          <w:color w:val="auto"/>
          <w:kern w:val="2"/>
          <w:sz w:val="26"/>
          <w:szCs w:val="26"/>
          <w:lang w:val="en-US" w:eastAsia="zh-CN" w:bidi="ar-SA"/>
        </w:rPr>
        <w:t>东南走向分布，南北长87</w:t>
      </w:r>
      <w:r>
        <w:rPr>
          <w:rFonts w:hint="eastAsia" w:ascii="Arial" w:hAnsi="Arial" w:cs="Arial"/>
          <w:b w:val="0"/>
          <w:color w:val="auto"/>
          <w:kern w:val="2"/>
          <w:sz w:val="26"/>
          <w:szCs w:val="26"/>
          <w:lang w:val="en-US" w:eastAsia="zh-CN" w:bidi="ar-SA"/>
        </w:rPr>
        <w:t>km</w:t>
      </w:r>
      <w:r>
        <w:rPr>
          <w:rFonts w:hint="default" w:ascii="Arial" w:hAnsi="Arial" w:cs="Arial"/>
          <w:b w:val="0"/>
          <w:color w:val="auto"/>
          <w:kern w:val="2"/>
          <w:sz w:val="26"/>
          <w:szCs w:val="26"/>
          <w:lang w:val="en-US" w:eastAsia="zh-CN" w:bidi="ar-SA"/>
        </w:rPr>
        <w:t>，东西宽54</w:t>
      </w:r>
      <w:r>
        <w:rPr>
          <w:rFonts w:hint="eastAsia" w:ascii="Arial" w:hAnsi="Arial" w:cs="Arial"/>
          <w:b w:val="0"/>
          <w:color w:val="auto"/>
          <w:kern w:val="2"/>
          <w:sz w:val="26"/>
          <w:szCs w:val="26"/>
          <w:lang w:val="en-US" w:eastAsia="zh-CN" w:bidi="ar-SA"/>
        </w:rPr>
        <w:t>km</w:t>
      </w:r>
      <w:r>
        <w:rPr>
          <w:rFonts w:hint="default" w:ascii="Arial" w:hAnsi="Arial" w:cs="Arial"/>
          <w:b w:val="0"/>
          <w:color w:val="auto"/>
          <w:kern w:val="2"/>
          <w:sz w:val="26"/>
          <w:szCs w:val="26"/>
          <w:lang w:val="en-US" w:eastAsia="zh-CN" w:bidi="ar-SA"/>
        </w:rPr>
        <w:t>，辖区面积2901</w:t>
      </w:r>
      <w:r>
        <w:rPr>
          <w:rFonts w:hint="eastAsia" w:ascii="Arial" w:hAnsi="Arial" w:cs="Arial"/>
          <w:b w:val="0"/>
          <w:color w:val="auto"/>
          <w:kern w:val="2"/>
          <w:sz w:val="26"/>
          <w:szCs w:val="26"/>
          <w:lang w:val="en-US" w:eastAsia="zh-CN" w:bidi="ar-SA"/>
        </w:rPr>
        <w:t>km</w:t>
      </w:r>
      <w:r>
        <w:rPr>
          <w:rFonts w:hint="eastAsia"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w:t>
      </w:r>
    </w:p>
    <w:p w14:paraId="4F3328FE">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本次拟建海螺沟水库工程</w:t>
      </w:r>
      <w:r>
        <w:rPr>
          <w:rFonts w:ascii="Arial" w:hAnsi="宋体" w:cs="Arial"/>
          <w:snapToGrid w:val="0"/>
          <w:spacing w:val="12"/>
          <w:kern w:val="0"/>
          <w:sz w:val="26"/>
          <w:szCs w:val="26"/>
        </w:rPr>
        <w:t>地处</w:t>
      </w:r>
      <w:r>
        <w:rPr>
          <w:rFonts w:hint="eastAsia" w:ascii="Arial" w:hAnsi="宋体" w:cs="Arial"/>
          <w:snapToGrid w:val="0"/>
          <w:spacing w:val="12"/>
          <w:kern w:val="0"/>
          <w:sz w:val="26"/>
          <w:szCs w:val="26"/>
          <w:lang w:eastAsia="zh-CN"/>
        </w:rPr>
        <w:t>渠溪河</w:t>
      </w:r>
      <w:r>
        <w:rPr>
          <w:rFonts w:ascii="Arial" w:hAnsi="宋体" w:cs="Arial"/>
          <w:snapToGrid w:val="0"/>
          <w:spacing w:val="12"/>
          <w:kern w:val="0"/>
          <w:sz w:val="26"/>
          <w:szCs w:val="26"/>
        </w:rPr>
        <w:t>水系</w:t>
      </w:r>
      <w:r>
        <w:rPr>
          <w:rFonts w:hint="eastAsia" w:ascii="Arial" w:hAnsi="宋体" w:cs="Arial"/>
          <w:snapToGrid w:val="0"/>
          <w:spacing w:val="12"/>
          <w:kern w:val="0"/>
          <w:sz w:val="26"/>
          <w:szCs w:val="26"/>
          <w:lang w:eastAsia="zh-CN"/>
        </w:rPr>
        <w:t>—双龙河</w:t>
      </w:r>
      <w:r>
        <w:rPr>
          <w:rFonts w:ascii="Arial" w:hAnsi="宋体" w:cs="Arial"/>
          <w:snapToGrid w:val="0"/>
          <w:spacing w:val="12"/>
          <w:kern w:val="0"/>
          <w:sz w:val="26"/>
          <w:szCs w:val="26"/>
        </w:rPr>
        <w:t>支流</w:t>
      </w:r>
      <w:r>
        <w:rPr>
          <w:rFonts w:hint="eastAsia" w:ascii="Arial" w:hAnsi="宋体" w:cs="Arial"/>
          <w:snapToGrid w:val="0"/>
          <w:spacing w:val="12"/>
          <w:kern w:val="0"/>
          <w:sz w:val="26"/>
          <w:szCs w:val="26"/>
          <w:lang w:eastAsia="zh-CN"/>
        </w:rPr>
        <w:t>—高洞桥河支流—海螺沟</w:t>
      </w:r>
      <w:r>
        <w:rPr>
          <w:rFonts w:hint="eastAsia" w:ascii="Arial" w:hAnsi="宋体" w:cs="Arial"/>
          <w:spacing w:val="12"/>
          <w:sz w:val="26"/>
          <w:szCs w:val="26"/>
          <w:lang w:eastAsia="zh-CN"/>
        </w:rPr>
        <w:t>中游</w:t>
      </w:r>
      <w:r>
        <w:rPr>
          <w:rFonts w:ascii="Arial" w:hAnsi="宋体" w:cs="Arial"/>
          <w:spacing w:val="12"/>
          <w:sz w:val="26"/>
          <w:szCs w:val="26"/>
        </w:rPr>
        <w:t>，</w:t>
      </w:r>
      <w:r>
        <w:rPr>
          <w:rFonts w:hint="eastAsia" w:ascii="Arial" w:hAnsi="宋体" w:cs="Arial"/>
          <w:spacing w:val="12"/>
          <w:sz w:val="26"/>
          <w:szCs w:val="26"/>
          <w:lang w:eastAsia="zh-CN"/>
        </w:rPr>
        <w:t>坝址</w:t>
      </w:r>
      <w:r>
        <w:rPr>
          <w:snapToGrid w:val="0"/>
          <w:sz w:val="26"/>
          <w:szCs w:val="26"/>
        </w:rPr>
        <w:t>位于</w:t>
      </w:r>
      <w:r>
        <w:rPr>
          <w:rFonts w:hint="eastAsia"/>
          <w:snapToGrid w:val="0"/>
          <w:sz w:val="26"/>
          <w:szCs w:val="26"/>
        </w:rPr>
        <w:t>丰都县双龙镇田家山村，</w:t>
      </w:r>
      <w:r>
        <w:rPr>
          <w:rFonts w:hint="eastAsia" w:ascii="Arial" w:hAnsi="Arial" w:cs="Arial"/>
          <w:b w:val="0"/>
          <w:color w:val="auto"/>
          <w:kern w:val="2"/>
          <w:sz w:val="26"/>
          <w:szCs w:val="26"/>
          <w:lang w:val="en-US" w:eastAsia="zh-CN" w:bidi="ar-SA"/>
        </w:rPr>
        <w:t>库尾有机耕道与双龙镇相通，但交通条件较差，枢纽区至双龙镇约12km，距离丰都县城约75km。</w:t>
      </w:r>
    </w:p>
    <w:p w14:paraId="17EA7FB3">
      <w:pPr>
        <w:pStyle w:val="1923"/>
        <w:keepNext w:val="0"/>
        <w:keepLines w:val="0"/>
        <w:pageBreakBefore w:val="0"/>
        <w:widowControl w:val="0"/>
        <w:kinsoku/>
        <w:wordWrap/>
        <w:overflowPunct/>
        <w:topLinePunct w:val="0"/>
        <w:autoSpaceDE/>
        <w:autoSpaceDN/>
        <w:bidi w:val="0"/>
        <w:adjustRightInd w:val="0"/>
        <w:snapToGrid w:val="0"/>
        <w:spacing w:line="460" w:lineRule="exact"/>
        <w:ind w:firstLine="560"/>
        <w:jc w:val="both"/>
        <w:textAlignment w:val="auto"/>
        <w:rPr>
          <w:rFonts w:ascii="Times New Roman" w:hAnsi="Times New Roman"/>
          <w:sz w:val="26"/>
          <w:szCs w:val="26"/>
        </w:rPr>
      </w:pPr>
      <w:r>
        <w:rPr>
          <w:rFonts w:hint="eastAsia" w:ascii="Arial" w:hAnsi="Arial" w:cs="Arial"/>
          <w:b w:val="0"/>
          <w:color w:val="auto"/>
          <w:kern w:val="2"/>
          <w:sz w:val="26"/>
          <w:szCs w:val="26"/>
          <w:lang w:val="en-US" w:eastAsia="zh-CN" w:bidi="ar-SA"/>
        </w:rPr>
        <w:t>拟建项目地理位置详见</w:t>
      </w:r>
      <w:r>
        <w:rPr>
          <w:rFonts w:hint="eastAsia" w:ascii="Arial" w:hAnsi="Arial" w:cs="Arial"/>
          <w:b/>
          <w:bCs/>
          <w:color w:val="auto"/>
          <w:kern w:val="2"/>
          <w:sz w:val="26"/>
          <w:szCs w:val="26"/>
          <w:lang w:val="en-US" w:eastAsia="zh-CN" w:bidi="ar-SA"/>
        </w:rPr>
        <w:t>附图1</w:t>
      </w:r>
      <w:r>
        <w:rPr>
          <w:rFonts w:hint="eastAsia" w:ascii="Arial" w:hAnsi="Arial" w:cs="Arial"/>
          <w:b w:val="0"/>
          <w:color w:val="auto"/>
          <w:kern w:val="2"/>
          <w:sz w:val="26"/>
          <w:szCs w:val="26"/>
          <w:lang w:val="en-US" w:eastAsia="zh-CN" w:bidi="ar-SA"/>
        </w:rPr>
        <w:t>所示。</w:t>
      </w:r>
    </w:p>
    <w:p w14:paraId="42BCEE46">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4.1.2地形</w:t>
      </w:r>
      <w:r>
        <w:rPr>
          <w:rFonts w:hint="eastAsia" w:ascii="Arial" w:hAnsi="Arial" w:cs="Arial"/>
          <w:b/>
          <w:bCs w:val="0"/>
          <w:sz w:val="26"/>
          <w:szCs w:val="26"/>
          <w:lang w:val="en-US" w:eastAsia="zh-CN"/>
        </w:rPr>
        <w:t>、</w:t>
      </w:r>
      <w:r>
        <w:rPr>
          <w:rFonts w:hint="eastAsia" w:ascii="Arial" w:hAnsi="Arial" w:eastAsia="宋体" w:cs="Arial"/>
          <w:b/>
          <w:bCs w:val="0"/>
          <w:sz w:val="26"/>
          <w:szCs w:val="26"/>
          <w:lang w:val="en-US" w:eastAsia="zh-CN"/>
        </w:rPr>
        <w:t>地貌</w:t>
      </w:r>
    </w:p>
    <w:p w14:paraId="77E38374">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工程位于四川盆地东部边缘，区域地形以狭长条带状低山与宽缓谷地相间分布为主要特征，呈平行岭谷地貌景观，属侵蚀</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堆积地貌。山脉分布与构造线方向一致，呈NE</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SW走向，背斜成山，向斜成谷，由西向东主要山脉有：明月山（西山）、精华山（东山）、黄草山、挖断山。山顶高程一般600～1100m；谷地地形呈串珠状圆顶浅丘，一般高程在200～550m之间。</w:t>
      </w:r>
    </w:p>
    <w:p w14:paraId="2B53335E">
      <w:pPr>
        <w:keepNext w:val="0"/>
        <w:keepLines w:val="0"/>
        <w:pageBreakBefore w:val="0"/>
        <w:widowControl/>
        <w:suppressLineNumbers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（1）库区</w:t>
      </w:r>
    </w:p>
    <w:p w14:paraId="0D642A41">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库区属侵蚀剥蚀深丘地貌，地势总体南东高北西低，库区地貌受岩性构造控制。库区沟谷发育，呈三叉树枝状，河谷剖面形态多为底部宽缓不对称“V”型谷。岸坡地形坡度一般15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25°，大多基岩裸露，局部覆盖层厚度0.5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3.0m；谷底一般宽15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25m，堆积冲洪积粘性土。</w:t>
      </w:r>
      <w:r>
        <w:rPr>
          <w:rFonts w:hint="eastAsia" w:ascii="Arial" w:hAnsi="Arial" w:eastAsia="宋体" w:cs="Arial"/>
          <w:b w:val="0"/>
          <w:color w:val="auto"/>
          <w:kern w:val="2"/>
          <w:sz w:val="26"/>
          <w:szCs w:val="26"/>
          <w:lang w:val="en-US" w:eastAsia="zh-CN" w:bidi="ar-SA"/>
        </w:rPr>
        <w:t>因岩层倾北西（即下游），故库区边坡主要为斜向坡，库尾部分有顺向边坡，但地形坡度均小于岩层倾角。库区</w:t>
      </w:r>
      <w:r>
        <w:rPr>
          <w:rFonts w:hint="default" w:ascii="Arial" w:hAnsi="Arial" w:eastAsia="宋体" w:cs="Arial"/>
          <w:b w:val="0"/>
          <w:color w:val="auto"/>
          <w:kern w:val="2"/>
          <w:sz w:val="26"/>
          <w:szCs w:val="26"/>
          <w:lang w:val="en-US" w:eastAsia="zh-CN" w:bidi="ar-SA"/>
        </w:rPr>
        <w:t>主沟流向大致由南东向北西，坝址河床高程在401m左右，正常蓄水位为420m时，坝前水位抬升约19m，</w:t>
      </w:r>
      <w:r>
        <w:rPr>
          <w:rFonts w:hint="eastAsia" w:ascii="Arial" w:hAnsi="Arial" w:eastAsia="宋体" w:cs="Arial"/>
          <w:b w:val="0"/>
          <w:color w:val="auto"/>
          <w:kern w:val="2"/>
          <w:sz w:val="26"/>
          <w:szCs w:val="26"/>
          <w:lang w:val="en-US" w:eastAsia="zh-CN" w:bidi="ar-SA"/>
        </w:rPr>
        <w:t>故库区地形高程在400.00m~422.00m之间，其中</w:t>
      </w:r>
      <w:r>
        <w:rPr>
          <w:rFonts w:hint="default" w:ascii="Arial" w:hAnsi="Arial" w:eastAsia="宋体" w:cs="Arial"/>
          <w:b w:val="0"/>
          <w:color w:val="auto"/>
          <w:kern w:val="2"/>
          <w:sz w:val="26"/>
          <w:szCs w:val="26"/>
          <w:lang w:val="en-US" w:eastAsia="zh-CN" w:bidi="ar-SA"/>
        </w:rPr>
        <w:t>左侧支沟回水约400m、中间支沟回水约320m、右侧主沟洄水约500m。</w:t>
      </w:r>
    </w:p>
    <w:p w14:paraId="7D9E59C4">
      <w:pPr>
        <w:keepNext w:val="0"/>
        <w:keepLines w:val="0"/>
        <w:pageBreakBefore w:val="0"/>
        <w:widowControl/>
        <w:suppressLineNumbers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（2）枢纽工程区</w:t>
      </w:r>
    </w:p>
    <w:p w14:paraId="0B427F75">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坝址区为构造剥蚀深丘地貌，河流在坝址上游呈三叉树枝状汇集至坝址，向下游流向287°流出坝址后转向为243°，再转向316°流向下游。河谷呈底部略宽不对称的</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V</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型，谷宽20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25m，谷底高程400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401m。正常蓄水位420.00m时，谷宽77m。岩层倾向下游偏右岸，为斜向谷。</w:t>
      </w:r>
    </w:p>
    <w:p w14:paraId="5C63C0B4">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左岸山体临河山顶高程453.37m，岸边发育有堆积阶地，宽约10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16m，高程401.60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401.80m，地表为水田，阶地后面为山体斜坡，地形坡度一般25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37°下陡上缓，为切向坡，斜坡中部地表覆盖有第四系残坡积层，其余处基岩裸露。</w:t>
      </w:r>
    </w:p>
    <w:p w14:paraId="1526BD05">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右岸山体临河山顶高程475.21m，岸边为斜坡，地形坡度一般28</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40°，为切向坡，地形较陡部分基岩裸露，较缓坡表面覆盖有第四系残坡积。在上下坝线之间有一条浅切冲沟，冲沟沟底高程较上、下游山脊高差约12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15m，宽约15m。</w:t>
      </w:r>
    </w:p>
    <w:p w14:paraId="7C2E5CE8">
      <w:pPr>
        <w:keepNext w:val="0"/>
        <w:keepLines w:val="0"/>
        <w:pageBreakBefore w:val="0"/>
        <w:widowControl/>
        <w:suppressLineNumbers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（3）输水工程区</w:t>
      </w:r>
    </w:p>
    <w:p w14:paraId="30B141EF">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灌区渠系沿线以剥蚀条状台状深丘沟谷地貌为主，沟谷发育。地形地貌受区域地质构造和岩性控制，山势走向与构造线基本一致，呈北东</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南西向展布。受忠县背斜控制，区内南东高，北西低，南东部为中山区，山顶高程一般为1000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1300m，北西部为中低山区，山顶高程一般为300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500m，河流穿越砂岩层时多形成峡谷，而穿越泥岩、页岩时则形成较宽坦的河谷。</w:t>
      </w:r>
    </w:p>
    <w:p w14:paraId="4BF448E4">
      <w:pPr>
        <w:keepNext w:val="0"/>
        <w:keepLines w:val="0"/>
        <w:pageBreakBefore w:val="0"/>
        <w:widowControl/>
        <w:suppressLineNumbers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4.1.3地质构造和地震</w:t>
      </w:r>
    </w:p>
    <w:p w14:paraId="70F96CFC">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（1）</w:t>
      </w:r>
      <w:r>
        <w:rPr>
          <w:rFonts w:hint="eastAsia" w:ascii="Arial" w:hAnsi="Arial" w:cs="Arial"/>
          <w:b/>
          <w:bCs w:val="0"/>
          <w:sz w:val="26"/>
          <w:szCs w:val="26"/>
          <w:lang w:val="en-US" w:eastAsia="zh-CN"/>
        </w:rPr>
        <w:t>地震</w:t>
      </w:r>
    </w:p>
    <w:p w14:paraId="12DDF100">
      <w:pPr>
        <w:keepNext w:val="0"/>
        <w:keepLines w:val="0"/>
        <w:pageBreakBefore w:val="0"/>
        <w:widowControl w:val="0"/>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工程区属弱震地质环境，区内地震发震构造主要有华蓥山基底断裂带、长寿</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遵义基底断裂、七耀山基底断裂。其中长寿</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遵义基底断裂位于工程区以西，直线距离约50km；七耀山基底断裂位于工程区以东，直线距离约40km。</w:t>
      </w:r>
    </w:p>
    <w:p w14:paraId="0DE5F6D3">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bCs w:val="0"/>
          <w:sz w:val="26"/>
          <w:szCs w:val="26"/>
          <w:lang w:val="en-US" w:eastAsia="zh-CN"/>
        </w:rPr>
      </w:pPr>
      <w:r>
        <w:rPr>
          <w:rFonts w:hint="eastAsia" w:ascii="Arial" w:hAnsi="Arial" w:cs="Arial"/>
          <w:b/>
          <w:bCs w:val="0"/>
          <w:sz w:val="26"/>
          <w:szCs w:val="26"/>
          <w:lang w:val="en-US" w:eastAsia="zh-CN"/>
        </w:rPr>
        <w:t>（2）</w:t>
      </w:r>
      <w:r>
        <w:rPr>
          <w:rFonts w:hint="eastAsia" w:ascii="Arial" w:hAnsi="Arial" w:eastAsia="宋体" w:cs="Arial"/>
          <w:b/>
          <w:bCs w:val="0"/>
          <w:sz w:val="26"/>
          <w:szCs w:val="26"/>
          <w:lang w:val="en-US" w:eastAsia="zh-CN"/>
        </w:rPr>
        <w:t>地质构造</w:t>
      </w:r>
    </w:p>
    <w:p w14:paraId="354EE5BB">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工程区位于七耀山基底断裂北西侧，长寿</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遵义基底断裂南东侧，其大地构造部位属扬子准地台（Ⅰ）重庆台拗（Ⅱ）重庆褶皱束（Ⅲ）万州凹褶束（Ⅳ），构造形迹多定型于燕山运动末期的北东</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南西向褶皱，断裂构造仅发育于背斜核部，但规模较小。构造纲要图见图</w:t>
      </w:r>
      <w:r>
        <w:rPr>
          <w:rFonts w:hint="eastAsia" w:ascii="Arial" w:hAnsi="Arial" w:cs="Arial"/>
          <w:b w:val="0"/>
          <w:color w:val="auto"/>
          <w:kern w:val="2"/>
          <w:sz w:val="26"/>
          <w:szCs w:val="26"/>
          <w:lang w:val="en-US" w:eastAsia="zh-CN" w:bidi="ar-SA"/>
        </w:rPr>
        <w:t>4</w:t>
      </w:r>
      <w:r>
        <w:rPr>
          <w:rFonts w:hint="default" w:ascii="Arial" w:hAnsi="Arial" w:eastAsia="宋体" w:cs="Arial"/>
          <w:b w:val="0"/>
          <w:color w:val="auto"/>
          <w:kern w:val="2"/>
          <w:sz w:val="26"/>
          <w:szCs w:val="26"/>
          <w:lang w:val="en-US" w:eastAsia="zh-CN" w:bidi="ar-SA"/>
        </w:rPr>
        <w:t>.1-1</w:t>
      </w:r>
      <w:r>
        <w:rPr>
          <w:rFonts w:hint="eastAsia" w:ascii="Arial" w:hAnsi="Arial" w:cs="Arial"/>
          <w:b w:val="0"/>
          <w:color w:val="auto"/>
          <w:kern w:val="2"/>
          <w:sz w:val="26"/>
          <w:szCs w:val="26"/>
          <w:lang w:val="en-US" w:eastAsia="zh-CN" w:bidi="ar-SA"/>
        </w:rPr>
        <w:t>所示</w:t>
      </w:r>
      <w:r>
        <w:rPr>
          <w:rFonts w:hint="default" w:ascii="Arial" w:hAnsi="Arial" w:eastAsia="宋体" w:cs="Arial"/>
          <w:b w:val="0"/>
          <w:color w:val="auto"/>
          <w:kern w:val="2"/>
          <w:sz w:val="26"/>
          <w:szCs w:val="26"/>
          <w:lang w:val="en-US" w:eastAsia="zh-CN" w:bidi="ar-SA"/>
        </w:rPr>
        <w:t>。</w:t>
      </w:r>
    </w:p>
    <w:p w14:paraId="4424A75A">
      <w:pPr>
        <w:keepNext w:val="0"/>
        <w:keepLines w:val="0"/>
        <w:pageBreakBefore w:val="0"/>
        <w:widowControl/>
        <w:suppressLineNumbers w:val="0"/>
        <w:kinsoku/>
        <w:wordWrap/>
        <w:overflowPunct/>
        <w:topLinePunct w:val="0"/>
        <w:autoSpaceDE/>
        <w:autoSpaceDN/>
        <w:bidi w:val="0"/>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① 库区</w:t>
      </w:r>
    </w:p>
    <w:p w14:paraId="246F8C7C">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库区处于忠县背斜北西翼（或珍溪场向斜南东翼），岩层为单斜构造，产状N35～45°E/NW∠20～25°，未见次级褶皱，未见断层。库区最主要裂隙为层面裂隙，产状与岩层一致，浅层张开，一般无充填。</w:t>
      </w:r>
    </w:p>
    <w:p w14:paraId="7C10C41A">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此外，在砂岩中还发现二组裂隙：</w:t>
      </w:r>
    </w:p>
    <w:p w14:paraId="78BD3A41">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1</w:t>
      </w:r>
      <w:r>
        <w:rPr>
          <w:rFonts w:hint="default" w:ascii="Arial" w:hAnsi="Arial" w:eastAsia="宋体" w:cs="Arial"/>
          <w:b w:val="0"/>
          <w:color w:val="auto"/>
          <w:kern w:val="2"/>
          <w:sz w:val="26"/>
          <w:szCs w:val="26"/>
          <w:lang w:val="en-US" w:eastAsia="zh-CN" w:bidi="ar-SA"/>
        </w:rPr>
        <w:t>组裂隙：产状205～245°∠50～75°，长0.5～1.5m，宽0～5.0mm，部分充填有粘土。</w:t>
      </w:r>
    </w:p>
    <w:p w14:paraId="617A17BC">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2</w:t>
      </w:r>
      <w:r>
        <w:rPr>
          <w:rFonts w:hint="default" w:ascii="Arial" w:hAnsi="Arial" w:eastAsia="宋体" w:cs="Arial"/>
          <w:b w:val="0"/>
          <w:color w:val="auto"/>
          <w:kern w:val="2"/>
          <w:sz w:val="26"/>
          <w:szCs w:val="26"/>
          <w:lang w:val="en-US" w:eastAsia="zh-CN" w:bidi="ar-SA"/>
        </w:rPr>
        <w:t>组裂隙：产状70～110°∠65～85°，长2～10m，宽0～3.0mm，部分充填有粘土。</w:t>
      </w:r>
    </w:p>
    <w:p w14:paraId="2FAA904D">
      <w:pPr>
        <w:keepNext w:val="0"/>
        <w:keepLines w:val="0"/>
        <w:pageBreakBefore w:val="0"/>
        <w:widowControl/>
        <w:suppressLineNumbers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default" w:ascii="Arial" w:hAnsi="Arial" w:eastAsia="宋体" w:cs="Arial"/>
          <w:b/>
          <w:bCs w:val="0"/>
          <w:sz w:val="26"/>
          <w:szCs w:val="26"/>
          <w:lang w:val="en-US" w:eastAsia="zh-CN"/>
        </w:rPr>
        <w:t>②</w:t>
      </w:r>
      <w:r>
        <w:rPr>
          <w:rFonts w:hint="eastAsia" w:ascii="Arial" w:hAnsi="Arial" w:eastAsia="宋体" w:cs="Arial"/>
          <w:b/>
          <w:bCs w:val="0"/>
          <w:sz w:val="26"/>
          <w:szCs w:val="26"/>
          <w:lang w:val="en-US" w:eastAsia="zh-CN"/>
        </w:rPr>
        <w:t xml:space="preserve"> 枢纽工程</w:t>
      </w:r>
    </w:p>
    <w:p w14:paraId="44FE06BC">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坝址位于忠县背斜南西段的北西翼，岩层产状N50°E/NW∠25°，岩层倾向下游偏右岸。坝区无断层分布，构造简单，坝址岩体中主要发育三组裂隙：</w:t>
      </w:r>
    </w:p>
    <w:p w14:paraId="72EDFF42">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1）</w:t>
      </w:r>
      <w:r>
        <w:rPr>
          <w:rFonts w:hint="default" w:ascii="Arial" w:hAnsi="Arial" w:eastAsia="宋体" w:cs="Arial"/>
          <w:b w:val="0"/>
          <w:color w:val="auto"/>
          <w:kern w:val="2"/>
          <w:sz w:val="26"/>
          <w:szCs w:val="26"/>
          <w:lang w:val="en-US" w:eastAsia="zh-CN" w:bidi="ar-SA"/>
        </w:rPr>
        <w:t>层面裂隙：320°∠25°，产状与岩层产状一致，部分裂面微张，红色锈染，部分夹钙质、泥膜，裂面平直光滑，无充填或少量岩屑充填。</w:t>
      </w:r>
    </w:p>
    <w:p w14:paraId="03D5F8EC">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2）</w:t>
      </w:r>
      <w:r>
        <w:rPr>
          <w:rFonts w:hint="default" w:ascii="Arial" w:hAnsi="Arial" w:eastAsia="宋体" w:cs="Arial"/>
          <w:b w:val="0"/>
          <w:color w:val="auto"/>
          <w:kern w:val="2"/>
          <w:sz w:val="26"/>
          <w:szCs w:val="26"/>
          <w:lang w:val="en-US" w:eastAsia="zh-CN" w:bidi="ar-SA"/>
        </w:rPr>
        <w:t>裂隙：185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210°∠75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79°，裂面一般闭合～微张，红色锈染，部分见钙质、泥膜，裂面平直光滑，少量岩屑夹泥充填，裂隙间距2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5m，延伸3</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5m。</w:t>
      </w:r>
    </w:p>
    <w:p w14:paraId="478AE666">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3）</w:t>
      </w:r>
      <w:r>
        <w:rPr>
          <w:rFonts w:hint="default" w:ascii="Arial" w:hAnsi="Arial" w:eastAsia="宋体" w:cs="Arial"/>
          <w:b w:val="0"/>
          <w:color w:val="auto"/>
          <w:kern w:val="2"/>
          <w:sz w:val="26"/>
          <w:szCs w:val="26"/>
          <w:lang w:val="en-US" w:eastAsia="zh-CN" w:bidi="ar-SA"/>
        </w:rPr>
        <w:t>裂隙：110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140°∠65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76°，裂面一般闭合～微张，红色锈染，裂面有一定起伏，无充填或少量岩屑充填，裂隙间距2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3m，延伸2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4m。</w:t>
      </w:r>
    </w:p>
    <w:p w14:paraId="62C100E5">
      <w:pPr>
        <w:keepNext w:val="0"/>
        <w:keepLines w:val="0"/>
        <w:pageBreakBefore w:val="0"/>
        <w:widowControl/>
        <w:suppressLineNumbers w:val="0"/>
        <w:kinsoku/>
        <w:wordWrap/>
        <w:overflowPunct/>
        <w:topLinePunct w:val="0"/>
        <w:autoSpaceDE/>
        <w:autoSpaceDN/>
        <w:bidi w:val="0"/>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③ 输水工程</w:t>
      </w:r>
    </w:p>
    <w:p w14:paraId="43E4C1DD">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管线在区域构造上主要经过了忠县背斜与珍溪场向斜，地质构造简单。</w:t>
      </w:r>
    </w:p>
    <w:p w14:paraId="09C8B073">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工程区内构造裂隙较发育，受区域构造应力控制，不同的构造部位，其裂隙的产状、力学性质亦不相同；区内普遍发育风化裂隙，多在构造裂隙的基础上经风化演变而来，其分布规律与构造裂隙大体一致。此外，还有在褶皱过程中因层间位移而产生的层间裂隙，在坡面上常与一组垂直层面的裂隙相交成“X”状，把岩层分割成大小不同的块体。</w:t>
      </w:r>
    </w:p>
    <w:p w14:paraId="124BAE9B">
      <w:pPr>
        <w:pStyle w:val="31"/>
        <w:rPr>
          <w:rFonts w:hint="default"/>
          <w:lang w:val="en-US" w:eastAsia="zh-CN"/>
        </w:rPr>
      </w:pPr>
    </w:p>
    <w:p w14:paraId="4004AE04">
      <w:pPr>
        <w:rPr>
          <w:rFonts w:hint="default"/>
          <w:lang w:val="en-US" w:eastAsia="zh-CN"/>
        </w:rPr>
      </w:pPr>
    </w:p>
    <w:p w14:paraId="45DC681E">
      <w:pPr>
        <w:pStyle w:val="31"/>
        <w:rPr>
          <w:rFonts w:hint="default"/>
          <w:lang w:val="en-US" w:eastAsia="zh-CN"/>
        </w:rPr>
      </w:pPr>
    </w:p>
    <w:p w14:paraId="6AF1B1CD">
      <w:pPr>
        <w:rPr>
          <w:rFonts w:hint="default"/>
          <w:lang w:val="en-US" w:eastAsia="zh-CN"/>
        </w:rPr>
      </w:pPr>
    </w:p>
    <w:p w14:paraId="7E0B14FF">
      <w:pPr>
        <w:keepNext w:val="0"/>
        <w:keepLines w:val="0"/>
        <w:pageBreakBefore w:val="0"/>
        <w:widowControl/>
        <w:kinsoku/>
        <w:wordWrap/>
        <w:overflowPunct/>
        <w:topLinePunct w:val="0"/>
        <w:autoSpaceDE/>
        <w:autoSpaceDN/>
        <w:bidi w:val="0"/>
        <w:adjustRightInd w:val="0"/>
        <w:snapToGrid w:val="0"/>
        <w:spacing w:line="348" w:lineRule="auto"/>
        <w:ind w:firstLine="0" w:firstLineChars="0"/>
        <w:jc w:val="center"/>
        <w:textAlignment w:val="auto"/>
        <w:rPr>
          <w:kern w:val="0"/>
          <w:sz w:val="24"/>
          <w:szCs w:val="24"/>
        </w:rPr>
      </w:pPr>
      <w:r>
        <w:rPr>
          <w:sz w:val="21"/>
        </w:rPr>
        <mc:AlternateContent>
          <mc:Choice Requires="wps">
            <w:drawing>
              <wp:anchor distT="0" distB="0" distL="114300" distR="114300" simplePos="0" relativeHeight="251765760" behindDoc="0" locked="0" layoutInCell="1" allowOverlap="1">
                <wp:simplePos x="0" y="0"/>
                <wp:positionH relativeFrom="column">
                  <wp:posOffset>3145790</wp:posOffset>
                </wp:positionH>
                <wp:positionV relativeFrom="paragraph">
                  <wp:posOffset>1584325</wp:posOffset>
                </wp:positionV>
                <wp:extent cx="145415" cy="144780"/>
                <wp:effectExtent l="12700" t="12700" r="13335" b="13970"/>
                <wp:wrapNone/>
                <wp:docPr id="233" name="五角星 233"/>
                <wp:cNvGraphicFramePr/>
                <a:graphic xmlns:a="http://schemas.openxmlformats.org/drawingml/2006/main">
                  <a:graphicData uri="http://schemas.microsoft.com/office/word/2010/wordprocessingShape">
                    <wps:wsp>
                      <wps:cNvSpPr/>
                      <wps:spPr>
                        <a:xfrm>
                          <a:off x="2558415" y="2999105"/>
                          <a:ext cx="145415" cy="14478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7.7pt;margin-top:124.75pt;height:11.4pt;width:11.45pt;z-index:251765760;v-text-anchor:middle;mso-width-relative:page;mso-height-relative:page;" fillcolor="#FF0000" filled="t" stroked="t" coordsize="145415,144780" o:gfxdata="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BDSxbWAAAACwEAAA8AAAAAAAAAAQAgAAAAIgAAAGRycy9kb3du&#10;cmV2LnhtbFBLAQIUABQAAAAIAIdO4kAfm/JvcwIAAPAEAAAOAAAAAAAAAAEAIAAAACUBAABkcnMv&#10;ZTJvRG9jLnhtbFBLBQYAAAAABgAGAFkBAAAKBgAAAAA=&#10;" path="m0,55300l55543,55301,72707,0,89871,55301,145414,55300,100478,89478,117643,144779,72707,110601,27771,144779,44936,89478xe">
                <v:path o:connectlocs="72707,0;0,55300;27771,144779;117643,144779;145414,55300" o:connectangles="247,164,82,82,0"/>
                <v:fill on="t"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lang w:eastAsia="zh-CN"/>
        </w:rPr>
        <w:drawing>
          <wp:inline distT="0" distB="0" distL="114300" distR="114300">
            <wp:extent cx="5415915" cy="4182110"/>
            <wp:effectExtent l="0" t="0" r="13335" b="8890"/>
            <wp:docPr id="202" name="图片 26" descr="海螺沟构造纲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6" descr="海螺沟构造纲要图"/>
                    <pic:cNvPicPr>
                      <a:picLocks noChangeAspect="1"/>
                    </pic:cNvPicPr>
                  </pic:nvPicPr>
                  <pic:blipFill>
                    <a:blip r:embed="rId31"/>
                    <a:stretch>
                      <a:fillRect/>
                    </a:stretch>
                  </pic:blipFill>
                  <pic:spPr>
                    <a:xfrm>
                      <a:off x="0" y="0"/>
                      <a:ext cx="5415915" cy="4182110"/>
                    </a:xfrm>
                    <a:prstGeom prst="rect">
                      <a:avLst/>
                    </a:prstGeom>
                    <a:noFill/>
                    <a:ln>
                      <a:noFill/>
                    </a:ln>
                  </pic:spPr>
                </pic:pic>
              </a:graphicData>
            </a:graphic>
          </wp:inline>
        </w:drawing>
      </w:r>
    </w:p>
    <w:p w14:paraId="2DEEEABB">
      <w:pPr>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center"/>
        <w:textAlignment w:val="auto"/>
        <w:rPr>
          <w:rFonts w:hint="default" w:ascii="Arial" w:hAnsi="Arial" w:cs="Arial"/>
          <w:b/>
          <w:bCs/>
          <w:kern w:val="0"/>
          <w:sz w:val="26"/>
          <w:szCs w:val="26"/>
          <w:lang w:val="en-US" w:eastAsia="zh-CN"/>
        </w:rPr>
      </w:pPr>
      <w:r>
        <w:rPr>
          <w:rFonts w:hint="default" w:ascii="Arial" w:hAnsi="Arial" w:cs="Arial"/>
          <w:b/>
          <w:bCs/>
          <w:kern w:val="0"/>
          <w:sz w:val="26"/>
          <w:szCs w:val="26"/>
          <w:lang w:val="en-US" w:eastAsia="zh-CN"/>
        </w:rPr>
        <w:t>图4.1-1 项目所在地构造纲要图</w:t>
      </w:r>
    </w:p>
    <w:p w14:paraId="086DA957">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4.1.4地层岩性</w:t>
      </w:r>
    </w:p>
    <w:p w14:paraId="16A0E423">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eastAsia" w:ascii="Arial" w:hAnsi="Arial" w:eastAsia="宋体" w:cs="Arial"/>
          <w:b/>
          <w:bCs/>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区域内分布三叠系～侏罗系沉积岩地层。其中三叠系中、下统主要以碳酸盐岩为主，夹少量碎屑岩；三叠系上统及侏罗系以碎屑岩为主，局部夹薄层碳酸盐岩，沉积总厚达4500～5500m。河溪沟谷地带均为第四系覆盖。各地层岩性及厚度见表</w:t>
      </w:r>
      <w:r>
        <w:rPr>
          <w:rFonts w:hint="eastAsia" w:ascii="Arial" w:hAnsi="Arial" w:eastAsia="宋体" w:cs="Arial"/>
          <w:b w:val="0"/>
          <w:color w:val="auto"/>
          <w:kern w:val="2"/>
          <w:sz w:val="26"/>
          <w:szCs w:val="26"/>
          <w:lang w:val="en-US" w:eastAsia="zh-CN" w:bidi="ar-SA"/>
        </w:rPr>
        <w:t>4.1</w:t>
      </w:r>
      <w:r>
        <w:rPr>
          <w:rFonts w:hint="default" w:ascii="Arial" w:hAnsi="Arial" w:eastAsia="宋体" w:cs="Arial"/>
          <w:b w:val="0"/>
          <w:color w:val="auto"/>
          <w:kern w:val="2"/>
          <w:sz w:val="26"/>
          <w:szCs w:val="26"/>
          <w:lang w:val="en-US" w:eastAsia="zh-CN" w:bidi="ar-SA"/>
        </w:rPr>
        <w:t>-1</w:t>
      </w:r>
      <w:r>
        <w:rPr>
          <w:rFonts w:hint="eastAsia" w:ascii="Arial" w:hAnsi="Arial" w:eastAsia="宋体" w:cs="Arial"/>
          <w:b w:val="0"/>
          <w:color w:val="auto"/>
          <w:kern w:val="2"/>
          <w:sz w:val="26"/>
          <w:szCs w:val="26"/>
          <w:lang w:val="en-US" w:eastAsia="zh-CN" w:bidi="ar-SA"/>
        </w:rPr>
        <w:t>所示</w:t>
      </w:r>
      <w:r>
        <w:rPr>
          <w:rFonts w:hint="default" w:ascii="Arial" w:hAnsi="Arial" w:eastAsia="宋体" w:cs="Arial"/>
          <w:b w:val="0"/>
          <w:color w:val="auto"/>
          <w:kern w:val="2"/>
          <w:sz w:val="26"/>
          <w:szCs w:val="26"/>
          <w:lang w:val="en-US" w:eastAsia="zh-CN" w:bidi="ar-SA"/>
        </w:rPr>
        <w:t>。</w:t>
      </w:r>
    </w:p>
    <w:p w14:paraId="6F61D96B">
      <w:pPr>
        <w:keepNext w:val="0"/>
        <w:keepLines w:val="0"/>
        <w:pageBreakBefore w:val="0"/>
        <w:widowControl/>
        <w:suppressLineNumbers w:val="0"/>
        <w:kinsoku/>
        <w:wordWrap/>
        <w:overflowPunct/>
        <w:topLinePunct w:val="0"/>
        <w:autoSpaceDE/>
        <w:autoSpaceDN/>
        <w:bidi w:val="0"/>
        <w:adjustRightInd/>
        <w:snapToGrid/>
        <w:spacing w:line="460" w:lineRule="exact"/>
        <w:ind w:firstLine="0" w:firstLineChars="0"/>
        <w:jc w:val="center"/>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表4.1-1 区域地层岩性简表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62"/>
        <w:gridCol w:w="1360"/>
        <w:gridCol w:w="705"/>
        <w:gridCol w:w="1083"/>
        <w:gridCol w:w="5070"/>
      </w:tblGrid>
      <w:tr w14:paraId="63164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3189" w:type="dxa"/>
            <w:gridSpan w:val="4"/>
            <w:tcBorders>
              <w:tl2br w:val="nil"/>
              <w:tr2bl w:val="nil"/>
            </w:tcBorders>
            <w:noWrap w:val="0"/>
            <w:vAlign w:val="center"/>
          </w:tcPr>
          <w:p w14:paraId="669841D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地层时代</w:t>
            </w:r>
          </w:p>
        </w:tc>
        <w:tc>
          <w:tcPr>
            <w:tcW w:w="1083" w:type="dxa"/>
            <w:vMerge w:val="restart"/>
            <w:tcBorders>
              <w:tl2br w:val="nil"/>
              <w:tr2bl w:val="nil"/>
            </w:tcBorders>
            <w:noWrap w:val="0"/>
            <w:vAlign w:val="center"/>
          </w:tcPr>
          <w:p w14:paraId="32F6C8B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厚度（m）</w:t>
            </w:r>
          </w:p>
        </w:tc>
        <w:tc>
          <w:tcPr>
            <w:tcW w:w="5070" w:type="dxa"/>
            <w:vMerge w:val="restart"/>
            <w:tcBorders>
              <w:tl2br w:val="nil"/>
              <w:tr2bl w:val="nil"/>
            </w:tcBorders>
            <w:noWrap w:val="0"/>
            <w:vAlign w:val="center"/>
          </w:tcPr>
          <w:p w14:paraId="18A3FC0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主要岩性</w:t>
            </w:r>
          </w:p>
        </w:tc>
      </w:tr>
      <w:tr w14:paraId="14B5D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62" w:type="dxa"/>
            <w:tcBorders>
              <w:tl2br w:val="nil"/>
              <w:tr2bl w:val="nil"/>
            </w:tcBorders>
            <w:noWrap w:val="0"/>
            <w:vAlign w:val="center"/>
          </w:tcPr>
          <w:p w14:paraId="1399325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系</w:t>
            </w:r>
          </w:p>
        </w:tc>
        <w:tc>
          <w:tcPr>
            <w:tcW w:w="562" w:type="dxa"/>
            <w:tcBorders>
              <w:tl2br w:val="nil"/>
              <w:tr2bl w:val="nil"/>
            </w:tcBorders>
            <w:noWrap w:val="0"/>
            <w:vAlign w:val="center"/>
          </w:tcPr>
          <w:p w14:paraId="0AD3954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统</w:t>
            </w:r>
          </w:p>
        </w:tc>
        <w:tc>
          <w:tcPr>
            <w:tcW w:w="1360" w:type="dxa"/>
            <w:tcBorders>
              <w:tl2br w:val="nil"/>
              <w:tr2bl w:val="nil"/>
            </w:tcBorders>
            <w:noWrap w:val="0"/>
            <w:vAlign w:val="center"/>
          </w:tcPr>
          <w:p w14:paraId="6141C61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组</w:t>
            </w:r>
          </w:p>
        </w:tc>
        <w:tc>
          <w:tcPr>
            <w:tcW w:w="705" w:type="dxa"/>
            <w:tcBorders>
              <w:tl2br w:val="nil"/>
              <w:tr2bl w:val="nil"/>
            </w:tcBorders>
            <w:noWrap w:val="0"/>
            <w:vAlign w:val="center"/>
          </w:tcPr>
          <w:p w14:paraId="3D6DCDB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代号</w:t>
            </w:r>
          </w:p>
        </w:tc>
        <w:tc>
          <w:tcPr>
            <w:tcW w:w="1083" w:type="dxa"/>
            <w:vMerge w:val="continue"/>
            <w:tcBorders>
              <w:tl2br w:val="nil"/>
              <w:tr2bl w:val="nil"/>
            </w:tcBorders>
            <w:noWrap w:val="0"/>
            <w:vAlign w:val="center"/>
          </w:tcPr>
          <w:p w14:paraId="49B25D4B">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070" w:type="dxa"/>
            <w:vMerge w:val="continue"/>
            <w:tcBorders>
              <w:tl2br w:val="nil"/>
              <w:tr2bl w:val="nil"/>
            </w:tcBorders>
            <w:noWrap w:val="0"/>
            <w:vAlign w:val="center"/>
          </w:tcPr>
          <w:p w14:paraId="686C4D6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r>
      <w:tr w14:paraId="4B75C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62" w:type="dxa"/>
            <w:vMerge w:val="restart"/>
            <w:tcBorders>
              <w:tl2br w:val="nil"/>
              <w:tr2bl w:val="nil"/>
            </w:tcBorders>
            <w:noWrap w:val="0"/>
            <w:textDirection w:val="tbRlV"/>
            <w:vAlign w:val="center"/>
          </w:tcPr>
          <w:p w14:paraId="050A21D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第四系</w:t>
            </w:r>
          </w:p>
        </w:tc>
        <w:tc>
          <w:tcPr>
            <w:tcW w:w="562" w:type="dxa"/>
            <w:vMerge w:val="restart"/>
            <w:tcBorders>
              <w:tl2br w:val="nil"/>
              <w:tr2bl w:val="nil"/>
            </w:tcBorders>
            <w:noWrap w:val="0"/>
            <w:textDirection w:val="tbRlV"/>
            <w:vAlign w:val="center"/>
          </w:tcPr>
          <w:p w14:paraId="0D5045E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全新统</w:t>
            </w:r>
          </w:p>
        </w:tc>
        <w:tc>
          <w:tcPr>
            <w:tcW w:w="1360" w:type="dxa"/>
            <w:tcBorders>
              <w:tl2br w:val="nil"/>
              <w:tr2bl w:val="nil"/>
            </w:tcBorders>
            <w:noWrap w:val="0"/>
            <w:vAlign w:val="center"/>
          </w:tcPr>
          <w:p w14:paraId="3CA4DFF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0"/>
                <w:sz w:val="22"/>
                <w:szCs w:val="22"/>
                <w:lang w:val="en-US" w:eastAsia="zh-CN"/>
              </w:rPr>
            </w:pPr>
            <w:r>
              <w:rPr>
                <w:rFonts w:hint="eastAsia" w:ascii="Arial" w:hAnsi="Arial" w:eastAsia="宋体" w:cs="Arial"/>
                <w:color w:val="auto"/>
                <w:kern w:val="0"/>
                <w:sz w:val="22"/>
                <w:szCs w:val="22"/>
                <w:lang w:val="en-US" w:eastAsia="zh-CN"/>
              </w:rPr>
              <w:t>/</w:t>
            </w:r>
          </w:p>
        </w:tc>
        <w:tc>
          <w:tcPr>
            <w:tcW w:w="705" w:type="dxa"/>
            <w:tcBorders>
              <w:tl2br w:val="nil"/>
              <w:tr2bl w:val="nil"/>
            </w:tcBorders>
            <w:noWrap w:val="0"/>
            <w:vAlign w:val="center"/>
          </w:tcPr>
          <w:p w14:paraId="450FCDEF">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Q</w:t>
            </w:r>
            <w:r>
              <w:rPr>
                <w:rFonts w:hint="default" w:ascii="Arial" w:hAnsi="Arial" w:cs="Arial"/>
                <w:color w:val="auto"/>
                <w:kern w:val="2"/>
                <w:sz w:val="22"/>
                <w:szCs w:val="22"/>
                <w:vertAlign w:val="subscript"/>
              </w:rPr>
              <w:t>4</w:t>
            </w:r>
            <w:r>
              <w:rPr>
                <w:rFonts w:hint="default" w:ascii="Arial" w:hAnsi="Arial" w:cs="Arial"/>
                <w:color w:val="auto"/>
                <w:kern w:val="2"/>
                <w:sz w:val="22"/>
                <w:szCs w:val="22"/>
                <w:vertAlign w:val="superscript"/>
              </w:rPr>
              <w:t>al</w:t>
            </w:r>
          </w:p>
        </w:tc>
        <w:tc>
          <w:tcPr>
            <w:tcW w:w="1083" w:type="dxa"/>
            <w:tcBorders>
              <w:tl2br w:val="nil"/>
              <w:tr2bl w:val="nil"/>
            </w:tcBorders>
            <w:noWrap w:val="0"/>
            <w:vAlign w:val="center"/>
          </w:tcPr>
          <w:p w14:paraId="21A923B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0～5</w:t>
            </w:r>
          </w:p>
        </w:tc>
        <w:tc>
          <w:tcPr>
            <w:tcW w:w="5070" w:type="dxa"/>
            <w:tcBorders>
              <w:tl2br w:val="nil"/>
              <w:tr2bl w:val="nil"/>
            </w:tcBorders>
            <w:noWrap w:val="0"/>
            <w:vAlign w:val="center"/>
          </w:tcPr>
          <w:p w14:paraId="63B813F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现代河流冲积层、Ⅰ级阶地堆积层：松散砾石、砂、亚粘土。</w:t>
            </w:r>
          </w:p>
        </w:tc>
      </w:tr>
      <w:tr w14:paraId="78D80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Merge w:val="continue"/>
            <w:tcBorders>
              <w:tl2br w:val="nil"/>
              <w:tr2bl w:val="nil"/>
            </w:tcBorders>
            <w:noWrap w:val="0"/>
            <w:vAlign w:val="center"/>
          </w:tcPr>
          <w:p w14:paraId="19592D1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50EEF19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tcBorders>
              <w:tl2br w:val="nil"/>
              <w:tr2bl w:val="nil"/>
            </w:tcBorders>
            <w:noWrap w:val="0"/>
            <w:vAlign w:val="center"/>
          </w:tcPr>
          <w:p w14:paraId="2681F53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0"/>
                <w:sz w:val="22"/>
                <w:szCs w:val="22"/>
                <w:lang w:val="en-US" w:eastAsia="zh-CN"/>
              </w:rPr>
            </w:pPr>
            <w:r>
              <w:rPr>
                <w:rFonts w:hint="eastAsia" w:ascii="Arial" w:hAnsi="Arial" w:eastAsia="宋体" w:cs="Arial"/>
                <w:color w:val="auto"/>
                <w:kern w:val="0"/>
                <w:sz w:val="22"/>
                <w:szCs w:val="22"/>
                <w:lang w:val="en-US" w:eastAsia="zh-CN"/>
              </w:rPr>
              <w:t>/</w:t>
            </w:r>
          </w:p>
        </w:tc>
        <w:tc>
          <w:tcPr>
            <w:tcW w:w="705" w:type="dxa"/>
            <w:tcBorders>
              <w:tl2br w:val="nil"/>
              <w:tr2bl w:val="nil"/>
            </w:tcBorders>
            <w:noWrap w:val="0"/>
            <w:vAlign w:val="center"/>
          </w:tcPr>
          <w:p w14:paraId="13649B82">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Q</w:t>
            </w:r>
            <w:r>
              <w:rPr>
                <w:rFonts w:hint="default" w:ascii="Arial" w:hAnsi="Arial" w:cs="Arial"/>
                <w:color w:val="auto"/>
                <w:kern w:val="2"/>
                <w:sz w:val="22"/>
                <w:szCs w:val="22"/>
                <w:vertAlign w:val="subscript"/>
              </w:rPr>
              <w:t>4</w:t>
            </w:r>
            <w:r>
              <w:rPr>
                <w:rFonts w:hint="default" w:ascii="Arial" w:hAnsi="Arial" w:cs="Arial"/>
                <w:color w:val="auto"/>
                <w:kern w:val="2"/>
                <w:sz w:val="22"/>
                <w:szCs w:val="22"/>
                <w:vertAlign w:val="superscript"/>
              </w:rPr>
              <w:t>edl</w:t>
            </w:r>
          </w:p>
        </w:tc>
        <w:tc>
          <w:tcPr>
            <w:tcW w:w="1083" w:type="dxa"/>
            <w:tcBorders>
              <w:tl2br w:val="nil"/>
              <w:tr2bl w:val="nil"/>
            </w:tcBorders>
            <w:noWrap w:val="0"/>
            <w:vAlign w:val="center"/>
          </w:tcPr>
          <w:p w14:paraId="7C723FDC">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3～7</w:t>
            </w:r>
          </w:p>
        </w:tc>
        <w:tc>
          <w:tcPr>
            <w:tcW w:w="5070" w:type="dxa"/>
            <w:tcBorders>
              <w:tl2br w:val="nil"/>
              <w:tr2bl w:val="nil"/>
            </w:tcBorders>
            <w:noWrap w:val="0"/>
            <w:vAlign w:val="center"/>
          </w:tcPr>
          <w:p w14:paraId="09A5965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残坡积层：黄褐色粉质粘土、粘土夹碎石。</w:t>
            </w:r>
          </w:p>
        </w:tc>
      </w:tr>
      <w:tr w14:paraId="6F42F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62" w:type="dxa"/>
            <w:vMerge w:val="restart"/>
            <w:tcBorders>
              <w:tl2br w:val="nil"/>
              <w:tr2bl w:val="nil"/>
            </w:tcBorders>
            <w:noWrap w:val="0"/>
            <w:textDirection w:val="tbRlV"/>
            <w:vAlign w:val="center"/>
          </w:tcPr>
          <w:p w14:paraId="2820AD9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侏    罗    系</w:t>
            </w:r>
          </w:p>
        </w:tc>
        <w:tc>
          <w:tcPr>
            <w:tcW w:w="562" w:type="dxa"/>
            <w:vMerge w:val="restart"/>
            <w:tcBorders>
              <w:tl2br w:val="nil"/>
              <w:tr2bl w:val="nil"/>
            </w:tcBorders>
            <w:noWrap w:val="0"/>
            <w:textDirection w:val="tbRlV"/>
            <w:vAlign w:val="center"/>
          </w:tcPr>
          <w:p w14:paraId="007BE7C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上统</w:t>
            </w:r>
          </w:p>
        </w:tc>
        <w:tc>
          <w:tcPr>
            <w:tcW w:w="1360" w:type="dxa"/>
            <w:tcBorders>
              <w:tl2br w:val="nil"/>
              <w:tr2bl w:val="nil"/>
            </w:tcBorders>
            <w:noWrap w:val="0"/>
            <w:vAlign w:val="center"/>
          </w:tcPr>
          <w:p w14:paraId="4628D53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蓬莱镇组</w:t>
            </w:r>
          </w:p>
        </w:tc>
        <w:tc>
          <w:tcPr>
            <w:tcW w:w="705" w:type="dxa"/>
            <w:tcBorders>
              <w:tl2br w:val="nil"/>
              <w:tr2bl w:val="nil"/>
            </w:tcBorders>
            <w:noWrap w:val="0"/>
            <w:vAlign w:val="center"/>
          </w:tcPr>
          <w:p w14:paraId="4B9D46D6">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3</w:t>
            </w:r>
            <w:r>
              <w:rPr>
                <w:rFonts w:hint="default" w:ascii="Arial" w:hAnsi="Arial" w:cs="Arial"/>
                <w:color w:val="auto"/>
                <w:kern w:val="2"/>
                <w:sz w:val="22"/>
                <w:szCs w:val="22"/>
              </w:rPr>
              <w:t>p</w:t>
            </w:r>
          </w:p>
        </w:tc>
        <w:tc>
          <w:tcPr>
            <w:tcW w:w="1083" w:type="dxa"/>
            <w:tcBorders>
              <w:tl2br w:val="nil"/>
              <w:tr2bl w:val="nil"/>
            </w:tcBorders>
            <w:noWrap w:val="0"/>
            <w:vAlign w:val="center"/>
          </w:tcPr>
          <w:p w14:paraId="065AFF8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469～714</w:t>
            </w:r>
          </w:p>
        </w:tc>
        <w:tc>
          <w:tcPr>
            <w:tcW w:w="5070" w:type="dxa"/>
            <w:tcBorders>
              <w:tl2br w:val="nil"/>
              <w:tr2bl w:val="nil"/>
            </w:tcBorders>
            <w:noWrap w:val="0"/>
            <w:vAlign w:val="center"/>
          </w:tcPr>
          <w:p w14:paraId="34B5733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灰白、灰黄色长石砂岩、紫红色泥岩。</w:t>
            </w:r>
          </w:p>
        </w:tc>
      </w:tr>
      <w:tr w14:paraId="0EC71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62" w:type="dxa"/>
            <w:vMerge w:val="continue"/>
            <w:tcBorders>
              <w:tl2br w:val="nil"/>
              <w:tr2bl w:val="nil"/>
            </w:tcBorders>
            <w:noWrap w:val="0"/>
            <w:vAlign w:val="center"/>
          </w:tcPr>
          <w:p w14:paraId="40C2CBA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6BD20BA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tcBorders>
              <w:tl2br w:val="nil"/>
              <w:tr2bl w:val="nil"/>
            </w:tcBorders>
            <w:noWrap w:val="0"/>
            <w:vAlign w:val="center"/>
          </w:tcPr>
          <w:p w14:paraId="1DB2F04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遂宁组</w:t>
            </w:r>
          </w:p>
        </w:tc>
        <w:tc>
          <w:tcPr>
            <w:tcW w:w="705" w:type="dxa"/>
            <w:tcBorders>
              <w:tl2br w:val="nil"/>
              <w:tr2bl w:val="nil"/>
            </w:tcBorders>
            <w:noWrap w:val="0"/>
            <w:vAlign w:val="center"/>
          </w:tcPr>
          <w:p w14:paraId="6FDAD2F7">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3</w:t>
            </w:r>
            <w:r>
              <w:rPr>
                <w:rFonts w:hint="default" w:ascii="Arial" w:hAnsi="Arial" w:cs="Arial"/>
                <w:color w:val="auto"/>
                <w:kern w:val="2"/>
                <w:sz w:val="22"/>
                <w:szCs w:val="22"/>
              </w:rPr>
              <w:t>s</w:t>
            </w:r>
          </w:p>
          <w:p w14:paraId="45045CA9">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1083" w:type="dxa"/>
            <w:tcBorders>
              <w:tl2br w:val="nil"/>
              <w:tr2bl w:val="nil"/>
            </w:tcBorders>
            <w:noWrap w:val="0"/>
            <w:vAlign w:val="center"/>
          </w:tcPr>
          <w:p w14:paraId="56A5E24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337～674</w:t>
            </w:r>
          </w:p>
        </w:tc>
        <w:tc>
          <w:tcPr>
            <w:tcW w:w="5070" w:type="dxa"/>
            <w:tcBorders>
              <w:tl2br w:val="nil"/>
              <w:tr2bl w:val="nil"/>
            </w:tcBorders>
            <w:noWrap w:val="0"/>
            <w:vAlign w:val="center"/>
          </w:tcPr>
          <w:p w14:paraId="3D908A3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灰绿、灰紫、紫红色厚层～块状砂岩与紫红、棕红色泥岩。</w:t>
            </w:r>
          </w:p>
        </w:tc>
      </w:tr>
      <w:tr w14:paraId="7D09D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2" w:type="dxa"/>
            <w:vMerge w:val="continue"/>
            <w:tcBorders>
              <w:tl2br w:val="nil"/>
              <w:tr2bl w:val="nil"/>
            </w:tcBorders>
            <w:noWrap w:val="0"/>
            <w:vAlign w:val="center"/>
          </w:tcPr>
          <w:p w14:paraId="2968C7C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restart"/>
            <w:tcBorders>
              <w:tl2br w:val="nil"/>
              <w:tr2bl w:val="nil"/>
            </w:tcBorders>
            <w:noWrap w:val="0"/>
            <w:textDirection w:val="tbRlV"/>
            <w:vAlign w:val="center"/>
          </w:tcPr>
          <w:p w14:paraId="001758C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中统</w:t>
            </w:r>
          </w:p>
        </w:tc>
        <w:tc>
          <w:tcPr>
            <w:tcW w:w="1360" w:type="dxa"/>
            <w:tcBorders>
              <w:tl2br w:val="nil"/>
              <w:tr2bl w:val="nil"/>
            </w:tcBorders>
            <w:noWrap w:val="0"/>
            <w:vAlign w:val="center"/>
          </w:tcPr>
          <w:p w14:paraId="765610C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上沙溪庙组</w:t>
            </w:r>
          </w:p>
        </w:tc>
        <w:tc>
          <w:tcPr>
            <w:tcW w:w="705" w:type="dxa"/>
            <w:tcBorders>
              <w:tl2br w:val="nil"/>
              <w:tr2bl w:val="nil"/>
            </w:tcBorders>
            <w:noWrap w:val="0"/>
            <w:vAlign w:val="center"/>
          </w:tcPr>
          <w:p w14:paraId="6E77C947">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s</w:t>
            </w:r>
          </w:p>
        </w:tc>
        <w:tc>
          <w:tcPr>
            <w:tcW w:w="1083" w:type="dxa"/>
            <w:tcBorders>
              <w:tl2br w:val="nil"/>
              <w:tr2bl w:val="nil"/>
            </w:tcBorders>
            <w:noWrap w:val="0"/>
            <w:vAlign w:val="center"/>
          </w:tcPr>
          <w:p w14:paraId="603EDBEF">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1482～1719</w:t>
            </w:r>
          </w:p>
        </w:tc>
        <w:tc>
          <w:tcPr>
            <w:tcW w:w="5070" w:type="dxa"/>
            <w:tcBorders>
              <w:tl2br w:val="nil"/>
              <w:tr2bl w:val="nil"/>
            </w:tcBorders>
            <w:noWrap w:val="0"/>
            <w:vAlign w:val="center"/>
          </w:tcPr>
          <w:p w14:paraId="27C04A2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砖红、紫红、紫灰色泥岩与块状长石砂岩，岩屑亚长石石英砂岩不等厚互层。</w:t>
            </w:r>
          </w:p>
        </w:tc>
      </w:tr>
      <w:tr w14:paraId="3C3FE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Merge w:val="continue"/>
            <w:tcBorders>
              <w:tl2br w:val="nil"/>
              <w:tr2bl w:val="nil"/>
            </w:tcBorders>
            <w:noWrap w:val="0"/>
            <w:vAlign w:val="center"/>
          </w:tcPr>
          <w:p w14:paraId="0B2F41D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24259B1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tcBorders>
              <w:tl2br w:val="nil"/>
              <w:tr2bl w:val="nil"/>
            </w:tcBorders>
            <w:noWrap w:val="0"/>
            <w:vAlign w:val="center"/>
          </w:tcPr>
          <w:p w14:paraId="15949CC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下沙溪庙组</w:t>
            </w:r>
          </w:p>
        </w:tc>
        <w:tc>
          <w:tcPr>
            <w:tcW w:w="705" w:type="dxa"/>
            <w:tcBorders>
              <w:tl2br w:val="nil"/>
              <w:tr2bl w:val="nil"/>
            </w:tcBorders>
            <w:noWrap w:val="0"/>
            <w:vAlign w:val="center"/>
          </w:tcPr>
          <w:p w14:paraId="26465266">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xs</w:t>
            </w:r>
          </w:p>
        </w:tc>
        <w:tc>
          <w:tcPr>
            <w:tcW w:w="1083" w:type="dxa"/>
            <w:tcBorders>
              <w:tl2br w:val="nil"/>
              <w:tr2bl w:val="nil"/>
            </w:tcBorders>
            <w:noWrap w:val="0"/>
            <w:vAlign w:val="center"/>
          </w:tcPr>
          <w:p w14:paraId="00713DB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269～4656</w:t>
            </w:r>
          </w:p>
        </w:tc>
        <w:tc>
          <w:tcPr>
            <w:tcW w:w="5070" w:type="dxa"/>
            <w:tcBorders>
              <w:tl2br w:val="nil"/>
              <w:tr2bl w:val="nil"/>
            </w:tcBorders>
            <w:noWrap w:val="0"/>
            <w:vAlign w:val="center"/>
          </w:tcPr>
          <w:p w14:paraId="4D115BF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黄绿、紫红色泥岩夹块状岩屑长石砂岩。</w:t>
            </w:r>
          </w:p>
        </w:tc>
      </w:tr>
      <w:tr w14:paraId="1ACC6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dxa"/>
            <w:vMerge w:val="continue"/>
            <w:tcBorders>
              <w:tl2br w:val="nil"/>
              <w:tr2bl w:val="nil"/>
            </w:tcBorders>
            <w:noWrap w:val="0"/>
            <w:vAlign w:val="center"/>
          </w:tcPr>
          <w:p w14:paraId="5AFB09D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7ADC498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restart"/>
            <w:tcBorders>
              <w:tl2br w:val="nil"/>
              <w:tr2bl w:val="nil"/>
            </w:tcBorders>
            <w:noWrap w:val="0"/>
            <w:vAlign w:val="center"/>
          </w:tcPr>
          <w:p w14:paraId="55D6427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新田沟组</w:t>
            </w:r>
          </w:p>
        </w:tc>
        <w:tc>
          <w:tcPr>
            <w:tcW w:w="705" w:type="dxa"/>
            <w:tcBorders>
              <w:tl2br w:val="nil"/>
              <w:tr2bl w:val="nil"/>
            </w:tcBorders>
            <w:noWrap w:val="0"/>
            <w:vAlign w:val="center"/>
          </w:tcPr>
          <w:p w14:paraId="31B2D783">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w:t>
            </w:r>
            <w:r>
              <w:rPr>
                <w:rFonts w:hint="default" w:ascii="Arial" w:hAnsi="Arial" w:cs="Arial"/>
                <w:color w:val="auto"/>
                <w:kern w:val="2"/>
                <w:sz w:val="22"/>
                <w:szCs w:val="22"/>
                <w:vertAlign w:val="superscript"/>
              </w:rPr>
              <w:t>4</w:t>
            </w:r>
          </w:p>
        </w:tc>
        <w:tc>
          <w:tcPr>
            <w:tcW w:w="1083" w:type="dxa"/>
            <w:tcBorders>
              <w:tl2br w:val="nil"/>
              <w:tr2bl w:val="nil"/>
            </w:tcBorders>
            <w:noWrap w:val="0"/>
            <w:vAlign w:val="center"/>
          </w:tcPr>
          <w:p w14:paraId="4481532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56</w:t>
            </w:r>
          </w:p>
        </w:tc>
        <w:tc>
          <w:tcPr>
            <w:tcW w:w="5070" w:type="dxa"/>
            <w:tcBorders>
              <w:tl2br w:val="nil"/>
              <w:tr2bl w:val="nil"/>
            </w:tcBorders>
            <w:noWrap w:val="0"/>
            <w:vAlign w:val="center"/>
          </w:tcPr>
          <w:p w14:paraId="50F0436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杂色粉砂质泥岩，夹中厚层状砂岩。</w:t>
            </w:r>
          </w:p>
        </w:tc>
      </w:tr>
      <w:tr w14:paraId="20464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62" w:type="dxa"/>
            <w:vMerge w:val="continue"/>
            <w:tcBorders>
              <w:tl2br w:val="nil"/>
              <w:tr2bl w:val="nil"/>
            </w:tcBorders>
            <w:noWrap w:val="0"/>
            <w:vAlign w:val="center"/>
          </w:tcPr>
          <w:p w14:paraId="253DF52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4171983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6F3727F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4DE3740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w:t>
            </w:r>
            <w:r>
              <w:rPr>
                <w:rFonts w:hint="default" w:ascii="Arial" w:hAnsi="Arial" w:cs="Arial"/>
                <w:color w:val="auto"/>
                <w:kern w:val="2"/>
                <w:sz w:val="22"/>
                <w:szCs w:val="22"/>
                <w:vertAlign w:val="superscript"/>
              </w:rPr>
              <w:t>3</w:t>
            </w:r>
          </w:p>
        </w:tc>
        <w:tc>
          <w:tcPr>
            <w:tcW w:w="1083" w:type="dxa"/>
            <w:tcBorders>
              <w:tl2br w:val="nil"/>
              <w:tr2bl w:val="nil"/>
            </w:tcBorders>
            <w:noWrap w:val="0"/>
            <w:vAlign w:val="center"/>
          </w:tcPr>
          <w:p w14:paraId="3666ACF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139～155</w:t>
            </w:r>
          </w:p>
        </w:tc>
        <w:tc>
          <w:tcPr>
            <w:tcW w:w="5070" w:type="dxa"/>
            <w:tcBorders>
              <w:tl2br w:val="nil"/>
              <w:tr2bl w:val="nil"/>
            </w:tcBorders>
            <w:noWrap w:val="0"/>
            <w:vAlign w:val="center"/>
          </w:tcPr>
          <w:p w14:paraId="689DC1C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粉砂质页岩与中厚层状砂岩互层。</w:t>
            </w:r>
          </w:p>
        </w:tc>
      </w:tr>
      <w:tr w14:paraId="4EC38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62" w:type="dxa"/>
            <w:vMerge w:val="continue"/>
            <w:tcBorders>
              <w:tl2br w:val="nil"/>
              <w:tr2bl w:val="nil"/>
            </w:tcBorders>
            <w:noWrap w:val="0"/>
            <w:vAlign w:val="center"/>
          </w:tcPr>
          <w:p w14:paraId="264686E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0AE158E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0CE99E9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5977C1E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3ABBF218">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68～106</w:t>
            </w:r>
          </w:p>
        </w:tc>
        <w:tc>
          <w:tcPr>
            <w:tcW w:w="5070" w:type="dxa"/>
            <w:tcBorders>
              <w:tl2br w:val="nil"/>
              <w:tr2bl w:val="nil"/>
            </w:tcBorders>
            <w:noWrap w:val="0"/>
            <w:vAlign w:val="center"/>
          </w:tcPr>
          <w:p w14:paraId="638C2F9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水云母页岩与薄至中厚层状的砂岩互层。</w:t>
            </w:r>
          </w:p>
        </w:tc>
      </w:tr>
      <w:tr w14:paraId="6E6DE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62" w:type="dxa"/>
            <w:vMerge w:val="continue"/>
            <w:tcBorders>
              <w:tl2br w:val="nil"/>
              <w:tr2bl w:val="nil"/>
            </w:tcBorders>
            <w:noWrap w:val="0"/>
            <w:vAlign w:val="center"/>
          </w:tcPr>
          <w:p w14:paraId="7952B3E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4C61B4D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437684E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2E29348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7F03CE7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0～42</w:t>
            </w:r>
          </w:p>
        </w:tc>
        <w:tc>
          <w:tcPr>
            <w:tcW w:w="5070" w:type="dxa"/>
            <w:tcBorders>
              <w:tl2br w:val="nil"/>
              <w:tr2bl w:val="nil"/>
            </w:tcBorders>
            <w:noWrap w:val="0"/>
            <w:vAlign w:val="center"/>
          </w:tcPr>
          <w:p w14:paraId="12134F7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泥岩、页岩与石英砂岩互层，底为含砾岩屑的砂岩或砾岩透镜体。</w:t>
            </w:r>
          </w:p>
        </w:tc>
      </w:tr>
      <w:tr w14:paraId="19972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62" w:type="dxa"/>
            <w:vMerge w:val="continue"/>
            <w:tcBorders>
              <w:tl2br w:val="nil"/>
              <w:tr2bl w:val="nil"/>
            </w:tcBorders>
            <w:noWrap w:val="0"/>
            <w:vAlign w:val="center"/>
          </w:tcPr>
          <w:p w14:paraId="02AA921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restart"/>
            <w:tcBorders>
              <w:tl2br w:val="nil"/>
              <w:tr2bl w:val="nil"/>
            </w:tcBorders>
            <w:noWrap w:val="0"/>
            <w:textDirection w:val="tbRlV"/>
            <w:vAlign w:val="center"/>
          </w:tcPr>
          <w:p w14:paraId="225A4DF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lang w:eastAsia="zh-CN"/>
              </w:rPr>
            </w:pPr>
            <w:r>
              <w:rPr>
                <w:rFonts w:hint="default" w:ascii="Arial" w:hAnsi="Arial" w:eastAsia="宋体" w:cs="Arial"/>
                <w:color w:val="auto"/>
                <w:kern w:val="0"/>
                <w:sz w:val="22"/>
                <w:szCs w:val="22"/>
                <w:lang w:eastAsia="zh-CN"/>
              </w:rPr>
              <w:t>中下统</w:t>
            </w:r>
          </w:p>
        </w:tc>
        <w:tc>
          <w:tcPr>
            <w:tcW w:w="1360" w:type="dxa"/>
            <w:vMerge w:val="restart"/>
            <w:tcBorders>
              <w:tl2br w:val="nil"/>
              <w:tr2bl w:val="nil"/>
            </w:tcBorders>
            <w:noWrap w:val="0"/>
            <w:vAlign w:val="center"/>
          </w:tcPr>
          <w:p w14:paraId="0AAE948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自流井组</w:t>
            </w:r>
          </w:p>
        </w:tc>
        <w:tc>
          <w:tcPr>
            <w:tcW w:w="705" w:type="dxa"/>
            <w:tcBorders>
              <w:tl2br w:val="nil"/>
              <w:tr2bl w:val="nil"/>
            </w:tcBorders>
            <w:noWrap w:val="0"/>
            <w:vAlign w:val="center"/>
          </w:tcPr>
          <w:p w14:paraId="382711A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1-2</w:t>
            </w:r>
            <w:r>
              <w:rPr>
                <w:rFonts w:hint="default" w:ascii="Arial" w:hAnsi="Arial" w:cs="Arial"/>
                <w:color w:val="auto"/>
                <w:kern w:val="2"/>
                <w:sz w:val="22"/>
                <w:szCs w:val="22"/>
              </w:rPr>
              <w:t>z</w:t>
            </w:r>
            <w:r>
              <w:rPr>
                <w:rFonts w:hint="default" w:ascii="Arial" w:hAnsi="Arial" w:cs="Arial"/>
                <w:color w:val="auto"/>
                <w:kern w:val="2"/>
                <w:sz w:val="22"/>
                <w:szCs w:val="22"/>
                <w:vertAlign w:val="superscript"/>
              </w:rPr>
              <w:t>3</w:t>
            </w:r>
          </w:p>
        </w:tc>
        <w:tc>
          <w:tcPr>
            <w:tcW w:w="1083" w:type="dxa"/>
            <w:tcBorders>
              <w:tl2br w:val="nil"/>
              <w:tr2bl w:val="nil"/>
            </w:tcBorders>
            <w:noWrap w:val="0"/>
            <w:vAlign w:val="center"/>
          </w:tcPr>
          <w:p w14:paraId="57565F8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94～204</w:t>
            </w:r>
          </w:p>
        </w:tc>
        <w:tc>
          <w:tcPr>
            <w:tcW w:w="5070" w:type="dxa"/>
            <w:tcBorders>
              <w:tl2br w:val="nil"/>
              <w:tr2bl w:val="nil"/>
            </w:tcBorders>
            <w:noWrap w:val="0"/>
            <w:vAlign w:val="center"/>
          </w:tcPr>
          <w:p w14:paraId="4BCE50C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灰、紫灰色灰岩、生物灰岩夹灰绿、紫红、灰黑色泥岩。</w:t>
            </w:r>
          </w:p>
        </w:tc>
      </w:tr>
      <w:tr w14:paraId="30866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62" w:type="dxa"/>
            <w:vMerge w:val="continue"/>
            <w:tcBorders>
              <w:tl2br w:val="nil"/>
              <w:tr2bl w:val="nil"/>
            </w:tcBorders>
            <w:noWrap w:val="0"/>
            <w:vAlign w:val="center"/>
          </w:tcPr>
          <w:p w14:paraId="318E30F8">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4FDC091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544D077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12E29E7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1-2</w:t>
            </w:r>
            <w:r>
              <w:rPr>
                <w:rFonts w:hint="default" w:ascii="Arial" w:hAnsi="Arial" w:cs="Arial"/>
                <w:color w:val="auto"/>
                <w:kern w:val="2"/>
                <w:sz w:val="22"/>
                <w:szCs w:val="22"/>
              </w:rPr>
              <w:t>z</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57F4473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32～92</w:t>
            </w:r>
          </w:p>
        </w:tc>
        <w:tc>
          <w:tcPr>
            <w:tcW w:w="5070" w:type="dxa"/>
            <w:tcBorders>
              <w:tl2br w:val="nil"/>
              <w:tr2bl w:val="nil"/>
            </w:tcBorders>
            <w:noWrap w:val="0"/>
            <w:vAlign w:val="center"/>
          </w:tcPr>
          <w:p w14:paraId="6DE01F2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页岩、砂质页岩、水云母页岩夹薄层状粉砂岩。</w:t>
            </w:r>
          </w:p>
        </w:tc>
      </w:tr>
      <w:tr w14:paraId="28599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Merge w:val="continue"/>
            <w:tcBorders>
              <w:tl2br w:val="nil"/>
              <w:tr2bl w:val="nil"/>
            </w:tcBorders>
            <w:noWrap w:val="0"/>
            <w:vAlign w:val="center"/>
          </w:tcPr>
          <w:p w14:paraId="3BA9D90F">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530BDF9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56495A0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18139D1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1-2</w:t>
            </w:r>
            <w:r>
              <w:rPr>
                <w:rFonts w:hint="default" w:ascii="Arial" w:hAnsi="Arial" w:cs="Arial"/>
                <w:color w:val="auto"/>
                <w:kern w:val="2"/>
                <w:sz w:val="22"/>
                <w:szCs w:val="22"/>
              </w:rPr>
              <w:t>z</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62592A8C">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28～41</w:t>
            </w:r>
          </w:p>
        </w:tc>
        <w:tc>
          <w:tcPr>
            <w:tcW w:w="5070" w:type="dxa"/>
            <w:tcBorders>
              <w:tl2br w:val="nil"/>
              <w:tr2bl w:val="nil"/>
            </w:tcBorders>
            <w:noWrap w:val="0"/>
            <w:vAlign w:val="center"/>
          </w:tcPr>
          <w:p w14:paraId="42A326F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黄绿、灰黑色泥页岩夹泥岩、粉砂岩、介壳灰岩。</w:t>
            </w:r>
          </w:p>
        </w:tc>
      </w:tr>
      <w:tr w14:paraId="46B9C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62" w:type="dxa"/>
            <w:vMerge w:val="continue"/>
            <w:tcBorders>
              <w:tl2br w:val="nil"/>
              <w:tr2bl w:val="nil"/>
            </w:tcBorders>
            <w:noWrap w:val="0"/>
            <w:vAlign w:val="center"/>
          </w:tcPr>
          <w:p w14:paraId="303E7460">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tcBorders>
              <w:tl2br w:val="nil"/>
              <w:tr2bl w:val="nil"/>
            </w:tcBorders>
            <w:noWrap w:val="0"/>
            <w:vAlign w:val="center"/>
          </w:tcPr>
          <w:p w14:paraId="5B2A331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下统</w:t>
            </w:r>
          </w:p>
        </w:tc>
        <w:tc>
          <w:tcPr>
            <w:tcW w:w="1360" w:type="dxa"/>
            <w:tcBorders>
              <w:tl2br w:val="nil"/>
              <w:tr2bl w:val="nil"/>
            </w:tcBorders>
            <w:noWrap w:val="0"/>
            <w:vAlign w:val="center"/>
          </w:tcPr>
          <w:p w14:paraId="72608AB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珍珠冲组</w:t>
            </w:r>
          </w:p>
        </w:tc>
        <w:tc>
          <w:tcPr>
            <w:tcW w:w="705" w:type="dxa"/>
            <w:tcBorders>
              <w:tl2br w:val="nil"/>
              <w:tr2bl w:val="nil"/>
            </w:tcBorders>
            <w:noWrap w:val="0"/>
            <w:vAlign w:val="center"/>
          </w:tcPr>
          <w:p w14:paraId="7F56509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z</w:t>
            </w:r>
          </w:p>
        </w:tc>
        <w:tc>
          <w:tcPr>
            <w:tcW w:w="1083" w:type="dxa"/>
            <w:tcBorders>
              <w:tl2br w:val="nil"/>
              <w:tr2bl w:val="nil"/>
            </w:tcBorders>
            <w:noWrap w:val="0"/>
            <w:vAlign w:val="center"/>
          </w:tcPr>
          <w:p w14:paraId="04A6E47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188～232</w:t>
            </w:r>
          </w:p>
        </w:tc>
        <w:tc>
          <w:tcPr>
            <w:tcW w:w="5070" w:type="dxa"/>
            <w:tcBorders>
              <w:tl2br w:val="nil"/>
              <w:tr2bl w:val="nil"/>
            </w:tcBorders>
            <w:noWrap w:val="0"/>
            <w:vAlign w:val="center"/>
          </w:tcPr>
          <w:p w14:paraId="4378672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上部页岩、泥岩、粉砂岩夹岩屑石英砂岩；下部页岩、碳质页岩夹砂岩，含砾石的砂岩。</w:t>
            </w:r>
          </w:p>
        </w:tc>
      </w:tr>
      <w:tr w14:paraId="46C20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62" w:type="dxa"/>
            <w:vMerge w:val="restart"/>
            <w:tcBorders>
              <w:tl2br w:val="nil"/>
              <w:tr2bl w:val="nil"/>
            </w:tcBorders>
            <w:noWrap w:val="0"/>
            <w:textDirection w:val="tbRlV"/>
            <w:vAlign w:val="center"/>
          </w:tcPr>
          <w:p w14:paraId="2326E92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三    　叠　　　系</w:t>
            </w:r>
          </w:p>
        </w:tc>
        <w:tc>
          <w:tcPr>
            <w:tcW w:w="562" w:type="dxa"/>
            <w:vMerge w:val="restart"/>
            <w:tcBorders>
              <w:tl2br w:val="nil"/>
              <w:tr2bl w:val="nil"/>
            </w:tcBorders>
            <w:noWrap w:val="0"/>
            <w:vAlign w:val="center"/>
          </w:tcPr>
          <w:p w14:paraId="3C82D8C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上统</w:t>
            </w:r>
          </w:p>
        </w:tc>
        <w:tc>
          <w:tcPr>
            <w:tcW w:w="1360" w:type="dxa"/>
            <w:vMerge w:val="restart"/>
            <w:tcBorders>
              <w:tl2br w:val="nil"/>
              <w:tr2bl w:val="nil"/>
            </w:tcBorders>
            <w:noWrap w:val="0"/>
            <w:vAlign w:val="center"/>
          </w:tcPr>
          <w:p w14:paraId="5F1C234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须家河组</w:t>
            </w:r>
          </w:p>
        </w:tc>
        <w:tc>
          <w:tcPr>
            <w:tcW w:w="705" w:type="dxa"/>
            <w:tcBorders>
              <w:tl2br w:val="nil"/>
              <w:tr2bl w:val="nil"/>
            </w:tcBorders>
            <w:noWrap w:val="0"/>
            <w:vAlign w:val="center"/>
          </w:tcPr>
          <w:p w14:paraId="1E989325">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3</w:t>
            </w:r>
            <w:r>
              <w:rPr>
                <w:rFonts w:hint="default" w:ascii="Arial" w:hAnsi="Arial" w:cs="Arial"/>
                <w:color w:val="auto"/>
                <w:kern w:val="2"/>
                <w:sz w:val="22"/>
                <w:szCs w:val="22"/>
              </w:rPr>
              <w:t>xj</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70F62AB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134～337</w:t>
            </w:r>
          </w:p>
        </w:tc>
        <w:tc>
          <w:tcPr>
            <w:tcW w:w="5070" w:type="dxa"/>
            <w:tcBorders>
              <w:tl2br w:val="nil"/>
              <w:tr2bl w:val="nil"/>
            </w:tcBorders>
            <w:noWrap w:val="0"/>
            <w:vAlign w:val="center"/>
          </w:tcPr>
          <w:p w14:paraId="02AB254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灰白～灰色厚层～块状砂岩和灰、灰黑色泥页岩夹砂岩及煤层。</w:t>
            </w:r>
          </w:p>
        </w:tc>
      </w:tr>
      <w:tr w14:paraId="007ED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62" w:type="dxa"/>
            <w:vMerge w:val="continue"/>
            <w:tcBorders>
              <w:tl2br w:val="nil"/>
              <w:tr2bl w:val="nil"/>
            </w:tcBorders>
            <w:noWrap w:val="0"/>
            <w:vAlign w:val="center"/>
          </w:tcPr>
          <w:p w14:paraId="01FD286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68EA7E3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0E1DC0C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51FC284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3</w:t>
            </w:r>
            <w:r>
              <w:rPr>
                <w:rFonts w:hint="default" w:ascii="Arial" w:hAnsi="Arial" w:cs="Arial"/>
                <w:color w:val="auto"/>
                <w:kern w:val="2"/>
                <w:sz w:val="22"/>
                <w:szCs w:val="22"/>
              </w:rPr>
              <w:t>xj</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7D6875C9">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34～162</w:t>
            </w:r>
          </w:p>
        </w:tc>
        <w:tc>
          <w:tcPr>
            <w:tcW w:w="5070" w:type="dxa"/>
            <w:tcBorders>
              <w:tl2br w:val="nil"/>
              <w:tr2bl w:val="nil"/>
            </w:tcBorders>
            <w:noWrap w:val="0"/>
            <w:vAlign w:val="center"/>
          </w:tcPr>
          <w:p w14:paraId="3479A62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灰、灰黑色泥页岩及砂岩、煤层夹灰白～灰色砂岩。</w:t>
            </w:r>
          </w:p>
        </w:tc>
      </w:tr>
      <w:tr w14:paraId="4066F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62" w:type="dxa"/>
            <w:vMerge w:val="continue"/>
            <w:tcBorders>
              <w:tl2br w:val="nil"/>
              <w:tr2bl w:val="nil"/>
            </w:tcBorders>
            <w:noWrap w:val="0"/>
            <w:vAlign w:val="center"/>
          </w:tcPr>
          <w:p w14:paraId="7AD2A7E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restart"/>
            <w:tcBorders>
              <w:tl2br w:val="nil"/>
              <w:tr2bl w:val="nil"/>
            </w:tcBorders>
            <w:noWrap w:val="0"/>
            <w:vAlign w:val="center"/>
          </w:tcPr>
          <w:p w14:paraId="672B13C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中统</w:t>
            </w:r>
          </w:p>
        </w:tc>
        <w:tc>
          <w:tcPr>
            <w:tcW w:w="1360" w:type="dxa"/>
            <w:vMerge w:val="restart"/>
            <w:tcBorders>
              <w:tl2br w:val="nil"/>
              <w:tr2bl w:val="nil"/>
            </w:tcBorders>
            <w:noWrap w:val="0"/>
            <w:vAlign w:val="center"/>
          </w:tcPr>
          <w:p w14:paraId="1F0B46C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雷口坡组</w:t>
            </w:r>
          </w:p>
        </w:tc>
        <w:tc>
          <w:tcPr>
            <w:tcW w:w="705" w:type="dxa"/>
            <w:tcBorders>
              <w:tl2br w:val="nil"/>
              <w:tr2bl w:val="nil"/>
            </w:tcBorders>
            <w:noWrap w:val="0"/>
            <w:vAlign w:val="center"/>
          </w:tcPr>
          <w:p w14:paraId="6E089A7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l</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32B733E9">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60.0</w:t>
            </w:r>
          </w:p>
        </w:tc>
        <w:tc>
          <w:tcPr>
            <w:tcW w:w="5070" w:type="dxa"/>
            <w:tcBorders>
              <w:tl2br w:val="nil"/>
              <w:tr2bl w:val="nil"/>
            </w:tcBorders>
            <w:noWrap w:val="0"/>
            <w:vAlign w:val="center"/>
          </w:tcPr>
          <w:p w14:paraId="2BF2733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水云母页岩夹薄层含泥质灰岩。</w:t>
            </w:r>
          </w:p>
        </w:tc>
      </w:tr>
      <w:tr w14:paraId="5C89D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62" w:type="dxa"/>
            <w:vMerge w:val="continue"/>
            <w:tcBorders>
              <w:tl2br w:val="nil"/>
              <w:tr2bl w:val="nil"/>
            </w:tcBorders>
            <w:noWrap w:val="0"/>
            <w:vAlign w:val="center"/>
          </w:tcPr>
          <w:p w14:paraId="58EFF3F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4DAFC91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1E73BA6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05D9E318">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l</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4BAE663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115～185</w:t>
            </w:r>
          </w:p>
        </w:tc>
        <w:tc>
          <w:tcPr>
            <w:tcW w:w="5070" w:type="dxa"/>
            <w:tcBorders>
              <w:tl2br w:val="nil"/>
              <w:tr2bl w:val="nil"/>
            </w:tcBorders>
            <w:noWrap w:val="0"/>
            <w:vAlign w:val="center"/>
          </w:tcPr>
          <w:p w14:paraId="465130E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上部页岩、泥质灰岩，下部泥质灰岩、白云质灰岩含钙质页岩。</w:t>
            </w:r>
          </w:p>
        </w:tc>
      </w:tr>
      <w:tr w14:paraId="3FAE3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tcBorders>
              <w:tl2br w:val="nil"/>
              <w:tr2bl w:val="nil"/>
            </w:tcBorders>
            <w:noWrap w:val="0"/>
            <w:vAlign w:val="center"/>
          </w:tcPr>
          <w:p w14:paraId="5624EE8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restart"/>
            <w:tcBorders>
              <w:tl2br w:val="nil"/>
              <w:tr2bl w:val="nil"/>
            </w:tcBorders>
            <w:noWrap w:val="0"/>
            <w:textDirection w:val="tbRlV"/>
            <w:vAlign w:val="center"/>
          </w:tcPr>
          <w:p w14:paraId="1C835F5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下统</w:t>
            </w:r>
          </w:p>
        </w:tc>
        <w:tc>
          <w:tcPr>
            <w:tcW w:w="1360" w:type="dxa"/>
            <w:vMerge w:val="restart"/>
            <w:tcBorders>
              <w:tl2br w:val="nil"/>
              <w:tr2bl w:val="nil"/>
            </w:tcBorders>
            <w:noWrap w:val="0"/>
            <w:vAlign w:val="center"/>
          </w:tcPr>
          <w:p w14:paraId="3D0D64C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嘉陵江组</w:t>
            </w:r>
          </w:p>
        </w:tc>
        <w:tc>
          <w:tcPr>
            <w:tcW w:w="705" w:type="dxa"/>
            <w:tcBorders>
              <w:tl2br w:val="nil"/>
              <w:tr2bl w:val="nil"/>
            </w:tcBorders>
            <w:noWrap w:val="0"/>
            <w:vAlign w:val="center"/>
          </w:tcPr>
          <w:p w14:paraId="4947343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j</w:t>
            </w:r>
            <w:r>
              <w:rPr>
                <w:rFonts w:hint="default" w:ascii="Arial" w:hAnsi="Arial" w:cs="Arial"/>
                <w:color w:val="auto"/>
                <w:kern w:val="2"/>
                <w:sz w:val="22"/>
                <w:szCs w:val="22"/>
                <w:vertAlign w:val="superscript"/>
              </w:rPr>
              <w:t>4</w:t>
            </w:r>
          </w:p>
        </w:tc>
        <w:tc>
          <w:tcPr>
            <w:tcW w:w="1083" w:type="dxa"/>
            <w:tcBorders>
              <w:tl2br w:val="nil"/>
              <w:tr2bl w:val="nil"/>
            </w:tcBorders>
            <w:noWrap w:val="0"/>
            <w:vAlign w:val="center"/>
          </w:tcPr>
          <w:p w14:paraId="78A8456F">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91～112</w:t>
            </w:r>
          </w:p>
        </w:tc>
        <w:tc>
          <w:tcPr>
            <w:tcW w:w="5070" w:type="dxa"/>
            <w:tcBorders>
              <w:tl2br w:val="nil"/>
              <w:tr2bl w:val="nil"/>
            </w:tcBorders>
            <w:noWrap w:val="0"/>
            <w:vAlign w:val="center"/>
          </w:tcPr>
          <w:p w14:paraId="379ABBE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灰色中厚层状白云岩、盐溶角砾岩、页岩。</w:t>
            </w:r>
          </w:p>
        </w:tc>
      </w:tr>
      <w:tr w14:paraId="15387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62" w:type="dxa"/>
            <w:vMerge w:val="continue"/>
            <w:tcBorders>
              <w:tl2br w:val="nil"/>
              <w:tr2bl w:val="nil"/>
            </w:tcBorders>
            <w:noWrap w:val="0"/>
            <w:vAlign w:val="center"/>
          </w:tcPr>
          <w:p w14:paraId="2FA012A4">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2D2D256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7DC092C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7E4E5A1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j</w:t>
            </w:r>
            <w:r>
              <w:rPr>
                <w:rFonts w:hint="default" w:ascii="Arial" w:hAnsi="Arial" w:cs="Arial"/>
                <w:color w:val="auto"/>
                <w:kern w:val="2"/>
                <w:sz w:val="22"/>
                <w:szCs w:val="22"/>
                <w:vertAlign w:val="superscript"/>
              </w:rPr>
              <w:t>3</w:t>
            </w:r>
          </w:p>
        </w:tc>
        <w:tc>
          <w:tcPr>
            <w:tcW w:w="1083" w:type="dxa"/>
            <w:tcBorders>
              <w:tl2br w:val="nil"/>
              <w:tr2bl w:val="nil"/>
            </w:tcBorders>
            <w:noWrap w:val="0"/>
            <w:vAlign w:val="center"/>
          </w:tcPr>
          <w:p w14:paraId="35EA27F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107～133</w:t>
            </w:r>
          </w:p>
        </w:tc>
        <w:tc>
          <w:tcPr>
            <w:tcW w:w="5070" w:type="dxa"/>
            <w:tcBorders>
              <w:tl2br w:val="nil"/>
              <w:tr2bl w:val="nil"/>
            </w:tcBorders>
            <w:noWrap w:val="0"/>
            <w:vAlign w:val="center"/>
          </w:tcPr>
          <w:p w14:paraId="295A97D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灰中厚层状白云岩、含白云质灰岩、含泥质灰岩。</w:t>
            </w:r>
          </w:p>
        </w:tc>
      </w:tr>
      <w:tr w14:paraId="2B3EF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62" w:type="dxa"/>
            <w:vMerge w:val="continue"/>
            <w:tcBorders>
              <w:tl2br w:val="nil"/>
              <w:tr2bl w:val="nil"/>
            </w:tcBorders>
            <w:noWrap w:val="0"/>
            <w:vAlign w:val="center"/>
          </w:tcPr>
          <w:p w14:paraId="6F6C3D74">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555C25F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300E695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280DD3D8">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j</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093AEE8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82～109</w:t>
            </w:r>
          </w:p>
        </w:tc>
        <w:tc>
          <w:tcPr>
            <w:tcW w:w="5070" w:type="dxa"/>
            <w:tcBorders>
              <w:tl2br w:val="nil"/>
              <w:tr2bl w:val="nil"/>
            </w:tcBorders>
            <w:noWrap w:val="0"/>
            <w:vAlign w:val="center"/>
          </w:tcPr>
          <w:p w14:paraId="558A967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灰中厚层状白云岩、白云质灰岩、盐溶角砾岩。</w:t>
            </w:r>
          </w:p>
        </w:tc>
      </w:tr>
      <w:tr w14:paraId="6C824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62" w:type="dxa"/>
            <w:vMerge w:val="continue"/>
            <w:tcBorders>
              <w:tl2br w:val="nil"/>
              <w:tr2bl w:val="nil"/>
            </w:tcBorders>
            <w:noWrap w:val="0"/>
            <w:vAlign w:val="center"/>
          </w:tcPr>
          <w:p w14:paraId="25FC508A">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56ACFAE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5B45022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59697B9C">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j</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198775D8">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145～237</w:t>
            </w:r>
          </w:p>
        </w:tc>
        <w:tc>
          <w:tcPr>
            <w:tcW w:w="5070" w:type="dxa"/>
            <w:tcBorders>
              <w:tl2br w:val="nil"/>
              <w:tr2bl w:val="nil"/>
            </w:tcBorders>
            <w:noWrap w:val="0"/>
            <w:vAlign w:val="center"/>
          </w:tcPr>
          <w:p w14:paraId="2BCE5A3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灰色薄至中厚层状灰岩、含白云质灰岩、鲕状灰岩。</w:t>
            </w:r>
          </w:p>
        </w:tc>
      </w:tr>
      <w:tr w14:paraId="701DE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2" w:type="dxa"/>
            <w:vMerge w:val="continue"/>
            <w:tcBorders>
              <w:tl2br w:val="nil"/>
              <w:tr2bl w:val="nil"/>
            </w:tcBorders>
            <w:noWrap w:val="0"/>
            <w:vAlign w:val="center"/>
          </w:tcPr>
          <w:p w14:paraId="40829D02">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20BE818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restart"/>
            <w:tcBorders>
              <w:tl2br w:val="nil"/>
              <w:tr2bl w:val="nil"/>
            </w:tcBorders>
            <w:noWrap w:val="0"/>
            <w:vAlign w:val="center"/>
          </w:tcPr>
          <w:p w14:paraId="3B66792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飞仙关组</w:t>
            </w:r>
          </w:p>
        </w:tc>
        <w:tc>
          <w:tcPr>
            <w:tcW w:w="705" w:type="dxa"/>
            <w:tcBorders>
              <w:tl2br w:val="nil"/>
              <w:tr2bl w:val="nil"/>
            </w:tcBorders>
            <w:noWrap w:val="0"/>
            <w:vAlign w:val="center"/>
          </w:tcPr>
          <w:p w14:paraId="55AC1BA9">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f</w:t>
            </w:r>
            <w:r>
              <w:rPr>
                <w:rFonts w:hint="default" w:ascii="Arial" w:hAnsi="Arial" w:cs="Arial"/>
                <w:color w:val="auto"/>
                <w:kern w:val="2"/>
                <w:sz w:val="22"/>
                <w:szCs w:val="22"/>
                <w:vertAlign w:val="superscript"/>
              </w:rPr>
              <w:t>4</w:t>
            </w:r>
          </w:p>
        </w:tc>
        <w:tc>
          <w:tcPr>
            <w:tcW w:w="1083" w:type="dxa"/>
            <w:tcBorders>
              <w:tl2br w:val="nil"/>
              <w:tr2bl w:val="nil"/>
            </w:tcBorders>
            <w:noWrap w:val="0"/>
            <w:vAlign w:val="center"/>
          </w:tcPr>
          <w:p w14:paraId="2430AEB3">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21～28</w:t>
            </w:r>
          </w:p>
        </w:tc>
        <w:tc>
          <w:tcPr>
            <w:tcW w:w="5070" w:type="dxa"/>
            <w:tcBorders>
              <w:tl2br w:val="nil"/>
              <w:tr2bl w:val="nil"/>
            </w:tcBorders>
            <w:noWrap w:val="0"/>
            <w:vAlign w:val="center"/>
          </w:tcPr>
          <w:p w14:paraId="47966B0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紫红色页岩、水云母页岩，薄层状泥质白云质灰岩。</w:t>
            </w:r>
          </w:p>
        </w:tc>
      </w:tr>
      <w:tr w14:paraId="5A9FF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2" w:type="dxa"/>
            <w:vMerge w:val="continue"/>
            <w:tcBorders>
              <w:tl2br w:val="nil"/>
              <w:tr2bl w:val="nil"/>
            </w:tcBorders>
            <w:noWrap w:val="0"/>
            <w:vAlign w:val="center"/>
          </w:tcPr>
          <w:p w14:paraId="7712890C">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17B9A057">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1360" w:type="dxa"/>
            <w:vMerge w:val="continue"/>
            <w:tcBorders>
              <w:tl2br w:val="nil"/>
              <w:tr2bl w:val="nil"/>
            </w:tcBorders>
            <w:noWrap w:val="0"/>
            <w:vAlign w:val="center"/>
          </w:tcPr>
          <w:p w14:paraId="3F32A8ED">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705" w:type="dxa"/>
            <w:tcBorders>
              <w:tl2br w:val="nil"/>
              <w:tr2bl w:val="nil"/>
            </w:tcBorders>
            <w:noWrap w:val="0"/>
            <w:vAlign w:val="center"/>
          </w:tcPr>
          <w:p w14:paraId="73F8ECB4">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f</w:t>
            </w:r>
            <w:r>
              <w:rPr>
                <w:rFonts w:hint="default" w:ascii="Arial" w:hAnsi="Arial" w:cs="Arial"/>
                <w:color w:val="auto"/>
                <w:kern w:val="2"/>
                <w:sz w:val="22"/>
                <w:szCs w:val="22"/>
                <w:vertAlign w:val="superscript"/>
              </w:rPr>
              <w:t>3</w:t>
            </w:r>
          </w:p>
        </w:tc>
        <w:tc>
          <w:tcPr>
            <w:tcW w:w="1083" w:type="dxa"/>
            <w:tcBorders>
              <w:tl2br w:val="nil"/>
              <w:tr2bl w:val="nil"/>
            </w:tcBorders>
            <w:noWrap w:val="0"/>
            <w:vAlign w:val="center"/>
          </w:tcPr>
          <w:p w14:paraId="371EA98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157～209</w:t>
            </w:r>
          </w:p>
        </w:tc>
        <w:tc>
          <w:tcPr>
            <w:tcW w:w="5070" w:type="dxa"/>
            <w:tcBorders>
              <w:tl2br w:val="nil"/>
              <w:tr2bl w:val="nil"/>
            </w:tcBorders>
            <w:noWrap w:val="0"/>
            <w:vAlign w:val="center"/>
          </w:tcPr>
          <w:p w14:paraId="664A4B7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厚层状灰岩，夹鲕状灰岩及泥质灰岩。</w:t>
            </w:r>
          </w:p>
        </w:tc>
      </w:tr>
      <w:tr w14:paraId="2B666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2" w:type="dxa"/>
            <w:vMerge w:val="continue"/>
            <w:tcBorders>
              <w:tl2br w:val="nil"/>
              <w:tr2bl w:val="nil"/>
            </w:tcBorders>
            <w:noWrap w:val="0"/>
            <w:vAlign w:val="center"/>
          </w:tcPr>
          <w:p w14:paraId="1C4B07CA">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6AA23BA1">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1360" w:type="dxa"/>
            <w:vMerge w:val="continue"/>
            <w:tcBorders>
              <w:tl2br w:val="nil"/>
              <w:tr2bl w:val="nil"/>
            </w:tcBorders>
            <w:noWrap w:val="0"/>
            <w:vAlign w:val="center"/>
          </w:tcPr>
          <w:p w14:paraId="0FD69FC7">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705" w:type="dxa"/>
            <w:tcBorders>
              <w:tl2br w:val="nil"/>
              <w:tr2bl w:val="nil"/>
            </w:tcBorders>
            <w:noWrap w:val="0"/>
            <w:vAlign w:val="center"/>
          </w:tcPr>
          <w:p w14:paraId="15A9E917">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f</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3F31C1D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126～215</w:t>
            </w:r>
          </w:p>
        </w:tc>
        <w:tc>
          <w:tcPr>
            <w:tcW w:w="5070" w:type="dxa"/>
            <w:tcBorders>
              <w:tl2br w:val="nil"/>
              <w:tr2bl w:val="nil"/>
            </w:tcBorders>
            <w:noWrap w:val="0"/>
            <w:vAlign w:val="center"/>
          </w:tcPr>
          <w:p w14:paraId="1F29178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页岩、厚层灰岩，见缝合线构造。</w:t>
            </w:r>
          </w:p>
        </w:tc>
      </w:tr>
      <w:tr w14:paraId="2278A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62" w:type="dxa"/>
            <w:vMerge w:val="continue"/>
            <w:tcBorders>
              <w:tl2br w:val="nil"/>
              <w:tr2bl w:val="nil"/>
            </w:tcBorders>
            <w:noWrap w:val="0"/>
            <w:vAlign w:val="center"/>
          </w:tcPr>
          <w:p w14:paraId="441CB76E">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641C3A32">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1360" w:type="dxa"/>
            <w:vMerge w:val="continue"/>
            <w:tcBorders>
              <w:tl2br w:val="nil"/>
              <w:tr2bl w:val="nil"/>
            </w:tcBorders>
            <w:noWrap w:val="0"/>
            <w:vAlign w:val="center"/>
          </w:tcPr>
          <w:p w14:paraId="6C81189A">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705" w:type="dxa"/>
            <w:tcBorders>
              <w:tl2br w:val="nil"/>
              <w:tr2bl w:val="nil"/>
            </w:tcBorders>
            <w:noWrap w:val="0"/>
            <w:vAlign w:val="center"/>
          </w:tcPr>
          <w:p w14:paraId="5BB0896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f</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2183D4A2">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37～50</w:t>
            </w:r>
          </w:p>
        </w:tc>
        <w:tc>
          <w:tcPr>
            <w:tcW w:w="5070" w:type="dxa"/>
            <w:tcBorders>
              <w:tl2br w:val="nil"/>
              <w:tr2bl w:val="nil"/>
            </w:tcBorders>
            <w:noWrap w:val="0"/>
            <w:vAlign w:val="center"/>
          </w:tcPr>
          <w:p w14:paraId="6A528F5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泥质灰岩、水云母页岩夹薄层灰岩。</w:t>
            </w:r>
          </w:p>
        </w:tc>
      </w:tr>
    </w:tbl>
    <w:p w14:paraId="634B79E7">
      <w:pPr>
        <w:pStyle w:val="100"/>
        <w:keepNext w:val="0"/>
        <w:keepLines w:val="0"/>
        <w:pageBreakBefore w:val="0"/>
        <w:widowControl w:val="0"/>
        <w:kinsoku/>
        <w:wordWrap/>
        <w:overflowPunct/>
        <w:topLinePunct w:val="0"/>
        <w:autoSpaceDE/>
        <w:autoSpaceDN/>
        <w:bidi w:val="0"/>
        <w:adjustRightInd/>
        <w:snapToGrid/>
        <w:spacing w:line="240" w:lineRule="exact"/>
        <w:ind w:firstLine="522" w:firstLineChars="200"/>
        <w:jc w:val="both"/>
        <w:textAlignment w:val="auto"/>
        <w:rPr>
          <w:rFonts w:hint="eastAsia" w:ascii="Arial" w:hAnsi="Arial" w:eastAsia="宋体" w:cs="Arial"/>
          <w:b/>
          <w:bCs w:val="0"/>
          <w:sz w:val="26"/>
          <w:szCs w:val="26"/>
          <w:lang w:val="en-US" w:eastAsia="zh-CN"/>
        </w:rPr>
      </w:pPr>
    </w:p>
    <w:p w14:paraId="20721B24">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val="en-US" w:eastAsia="zh-CN"/>
        </w:rPr>
      </w:pPr>
      <w:r>
        <w:rPr>
          <w:rFonts w:hint="eastAsia" w:ascii="Arial" w:hAnsi="Arial" w:cs="Arial"/>
          <w:b/>
          <w:bCs/>
          <w:color w:val="auto"/>
          <w:sz w:val="26"/>
          <w:szCs w:val="26"/>
          <w:lang w:eastAsia="zh-CN"/>
        </w:rPr>
        <w:t>（</w:t>
      </w:r>
      <w:r>
        <w:rPr>
          <w:rFonts w:hint="eastAsia" w:ascii="Arial" w:hAnsi="Arial" w:cs="Arial"/>
          <w:b/>
          <w:bCs/>
          <w:color w:val="auto"/>
          <w:sz w:val="26"/>
          <w:szCs w:val="26"/>
          <w:lang w:val="en-US" w:eastAsia="zh-CN"/>
        </w:rPr>
        <w:t>1）库区</w:t>
      </w:r>
    </w:p>
    <w:p w14:paraId="44525B82">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库区出露侏罗系中统上沙溪庙组（J</w:t>
      </w:r>
      <w:r>
        <w:rPr>
          <w:rFonts w:hint="default" w:ascii="Arial" w:hAnsi="Arial" w:cs="Arial"/>
          <w:color w:val="auto"/>
          <w:sz w:val="26"/>
          <w:szCs w:val="26"/>
          <w:vertAlign w:val="subscript"/>
        </w:rPr>
        <w:t>2</w:t>
      </w:r>
      <w:r>
        <w:rPr>
          <w:rFonts w:hint="default" w:ascii="Arial" w:hAnsi="Arial" w:cs="Arial"/>
          <w:color w:val="auto"/>
          <w:sz w:val="26"/>
          <w:szCs w:val="26"/>
        </w:rPr>
        <w:t>s）及第四系冲洪积层（Q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alp</w:t>
      </w:r>
      <w:r>
        <w:rPr>
          <w:rFonts w:hint="default" w:ascii="Arial" w:hAnsi="Arial" w:cs="Arial"/>
          <w:color w:val="auto"/>
          <w:sz w:val="26"/>
          <w:szCs w:val="26"/>
        </w:rPr>
        <w:t>）、残坡积层（Q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eld</w:t>
      </w:r>
      <w:r>
        <w:rPr>
          <w:rFonts w:hint="default" w:ascii="Arial" w:hAnsi="Arial" w:cs="Arial"/>
          <w:color w:val="auto"/>
          <w:sz w:val="26"/>
          <w:szCs w:val="26"/>
        </w:rPr>
        <w:t>）等。各地层岩性如下：</w:t>
      </w:r>
    </w:p>
    <w:p w14:paraId="4718624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侏罗系中统上沙溪庙组（J</w:t>
      </w:r>
      <w:r>
        <w:rPr>
          <w:rFonts w:hint="default" w:ascii="Arial" w:hAnsi="Arial" w:cs="Arial"/>
          <w:color w:val="auto"/>
          <w:sz w:val="26"/>
          <w:szCs w:val="26"/>
          <w:vertAlign w:val="subscript"/>
        </w:rPr>
        <w:t>2</w:t>
      </w:r>
      <w:r>
        <w:rPr>
          <w:rFonts w:hint="default" w:ascii="Arial" w:hAnsi="Arial" w:cs="Arial"/>
          <w:color w:val="auto"/>
          <w:sz w:val="26"/>
          <w:szCs w:val="26"/>
        </w:rPr>
        <w:t>s）：至下而上分为三段。其中库区主要分布第一段</w:t>
      </w:r>
      <w:r>
        <w:rPr>
          <w:rFonts w:hint="default" w:ascii="Arial" w:hAnsi="Arial" w:cs="Arial"/>
          <w:color w:val="auto"/>
          <w:sz w:val="26"/>
          <w:szCs w:val="26"/>
          <w:lang w:eastAsia="zh-CN"/>
        </w:rPr>
        <w:t>与第二段。库尾</w:t>
      </w:r>
      <w:r>
        <w:rPr>
          <w:rFonts w:hint="default" w:ascii="Arial" w:hAnsi="Arial" w:cs="Arial"/>
          <w:color w:val="auto"/>
          <w:sz w:val="26"/>
          <w:szCs w:val="26"/>
        </w:rPr>
        <w:t>为灰、灰绿色厚层水云母胶结的细～中粒岩屑长石砂岩，岩屑长石石英砂岩</w:t>
      </w:r>
      <w:r>
        <w:rPr>
          <w:rFonts w:hint="default" w:ascii="Arial" w:hAnsi="Arial" w:cs="Arial"/>
          <w:color w:val="auto"/>
          <w:sz w:val="26"/>
          <w:szCs w:val="26"/>
          <w:lang w:eastAsia="zh-CN"/>
        </w:rPr>
        <w:t>（</w:t>
      </w:r>
      <w:r>
        <w:rPr>
          <w:rFonts w:hint="default" w:ascii="Arial" w:hAnsi="Arial" w:cs="Arial"/>
          <w:color w:val="auto"/>
          <w:sz w:val="26"/>
          <w:szCs w:val="26"/>
          <w:lang w:val="en-US" w:eastAsia="zh-CN"/>
        </w:rPr>
        <w:t>俗称嘉祥寨砂岩</w:t>
      </w:r>
      <w:r>
        <w:rPr>
          <w:rFonts w:hint="default" w:ascii="Arial" w:hAnsi="Arial" w:cs="Arial"/>
          <w:color w:val="auto"/>
          <w:sz w:val="26"/>
          <w:szCs w:val="26"/>
          <w:lang w:eastAsia="zh-CN"/>
        </w:rPr>
        <w:t>）；库盆主要为</w:t>
      </w:r>
      <w:r>
        <w:rPr>
          <w:rFonts w:hint="default" w:ascii="Arial" w:hAnsi="Arial" w:cs="Arial"/>
          <w:color w:val="auto"/>
          <w:sz w:val="26"/>
          <w:szCs w:val="26"/>
        </w:rPr>
        <w:t>紫红色砂质泥岩、粉砂质泥岩</w:t>
      </w:r>
      <w:r>
        <w:rPr>
          <w:rFonts w:hint="default" w:ascii="Arial" w:hAnsi="Arial" w:cs="Arial"/>
          <w:color w:val="auto"/>
          <w:sz w:val="26"/>
          <w:szCs w:val="26"/>
          <w:lang w:eastAsia="zh-CN"/>
        </w:rPr>
        <w:t>、</w:t>
      </w:r>
      <w:r>
        <w:rPr>
          <w:rFonts w:hint="default" w:ascii="Arial" w:hAnsi="Arial" w:cs="Arial"/>
          <w:color w:val="auto"/>
          <w:sz w:val="26"/>
          <w:szCs w:val="26"/>
          <w:lang w:val="en-US" w:eastAsia="zh-CN"/>
        </w:rPr>
        <w:t>灰色砂岩</w:t>
      </w:r>
      <w:r>
        <w:rPr>
          <w:rFonts w:hint="default" w:ascii="Arial" w:hAnsi="Arial" w:cs="Arial"/>
          <w:color w:val="auto"/>
          <w:sz w:val="26"/>
          <w:szCs w:val="26"/>
        </w:rPr>
        <w:t>，具交错层理，泥岩中含硅质钙质结核，局部见白色纤维状石膏。出露厚度约2</w:t>
      </w:r>
      <w:r>
        <w:rPr>
          <w:rFonts w:hint="default" w:ascii="Arial" w:hAnsi="Arial" w:cs="Arial"/>
          <w:color w:val="auto"/>
          <w:sz w:val="26"/>
          <w:szCs w:val="26"/>
          <w:lang w:val="en-US" w:eastAsia="zh-CN"/>
        </w:rPr>
        <w:t>3</w:t>
      </w:r>
      <w:r>
        <w:rPr>
          <w:rFonts w:hint="default" w:ascii="Arial" w:hAnsi="Arial" w:cs="Arial"/>
          <w:color w:val="auto"/>
          <w:sz w:val="26"/>
          <w:szCs w:val="26"/>
        </w:rPr>
        <w:t>0m。</w:t>
      </w:r>
    </w:p>
    <w:p w14:paraId="4531A6B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第四系冲积洪层（Q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alp</w:t>
      </w:r>
      <w:r>
        <w:rPr>
          <w:rFonts w:hint="default" w:ascii="Arial" w:hAnsi="Arial" w:cs="Arial"/>
          <w:color w:val="auto"/>
          <w:sz w:val="26"/>
          <w:szCs w:val="26"/>
        </w:rPr>
        <w:t>）：褐黄色</w:t>
      </w:r>
      <w:r>
        <w:rPr>
          <w:rFonts w:hint="default" w:ascii="Arial" w:hAnsi="Arial" w:cs="Arial"/>
          <w:color w:val="auto"/>
          <w:sz w:val="26"/>
          <w:szCs w:val="26"/>
          <w:lang w:eastAsia="zh-CN"/>
        </w:rPr>
        <w:t>粉质黏土、粉土，</w:t>
      </w:r>
      <w:r>
        <w:rPr>
          <w:rFonts w:hint="default" w:ascii="Arial" w:hAnsi="Arial" w:cs="Arial"/>
          <w:color w:val="auto"/>
          <w:sz w:val="26"/>
          <w:szCs w:val="26"/>
        </w:rPr>
        <w:t>夹</w:t>
      </w:r>
      <w:r>
        <w:rPr>
          <w:rFonts w:hint="default" w:ascii="Arial" w:hAnsi="Arial" w:cs="Arial"/>
          <w:color w:val="auto"/>
          <w:sz w:val="26"/>
          <w:szCs w:val="26"/>
          <w:lang w:val="en-US" w:eastAsia="zh-CN"/>
        </w:rPr>
        <w:t>少量</w:t>
      </w:r>
      <w:r>
        <w:rPr>
          <w:rFonts w:hint="default" w:ascii="Arial" w:hAnsi="Arial" w:cs="Arial"/>
          <w:color w:val="auto"/>
          <w:sz w:val="26"/>
          <w:szCs w:val="26"/>
        </w:rPr>
        <w:t>卵砾石、砂，厚</w:t>
      </w:r>
      <w:r>
        <w:rPr>
          <w:rFonts w:hint="default" w:ascii="Arial" w:hAnsi="Arial" w:cs="Arial"/>
          <w:color w:val="auto"/>
          <w:sz w:val="26"/>
          <w:szCs w:val="26"/>
          <w:lang w:val="en-US" w:eastAsia="zh-CN"/>
        </w:rPr>
        <w:t>4.0</w:t>
      </w:r>
      <w:r>
        <w:rPr>
          <w:rFonts w:hint="default" w:ascii="Arial" w:hAnsi="Arial" w:cs="Arial"/>
          <w:color w:val="auto"/>
          <w:sz w:val="26"/>
          <w:szCs w:val="26"/>
        </w:rPr>
        <w:t>～</w:t>
      </w:r>
      <w:r>
        <w:rPr>
          <w:rFonts w:hint="default" w:ascii="Arial" w:hAnsi="Arial" w:cs="Arial"/>
          <w:color w:val="auto"/>
          <w:sz w:val="26"/>
          <w:szCs w:val="26"/>
          <w:lang w:val="en-US" w:eastAsia="zh-CN"/>
        </w:rPr>
        <w:t>7.8</w:t>
      </w:r>
      <w:r>
        <w:rPr>
          <w:rFonts w:hint="default" w:ascii="Arial" w:hAnsi="Arial" w:cs="Arial"/>
          <w:color w:val="auto"/>
          <w:sz w:val="26"/>
          <w:szCs w:val="26"/>
        </w:rPr>
        <w:t>m，主要分布于河床及</w:t>
      </w:r>
      <w:r>
        <w:rPr>
          <w:rFonts w:hint="default" w:ascii="Arial" w:hAnsi="Arial" w:cs="Arial"/>
          <w:color w:val="auto"/>
          <w:sz w:val="26"/>
          <w:szCs w:val="26"/>
          <w:lang w:eastAsia="zh-CN"/>
        </w:rPr>
        <w:t>河谷</w:t>
      </w:r>
      <w:r>
        <w:rPr>
          <w:rFonts w:hint="default" w:ascii="Arial" w:hAnsi="Arial" w:cs="Arial"/>
          <w:color w:val="auto"/>
          <w:sz w:val="26"/>
          <w:szCs w:val="26"/>
        </w:rPr>
        <w:t>阶地。</w:t>
      </w:r>
    </w:p>
    <w:p w14:paraId="10F3FE4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第四系残坡积层（Q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eld</w:t>
      </w:r>
      <w:r>
        <w:rPr>
          <w:rFonts w:hint="default" w:ascii="Arial" w:hAnsi="Arial" w:cs="Arial"/>
          <w:color w:val="auto"/>
          <w:sz w:val="26"/>
          <w:szCs w:val="26"/>
        </w:rPr>
        <w:t>）：为黄色、褐红色粘性土，含砂岩碎石，稍湿，可塑，厚0.5～3.0m，零星分布于两岸斜坡上。</w:t>
      </w:r>
    </w:p>
    <w:p w14:paraId="6D4D5DAA">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val="en-US" w:eastAsia="zh-CN"/>
        </w:rPr>
      </w:pPr>
      <w:r>
        <w:rPr>
          <w:rFonts w:hint="eastAsia" w:ascii="Arial" w:hAnsi="Arial" w:cs="Arial"/>
          <w:b/>
          <w:bCs/>
          <w:color w:val="auto"/>
          <w:sz w:val="26"/>
          <w:szCs w:val="26"/>
          <w:lang w:eastAsia="zh-CN"/>
        </w:rPr>
        <w:t>（</w:t>
      </w:r>
      <w:r>
        <w:rPr>
          <w:rFonts w:hint="eastAsia" w:ascii="Arial" w:hAnsi="Arial" w:cs="Arial"/>
          <w:b/>
          <w:bCs/>
          <w:color w:val="auto"/>
          <w:sz w:val="26"/>
          <w:szCs w:val="26"/>
          <w:lang w:val="en-US" w:eastAsia="zh-CN"/>
        </w:rPr>
        <w:t>2）枢纽工程</w:t>
      </w:r>
    </w:p>
    <w:p w14:paraId="29ACB610">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bCs/>
          <w:iCs/>
          <w:color w:val="auto"/>
          <w:sz w:val="26"/>
          <w:szCs w:val="26"/>
        </w:rPr>
      </w:pPr>
      <w:r>
        <w:rPr>
          <w:rFonts w:hint="default" w:ascii="Arial" w:hAnsi="Arial" w:cs="Arial"/>
          <w:color w:val="auto"/>
          <w:sz w:val="26"/>
          <w:szCs w:val="26"/>
        </w:rPr>
        <w:t>坝址区地层较单一，主要出露侏罗系中统上沙溪庙组</w:t>
      </w:r>
      <w:r>
        <w:rPr>
          <w:rFonts w:hint="default" w:ascii="Arial" w:hAnsi="Arial" w:cs="Arial"/>
          <w:color w:val="auto"/>
          <w:sz w:val="26"/>
          <w:szCs w:val="26"/>
          <w:lang w:val="en-US" w:eastAsia="zh-CN"/>
        </w:rPr>
        <w:t>第二段</w:t>
      </w:r>
      <w:r>
        <w:rPr>
          <w:rFonts w:hint="default" w:ascii="Arial" w:hAnsi="Arial" w:cs="Arial"/>
          <w:color w:val="auto"/>
          <w:sz w:val="26"/>
          <w:szCs w:val="26"/>
        </w:rPr>
        <w:t>地层，本工程根据岩性将坝区地层由下到上共划分了</w:t>
      </w:r>
      <w:r>
        <w:rPr>
          <w:rFonts w:hint="default" w:ascii="Arial" w:hAnsi="Arial" w:cs="Arial"/>
          <w:color w:val="auto"/>
          <w:sz w:val="26"/>
          <w:szCs w:val="26"/>
          <w:lang w:val="en-US" w:eastAsia="zh-CN"/>
        </w:rPr>
        <w:t>12</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-1</w:t>
      </w:r>
      <w:r>
        <w:rPr>
          <w:rFonts w:hint="eastAsia" w:ascii="Arial" w:hAnsi="Arial" w:cs="Arial"/>
          <w:bCs/>
          <w:iCs/>
          <w:color w:val="auto"/>
          <w:sz w:val="26"/>
          <w:szCs w:val="26"/>
          <w:lang w:val="en-US" w:eastAsia="zh-CN"/>
        </w:rPr>
        <w:t>~</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12</w:t>
      </w:r>
      <w:r>
        <w:rPr>
          <w:rFonts w:hint="default" w:ascii="Arial" w:hAnsi="Arial" w:cs="Arial"/>
          <w:color w:val="auto"/>
          <w:kern w:val="0"/>
          <w:sz w:val="26"/>
          <w:szCs w:val="26"/>
        </w:rPr>
        <w:t>）</w:t>
      </w:r>
      <w:r>
        <w:rPr>
          <w:rFonts w:hint="default" w:ascii="Arial" w:hAnsi="Arial" w:cs="Arial"/>
          <w:color w:val="auto"/>
          <w:sz w:val="26"/>
          <w:szCs w:val="26"/>
        </w:rPr>
        <w:t>。此外，坝区在河床，及两岸斜坡地带分布有第四系冲洪积</w:t>
      </w:r>
      <w:r>
        <w:rPr>
          <w:rFonts w:hint="eastAsia" w:ascii="Arial" w:hAnsi="Arial" w:cs="Arial"/>
          <w:color w:val="auto"/>
          <w:sz w:val="26"/>
          <w:szCs w:val="26"/>
          <w:lang w:eastAsia="zh-CN"/>
        </w:rPr>
        <w:t>（</w:t>
      </w:r>
      <w:r>
        <w:rPr>
          <w:rFonts w:hint="default" w:ascii="Arial" w:hAnsi="Arial" w:cs="Arial"/>
          <w:color w:val="auto"/>
          <w:sz w:val="26"/>
          <w:szCs w:val="26"/>
        </w:rPr>
        <w:t>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alp</w:t>
      </w:r>
      <w:r>
        <w:rPr>
          <w:rFonts w:hint="eastAsia" w:ascii="Arial" w:hAnsi="Arial" w:cs="Arial"/>
          <w:color w:val="auto"/>
          <w:sz w:val="26"/>
          <w:szCs w:val="26"/>
          <w:lang w:eastAsia="zh-CN"/>
        </w:rPr>
        <w:t>）</w:t>
      </w:r>
      <w:r>
        <w:rPr>
          <w:rFonts w:hint="default" w:ascii="Arial" w:hAnsi="Arial" w:cs="Arial"/>
          <w:color w:val="auto"/>
          <w:sz w:val="26"/>
          <w:szCs w:val="26"/>
        </w:rPr>
        <w:t>、残坡积</w:t>
      </w:r>
      <w:r>
        <w:rPr>
          <w:rFonts w:hint="eastAsia" w:ascii="Arial" w:hAnsi="Arial" w:cs="Arial"/>
          <w:color w:val="auto"/>
          <w:sz w:val="26"/>
          <w:szCs w:val="26"/>
          <w:lang w:eastAsia="zh-CN"/>
        </w:rPr>
        <w:t>（</w:t>
      </w:r>
      <w:r>
        <w:rPr>
          <w:rFonts w:hint="default" w:ascii="Arial" w:hAnsi="Arial" w:cs="Arial"/>
          <w:color w:val="auto"/>
          <w:sz w:val="26"/>
          <w:szCs w:val="26"/>
        </w:rPr>
        <w:t>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eld</w:t>
      </w:r>
      <w:r>
        <w:rPr>
          <w:rFonts w:hint="eastAsia" w:ascii="Arial" w:hAnsi="Arial" w:cs="Arial"/>
          <w:color w:val="auto"/>
          <w:sz w:val="26"/>
          <w:szCs w:val="26"/>
          <w:lang w:eastAsia="zh-CN"/>
        </w:rPr>
        <w:t>）</w:t>
      </w:r>
      <w:r>
        <w:rPr>
          <w:rFonts w:hint="default" w:ascii="Arial" w:hAnsi="Arial" w:cs="Arial"/>
          <w:color w:val="auto"/>
          <w:sz w:val="26"/>
          <w:szCs w:val="26"/>
        </w:rPr>
        <w:t>堆积物。</w:t>
      </w:r>
      <w:r>
        <w:rPr>
          <w:rFonts w:hint="default" w:ascii="Arial" w:hAnsi="Arial" w:cs="Arial"/>
          <w:bCs/>
          <w:iCs/>
          <w:color w:val="auto"/>
          <w:sz w:val="26"/>
          <w:szCs w:val="26"/>
        </w:rPr>
        <w:t>现由老至新分述如下：</w:t>
      </w:r>
    </w:p>
    <w:p w14:paraId="7C035BEB">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cs="Arial"/>
          <w:b/>
          <w:bCs/>
          <w:color w:val="auto"/>
          <w:sz w:val="26"/>
          <w:szCs w:val="26"/>
        </w:rPr>
      </w:pPr>
      <w:r>
        <w:rPr>
          <w:rFonts w:hint="default" w:ascii="Arial" w:hAnsi="Arial" w:cs="Arial"/>
          <w:b/>
          <w:bCs/>
          <w:color w:val="auto"/>
          <w:sz w:val="26"/>
          <w:szCs w:val="26"/>
        </w:rPr>
        <w:t>侏罗系中统上沙溪庙组</w:t>
      </w:r>
      <w:r>
        <w:rPr>
          <w:rFonts w:hint="default" w:ascii="Arial" w:hAnsi="Arial" w:cs="Arial"/>
          <w:b/>
          <w:bCs/>
          <w:color w:val="auto"/>
          <w:kern w:val="0"/>
          <w:sz w:val="26"/>
          <w:szCs w:val="26"/>
        </w:rPr>
        <w:t>（J</w:t>
      </w:r>
      <w:r>
        <w:rPr>
          <w:rFonts w:hint="default" w:ascii="Arial" w:hAnsi="Arial" w:cs="Arial"/>
          <w:b/>
          <w:bCs/>
          <w:color w:val="auto"/>
          <w:kern w:val="0"/>
          <w:sz w:val="26"/>
          <w:szCs w:val="26"/>
          <w:vertAlign w:val="subscript"/>
        </w:rPr>
        <w:t>2</w:t>
      </w:r>
      <w:r>
        <w:rPr>
          <w:rFonts w:hint="default" w:ascii="Arial" w:hAnsi="Arial" w:cs="Arial"/>
          <w:b/>
          <w:bCs/>
          <w:color w:val="auto"/>
          <w:kern w:val="0"/>
          <w:sz w:val="26"/>
          <w:szCs w:val="26"/>
        </w:rPr>
        <w:t>s）</w:t>
      </w:r>
    </w:p>
    <w:p w14:paraId="1CA6565D">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一小层（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-1</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w:t>
      </w:r>
      <w:r>
        <w:rPr>
          <w:rFonts w:hint="default" w:ascii="Arial" w:hAnsi="Arial" w:cs="Arial"/>
          <w:bCs/>
          <w:iCs/>
          <w:color w:val="auto"/>
          <w:sz w:val="26"/>
          <w:szCs w:val="26"/>
        </w:rPr>
        <w:t>～</w:t>
      </w:r>
      <w:r>
        <w:rPr>
          <w:rFonts w:hint="default" w:ascii="Arial" w:hAnsi="Arial" w:cs="Arial"/>
          <w:color w:val="auto"/>
          <w:sz w:val="26"/>
          <w:szCs w:val="26"/>
        </w:rPr>
        <w:t>中粒岩屑长石砂岩，矿物成分主要为长石、石英。岩体呈细粒</w:t>
      </w:r>
      <w:r>
        <w:rPr>
          <w:rFonts w:hint="default" w:ascii="Arial" w:hAnsi="Arial" w:cs="Arial"/>
          <w:bCs/>
          <w:iCs/>
          <w:color w:val="auto"/>
          <w:sz w:val="26"/>
          <w:szCs w:val="26"/>
        </w:rPr>
        <w:t>～</w:t>
      </w:r>
      <w:r>
        <w:rPr>
          <w:rFonts w:hint="default" w:ascii="Arial" w:hAnsi="Arial" w:cs="Arial"/>
          <w:color w:val="auto"/>
          <w:sz w:val="26"/>
          <w:szCs w:val="26"/>
        </w:rPr>
        <w:t>中粒砂状结构，块状构造，泥质胶结为主。</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分布于</w:t>
      </w:r>
      <w:r>
        <w:rPr>
          <w:rFonts w:hint="default" w:ascii="Arial" w:hAnsi="Arial" w:cs="Arial"/>
          <w:color w:val="auto"/>
          <w:sz w:val="26"/>
          <w:szCs w:val="26"/>
          <w:lang w:val="en-US" w:eastAsia="zh-CN"/>
        </w:rPr>
        <w:t>库内上游</w:t>
      </w:r>
      <w:r>
        <w:rPr>
          <w:rFonts w:hint="default" w:ascii="Arial" w:hAnsi="Arial" w:cs="Arial"/>
          <w:color w:val="auto"/>
          <w:sz w:val="26"/>
          <w:szCs w:val="26"/>
        </w:rPr>
        <w:t>，厚度约</w:t>
      </w:r>
      <w:r>
        <w:rPr>
          <w:rFonts w:hint="default" w:ascii="Arial" w:hAnsi="Arial" w:cs="Arial"/>
          <w:color w:val="auto"/>
          <w:sz w:val="26"/>
          <w:szCs w:val="26"/>
          <w:lang w:val="en-US" w:eastAsia="zh-CN"/>
        </w:rPr>
        <w:t>21</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2</w:t>
      </w:r>
      <w:r>
        <w:rPr>
          <w:rFonts w:hint="default" w:ascii="Arial" w:hAnsi="Arial" w:cs="Arial"/>
          <w:color w:val="auto"/>
          <w:sz w:val="26"/>
          <w:szCs w:val="26"/>
        </w:rPr>
        <w:t>5m。</w:t>
      </w:r>
    </w:p>
    <w:p w14:paraId="282DB5D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二小层（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-2</w:t>
      </w:r>
      <w:r>
        <w:rPr>
          <w:rFonts w:hint="default" w:ascii="Arial" w:hAnsi="Arial" w:cs="Arial"/>
          <w:color w:val="auto"/>
          <w:sz w:val="26"/>
          <w:szCs w:val="26"/>
        </w:rPr>
        <w:t>）：为紫红色砂质泥岩，泥质结构，块状构造，局部含砂岩条带或结核。矿物成分以粘土矿物为主。</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出露于坝址上游，厚度约16</w:t>
      </w:r>
      <w:r>
        <w:rPr>
          <w:rFonts w:hint="eastAsia" w:ascii="Arial" w:hAnsi="Arial" w:cs="Arial"/>
          <w:color w:val="auto"/>
          <w:sz w:val="26"/>
          <w:szCs w:val="26"/>
          <w:lang w:val="en-US" w:eastAsia="zh-CN"/>
        </w:rPr>
        <w:t>~</w:t>
      </w:r>
      <w:r>
        <w:rPr>
          <w:rFonts w:hint="default" w:ascii="Arial" w:hAnsi="Arial" w:cs="Arial"/>
          <w:color w:val="auto"/>
          <w:sz w:val="26"/>
          <w:szCs w:val="26"/>
        </w:rPr>
        <w:t>20m。</w:t>
      </w:r>
    </w:p>
    <w:p w14:paraId="703385F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三小层（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-3</w:t>
      </w:r>
      <w:r>
        <w:rPr>
          <w:rFonts w:hint="default" w:ascii="Arial" w:hAnsi="Arial" w:cs="Arial"/>
          <w:color w:val="auto"/>
          <w:sz w:val="26"/>
          <w:szCs w:val="26"/>
        </w:rPr>
        <w:t>）：为灰色薄</w:t>
      </w:r>
      <w:r>
        <w:rPr>
          <w:rFonts w:hint="default" w:ascii="Arial" w:hAnsi="Arial" w:cs="Arial"/>
          <w:bCs/>
          <w:iCs/>
          <w:color w:val="auto"/>
          <w:sz w:val="26"/>
          <w:szCs w:val="26"/>
        </w:rPr>
        <w:t>～</w:t>
      </w:r>
      <w:r>
        <w:rPr>
          <w:rFonts w:hint="default" w:ascii="Arial" w:hAnsi="Arial" w:cs="Arial"/>
          <w:color w:val="auto"/>
          <w:sz w:val="26"/>
          <w:szCs w:val="26"/>
        </w:rPr>
        <w:t>中厚层状细</w:t>
      </w:r>
      <w:r>
        <w:rPr>
          <w:rFonts w:hint="default" w:ascii="Arial" w:hAnsi="Arial" w:cs="Arial"/>
          <w:bCs/>
          <w:iCs/>
          <w:color w:val="auto"/>
          <w:sz w:val="26"/>
          <w:szCs w:val="26"/>
        </w:rPr>
        <w:t>～</w:t>
      </w:r>
      <w:r>
        <w:rPr>
          <w:rFonts w:hint="default" w:ascii="Arial" w:hAnsi="Arial" w:cs="Arial"/>
          <w:color w:val="auto"/>
          <w:sz w:val="26"/>
          <w:szCs w:val="26"/>
        </w:rPr>
        <w:t>中粒岩屑长石砂岩，</w:t>
      </w:r>
      <w:r>
        <w:rPr>
          <w:rFonts w:hint="default" w:ascii="Arial" w:hAnsi="Arial" w:cs="Arial"/>
          <w:color w:val="auto"/>
          <w:kern w:val="0"/>
          <w:sz w:val="26"/>
          <w:szCs w:val="26"/>
          <w:lang w:val="zh-CN"/>
        </w:rPr>
        <w:t>局部</w:t>
      </w:r>
      <w:r>
        <w:rPr>
          <w:rFonts w:hint="default" w:ascii="Arial" w:hAnsi="Arial" w:cs="Arial"/>
          <w:color w:val="auto"/>
          <w:sz w:val="26"/>
          <w:szCs w:val="26"/>
        </w:rPr>
        <w:t>含泥岩透镜体，矿物成分主要为长石、石英。岩体呈细粒</w:t>
      </w:r>
      <w:r>
        <w:rPr>
          <w:rFonts w:hint="default" w:ascii="Arial" w:hAnsi="Arial" w:cs="Arial"/>
          <w:bCs/>
          <w:iCs/>
          <w:color w:val="auto"/>
          <w:sz w:val="26"/>
          <w:szCs w:val="26"/>
        </w:rPr>
        <w:t>～</w:t>
      </w:r>
      <w:r>
        <w:rPr>
          <w:rFonts w:hint="default" w:ascii="Arial" w:hAnsi="Arial" w:cs="Arial"/>
          <w:color w:val="auto"/>
          <w:sz w:val="26"/>
          <w:szCs w:val="26"/>
        </w:rPr>
        <w:t>中粒砂状结构，块状构造，泥质胶结为主。</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库内</w:t>
      </w:r>
      <w:r>
        <w:rPr>
          <w:rFonts w:hint="default" w:ascii="Arial" w:hAnsi="Arial" w:cs="Arial"/>
          <w:color w:val="auto"/>
          <w:sz w:val="26"/>
          <w:szCs w:val="26"/>
        </w:rPr>
        <w:t>，厚度约1</w:t>
      </w:r>
      <w:r>
        <w:rPr>
          <w:rFonts w:hint="default" w:ascii="Arial" w:hAnsi="Arial" w:cs="Arial"/>
          <w:color w:val="auto"/>
          <w:sz w:val="26"/>
          <w:szCs w:val="26"/>
          <w:lang w:val="en-US" w:eastAsia="zh-CN"/>
        </w:rPr>
        <w:t>1</w:t>
      </w:r>
      <w:r>
        <w:rPr>
          <w:rFonts w:hint="eastAsia" w:ascii="Arial" w:hAnsi="Arial" w:cs="Arial"/>
          <w:color w:val="auto"/>
          <w:sz w:val="26"/>
          <w:szCs w:val="26"/>
          <w:lang w:val="en-US" w:eastAsia="zh-CN"/>
        </w:rPr>
        <w:t>~</w:t>
      </w:r>
      <w:r>
        <w:rPr>
          <w:rFonts w:hint="default" w:ascii="Arial" w:hAnsi="Arial" w:cs="Arial"/>
          <w:color w:val="auto"/>
          <w:sz w:val="26"/>
          <w:szCs w:val="26"/>
        </w:rPr>
        <w:t>1</w:t>
      </w:r>
      <w:r>
        <w:rPr>
          <w:rFonts w:hint="default" w:ascii="Arial" w:hAnsi="Arial" w:cs="Arial"/>
          <w:color w:val="auto"/>
          <w:sz w:val="26"/>
          <w:szCs w:val="26"/>
          <w:lang w:val="en-US" w:eastAsia="zh-CN"/>
        </w:rPr>
        <w:t>5</w:t>
      </w:r>
      <w:r>
        <w:rPr>
          <w:rFonts w:hint="default" w:ascii="Arial" w:hAnsi="Arial" w:cs="Arial"/>
          <w:color w:val="auto"/>
          <w:sz w:val="26"/>
          <w:szCs w:val="26"/>
        </w:rPr>
        <w:t>m。</w:t>
      </w:r>
    </w:p>
    <w:p w14:paraId="4FADA86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四小层（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-4</w:t>
      </w:r>
      <w:r>
        <w:rPr>
          <w:rFonts w:hint="default" w:ascii="Arial" w:hAnsi="Arial" w:cs="Arial"/>
          <w:color w:val="auto"/>
          <w:sz w:val="26"/>
          <w:szCs w:val="26"/>
        </w:rPr>
        <w:t>）：为紫红色砂质泥岩，局部含角砾，泥质结构，块状构造，矿物成分以粘土矿物为主，含量＞70%，另有少量石英粉砂、云母等。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左</w:t>
      </w:r>
      <w:r>
        <w:rPr>
          <w:rFonts w:hint="default" w:ascii="Arial" w:hAnsi="Arial" w:cs="Arial"/>
          <w:color w:val="auto"/>
          <w:sz w:val="26"/>
          <w:szCs w:val="26"/>
        </w:rPr>
        <w:t>岸坡</w:t>
      </w:r>
      <w:r>
        <w:rPr>
          <w:rFonts w:hint="default" w:ascii="Arial" w:hAnsi="Arial" w:cs="Arial"/>
          <w:color w:val="auto"/>
          <w:sz w:val="26"/>
          <w:szCs w:val="26"/>
          <w:lang w:val="en-US" w:eastAsia="zh-CN"/>
        </w:rPr>
        <w:t>中</w:t>
      </w:r>
      <w:r>
        <w:rPr>
          <w:rFonts w:hint="default" w:ascii="Arial" w:hAnsi="Arial" w:cs="Arial"/>
          <w:color w:val="auto"/>
          <w:sz w:val="26"/>
          <w:szCs w:val="26"/>
        </w:rPr>
        <w:t>，厚度约1</w:t>
      </w:r>
      <w:r>
        <w:rPr>
          <w:rFonts w:hint="default" w:ascii="Arial" w:hAnsi="Arial" w:cs="Arial"/>
          <w:color w:val="auto"/>
          <w:sz w:val="26"/>
          <w:szCs w:val="26"/>
          <w:lang w:val="en-US" w:eastAsia="zh-CN"/>
        </w:rPr>
        <w:t>8</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2</w:t>
      </w:r>
      <w:r>
        <w:rPr>
          <w:rFonts w:hint="default" w:ascii="Arial" w:hAnsi="Arial" w:cs="Arial"/>
          <w:color w:val="auto"/>
          <w:sz w:val="26"/>
          <w:szCs w:val="26"/>
        </w:rPr>
        <w:t>5m。</w:t>
      </w:r>
    </w:p>
    <w:p w14:paraId="01D1E67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五小层（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-5</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w:t>
      </w:r>
      <w:r>
        <w:rPr>
          <w:rFonts w:hint="default" w:ascii="Arial" w:hAnsi="Arial" w:cs="Arial"/>
          <w:bCs/>
          <w:iCs/>
          <w:color w:val="auto"/>
          <w:sz w:val="26"/>
          <w:szCs w:val="26"/>
        </w:rPr>
        <w:t>～</w:t>
      </w:r>
      <w:r>
        <w:rPr>
          <w:rFonts w:hint="default" w:ascii="Arial" w:hAnsi="Arial" w:cs="Arial"/>
          <w:color w:val="auto"/>
          <w:sz w:val="26"/>
          <w:szCs w:val="26"/>
        </w:rPr>
        <w:t>中粒岩屑长石砂岩，矿物成分主要为长石、石英，底部砂岩含泥岩、钙质角砾。岩体呈细粒</w:t>
      </w:r>
      <w:r>
        <w:rPr>
          <w:rFonts w:hint="default" w:ascii="Arial" w:hAnsi="Arial" w:cs="Arial"/>
          <w:bCs/>
          <w:iCs/>
          <w:color w:val="auto"/>
          <w:sz w:val="26"/>
          <w:szCs w:val="26"/>
        </w:rPr>
        <w:t>～</w:t>
      </w:r>
      <w:r>
        <w:rPr>
          <w:rFonts w:hint="default" w:ascii="Arial" w:hAnsi="Arial" w:cs="Arial"/>
          <w:color w:val="auto"/>
          <w:sz w:val="26"/>
          <w:szCs w:val="26"/>
        </w:rPr>
        <w:t>中粒砂状结构，块状构造，泥质胶结。</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eastAsia="zh-CN"/>
        </w:rPr>
        <w:t>左</w:t>
      </w:r>
      <w:r>
        <w:rPr>
          <w:rFonts w:hint="default" w:ascii="Arial" w:hAnsi="Arial" w:cs="Arial"/>
          <w:color w:val="auto"/>
          <w:sz w:val="26"/>
          <w:szCs w:val="26"/>
        </w:rPr>
        <w:t>岸</w:t>
      </w:r>
      <w:r>
        <w:rPr>
          <w:rFonts w:hint="default" w:ascii="Arial" w:hAnsi="Arial" w:cs="Arial"/>
          <w:color w:val="auto"/>
          <w:sz w:val="26"/>
          <w:szCs w:val="26"/>
          <w:lang w:eastAsia="zh-CN"/>
        </w:rPr>
        <w:t>中</w:t>
      </w:r>
      <w:r>
        <w:rPr>
          <w:rFonts w:hint="default" w:ascii="Arial" w:hAnsi="Arial" w:cs="Arial"/>
          <w:color w:val="auto"/>
          <w:sz w:val="26"/>
          <w:szCs w:val="26"/>
          <w:lang w:val="en-US" w:eastAsia="zh-CN"/>
        </w:rPr>
        <w:t>部</w:t>
      </w:r>
      <w:r>
        <w:rPr>
          <w:rFonts w:hint="default" w:ascii="Arial" w:hAnsi="Arial" w:cs="Arial"/>
          <w:color w:val="auto"/>
          <w:sz w:val="26"/>
          <w:szCs w:val="26"/>
        </w:rPr>
        <w:t>，厚度约2</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4</w:t>
      </w:r>
      <w:r>
        <w:rPr>
          <w:rFonts w:hint="default" w:ascii="Arial" w:hAnsi="Arial" w:cs="Arial"/>
          <w:color w:val="auto"/>
          <w:sz w:val="26"/>
          <w:szCs w:val="26"/>
        </w:rPr>
        <w:t>m。</w:t>
      </w:r>
    </w:p>
    <w:p w14:paraId="402938F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六小层（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-6</w:t>
      </w:r>
      <w:r>
        <w:rPr>
          <w:rFonts w:hint="default" w:ascii="Arial" w:hAnsi="Arial" w:cs="Arial"/>
          <w:color w:val="auto"/>
          <w:sz w:val="26"/>
          <w:szCs w:val="26"/>
        </w:rPr>
        <w:t>）：为紫红色砂质泥岩，泥质结构，块状构造，局部含砂岩夹层或结核。矿物成分以粘土矿物为主，另有少量石英粉砂、云母等。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左</w:t>
      </w:r>
      <w:r>
        <w:rPr>
          <w:rFonts w:hint="default" w:ascii="Arial" w:hAnsi="Arial" w:cs="Arial"/>
          <w:color w:val="auto"/>
          <w:sz w:val="26"/>
          <w:szCs w:val="26"/>
        </w:rPr>
        <w:t>坝肩</w:t>
      </w:r>
      <w:r>
        <w:rPr>
          <w:rFonts w:hint="default" w:ascii="Arial" w:hAnsi="Arial" w:cs="Arial"/>
          <w:color w:val="auto"/>
          <w:sz w:val="26"/>
          <w:szCs w:val="26"/>
          <w:lang w:val="en-US" w:eastAsia="zh-CN"/>
        </w:rPr>
        <w:t>上部</w:t>
      </w:r>
      <w:r>
        <w:rPr>
          <w:rFonts w:hint="default" w:ascii="Arial" w:hAnsi="Arial" w:cs="Arial"/>
          <w:color w:val="auto"/>
          <w:sz w:val="26"/>
          <w:szCs w:val="26"/>
        </w:rPr>
        <w:t>，厚度约</w:t>
      </w:r>
      <w:r>
        <w:rPr>
          <w:rFonts w:hint="default" w:ascii="Arial" w:hAnsi="Arial" w:cs="Arial"/>
          <w:color w:val="auto"/>
          <w:sz w:val="26"/>
          <w:szCs w:val="26"/>
          <w:lang w:val="en-US" w:eastAsia="zh-CN"/>
        </w:rPr>
        <w:t>6</w:t>
      </w:r>
      <w:r>
        <w:rPr>
          <w:rFonts w:hint="default" w:ascii="Arial" w:hAnsi="Arial" w:cs="Arial"/>
          <w:color w:val="auto"/>
          <w:sz w:val="26"/>
          <w:szCs w:val="26"/>
        </w:rPr>
        <w:t>～</w:t>
      </w:r>
      <w:r>
        <w:rPr>
          <w:rFonts w:hint="default" w:ascii="Arial" w:hAnsi="Arial" w:cs="Arial"/>
          <w:color w:val="auto"/>
          <w:sz w:val="26"/>
          <w:szCs w:val="26"/>
          <w:lang w:val="en-US" w:eastAsia="zh-CN"/>
        </w:rPr>
        <w:t>8</w:t>
      </w:r>
      <w:r>
        <w:rPr>
          <w:rFonts w:hint="default" w:ascii="Arial" w:hAnsi="Arial" w:cs="Arial"/>
          <w:color w:val="auto"/>
          <w:sz w:val="26"/>
          <w:szCs w:val="26"/>
        </w:rPr>
        <w:t>m。</w:t>
      </w:r>
    </w:p>
    <w:p w14:paraId="28811DD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七小层（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-7</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中厚层状细粒长石砂岩，局部含泥岩夹层或结核。矿物成分主要为长石、石英。岩体呈细粒砂状结构，块状构造，钙质胶结。</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出露于左</w:t>
      </w:r>
      <w:r>
        <w:rPr>
          <w:rFonts w:hint="default" w:ascii="Arial" w:hAnsi="Arial" w:cs="Arial"/>
          <w:color w:val="auto"/>
          <w:sz w:val="26"/>
          <w:szCs w:val="26"/>
          <w:lang w:val="en-US" w:eastAsia="zh-CN"/>
        </w:rPr>
        <w:t>坝肩</w:t>
      </w:r>
      <w:r>
        <w:rPr>
          <w:rFonts w:hint="default" w:ascii="Arial" w:hAnsi="Arial" w:cs="Arial"/>
          <w:color w:val="auto"/>
          <w:sz w:val="26"/>
          <w:szCs w:val="26"/>
        </w:rPr>
        <w:t>顶部</w:t>
      </w:r>
      <w:r>
        <w:rPr>
          <w:rFonts w:hint="default" w:ascii="Arial" w:hAnsi="Arial" w:cs="Arial"/>
          <w:color w:val="auto"/>
          <w:sz w:val="26"/>
          <w:szCs w:val="26"/>
          <w:lang w:val="en-US" w:eastAsia="zh-CN"/>
        </w:rPr>
        <w:t>并延伸至河床</w:t>
      </w:r>
      <w:r>
        <w:rPr>
          <w:rFonts w:hint="default" w:ascii="Arial" w:hAnsi="Arial" w:cs="Arial"/>
          <w:color w:val="auto"/>
          <w:sz w:val="26"/>
          <w:szCs w:val="26"/>
        </w:rPr>
        <w:t>，厚度约3</w:t>
      </w:r>
      <w:r>
        <w:rPr>
          <w:rFonts w:hint="eastAsia" w:ascii="Arial" w:hAnsi="Arial" w:cs="Arial"/>
          <w:color w:val="auto"/>
          <w:sz w:val="26"/>
          <w:szCs w:val="26"/>
          <w:lang w:val="en-US" w:eastAsia="zh-CN"/>
        </w:rPr>
        <w:t>~</w:t>
      </w:r>
      <w:r>
        <w:rPr>
          <w:rFonts w:hint="default" w:ascii="Arial" w:hAnsi="Arial" w:cs="Arial"/>
          <w:color w:val="auto"/>
          <w:sz w:val="26"/>
          <w:szCs w:val="26"/>
        </w:rPr>
        <w:t>4m。</w:t>
      </w:r>
    </w:p>
    <w:p w14:paraId="62B0C16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八</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8</w:t>
      </w:r>
      <w:r>
        <w:rPr>
          <w:rFonts w:hint="default" w:ascii="Arial" w:hAnsi="Arial" w:cs="Arial"/>
          <w:color w:val="auto"/>
          <w:sz w:val="26"/>
          <w:szCs w:val="26"/>
        </w:rPr>
        <w:t>）：为紫红色砂质泥岩，局部含角砾，泥质结构，块状构造，矿物成分以粘土矿物为主，含量＞70%，另有少量石英粉砂、云母等。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左</w:t>
      </w:r>
      <w:r>
        <w:rPr>
          <w:rFonts w:hint="default" w:ascii="Arial" w:hAnsi="Arial" w:cs="Arial"/>
          <w:color w:val="auto"/>
          <w:sz w:val="26"/>
          <w:szCs w:val="26"/>
        </w:rPr>
        <w:t>岸</w:t>
      </w:r>
      <w:r>
        <w:rPr>
          <w:rFonts w:hint="default" w:ascii="Arial" w:hAnsi="Arial" w:cs="Arial"/>
          <w:color w:val="auto"/>
          <w:sz w:val="26"/>
          <w:szCs w:val="26"/>
          <w:lang w:val="en-US" w:eastAsia="zh-CN"/>
        </w:rPr>
        <w:t>及河床</w:t>
      </w:r>
      <w:r>
        <w:rPr>
          <w:rFonts w:hint="default" w:ascii="Arial" w:hAnsi="Arial" w:cs="Arial"/>
          <w:color w:val="auto"/>
          <w:sz w:val="26"/>
          <w:szCs w:val="26"/>
        </w:rPr>
        <w:t>，厚度约1</w:t>
      </w:r>
      <w:r>
        <w:rPr>
          <w:rFonts w:hint="default" w:ascii="Arial" w:hAnsi="Arial" w:cs="Arial"/>
          <w:color w:val="auto"/>
          <w:sz w:val="26"/>
          <w:szCs w:val="26"/>
          <w:lang w:val="en-US" w:eastAsia="zh-CN"/>
        </w:rPr>
        <w:t>1</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13</w:t>
      </w:r>
      <w:r>
        <w:rPr>
          <w:rFonts w:hint="default" w:ascii="Arial" w:hAnsi="Arial" w:cs="Arial"/>
          <w:color w:val="auto"/>
          <w:sz w:val="26"/>
          <w:szCs w:val="26"/>
        </w:rPr>
        <w:t>m。</w:t>
      </w:r>
    </w:p>
    <w:p w14:paraId="79D6ED9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九</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9</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w:t>
      </w:r>
      <w:r>
        <w:rPr>
          <w:rFonts w:hint="default" w:ascii="Arial" w:hAnsi="Arial" w:cs="Arial"/>
          <w:bCs/>
          <w:iCs/>
          <w:color w:val="auto"/>
          <w:sz w:val="26"/>
          <w:szCs w:val="26"/>
        </w:rPr>
        <w:t>～</w:t>
      </w:r>
      <w:r>
        <w:rPr>
          <w:rFonts w:hint="default" w:ascii="Arial" w:hAnsi="Arial" w:cs="Arial"/>
          <w:color w:val="auto"/>
          <w:sz w:val="26"/>
          <w:szCs w:val="26"/>
        </w:rPr>
        <w:t>中粒岩屑长石砂岩，矿物成分主要为长石、石英，底部砂岩含泥岩、钙质角砾。岩体呈细粒</w:t>
      </w:r>
      <w:r>
        <w:rPr>
          <w:rFonts w:hint="default" w:ascii="Arial" w:hAnsi="Arial" w:cs="Arial"/>
          <w:bCs/>
          <w:iCs/>
          <w:color w:val="auto"/>
          <w:sz w:val="26"/>
          <w:szCs w:val="26"/>
        </w:rPr>
        <w:t>～</w:t>
      </w:r>
      <w:r>
        <w:rPr>
          <w:rFonts w:hint="default" w:ascii="Arial" w:hAnsi="Arial" w:cs="Arial"/>
          <w:color w:val="auto"/>
          <w:sz w:val="26"/>
          <w:szCs w:val="26"/>
        </w:rPr>
        <w:t>中粒砂状结构，块状构造，泥质胶结。</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右</w:t>
      </w:r>
      <w:r>
        <w:rPr>
          <w:rFonts w:hint="default" w:ascii="Arial" w:hAnsi="Arial" w:cs="Arial"/>
          <w:color w:val="auto"/>
          <w:sz w:val="26"/>
          <w:szCs w:val="26"/>
        </w:rPr>
        <w:t>岸</w:t>
      </w:r>
      <w:r>
        <w:rPr>
          <w:rFonts w:hint="default" w:ascii="Arial" w:hAnsi="Arial" w:cs="Arial"/>
          <w:color w:val="auto"/>
          <w:sz w:val="26"/>
          <w:szCs w:val="26"/>
          <w:lang w:val="en-US" w:eastAsia="zh-CN"/>
        </w:rPr>
        <w:t>坡脚</w:t>
      </w:r>
      <w:r>
        <w:rPr>
          <w:rFonts w:hint="default" w:ascii="Arial" w:hAnsi="Arial" w:cs="Arial"/>
          <w:color w:val="auto"/>
          <w:sz w:val="26"/>
          <w:szCs w:val="26"/>
        </w:rPr>
        <w:t>，厚度约</w:t>
      </w:r>
      <w:r>
        <w:rPr>
          <w:rFonts w:hint="default" w:ascii="Arial" w:hAnsi="Arial" w:cs="Arial"/>
          <w:color w:val="auto"/>
          <w:sz w:val="26"/>
          <w:szCs w:val="26"/>
          <w:lang w:val="en-US" w:eastAsia="zh-CN"/>
        </w:rPr>
        <w:t>3</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5</w:t>
      </w:r>
      <w:r>
        <w:rPr>
          <w:rFonts w:hint="default" w:ascii="Arial" w:hAnsi="Arial" w:cs="Arial"/>
          <w:color w:val="auto"/>
          <w:sz w:val="26"/>
          <w:szCs w:val="26"/>
        </w:rPr>
        <w:t>m。</w:t>
      </w:r>
    </w:p>
    <w:p w14:paraId="4D9461E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十</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10</w:t>
      </w:r>
      <w:r>
        <w:rPr>
          <w:rFonts w:hint="default" w:ascii="Arial" w:hAnsi="Arial" w:cs="Arial"/>
          <w:color w:val="auto"/>
          <w:sz w:val="26"/>
          <w:szCs w:val="26"/>
        </w:rPr>
        <w:t>）：为紫红色砂质泥岩，泥质结构，块状构造，局部含砂岩夹层或结核。矿物成分以粘土矿物为主，另有少量石英粉砂、云母等。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右</w:t>
      </w:r>
      <w:r>
        <w:rPr>
          <w:rFonts w:hint="default" w:ascii="Arial" w:hAnsi="Arial" w:cs="Arial"/>
          <w:color w:val="auto"/>
          <w:sz w:val="26"/>
          <w:szCs w:val="26"/>
        </w:rPr>
        <w:t>坝肩</w:t>
      </w:r>
      <w:r>
        <w:rPr>
          <w:rFonts w:hint="default" w:ascii="Arial" w:hAnsi="Arial" w:cs="Arial"/>
          <w:color w:val="auto"/>
          <w:sz w:val="26"/>
          <w:szCs w:val="26"/>
          <w:lang w:val="en-US" w:eastAsia="zh-CN"/>
        </w:rPr>
        <w:t>中上部及坝址下游河床</w:t>
      </w:r>
      <w:r>
        <w:rPr>
          <w:rFonts w:hint="default" w:ascii="Arial" w:hAnsi="Arial" w:cs="Arial"/>
          <w:color w:val="auto"/>
          <w:sz w:val="26"/>
          <w:szCs w:val="26"/>
        </w:rPr>
        <w:t>，厚度约</w:t>
      </w:r>
      <w:r>
        <w:rPr>
          <w:rFonts w:hint="default" w:ascii="Arial" w:hAnsi="Arial" w:cs="Arial"/>
          <w:color w:val="auto"/>
          <w:sz w:val="26"/>
          <w:szCs w:val="26"/>
          <w:lang w:val="en-US" w:eastAsia="zh-CN"/>
        </w:rPr>
        <w:t>28</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31</w:t>
      </w:r>
      <w:r>
        <w:rPr>
          <w:rFonts w:hint="default" w:ascii="Arial" w:hAnsi="Arial" w:cs="Arial"/>
          <w:color w:val="auto"/>
          <w:sz w:val="26"/>
          <w:szCs w:val="26"/>
        </w:rPr>
        <w:t>m。</w:t>
      </w:r>
    </w:p>
    <w:p w14:paraId="0899BD0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十一</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11</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中厚层状细粒长石砂岩，局部含泥岩夹层或结核。矿物成分主要为长石、石英。岩体呈细粒砂状结构，块状构造，钙质胶结。</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右坝肩上</w:t>
      </w:r>
      <w:r>
        <w:rPr>
          <w:rFonts w:hint="default" w:ascii="Arial" w:hAnsi="Arial" w:cs="Arial"/>
          <w:color w:val="auto"/>
          <w:sz w:val="26"/>
          <w:szCs w:val="26"/>
        </w:rPr>
        <w:t>部</w:t>
      </w:r>
      <w:r>
        <w:rPr>
          <w:rFonts w:hint="default" w:ascii="Arial" w:hAnsi="Arial" w:cs="Arial"/>
          <w:color w:val="auto"/>
          <w:sz w:val="26"/>
          <w:szCs w:val="26"/>
          <w:lang w:val="en-US" w:eastAsia="zh-CN"/>
        </w:rPr>
        <w:t>及坝址下游</w:t>
      </w:r>
      <w:r>
        <w:rPr>
          <w:rFonts w:hint="default" w:ascii="Arial" w:hAnsi="Arial" w:cs="Arial"/>
          <w:color w:val="auto"/>
          <w:sz w:val="26"/>
          <w:szCs w:val="26"/>
        </w:rPr>
        <w:t>，厚度约</w:t>
      </w:r>
      <w:r>
        <w:rPr>
          <w:rFonts w:hint="default" w:ascii="Arial" w:hAnsi="Arial" w:cs="Arial"/>
          <w:color w:val="auto"/>
          <w:sz w:val="26"/>
          <w:szCs w:val="26"/>
          <w:lang w:val="en-US" w:eastAsia="zh-CN"/>
        </w:rPr>
        <w:t>4</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5</w:t>
      </w:r>
      <w:r>
        <w:rPr>
          <w:rFonts w:hint="default" w:ascii="Arial" w:hAnsi="Arial" w:cs="Arial"/>
          <w:color w:val="auto"/>
          <w:sz w:val="26"/>
          <w:szCs w:val="26"/>
        </w:rPr>
        <w:t>m。</w:t>
      </w:r>
    </w:p>
    <w:p w14:paraId="02AC3EA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十二</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12</w:t>
      </w:r>
      <w:r>
        <w:rPr>
          <w:rFonts w:hint="default" w:ascii="Arial" w:hAnsi="Arial" w:cs="Arial"/>
          <w:color w:val="auto"/>
          <w:sz w:val="26"/>
          <w:szCs w:val="26"/>
        </w:rPr>
        <w:t>）：为紫红色砂质泥岩，泥质结构，块状构造，局部含砂岩夹层或结核。矿物成分以粘土矿物为主，另有少量石英粉砂、云母等。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右</w:t>
      </w:r>
      <w:r>
        <w:rPr>
          <w:rFonts w:hint="default" w:ascii="Arial" w:hAnsi="Arial" w:cs="Arial"/>
          <w:color w:val="auto"/>
          <w:sz w:val="26"/>
          <w:szCs w:val="26"/>
        </w:rPr>
        <w:t>坝肩</w:t>
      </w:r>
      <w:r>
        <w:rPr>
          <w:rFonts w:hint="default" w:ascii="Arial" w:hAnsi="Arial" w:cs="Arial"/>
          <w:color w:val="auto"/>
          <w:sz w:val="26"/>
          <w:szCs w:val="26"/>
          <w:lang w:val="en-US" w:eastAsia="zh-CN"/>
        </w:rPr>
        <w:t>顶部及坝址下游</w:t>
      </w:r>
      <w:r>
        <w:rPr>
          <w:rFonts w:hint="default" w:ascii="Arial" w:hAnsi="Arial" w:cs="Arial"/>
          <w:color w:val="auto"/>
          <w:sz w:val="26"/>
          <w:szCs w:val="26"/>
        </w:rPr>
        <w:t>，厚度约</w:t>
      </w:r>
      <w:r>
        <w:rPr>
          <w:rFonts w:hint="default" w:ascii="Arial" w:hAnsi="Arial" w:cs="Arial"/>
          <w:color w:val="auto"/>
          <w:sz w:val="26"/>
          <w:szCs w:val="26"/>
          <w:lang w:val="en-US" w:eastAsia="zh-CN"/>
        </w:rPr>
        <w:t>19</w:t>
      </w:r>
      <w:r>
        <w:rPr>
          <w:rFonts w:hint="default" w:ascii="Arial" w:hAnsi="Arial" w:cs="Arial"/>
          <w:color w:val="auto"/>
          <w:sz w:val="26"/>
          <w:szCs w:val="26"/>
        </w:rPr>
        <w:t>～</w:t>
      </w:r>
      <w:r>
        <w:rPr>
          <w:rFonts w:hint="default" w:ascii="Arial" w:hAnsi="Arial" w:cs="Arial"/>
          <w:color w:val="auto"/>
          <w:sz w:val="26"/>
          <w:szCs w:val="26"/>
          <w:lang w:val="en-US" w:eastAsia="zh-CN"/>
        </w:rPr>
        <w:t>28</w:t>
      </w:r>
      <w:r>
        <w:rPr>
          <w:rFonts w:hint="default" w:ascii="Arial" w:hAnsi="Arial" w:cs="Arial"/>
          <w:color w:val="auto"/>
          <w:sz w:val="26"/>
          <w:szCs w:val="26"/>
        </w:rPr>
        <w:t>m。</w:t>
      </w:r>
    </w:p>
    <w:p w14:paraId="1BBB7EE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第四系冲积洪层（Q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alp</w:t>
      </w:r>
      <w:r>
        <w:rPr>
          <w:rFonts w:hint="default" w:ascii="Arial" w:hAnsi="Arial" w:cs="Arial"/>
          <w:color w:val="auto"/>
          <w:sz w:val="26"/>
          <w:szCs w:val="26"/>
        </w:rPr>
        <w:t>）：褐黄色粉质粘土</w:t>
      </w:r>
      <w:r>
        <w:rPr>
          <w:rFonts w:hint="default" w:ascii="Arial" w:hAnsi="Arial" w:cs="Arial"/>
          <w:color w:val="auto"/>
          <w:sz w:val="26"/>
          <w:szCs w:val="26"/>
          <w:lang w:eastAsia="zh-CN"/>
        </w:rPr>
        <w:t>，</w:t>
      </w:r>
      <w:r>
        <w:rPr>
          <w:rFonts w:hint="default" w:ascii="Arial" w:hAnsi="Arial" w:cs="Arial"/>
          <w:color w:val="auto"/>
          <w:sz w:val="26"/>
          <w:szCs w:val="26"/>
          <w:lang w:val="en-US" w:eastAsia="zh-CN"/>
        </w:rPr>
        <w:t>局部含少量</w:t>
      </w:r>
      <w:r>
        <w:rPr>
          <w:rFonts w:hint="default" w:ascii="Arial" w:hAnsi="Arial" w:cs="Arial"/>
          <w:color w:val="auto"/>
          <w:sz w:val="26"/>
          <w:szCs w:val="26"/>
        </w:rPr>
        <w:t>砂卵砾石、砂，厚</w:t>
      </w:r>
      <w:r>
        <w:rPr>
          <w:rFonts w:hint="default" w:ascii="Arial" w:hAnsi="Arial" w:cs="Arial"/>
          <w:color w:val="auto"/>
          <w:sz w:val="26"/>
          <w:szCs w:val="26"/>
          <w:lang w:val="en-US" w:eastAsia="zh-CN"/>
        </w:rPr>
        <w:t>2.8</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4.0</w:t>
      </w:r>
      <w:r>
        <w:rPr>
          <w:rFonts w:hint="default" w:ascii="Arial" w:hAnsi="Arial" w:cs="Arial"/>
          <w:color w:val="auto"/>
          <w:sz w:val="26"/>
          <w:szCs w:val="26"/>
        </w:rPr>
        <w:t>m，主要分布于河床及阶地。</w:t>
      </w:r>
    </w:p>
    <w:p w14:paraId="7D9A82D1">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eastAsia="宋体" w:cs="Arial"/>
          <w:b w:val="0"/>
          <w:bCs/>
          <w:sz w:val="26"/>
          <w:szCs w:val="26"/>
          <w:lang w:val="en-US" w:eastAsia="zh-CN"/>
        </w:rPr>
      </w:pPr>
      <w:r>
        <w:rPr>
          <w:rFonts w:hint="default" w:ascii="Arial" w:hAnsi="Arial" w:cs="Arial"/>
          <w:b w:val="0"/>
          <w:bCs/>
          <w:color w:val="auto"/>
          <w:sz w:val="26"/>
          <w:szCs w:val="26"/>
        </w:rPr>
        <w:t>第四系残坡积层（Q</w:t>
      </w:r>
      <w:r>
        <w:rPr>
          <w:rFonts w:hint="default" w:ascii="Arial" w:hAnsi="Arial" w:cs="Arial"/>
          <w:b w:val="0"/>
          <w:bCs/>
          <w:color w:val="auto"/>
          <w:sz w:val="26"/>
          <w:szCs w:val="26"/>
          <w:vertAlign w:val="subscript"/>
        </w:rPr>
        <w:t>4</w:t>
      </w:r>
      <w:r>
        <w:rPr>
          <w:rFonts w:hint="default" w:ascii="Arial" w:hAnsi="Arial" w:cs="Arial"/>
          <w:b w:val="0"/>
          <w:bCs/>
          <w:color w:val="auto"/>
          <w:sz w:val="26"/>
          <w:szCs w:val="26"/>
          <w:vertAlign w:val="superscript"/>
        </w:rPr>
        <w:t>eld</w:t>
      </w:r>
      <w:r>
        <w:rPr>
          <w:rFonts w:hint="default" w:ascii="Arial" w:hAnsi="Arial" w:cs="Arial"/>
          <w:b w:val="0"/>
          <w:bCs/>
          <w:color w:val="auto"/>
          <w:sz w:val="26"/>
          <w:szCs w:val="26"/>
        </w:rPr>
        <w:t>）：为黄色、褐红色粘性土，含砂岩碎石，稍湿，可塑</w:t>
      </w:r>
      <w:r>
        <w:rPr>
          <w:rFonts w:hint="eastAsia" w:ascii="Arial" w:hAnsi="Arial" w:cs="Arial"/>
          <w:b w:val="0"/>
          <w:bCs/>
          <w:color w:val="auto"/>
          <w:sz w:val="26"/>
          <w:szCs w:val="26"/>
          <w:lang w:val="en-US" w:eastAsia="zh-CN"/>
        </w:rPr>
        <w:t>~</w:t>
      </w:r>
      <w:r>
        <w:rPr>
          <w:rFonts w:hint="default" w:ascii="Arial" w:hAnsi="Arial" w:cs="Arial"/>
          <w:b w:val="0"/>
          <w:bCs/>
          <w:color w:val="auto"/>
          <w:sz w:val="26"/>
          <w:szCs w:val="26"/>
        </w:rPr>
        <w:t>硬塑状，厚0.5</w:t>
      </w:r>
      <w:r>
        <w:rPr>
          <w:rFonts w:hint="eastAsia" w:ascii="Arial" w:hAnsi="Arial" w:cs="Arial"/>
          <w:b w:val="0"/>
          <w:bCs/>
          <w:color w:val="auto"/>
          <w:sz w:val="26"/>
          <w:szCs w:val="26"/>
          <w:lang w:val="en-US" w:eastAsia="zh-CN"/>
        </w:rPr>
        <w:t>~</w:t>
      </w:r>
      <w:r>
        <w:rPr>
          <w:rFonts w:hint="default" w:ascii="Arial" w:hAnsi="Arial" w:cs="Arial"/>
          <w:b w:val="0"/>
          <w:bCs/>
          <w:color w:val="auto"/>
          <w:sz w:val="26"/>
          <w:szCs w:val="26"/>
          <w:lang w:val="en-US" w:eastAsia="zh-CN"/>
        </w:rPr>
        <w:t>2.8</w:t>
      </w:r>
      <w:r>
        <w:rPr>
          <w:rFonts w:hint="default" w:ascii="Arial" w:hAnsi="Arial" w:cs="Arial"/>
          <w:b w:val="0"/>
          <w:bCs/>
          <w:color w:val="auto"/>
          <w:sz w:val="26"/>
          <w:szCs w:val="26"/>
        </w:rPr>
        <w:t>m，分布于两岸斜坡</w:t>
      </w:r>
      <w:r>
        <w:rPr>
          <w:rFonts w:hint="default" w:ascii="Arial" w:hAnsi="Arial" w:cs="Arial"/>
          <w:b w:val="0"/>
          <w:bCs/>
          <w:color w:val="auto"/>
          <w:sz w:val="26"/>
          <w:szCs w:val="26"/>
          <w:lang w:val="en-US" w:eastAsia="zh-CN"/>
        </w:rPr>
        <w:t>局部</w:t>
      </w:r>
      <w:r>
        <w:rPr>
          <w:rFonts w:hint="default" w:ascii="Arial" w:hAnsi="Arial" w:cs="Arial"/>
          <w:b w:val="0"/>
          <w:bCs/>
          <w:color w:val="auto"/>
          <w:sz w:val="26"/>
          <w:szCs w:val="26"/>
        </w:rPr>
        <w:t>。</w:t>
      </w:r>
    </w:p>
    <w:p w14:paraId="7FBA01EF">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val="en-US" w:eastAsia="zh-CN"/>
        </w:rPr>
      </w:pPr>
      <w:r>
        <w:rPr>
          <w:rFonts w:hint="eastAsia" w:ascii="Arial" w:hAnsi="Arial" w:cs="Arial"/>
          <w:b/>
          <w:bCs/>
          <w:color w:val="auto"/>
          <w:sz w:val="26"/>
          <w:szCs w:val="26"/>
          <w:lang w:eastAsia="zh-CN"/>
        </w:rPr>
        <w:t>（</w:t>
      </w:r>
      <w:r>
        <w:rPr>
          <w:rFonts w:hint="eastAsia" w:ascii="Arial" w:hAnsi="Arial" w:cs="Arial"/>
          <w:b/>
          <w:bCs/>
          <w:color w:val="auto"/>
          <w:sz w:val="26"/>
          <w:szCs w:val="26"/>
          <w:lang w:val="en-US" w:eastAsia="zh-CN"/>
        </w:rPr>
        <w:t>3）输水工程</w:t>
      </w:r>
    </w:p>
    <w:p w14:paraId="78ED8C1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auto"/>
          <w:sz w:val="26"/>
          <w:szCs w:val="26"/>
          <w:lang w:val="en-US" w:eastAsia="zh-CN"/>
        </w:rPr>
      </w:pPr>
      <w:r>
        <w:rPr>
          <w:rFonts w:hint="default" w:ascii="Arial" w:hAnsi="Arial" w:eastAsia="宋体" w:cs="Arial"/>
          <w:color w:val="auto"/>
          <w:sz w:val="26"/>
          <w:szCs w:val="26"/>
          <w:lang w:val="en-US" w:eastAsia="zh-CN"/>
        </w:rPr>
        <w:t>输水管线</w:t>
      </w:r>
      <w:r>
        <w:rPr>
          <w:rFonts w:hint="default" w:ascii="Arial" w:hAnsi="Arial" w:eastAsia="宋体" w:cs="Arial"/>
          <w:color w:val="auto"/>
          <w:sz w:val="26"/>
          <w:szCs w:val="26"/>
        </w:rPr>
        <w:t>沿线出露的地层</w:t>
      </w:r>
      <w:r>
        <w:rPr>
          <w:rFonts w:hint="default" w:ascii="Arial" w:hAnsi="Arial" w:eastAsia="宋体" w:cs="Arial"/>
          <w:color w:val="auto"/>
          <w:sz w:val="26"/>
          <w:szCs w:val="26"/>
          <w:lang w:val="en-US" w:eastAsia="zh-CN"/>
        </w:rPr>
        <w:t>为</w:t>
      </w:r>
      <w:r>
        <w:rPr>
          <w:rFonts w:hint="default" w:ascii="Arial" w:hAnsi="Arial" w:eastAsia="宋体" w:cs="Arial"/>
          <w:color w:val="auto"/>
          <w:sz w:val="26"/>
          <w:szCs w:val="26"/>
        </w:rPr>
        <w:t>侏罗系中统上沙溪庙组（J</w:t>
      </w:r>
      <w:r>
        <w:rPr>
          <w:rFonts w:hint="default" w:ascii="Arial" w:hAnsi="Arial" w:eastAsia="宋体" w:cs="Arial"/>
          <w:color w:val="auto"/>
          <w:sz w:val="26"/>
          <w:szCs w:val="26"/>
          <w:vertAlign w:val="subscript"/>
        </w:rPr>
        <w:t>2</w:t>
      </w:r>
      <w:r>
        <w:rPr>
          <w:rFonts w:hint="default" w:ascii="Arial" w:hAnsi="Arial" w:eastAsia="宋体" w:cs="Arial"/>
          <w:color w:val="auto"/>
          <w:sz w:val="26"/>
          <w:szCs w:val="26"/>
        </w:rPr>
        <w:t>s）地层，岩性主要为砂岩、泥岩</w:t>
      </w:r>
      <w:r>
        <w:rPr>
          <w:rFonts w:hint="eastAsia" w:ascii="Arial" w:hAnsi="Arial" w:eastAsia="宋体" w:cs="Arial"/>
          <w:color w:val="auto"/>
          <w:sz w:val="26"/>
          <w:szCs w:val="26"/>
          <w:lang w:val="en-US" w:eastAsia="zh-CN"/>
        </w:rPr>
        <w:t>。</w:t>
      </w:r>
    </w:p>
    <w:p w14:paraId="1136BE49">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4.1.5气候与气象</w:t>
      </w:r>
    </w:p>
    <w:p w14:paraId="267326F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流域属亚热带湿润季风气候区，多年平均降水量1053.3mm，多年平均气温18.2℃，极端最高气温43.5℃，极端最低气温-2.5℃，多年平均年蒸发量为1058.6mm，多年平均风速1.0m/s，多年最大平均风速为17.0m/s。多年平均日照时数1333h；多年平均相对湿度81%；多年平均雾日数96d，雷暴日数51d。</w:t>
      </w:r>
    </w:p>
    <w:p w14:paraId="682D8EC7">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cs="Arial"/>
          <w:b/>
          <w:bCs w:val="0"/>
          <w:sz w:val="26"/>
          <w:szCs w:val="26"/>
          <w:lang w:val="en-US" w:eastAsia="zh-CN"/>
        </w:rPr>
      </w:pPr>
      <w:r>
        <w:rPr>
          <w:rFonts w:hint="eastAsia" w:ascii="Arial" w:hAnsi="Arial" w:eastAsia="宋体" w:cs="Arial"/>
          <w:b/>
          <w:bCs w:val="0"/>
          <w:sz w:val="26"/>
          <w:szCs w:val="26"/>
          <w:lang w:val="en-US" w:eastAsia="zh-CN"/>
        </w:rPr>
        <w:t>4.1.6</w:t>
      </w:r>
      <w:r>
        <w:rPr>
          <w:rFonts w:hint="eastAsia" w:ascii="Arial" w:hAnsi="Arial" w:cs="Arial"/>
          <w:b/>
          <w:bCs w:val="0"/>
          <w:sz w:val="26"/>
          <w:szCs w:val="26"/>
          <w:lang w:val="en-US" w:eastAsia="zh-CN"/>
        </w:rPr>
        <w:t>水文地质</w:t>
      </w:r>
    </w:p>
    <w:p w14:paraId="2FC9437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工程区内地下水划分为四大类，即碳酸盐岩岩溶水、碎屑岩裂隙水、红层裂隙水及松散层孔隙水。</w:t>
      </w:r>
    </w:p>
    <w:p w14:paraId="0FD357B6">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（1）碳酸盐岩岩溶水</w:t>
      </w:r>
    </w:p>
    <w:p w14:paraId="2D80188D">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岩溶水为区内富水性最好的一类地下水。地下水赋存于三叠系碳酸盐岩地层中。岩溶发育，地下水径流模数1～3L/s·km</w:t>
      </w:r>
      <w:r>
        <w:rPr>
          <w:rFonts w:hint="default" w:ascii="Arial" w:hAnsi="Arial" w:cs="Arial"/>
          <w:color w:val="auto"/>
          <w:sz w:val="26"/>
          <w:szCs w:val="26"/>
          <w:vertAlign w:val="superscript"/>
        </w:rPr>
        <w:t>2</w:t>
      </w:r>
      <w:r>
        <w:rPr>
          <w:rFonts w:hint="default" w:ascii="Arial" w:hAnsi="Arial" w:cs="Arial"/>
          <w:color w:val="auto"/>
          <w:sz w:val="26"/>
          <w:szCs w:val="26"/>
        </w:rPr>
        <w:t>，往往有大泉出露，多为下降泉。区内岩溶水主要接受大气降水补给，储存于溶洞、暗河管道溶隙中，地下水一般顺构造线方向作纵向径流，主要在河流两岸及不同岩类接触带附近高程较低处以暗河、岩溶大泉的形式排泄，其循环强度自补给区向深切河谷急剧增大，排泄条件良好。</w:t>
      </w:r>
    </w:p>
    <w:p w14:paraId="2722C437">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（2）碎屑岩裂隙水</w:t>
      </w:r>
    </w:p>
    <w:p w14:paraId="6A5BBFA6">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该类地下水</w:t>
      </w:r>
      <w:r>
        <w:rPr>
          <w:rFonts w:hint="default" w:ascii="Arial" w:hAnsi="Arial" w:cs="Arial"/>
          <w:color w:val="auto"/>
          <w:sz w:val="26"/>
          <w:szCs w:val="26"/>
          <w:lang w:eastAsia="zh-CN"/>
        </w:rPr>
        <w:t>主要</w:t>
      </w:r>
      <w:r>
        <w:rPr>
          <w:rFonts w:hint="default" w:ascii="Arial" w:hAnsi="Arial" w:cs="Arial"/>
          <w:color w:val="auto"/>
          <w:sz w:val="26"/>
          <w:szCs w:val="26"/>
        </w:rPr>
        <w:t>赋存于砂岩裂隙中，顶底板均有页岩或煤层隔水层，形成多个无水力联系的层间承压含水层。含水层厚度300～500m，单孔涌水量100～500t/d。该类地下水主要在含水层露头区接受大气降水或地表水的补给，露头倾没线以下沿裂隙通道作纵向径流，主要通过横切沟谷排泄。</w:t>
      </w:r>
    </w:p>
    <w:p w14:paraId="60A08705">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（3）红层裂隙水</w:t>
      </w:r>
    </w:p>
    <w:p w14:paraId="69529CCD">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广泛分布于红层丘陵区和部分低山地带，地下水赋存于侏罗系珍珠冲组（J</w:t>
      </w:r>
      <w:r>
        <w:rPr>
          <w:rFonts w:hint="default" w:ascii="Arial" w:hAnsi="Arial" w:cs="Arial"/>
          <w:color w:val="auto"/>
          <w:sz w:val="26"/>
          <w:szCs w:val="26"/>
          <w:vertAlign w:val="subscript"/>
        </w:rPr>
        <w:t>1</w:t>
      </w:r>
      <w:r>
        <w:rPr>
          <w:rFonts w:hint="default" w:ascii="Arial" w:hAnsi="Arial" w:cs="Arial"/>
          <w:color w:val="auto"/>
          <w:sz w:val="26"/>
          <w:szCs w:val="26"/>
        </w:rPr>
        <w:t>z）、自流井组（J</w:t>
      </w:r>
      <w:r>
        <w:rPr>
          <w:rFonts w:hint="default" w:ascii="Arial" w:hAnsi="Arial" w:cs="Arial"/>
          <w:color w:val="auto"/>
          <w:sz w:val="26"/>
          <w:szCs w:val="26"/>
          <w:vertAlign w:val="subscript"/>
        </w:rPr>
        <w:t>1-2</w:t>
      </w:r>
      <w:r>
        <w:rPr>
          <w:rFonts w:hint="default" w:ascii="Arial" w:hAnsi="Arial" w:cs="Arial"/>
          <w:color w:val="auto"/>
          <w:sz w:val="26"/>
          <w:szCs w:val="26"/>
        </w:rPr>
        <w:t>z）、新田沟组（J</w:t>
      </w:r>
      <w:r>
        <w:rPr>
          <w:rFonts w:hint="default" w:ascii="Arial" w:hAnsi="Arial" w:cs="Arial"/>
          <w:color w:val="auto"/>
          <w:sz w:val="26"/>
          <w:szCs w:val="26"/>
          <w:vertAlign w:val="subscript"/>
        </w:rPr>
        <w:t>2</w:t>
      </w:r>
      <w:r>
        <w:rPr>
          <w:rFonts w:hint="default" w:ascii="Arial" w:hAnsi="Arial" w:cs="Arial"/>
          <w:color w:val="auto"/>
          <w:sz w:val="26"/>
          <w:szCs w:val="26"/>
        </w:rPr>
        <w:t>x）、下沙溪庙组（J</w:t>
      </w:r>
      <w:r>
        <w:rPr>
          <w:rFonts w:hint="default" w:ascii="Arial" w:hAnsi="Arial" w:cs="Arial"/>
          <w:color w:val="auto"/>
          <w:sz w:val="26"/>
          <w:szCs w:val="26"/>
          <w:vertAlign w:val="subscript"/>
        </w:rPr>
        <w:t>2</w:t>
      </w:r>
      <w:r>
        <w:rPr>
          <w:rFonts w:hint="default" w:ascii="Arial" w:hAnsi="Arial" w:cs="Arial"/>
          <w:color w:val="auto"/>
          <w:sz w:val="26"/>
          <w:szCs w:val="26"/>
        </w:rPr>
        <w:t>xs）、上沙溪庙组（J</w:t>
      </w:r>
      <w:r>
        <w:rPr>
          <w:rFonts w:hint="default" w:ascii="Arial" w:hAnsi="Arial" w:cs="Arial"/>
          <w:color w:val="auto"/>
          <w:sz w:val="26"/>
          <w:szCs w:val="26"/>
          <w:vertAlign w:val="subscript"/>
        </w:rPr>
        <w:t>2</w:t>
      </w:r>
      <w:r>
        <w:rPr>
          <w:rFonts w:hint="default" w:ascii="Arial" w:hAnsi="Arial" w:cs="Arial"/>
          <w:color w:val="auto"/>
          <w:sz w:val="26"/>
          <w:szCs w:val="26"/>
        </w:rPr>
        <w:t>s）和遂宁组（J</w:t>
      </w:r>
      <w:r>
        <w:rPr>
          <w:rFonts w:hint="default" w:ascii="Arial" w:hAnsi="Arial" w:cs="Arial"/>
          <w:color w:val="auto"/>
          <w:sz w:val="26"/>
          <w:szCs w:val="26"/>
          <w:vertAlign w:val="subscript"/>
        </w:rPr>
        <w:t>3</w:t>
      </w:r>
      <w:r>
        <w:rPr>
          <w:rFonts w:hint="default" w:ascii="Arial" w:hAnsi="Arial" w:cs="Arial"/>
          <w:color w:val="auto"/>
          <w:sz w:val="26"/>
          <w:szCs w:val="26"/>
        </w:rPr>
        <w:t>s）、蓬莱镇组（J</w:t>
      </w:r>
      <w:r>
        <w:rPr>
          <w:rFonts w:hint="default" w:ascii="Arial" w:hAnsi="Arial" w:cs="Arial"/>
          <w:color w:val="auto"/>
          <w:sz w:val="26"/>
          <w:szCs w:val="26"/>
          <w:vertAlign w:val="subscript"/>
        </w:rPr>
        <w:t>3</w:t>
      </w:r>
      <w:r>
        <w:rPr>
          <w:rFonts w:hint="default" w:ascii="Arial" w:hAnsi="Arial" w:cs="Arial"/>
          <w:color w:val="auto"/>
          <w:sz w:val="26"/>
          <w:szCs w:val="26"/>
        </w:rPr>
        <w:t>p）砂泥岩风化带中。其特点是：富水程度差，但分布普遍。单孔涌水量小于100t/d，泉流量小于0.05L/s。区内各含水砂岩层均被透水微弱的泥岩所隔而自成系统，相互间很少有水力联系。砂岩含水层在露头区接受大气降水或地表水补给，随地形由高向低作纵向径流，多在河、溪、沟、谷切割含水层时以下降泉的形式排泄。</w:t>
      </w:r>
    </w:p>
    <w:p w14:paraId="4B6BEAF1">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（4）松散层孔隙水</w:t>
      </w:r>
    </w:p>
    <w:p w14:paraId="569AB1F5">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零星分布于河床及两岸残坡积、崩坡积覆盖层中，主要为冲积砂卵石、粘土夹块石，主要接受大气降水、河水补给，分布分散，工程意义不大。</w:t>
      </w:r>
    </w:p>
    <w:p w14:paraId="09A3DFE9">
      <w:pPr>
        <w:spacing w:line="440" w:lineRule="exact"/>
        <w:ind w:firstLine="480"/>
        <w:rPr>
          <w:rFonts w:hint="eastAsia" w:ascii="Arial" w:cs="Arial"/>
          <w:bCs/>
          <w:color w:val="auto"/>
          <w:sz w:val="26"/>
          <w:szCs w:val="26"/>
        </w:rPr>
      </w:pPr>
      <w:r>
        <w:rPr>
          <w:rFonts w:hint="eastAsia" w:ascii="Arial" w:hAnsi="Arial" w:cs="Arial"/>
          <w:bCs/>
          <w:color w:val="auto"/>
          <w:sz w:val="26"/>
          <w:szCs w:val="26"/>
        </w:rPr>
        <w:t>拟建项目所在地水文地质详见</w:t>
      </w:r>
      <w:r>
        <w:rPr>
          <w:rFonts w:hint="eastAsia" w:ascii="Arial" w:hAnsi="Arial" w:cs="Arial"/>
          <w:b/>
          <w:bCs/>
          <w:color w:val="auto"/>
          <w:sz w:val="26"/>
          <w:szCs w:val="26"/>
        </w:rPr>
        <w:t>附图8</w:t>
      </w:r>
      <w:r>
        <w:rPr>
          <w:rFonts w:hint="eastAsia" w:ascii="Arial" w:hAnsi="Arial" w:cs="Arial"/>
          <w:bCs/>
          <w:color w:val="auto"/>
          <w:sz w:val="26"/>
          <w:szCs w:val="26"/>
        </w:rPr>
        <w:t>所示。</w:t>
      </w:r>
    </w:p>
    <w:p w14:paraId="09CC973A">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cs="Arial"/>
          <w:b/>
          <w:bCs w:val="0"/>
          <w:sz w:val="26"/>
          <w:szCs w:val="26"/>
          <w:lang w:val="en-US" w:eastAsia="zh-CN"/>
        </w:rPr>
        <w:t>4.1.7</w:t>
      </w:r>
      <w:r>
        <w:rPr>
          <w:rFonts w:hint="eastAsia" w:ascii="Arial" w:hAnsi="Arial" w:eastAsia="宋体" w:cs="Arial"/>
          <w:b/>
          <w:bCs w:val="0"/>
          <w:sz w:val="26"/>
          <w:szCs w:val="26"/>
          <w:lang w:val="en-US" w:eastAsia="zh-CN"/>
        </w:rPr>
        <w:t>河流水系</w:t>
      </w:r>
    </w:p>
    <w:p w14:paraId="3FE3FAF0">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海螺沟水库工程位于</w:t>
      </w:r>
      <w:r>
        <w:rPr>
          <w:rFonts w:hint="eastAsia" w:ascii="Arial" w:hAnsi="Arial" w:cs="Arial"/>
          <w:color w:val="auto"/>
          <w:kern w:val="0"/>
          <w:sz w:val="26"/>
          <w:szCs w:val="26"/>
          <w:highlight w:val="none"/>
          <w:lang w:val="en-US" w:eastAsia="zh-CN"/>
        </w:rPr>
        <w:t>高洞桥河</w:t>
      </w:r>
      <w:r>
        <w:rPr>
          <w:rFonts w:hint="default" w:ascii="Arial" w:hAnsi="Arial" w:cs="Arial"/>
          <w:b w:val="0"/>
          <w:color w:val="auto"/>
          <w:kern w:val="2"/>
          <w:sz w:val="26"/>
          <w:szCs w:val="26"/>
          <w:lang w:val="en-US" w:eastAsia="zh-CN" w:bidi="ar-SA"/>
        </w:rPr>
        <w:t>支流海螺沟上，</w:t>
      </w:r>
      <w:r>
        <w:rPr>
          <w:rFonts w:hint="eastAsia" w:ascii="Arial" w:hAnsi="Arial" w:cs="Arial"/>
          <w:b w:val="0"/>
          <w:color w:val="auto"/>
          <w:kern w:val="2"/>
          <w:sz w:val="26"/>
          <w:szCs w:val="26"/>
          <w:lang w:val="en-US" w:eastAsia="zh-CN" w:bidi="ar-SA"/>
        </w:rPr>
        <w:t>高洞桥河系双龙河右岸一级支流，</w:t>
      </w:r>
      <w:r>
        <w:rPr>
          <w:rFonts w:hint="default" w:ascii="Arial" w:hAnsi="Arial" w:cs="Arial"/>
          <w:b w:val="0"/>
          <w:color w:val="auto"/>
          <w:kern w:val="2"/>
          <w:sz w:val="26"/>
          <w:szCs w:val="26"/>
          <w:lang w:val="en-US" w:eastAsia="zh-CN" w:bidi="ar-SA"/>
        </w:rPr>
        <w:t>双龙河系渠溪河左岸一级支流</w:t>
      </w:r>
      <w:r>
        <w:rPr>
          <w:rFonts w:hint="eastAsia" w:ascii="Arial" w:hAnsi="Arial" w:cs="Arial"/>
          <w:b w:val="0"/>
          <w:color w:val="auto"/>
          <w:kern w:val="2"/>
          <w:sz w:val="26"/>
          <w:szCs w:val="26"/>
          <w:lang w:val="en-US" w:eastAsia="zh-CN" w:bidi="ar-SA"/>
        </w:rPr>
        <w:t>。</w:t>
      </w:r>
    </w:p>
    <w:p w14:paraId="3D17FC96">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渠溪河为长江左岸一级小支流，发源于忠县马灌镇果园村2组大碑垭口，流经忠县拔山镇、永丰镇、白石镇、善广乡；丰都县青龙乡、董家镇、双龙镇、三元镇、仁沙镇、兴龙镇、社坛镇后于涪陵区珍溪镇渠溪村渠溪口汇入长江。渠系河干流全长109km，总落差334.8m，平均坡降3.06</w:t>
      </w:r>
      <w:r>
        <w:rPr>
          <w:rFonts w:hint="default" w:ascii="Arial" w:hAnsi="Arial"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，流域面积913km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w:t>
      </w:r>
    </w:p>
    <w:p w14:paraId="021AF0C6">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双龙河</w:t>
      </w:r>
      <w:r>
        <w:rPr>
          <w:rFonts w:hint="default" w:ascii="Arial" w:hAnsi="Arial" w:cs="Arial"/>
          <w:b w:val="0"/>
          <w:color w:val="auto"/>
          <w:kern w:val="2"/>
          <w:sz w:val="26"/>
          <w:szCs w:val="26"/>
          <w:lang w:val="en-US" w:eastAsia="zh-CN" w:bidi="ar-SA"/>
        </w:rPr>
        <w:t>系渠溪河左岸一级支流，发源于丰都县青龙乡双河村瓜儿湾，流经山河寨、大河坝、回龙场、双龙场镇、瓦屋咀，于丰都县双龙镇关都坝村李家大湾汇入渠溪河</w:t>
      </w:r>
      <w:r>
        <w:rPr>
          <w:rFonts w:hint="eastAsia" w:ascii="Arial" w:hAnsi="Arial" w:cs="Arial"/>
          <w:b w:val="0"/>
          <w:color w:val="auto"/>
          <w:kern w:val="2"/>
          <w:sz w:val="26"/>
          <w:szCs w:val="26"/>
          <w:lang w:val="en-US" w:eastAsia="zh-CN" w:bidi="ar-SA"/>
        </w:rPr>
        <w:t>，</w:t>
      </w:r>
      <w:r>
        <w:rPr>
          <w:rFonts w:hint="default" w:ascii="Arial" w:hAnsi="Arial" w:cs="Arial"/>
          <w:b w:val="0"/>
          <w:color w:val="auto"/>
          <w:kern w:val="2"/>
          <w:sz w:val="26"/>
          <w:szCs w:val="26"/>
          <w:lang w:val="en-US" w:eastAsia="zh-CN" w:bidi="ar-SA"/>
        </w:rPr>
        <w:t>全流域集雨面积72.3km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，河道全长17km。</w:t>
      </w:r>
    </w:p>
    <w:p w14:paraId="0A039EE7">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高洞桥河系双龙河右岸一级支流，发源于青天坡一带，流经河坝、梅子溪、龙井坡、高洞桥、响水氹、雅雀湾于双龙镇双龙场处汇入双龙河。高洞桥河全流域面积26.55km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，河道全长13.46km，河道平均比降27.07‰。</w:t>
      </w:r>
    </w:p>
    <w:p w14:paraId="1A887712">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海螺沟系双龙河右岸支流高洞桥河左岸一级支流，发源于双龙镇小垭口，流经庄子山、庙湾、马槽子，于龙家院子处汇入</w:t>
      </w:r>
      <w:r>
        <w:rPr>
          <w:rFonts w:hint="eastAsia" w:ascii="Arial" w:hAnsi="Arial" w:cs="Arial"/>
          <w:b w:val="0"/>
          <w:color w:val="auto"/>
          <w:kern w:val="2"/>
          <w:sz w:val="26"/>
          <w:szCs w:val="26"/>
          <w:lang w:val="en-US" w:eastAsia="zh-CN" w:bidi="ar-SA"/>
        </w:rPr>
        <w:t>双龙河</w:t>
      </w:r>
      <w:r>
        <w:rPr>
          <w:rFonts w:hint="default" w:ascii="Arial" w:hAnsi="Arial" w:cs="Arial"/>
          <w:b w:val="0"/>
          <w:color w:val="auto"/>
          <w:kern w:val="2"/>
          <w:sz w:val="26"/>
          <w:szCs w:val="26"/>
          <w:lang w:val="en-US" w:eastAsia="zh-CN" w:bidi="ar-SA"/>
        </w:rPr>
        <w:t>。海螺沟河道全长3.6km，全流域集雨面积3.48km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w:t>
      </w:r>
    </w:p>
    <w:p w14:paraId="4D9563B9">
      <w:pPr>
        <w:spacing w:line="440" w:lineRule="exact"/>
        <w:ind w:firstLine="520" w:firstLineChars="200"/>
        <w:rPr>
          <w:rFonts w:hint="eastAsia"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海螺沟水库坝址位于海螺沟中游，下坝址</w:t>
      </w:r>
      <w:r>
        <w:rPr>
          <w:rFonts w:hint="eastAsia" w:ascii="Arial" w:hAnsi="Arial" w:cs="Arial"/>
          <w:b w:val="0"/>
          <w:color w:val="auto"/>
          <w:kern w:val="2"/>
          <w:sz w:val="26"/>
          <w:szCs w:val="26"/>
          <w:lang w:val="en-US" w:eastAsia="zh-CN" w:bidi="ar-SA"/>
        </w:rPr>
        <w:t>处</w:t>
      </w:r>
      <w:r>
        <w:rPr>
          <w:rFonts w:hint="default" w:ascii="Arial" w:hAnsi="Arial" w:cs="Arial"/>
          <w:b w:val="0"/>
          <w:color w:val="auto"/>
          <w:kern w:val="2"/>
          <w:sz w:val="26"/>
          <w:szCs w:val="26"/>
          <w:lang w:val="en-US" w:eastAsia="zh-CN" w:bidi="ar-SA"/>
        </w:rPr>
        <w:t>集雨面积2.</w:t>
      </w:r>
      <w:r>
        <w:rPr>
          <w:rFonts w:hint="eastAsia" w:ascii="Arial" w:hAnsi="Arial" w:cs="Arial"/>
          <w:b w:val="0"/>
          <w:color w:val="auto"/>
          <w:kern w:val="2"/>
          <w:sz w:val="26"/>
          <w:szCs w:val="26"/>
          <w:lang w:val="en-US" w:eastAsia="zh-CN" w:bidi="ar-SA"/>
        </w:rPr>
        <w:t>04</w:t>
      </w:r>
      <w:r>
        <w:rPr>
          <w:rFonts w:hint="default" w:ascii="Arial" w:hAnsi="Arial" w:cs="Arial"/>
          <w:b w:val="0"/>
          <w:color w:val="auto"/>
          <w:kern w:val="2"/>
          <w:sz w:val="26"/>
          <w:szCs w:val="26"/>
          <w:lang w:val="en-US" w:eastAsia="zh-CN" w:bidi="ar-SA"/>
        </w:rPr>
        <w:t>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，河道长河道长</w:t>
      </w:r>
      <w:r>
        <w:rPr>
          <w:rFonts w:hint="eastAsia" w:ascii="Arial" w:hAnsi="Arial" w:cs="Arial"/>
          <w:b w:val="0"/>
          <w:color w:val="auto"/>
          <w:kern w:val="2"/>
          <w:sz w:val="26"/>
          <w:szCs w:val="26"/>
          <w:lang w:val="en-US" w:eastAsia="zh-CN" w:bidi="ar-SA"/>
        </w:rPr>
        <w:t>2.17</w:t>
      </w:r>
      <w:r>
        <w:rPr>
          <w:rFonts w:hint="default" w:ascii="Arial" w:hAnsi="Arial" w:cs="Arial"/>
          <w:b w:val="0"/>
          <w:color w:val="auto"/>
          <w:kern w:val="2"/>
          <w:sz w:val="26"/>
          <w:szCs w:val="26"/>
          <w:lang w:val="en-US" w:eastAsia="zh-CN" w:bidi="ar-SA"/>
        </w:rPr>
        <w:t>km，河道平均比降</w:t>
      </w:r>
      <w:r>
        <w:rPr>
          <w:rFonts w:hint="eastAsia" w:ascii="Arial" w:hAnsi="Arial" w:cs="Arial"/>
          <w:b w:val="0"/>
          <w:color w:val="auto"/>
          <w:kern w:val="2"/>
          <w:sz w:val="26"/>
          <w:szCs w:val="26"/>
          <w:lang w:val="en-US" w:eastAsia="zh-CN" w:bidi="ar-SA"/>
        </w:rPr>
        <w:t>98.64</w:t>
      </w:r>
      <w:r>
        <w:rPr>
          <w:rFonts w:hint="default" w:ascii="Arial" w:hAnsi="Arial"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w:t>
      </w:r>
    </w:p>
    <w:p w14:paraId="462F7A9F">
      <w:pPr>
        <w:spacing w:line="440" w:lineRule="exact"/>
        <w:ind w:firstLine="480"/>
        <w:rPr>
          <w:rFonts w:hint="eastAsia" w:ascii="Arial" w:hAnsi="Arial" w:cs="Arial"/>
          <w:bCs/>
          <w:color w:val="auto"/>
          <w:sz w:val="26"/>
          <w:szCs w:val="26"/>
        </w:rPr>
      </w:pPr>
      <w:r>
        <w:rPr>
          <w:rFonts w:hint="eastAsia" w:ascii="Arial" w:hAnsi="Arial" w:cs="Arial"/>
          <w:bCs/>
          <w:color w:val="auto"/>
          <w:sz w:val="26"/>
          <w:szCs w:val="26"/>
        </w:rPr>
        <w:t>拟建项目所在地地表水系详见</w:t>
      </w:r>
      <w:r>
        <w:rPr>
          <w:rFonts w:hint="eastAsia" w:ascii="Arial" w:hAnsi="Arial" w:cs="Arial"/>
          <w:b/>
          <w:bCs/>
          <w:color w:val="auto"/>
          <w:sz w:val="26"/>
          <w:szCs w:val="26"/>
        </w:rPr>
        <w:t>附图7</w:t>
      </w:r>
      <w:r>
        <w:rPr>
          <w:rFonts w:hint="eastAsia" w:ascii="Arial" w:hAnsi="Arial" w:cs="Arial"/>
          <w:bCs/>
          <w:color w:val="auto"/>
          <w:sz w:val="26"/>
          <w:szCs w:val="26"/>
        </w:rPr>
        <w:t>所示。</w:t>
      </w:r>
    </w:p>
    <w:p w14:paraId="3AF526AC">
      <w:pPr>
        <w:spacing w:line="440" w:lineRule="exact"/>
        <w:ind w:firstLine="480"/>
        <w:rPr>
          <w:rFonts w:hint="eastAsia" w:ascii="Arial" w:hAnsi="Arial" w:cs="Arial"/>
          <w:b/>
          <w:bCs w:val="0"/>
          <w:sz w:val="26"/>
          <w:szCs w:val="26"/>
          <w:lang w:val="en-US" w:eastAsia="zh-CN"/>
        </w:rPr>
      </w:pPr>
      <w:r>
        <w:rPr>
          <w:rFonts w:hint="eastAsia" w:ascii="Arial" w:hAnsi="Arial" w:cs="Arial"/>
          <w:b/>
          <w:bCs w:val="0"/>
          <w:sz w:val="26"/>
          <w:szCs w:val="26"/>
          <w:lang w:val="en-US" w:eastAsia="zh-CN"/>
        </w:rPr>
        <w:t>4.1.8土壤</w:t>
      </w:r>
    </w:p>
    <w:p w14:paraId="2C87908B">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丰都县土壤母质主要由4种类型构成：①第四系全新统、更新统河流冲积母质；②侏罗系、三叠系紫色沙泥、页土坡积、残积母质；③三叠系、二叠系、志留系、奥陶系、寒式系灰岩、白云岩风化物；④三叠系须家河组灰色长石石英砂岩，及其他地层的非紫色岩石风化物。全县农业土壤分为潮土、紫色土、石灰</w:t>
      </w:r>
      <w:r>
        <w:rPr>
          <w:rFonts w:hint="eastAsia" w:ascii="宋体" w:hAnsi="宋体" w:eastAsia="宋体" w:cs="宋体"/>
          <w:b w:val="0"/>
          <w:color w:val="auto"/>
          <w:kern w:val="2"/>
          <w:sz w:val="26"/>
          <w:szCs w:val="26"/>
          <w:lang w:val="en-US" w:eastAsia="zh-CN" w:bidi="ar-SA"/>
        </w:rPr>
        <w:t>(岩)</w:t>
      </w:r>
      <w:r>
        <w:rPr>
          <w:rFonts w:hint="eastAsia" w:ascii="Arial" w:hAnsi="Arial" w:eastAsia="宋体" w:cs="Arial"/>
          <w:b w:val="0"/>
          <w:color w:val="auto"/>
          <w:kern w:val="2"/>
          <w:sz w:val="26"/>
          <w:szCs w:val="26"/>
          <w:lang w:val="en-US" w:eastAsia="zh-CN" w:bidi="ar-SA"/>
        </w:rPr>
        <w:t>土、黄壤、水稻土5个土类，6个亚类，16个土属，75个土种，152个变种。</w:t>
      </w:r>
    </w:p>
    <w:p w14:paraId="4D28FBC0">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eastAsia="zh-CN"/>
        </w:rPr>
      </w:pPr>
      <w:bookmarkStart w:id="90" w:name="_Toc26620"/>
      <w:r>
        <w:rPr>
          <w:rFonts w:hint="default" w:ascii="Arial" w:hAnsi="Arial" w:cs="Arial"/>
          <w:sz w:val="26"/>
          <w:szCs w:val="26"/>
          <w:highlight w:val="none"/>
        </w:rPr>
        <w:t>4.2</w:t>
      </w:r>
      <w:r>
        <w:rPr>
          <w:rFonts w:hint="eastAsia" w:ascii="Arial" w:hAnsi="Arial" w:cs="Arial"/>
          <w:sz w:val="26"/>
          <w:szCs w:val="26"/>
          <w:highlight w:val="none"/>
          <w:lang w:eastAsia="zh-CN"/>
        </w:rPr>
        <w:t>生态</w:t>
      </w:r>
      <w:bookmarkEnd w:id="90"/>
      <w:r>
        <w:rPr>
          <w:rFonts w:hint="eastAsia" w:ascii="Arial" w:hAnsi="Arial" w:cs="Arial"/>
          <w:sz w:val="26"/>
          <w:szCs w:val="26"/>
          <w:highlight w:val="none"/>
          <w:lang w:eastAsia="zh-CN"/>
        </w:rPr>
        <w:t>环境现状</w:t>
      </w:r>
    </w:p>
    <w:p w14:paraId="2F9D6BAD">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详见《丰都县海螺沟水库工程生态现状调查与生态影响评价报告》。</w:t>
      </w:r>
    </w:p>
    <w:p w14:paraId="2138FA8F">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sz w:val="26"/>
          <w:szCs w:val="26"/>
        </w:rPr>
      </w:pPr>
      <w:bookmarkStart w:id="91" w:name="_Toc30748"/>
      <w:r>
        <w:rPr>
          <w:rFonts w:hint="default" w:ascii="Arial" w:hAnsi="Arial" w:cs="Arial"/>
          <w:sz w:val="26"/>
          <w:szCs w:val="26"/>
        </w:rPr>
        <w:t>4.</w:t>
      </w:r>
      <w:r>
        <w:rPr>
          <w:rFonts w:hint="eastAsia" w:ascii="Arial" w:hAnsi="Arial" w:cs="Arial"/>
          <w:sz w:val="26"/>
          <w:szCs w:val="26"/>
          <w:lang w:val="en-US" w:eastAsia="zh-CN"/>
        </w:rPr>
        <w:t>3</w:t>
      </w:r>
      <w:r>
        <w:rPr>
          <w:rFonts w:hint="default" w:ascii="Arial" w:hAnsi="Arial" w:cs="Arial"/>
          <w:sz w:val="26"/>
          <w:szCs w:val="26"/>
        </w:rPr>
        <w:t>环境质量现状调查与评价</w:t>
      </w:r>
      <w:bookmarkEnd w:id="91"/>
    </w:p>
    <w:p w14:paraId="312DE28C">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bookmarkStart w:id="92" w:name="_Toc36041081"/>
      <w:bookmarkStart w:id="93" w:name="_Toc34987880"/>
      <w:bookmarkStart w:id="94" w:name="_Toc34987879"/>
      <w:bookmarkStart w:id="95" w:name="_Toc36041080"/>
      <w:r>
        <w:rPr>
          <w:rFonts w:hint="default" w:ascii="Arial" w:hAnsi="Arial" w:eastAsia="宋体" w:cs="Arial"/>
          <w:b/>
          <w:bCs w:val="0"/>
          <w:sz w:val="26"/>
          <w:szCs w:val="26"/>
          <w:lang w:val="en-US" w:eastAsia="zh-CN"/>
        </w:rPr>
        <w:t>4.</w:t>
      </w:r>
      <w:r>
        <w:rPr>
          <w:rFonts w:hint="eastAsia" w:ascii="Arial" w:hAnsi="Arial" w:eastAsia="宋体" w:cs="Arial"/>
          <w:b/>
          <w:bCs w:val="0"/>
          <w:sz w:val="26"/>
          <w:szCs w:val="26"/>
          <w:lang w:val="en-US" w:eastAsia="zh-CN"/>
        </w:rPr>
        <w:t>3.1环境空气质量现状与评价</w:t>
      </w:r>
      <w:bookmarkEnd w:id="92"/>
      <w:bookmarkEnd w:id="93"/>
    </w:p>
    <w:p w14:paraId="1BFC82B9">
      <w:pPr>
        <w:keepNext w:val="0"/>
        <w:keepLines w:val="0"/>
        <w:pageBreakBefore w:val="0"/>
        <w:widowControl w:val="0"/>
        <w:kinsoku/>
        <w:wordWrap/>
        <w:overflowPunct/>
        <w:topLinePunct w:val="0"/>
        <w:autoSpaceDE/>
        <w:autoSpaceDN/>
        <w:bidi w:val="0"/>
        <w:spacing w:line="460" w:lineRule="exact"/>
        <w:ind w:firstLine="48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根据重庆市生态环境局公布的《202</w:t>
      </w:r>
      <w:r>
        <w:rPr>
          <w:rFonts w:hint="eastAsia" w:ascii="Arial" w:hAnsi="Arial" w:cs="Arial"/>
          <w:b w:val="0"/>
          <w:color w:val="auto"/>
          <w:kern w:val="2"/>
          <w:sz w:val="26"/>
          <w:szCs w:val="26"/>
          <w:lang w:val="en-US" w:eastAsia="zh-CN" w:bidi="ar-SA"/>
        </w:rPr>
        <w:t>3</w:t>
      </w:r>
      <w:r>
        <w:rPr>
          <w:rFonts w:hint="eastAsia" w:ascii="Arial" w:hAnsi="Arial" w:eastAsia="宋体" w:cs="Arial"/>
          <w:b w:val="0"/>
          <w:color w:val="auto"/>
          <w:kern w:val="2"/>
          <w:sz w:val="26"/>
          <w:szCs w:val="26"/>
          <w:lang w:val="en-US" w:eastAsia="zh-CN" w:bidi="ar-SA"/>
        </w:rPr>
        <w:t>年重庆市生态环境状况公报》，拟建项目所在丰都县的环境空气质量状况如下表4.3-1所示。</w:t>
      </w:r>
    </w:p>
    <w:p w14:paraId="78699FF5">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eastAsia="宋体" w:cs="Arial"/>
          <w:b/>
          <w:sz w:val="26"/>
          <w:szCs w:val="26"/>
        </w:rPr>
      </w:pPr>
      <w:r>
        <w:rPr>
          <w:rFonts w:hint="eastAsia" w:ascii="Arial" w:hAnsi="Arial" w:eastAsia="宋体" w:cs="Arial"/>
          <w:b/>
          <w:sz w:val="26"/>
          <w:szCs w:val="26"/>
        </w:rPr>
        <w:t>表4.</w:t>
      </w:r>
      <w:r>
        <w:rPr>
          <w:rFonts w:hint="eastAsia" w:ascii="Arial" w:hAnsi="Arial" w:eastAsia="宋体" w:cs="Arial"/>
          <w:b/>
          <w:sz w:val="26"/>
          <w:szCs w:val="26"/>
          <w:lang w:val="en-US" w:eastAsia="zh-CN"/>
        </w:rPr>
        <w:t>3-1</w:t>
      </w:r>
      <w:r>
        <w:rPr>
          <w:rFonts w:hint="eastAsia" w:ascii="Arial" w:hAnsi="Arial" w:eastAsia="宋体" w:cs="Arial"/>
          <w:b/>
          <w:sz w:val="26"/>
          <w:szCs w:val="26"/>
        </w:rPr>
        <w:t xml:space="preserve">  </w:t>
      </w:r>
      <w:r>
        <w:rPr>
          <w:rFonts w:hint="eastAsia" w:ascii="Arial" w:hAnsi="Arial" w:eastAsia="宋体" w:cs="Arial"/>
          <w:b/>
          <w:sz w:val="26"/>
          <w:szCs w:val="26"/>
          <w:lang w:eastAsia="zh-CN"/>
        </w:rPr>
        <w:t>丰都县区域环境空气质量状况统计表</w:t>
      </w:r>
      <w:r>
        <w:rPr>
          <w:rFonts w:hint="eastAsia" w:ascii="Arial" w:hAnsi="Arial" w:eastAsia="宋体" w:cs="Arial"/>
          <w:b/>
          <w:sz w:val="26"/>
          <w:szCs w:val="26"/>
        </w:rPr>
        <w:t xml:space="preserve">    单位：</w:t>
      </w:r>
      <w:r>
        <w:rPr>
          <w:rFonts w:hint="eastAsia" w:ascii="Arial" w:hAnsi="Arial" w:eastAsia="宋体" w:cs="Arial"/>
          <w:b/>
          <w:sz w:val="26"/>
          <w:szCs w:val="26"/>
          <w:lang w:val="en-US" w:eastAsia="zh-CN"/>
        </w:rPr>
        <w:t>u</w:t>
      </w:r>
      <w:r>
        <w:rPr>
          <w:rFonts w:hint="eastAsia" w:ascii="Arial" w:hAnsi="Arial" w:eastAsia="宋体" w:cs="Arial"/>
          <w:b/>
          <w:sz w:val="26"/>
          <w:szCs w:val="26"/>
        </w:rPr>
        <w:t>g/m</w:t>
      </w:r>
      <w:r>
        <w:rPr>
          <w:rFonts w:hint="eastAsia" w:ascii="Arial" w:hAnsi="Arial" w:eastAsia="宋体" w:cs="Arial"/>
          <w:b/>
          <w:sz w:val="26"/>
          <w:szCs w:val="26"/>
          <w:vertAlign w:val="superscript"/>
        </w:rPr>
        <w:t>3</w:t>
      </w:r>
    </w:p>
    <w:tbl>
      <w:tblPr>
        <w:tblStyle w:val="77"/>
        <w:tblW w:w="4611" w:type="pct"/>
        <w:jc w:val="center"/>
        <w:tblLayout w:type="autofit"/>
        <w:tblCellMar>
          <w:top w:w="0" w:type="dxa"/>
          <w:left w:w="108" w:type="dxa"/>
          <w:bottom w:w="0" w:type="dxa"/>
          <w:right w:w="108" w:type="dxa"/>
        </w:tblCellMar>
      </w:tblPr>
      <w:tblGrid>
        <w:gridCol w:w="711"/>
        <w:gridCol w:w="895"/>
        <w:gridCol w:w="1285"/>
        <w:gridCol w:w="913"/>
        <w:gridCol w:w="797"/>
        <w:gridCol w:w="1055"/>
        <w:gridCol w:w="961"/>
        <w:gridCol w:w="864"/>
        <w:gridCol w:w="869"/>
      </w:tblGrid>
      <w:tr w14:paraId="72D6FC7D">
        <w:tblPrEx>
          <w:tblCellMar>
            <w:top w:w="0" w:type="dxa"/>
            <w:left w:w="108" w:type="dxa"/>
            <w:bottom w:w="0" w:type="dxa"/>
            <w:right w:w="108" w:type="dxa"/>
          </w:tblCellMar>
        </w:tblPrEx>
        <w:trPr>
          <w:trHeight w:val="315" w:hRule="atLeast"/>
          <w:jc w:val="center"/>
        </w:trPr>
        <w:tc>
          <w:tcPr>
            <w:tcW w:w="429" w:type="pct"/>
            <w:vMerge w:val="restart"/>
            <w:tcBorders>
              <w:top w:val="single" w:color="auto" w:sz="12" w:space="0"/>
              <w:left w:val="single" w:color="auto" w:sz="12" w:space="0"/>
              <w:bottom w:val="single" w:color="auto" w:sz="4" w:space="0"/>
              <w:right w:val="single" w:color="auto" w:sz="4" w:space="0"/>
            </w:tcBorders>
            <w:vAlign w:val="center"/>
          </w:tcPr>
          <w:p w14:paraId="5FA2B4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区域</w:t>
            </w:r>
          </w:p>
        </w:tc>
        <w:tc>
          <w:tcPr>
            <w:tcW w:w="539" w:type="pct"/>
            <w:vMerge w:val="restart"/>
            <w:tcBorders>
              <w:top w:val="single" w:color="auto" w:sz="12" w:space="0"/>
              <w:left w:val="single" w:color="auto" w:sz="4" w:space="0"/>
              <w:bottom w:val="single" w:color="auto" w:sz="4" w:space="0"/>
              <w:right w:val="single" w:color="auto" w:sz="4" w:space="0"/>
            </w:tcBorders>
            <w:vAlign w:val="center"/>
          </w:tcPr>
          <w:p w14:paraId="5C41E32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污染物</w:t>
            </w:r>
          </w:p>
        </w:tc>
        <w:tc>
          <w:tcPr>
            <w:tcW w:w="743" w:type="pct"/>
            <w:vMerge w:val="restart"/>
            <w:tcBorders>
              <w:top w:val="single" w:color="auto" w:sz="12" w:space="0"/>
              <w:left w:val="single" w:color="auto" w:sz="4" w:space="0"/>
              <w:bottom w:val="single" w:color="auto" w:sz="4" w:space="0"/>
              <w:right w:val="single" w:color="auto" w:sz="4" w:space="0"/>
            </w:tcBorders>
            <w:vAlign w:val="center"/>
          </w:tcPr>
          <w:p w14:paraId="18D2AE6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评价指标</w:t>
            </w:r>
          </w:p>
        </w:tc>
        <w:tc>
          <w:tcPr>
            <w:tcW w:w="549" w:type="pct"/>
            <w:vMerge w:val="restart"/>
            <w:tcBorders>
              <w:top w:val="single" w:color="auto" w:sz="12" w:space="0"/>
              <w:left w:val="single" w:color="auto" w:sz="4" w:space="0"/>
              <w:bottom w:val="single" w:color="auto" w:sz="4" w:space="0"/>
              <w:right w:val="single" w:color="auto" w:sz="4" w:space="0"/>
            </w:tcBorders>
            <w:vAlign w:val="center"/>
          </w:tcPr>
          <w:p w14:paraId="090FA71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现状</w:t>
            </w:r>
          </w:p>
          <w:p w14:paraId="237CF3F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浓度</w:t>
            </w:r>
          </w:p>
        </w:tc>
        <w:tc>
          <w:tcPr>
            <w:tcW w:w="480" w:type="pct"/>
            <w:vMerge w:val="restart"/>
            <w:tcBorders>
              <w:top w:val="single" w:color="auto" w:sz="12" w:space="0"/>
              <w:left w:val="single" w:color="auto" w:sz="4" w:space="0"/>
              <w:bottom w:val="single" w:color="auto" w:sz="4" w:space="0"/>
              <w:right w:val="single" w:color="auto" w:sz="4" w:space="0"/>
            </w:tcBorders>
            <w:vAlign w:val="center"/>
          </w:tcPr>
          <w:p w14:paraId="55E1141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标准值</w:t>
            </w:r>
          </w:p>
        </w:tc>
        <w:tc>
          <w:tcPr>
            <w:tcW w:w="634" w:type="pct"/>
            <w:vMerge w:val="restart"/>
            <w:tcBorders>
              <w:top w:val="single" w:color="auto" w:sz="12" w:space="0"/>
              <w:left w:val="single" w:color="auto" w:sz="4" w:space="0"/>
              <w:bottom w:val="single" w:color="auto" w:sz="4" w:space="0"/>
              <w:right w:val="single" w:color="auto" w:sz="4" w:space="0"/>
            </w:tcBorders>
            <w:vAlign w:val="center"/>
          </w:tcPr>
          <w:p w14:paraId="6EB2ADF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bCs/>
                <w:kern w:val="0"/>
                <w:sz w:val="22"/>
                <w:szCs w:val="22"/>
                <w:lang w:val="en-US" w:eastAsia="zh-CN"/>
              </w:rPr>
            </w:pPr>
            <w:r>
              <w:rPr>
                <w:rFonts w:hint="default" w:ascii="Arial" w:hAnsi="Arial" w:cs="Arial"/>
                <w:bCs/>
                <w:kern w:val="0"/>
                <w:sz w:val="22"/>
                <w:szCs w:val="22"/>
              </w:rPr>
              <w:t>占标率</w:t>
            </w:r>
            <w:r>
              <w:rPr>
                <w:rFonts w:hint="eastAsia" w:ascii="Arial" w:hAnsi="Arial" w:cs="Arial"/>
                <w:bCs/>
                <w:kern w:val="0"/>
                <w:sz w:val="22"/>
                <w:szCs w:val="22"/>
                <w:lang w:val="en-US" w:eastAsia="zh-CN"/>
              </w:rPr>
              <w:t>%</w:t>
            </w:r>
          </w:p>
        </w:tc>
        <w:tc>
          <w:tcPr>
            <w:tcW w:w="578" w:type="pct"/>
            <w:vMerge w:val="restart"/>
            <w:tcBorders>
              <w:top w:val="single" w:color="auto" w:sz="12" w:space="0"/>
              <w:left w:val="single" w:color="auto" w:sz="4" w:space="0"/>
              <w:bottom w:val="single" w:color="auto" w:sz="4" w:space="0"/>
              <w:right w:val="single" w:color="auto" w:sz="4" w:space="0"/>
            </w:tcBorders>
            <w:vAlign w:val="center"/>
          </w:tcPr>
          <w:p w14:paraId="60396F1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达标</w:t>
            </w:r>
          </w:p>
          <w:p w14:paraId="117B67B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情况</w:t>
            </w:r>
          </w:p>
        </w:tc>
        <w:tc>
          <w:tcPr>
            <w:tcW w:w="520" w:type="pct"/>
            <w:vMerge w:val="restart"/>
            <w:tcBorders>
              <w:top w:val="single" w:color="auto" w:sz="12" w:space="0"/>
              <w:left w:val="single" w:color="auto" w:sz="4" w:space="0"/>
              <w:bottom w:val="single" w:color="auto" w:sz="4" w:space="0"/>
              <w:right w:val="single" w:color="auto" w:sz="4" w:space="0"/>
            </w:tcBorders>
            <w:vAlign w:val="center"/>
          </w:tcPr>
          <w:p w14:paraId="02BFD34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超标倍数</w:t>
            </w:r>
          </w:p>
        </w:tc>
        <w:tc>
          <w:tcPr>
            <w:tcW w:w="523" w:type="pct"/>
            <w:vMerge w:val="restart"/>
            <w:tcBorders>
              <w:top w:val="single" w:color="auto" w:sz="12" w:space="0"/>
              <w:left w:val="single" w:color="auto" w:sz="4" w:space="0"/>
              <w:bottom w:val="single" w:color="auto" w:sz="4" w:space="0"/>
              <w:right w:val="single" w:color="auto" w:sz="12" w:space="0"/>
            </w:tcBorders>
            <w:vAlign w:val="center"/>
          </w:tcPr>
          <w:p w14:paraId="5BEE3FD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超标率</w:t>
            </w:r>
          </w:p>
        </w:tc>
      </w:tr>
      <w:tr w14:paraId="1FF77949">
        <w:tblPrEx>
          <w:tblCellMar>
            <w:top w:w="0" w:type="dxa"/>
            <w:left w:w="108" w:type="dxa"/>
            <w:bottom w:w="0" w:type="dxa"/>
            <w:right w:w="108" w:type="dxa"/>
          </w:tblCellMar>
        </w:tblPrEx>
        <w:trPr>
          <w:trHeight w:val="447"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366A19F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39" w:type="pct"/>
            <w:vMerge w:val="continue"/>
            <w:tcBorders>
              <w:top w:val="single" w:color="auto" w:sz="4" w:space="0"/>
              <w:left w:val="single" w:color="auto" w:sz="4" w:space="0"/>
              <w:bottom w:val="single" w:color="auto" w:sz="4" w:space="0"/>
              <w:right w:val="single" w:color="auto" w:sz="4" w:space="0"/>
            </w:tcBorders>
            <w:vAlign w:val="center"/>
          </w:tcPr>
          <w:p w14:paraId="3AC6A8A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743" w:type="pct"/>
            <w:vMerge w:val="continue"/>
            <w:tcBorders>
              <w:top w:val="single" w:color="auto" w:sz="4" w:space="0"/>
              <w:left w:val="single" w:color="auto" w:sz="4" w:space="0"/>
              <w:bottom w:val="single" w:color="auto" w:sz="4" w:space="0"/>
              <w:right w:val="single" w:color="auto" w:sz="4" w:space="0"/>
            </w:tcBorders>
            <w:vAlign w:val="center"/>
          </w:tcPr>
          <w:p w14:paraId="0311E2A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14:paraId="1811210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480" w:type="pct"/>
            <w:vMerge w:val="continue"/>
            <w:tcBorders>
              <w:top w:val="single" w:color="auto" w:sz="4" w:space="0"/>
              <w:left w:val="single" w:color="auto" w:sz="4" w:space="0"/>
              <w:bottom w:val="single" w:color="auto" w:sz="4" w:space="0"/>
              <w:right w:val="single" w:color="auto" w:sz="4" w:space="0"/>
            </w:tcBorders>
            <w:vAlign w:val="center"/>
          </w:tcPr>
          <w:p w14:paraId="68A07A6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634" w:type="pct"/>
            <w:vMerge w:val="continue"/>
            <w:tcBorders>
              <w:top w:val="single" w:color="auto" w:sz="4" w:space="0"/>
              <w:left w:val="single" w:color="auto" w:sz="4" w:space="0"/>
              <w:bottom w:val="single" w:color="auto" w:sz="4" w:space="0"/>
              <w:right w:val="single" w:color="auto" w:sz="4" w:space="0"/>
            </w:tcBorders>
            <w:vAlign w:val="center"/>
          </w:tcPr>
          <w:p w14:paraId="5483691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78" w:type="pct"/>
            <w:vMerge w:val="continue"/>
            <w:tcBorders>
              <w:top w:val="single" w:color="auto" w:sz="4" w:space="0"/>
              <w:left w:val="single" w:color="auto" w:sz="4" w:space="0"/>
              <w:bottom w:val="single" w:color="auto" w:sz="4" w:space="0"/>
              <w:right w:val="single" w:color="auto" w:sz="4" w:space="0"/>
            </w:tcBorders>
            <w:vAlign w:val="center"/>
          </w:tcPr>
          <w:p w14:paraId="54CDF56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20" w:type="pct"/>
            <w:vMerge w:val="continue"/>
            <w:tcBorders>
              <w:top w:val="single" w:color="auto" w:sz="4" w:space="0"/>
              <w:left w:val="single" w:color="auto" w:sz="4" w:space="0"/>
              <w:bottom w:val="single" w:color="auto" w:sz="4" w:space="0"/>
              <w:right w:val="single" w:color="auto" w:sz="4" w:space="0"/>
            </w:tcBorders>
            <w:vAlign w:val="center"/>
          </w:tcPr>
          <w:p w14:paraId="7914D88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23" w:type="pct"/>
            <w:vMerge w:val="continue"/>
            <w:tcBorders>
              <w:top w:val="single" w:color="auto" w:sz="4" w:space="0"/>
              <w:left w:val="single" w:color="auto" w:sz="4" w:space="0"/>
              <w:bottom w:val="single" w:color="auto" w:sz="4" w:space="0"/>
              <w:right w:val="single" w:color="auto" w:sz="12" w:space="0"/>
            </w:tcBorders>
            <w:vAlign w:val="center"/>
          </w:tcPr>
          <w:p w14:paraId="5ACA0B2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r>
      <w:tr w14:paraId="0B219C8E">
        <w:tblPrEx>
          <w:tblCellMar>
            <w:top w:w="0" w:type="dxa"/>
            <w:left w:w="108" w:type="dxa"/>
            <w:bottom w:w="0" w:type="dxa"/>
            <w:right w:w="108" w:type="dxa"/>
          </w:tblCellMar>
        </w:tblPrEx>
        <w:trPr>
          <w:trHeight w:val="315" w:hRule="atLeast"/>
          <w:jc w:val="center"/>
        </w:trPr>
        <w:tc>
          <w:tcPr>
            <w:tcW w:w="429" w:type="pct"/>
            <w:vMerge w:val="restart"/>
            <w:tcBorders>
              <w:top w:val="single" w:color="auto" w:sz="4" w:space="0"/>
              <w:left w:val="single" w:color="auto" w:sz="12" w:space="0"/>
              <w:bottom w:val="single" w:color="auto" w:sz="4" w:space="0"/>
              <w:right w:val="single" w:color="auto" w:sz="4" w:space="0"/>
            </w:tcBorders>
            <w:vAlign w:val="center"/>
          </w:tcPr>
          <w:p w14:paraId="7EB67A6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eastAsia="zh-CN"/>
              </w:rPr>
            </w:pPr>
            <w:r>
              <w:rPr>
                <w:rFonts w:hint="default" w:ascii="Arial" w:hAnsi="Arial" w:cs="Arial"/>
                <w:kern w:val="0"/>
                <w:sz w:val="22"/>
                <w:szCs w:val="22"/>
                <w:lang w:val="en-US" w:eastAsia="zh-CN"/>
              </w:rPr>
              <w:t>垫江县</w:t>
            </w:r>
          </w:p>
        </w:tc>
        <w:tc>
          <w:tcPr>
            <w:tcW w:w="539" w:type="pct"/>
            <w:tcBorders>
              <w:top w:val="single" w:color="auto" w:sz="4" w:space="0"/>
              <w:left w:val="single" w:color="auto" w:sz="4" w:space="0"/>
              <w:bottom w:val="single" w:color="auto" w:sz="4" w:space="0"/>
              <w:right w:val="single" w:color="auto" w:sz="4" w:space="0"/>
            </w:tcBorders>
            <w:vAlign w:val="center"/>
          </w:tcPr>
          <w:p w14:paraId="02D97E7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PM</w:t>
            </w:r>
            <w:r>
              <w:rPr>
                <w:rFonts w:hint="default" w:ascii="Arial" w:hAnsi="Arial" w:cs="Arial"/>
                <w:kern w:val="0"/>
                <w:sz w:val="22"/>
                <w:szCs w:val="22"/>
                <w:vertAlign w:val="subscript"/>
              </w:rPr>
              <w:t>10</w:t>
            </w:r>
          </w:p>
        </w:tc>
        <w:tc>
          <w:tcPr>
            <w:tcW w:w="743" w:type="pct"/>
            <w:tcBorders>
              <w:top w:val="single" w:color="auto" w:sz="4" w:space="0"/>
              <w:left w:val="single" w:color="auto" w:sz="4" w:space="0"/>
              <w:bottom w:val="single" w:color="auto" w:sz="4" w:space="0"/>
              <w:right w:val="single" w:color="auto" w:sz="4" w:space="0"/>
            </w:tcBorders>
            <w:vAlign w:val="center"/>
          </w:tcPr>
          <w:p w14:paraId="579F61E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年平均</w:t>
            </w:r>
          </w:p>
        </w:tc>
        <w:tc>
          <w:tcPr>
            <w:tcW w:w="549" w:type="pct"/>
            <w:tcBorders>
              <w:top w:val="single" w:color="auto" w:sz="4" w:space="0"/>
              <w:left w:val="single" w:color="auto" w:sz="4" w:space="0"/>
              <w:bottom w:val="single" w:color="auto" w:sz="4" w:space="0"/>
              <w:right w:val="single" w:color="auto" w:sz="4" w:space="0"/>
            </w:tcBorders>
            <w:vAlign w:val="center"/>
          </w:tcPr>
          <w:p w14:paraId="76E1685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44</w:t>
            </w:r>
          </w:p>
        </w:tc>
        <w:tc>
          <w:tcPr>
            <w:tcW w:w="480" w:type="pct"/>
            <w:tcBorders>
              <w:top w:val="single" w:color="auto" w:sz="4" w:space="0"/>
              <w:left w:val="single" w:color="auto" w:sz="4" w:space="0"/>
              <w:bottom w:val="single" w:color="auto" w:sz="4" w:space="0"/>
              <w:right w:val="single" w:color="auto" w:sz="4" w:space="0"/>
            </w:tcBorders>
            <w:vAlign w:val="center"/>
          </w:tcPr>
          <w:p w14:paraId="441F5BF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70</w:t>
            </w:r>
          </w:p>
        </w:tc>
        <w:tc>
          <w:tcPr>
            <w:tcW w:w="634" w:type="pct"/>
            <w:tcBorders>
              <w:top w:val="single" w:color="auto" w:sz="4" w:space="0"/>
              <w:left w:val="single" w:color="auto" w:sz="4" w:space="0"/>
              <w:bottom w:val="single" w:color="auto" w:sz="4" w:space="0"/>
              <w:right w:val="single" w:color="auto" w:sz="4" w:space="0"/>
            </w:tcBorders>
            <w:vAlign w:val="center"/>
          </w:tcPr>
          <w:p w14:paraId="62DE3BC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bCs/>
                <w:kern w:val="0"/>
                <w:sz w:val="22"/>
                <w:szCs w:val="22"/>
                <w:lang w:val="en-US" w:eastAsia="zh-CN"/>
              </w:rPr>
              <w:t>62.86</w:t>
            </w:r>
          </w:p>
        </w:tc>
        <w:tc>
          <w:tcPr>
            <w:tcW w:w="578" w:type="pct"/>
            <w:tcBorders>
              <w:top w:val="single" w:color="auto" w:sz="4" w:space="0"/>
              <w:left w:val="single" w:color="auto" w:sz="4" w:space="0"/>
              <w:bottom w:val="single" w:color="auto" w:sz="4" w:space="0"/>
              <w:right w:val="single" w:color="auto" w:sz="4" w:space="0"/>
            </w:tcBorders>
            <w:vAlign w:val="center"/>
          </w:tcPr>
          <w:p w14:paraId="3429E84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6F063BF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3A99C0D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02B0ED3A">
        <w:tblPrEx>
          <w:tblCellMar>
            <w:top w:w="0" w:type="dxa"/>
            <w:left w:w="108" w:type="dxa"/>
            <w:bottom w:w="0" w:type="dxa"/>
            <w:right w:w="108" w:type="dxa"/>
          </w:tblCellMar>
        </w:tblPrEx>
        <w:trPr>
          <w:trHeight w:val="315"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09B9257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p>
        </w:tc>
        <w:tc>
          <w:tcPr>
            <w:tcW w:w="539" w:type="pct"/>
            <w:tcBorders>
              <w:top w:val="single" w:color="auto" w:sz="4" w:space="0"/>
              <w:left w:val="single" w:color="auto" w:sz="4" w:space="0"/>
              <w:bottom w:val="single" w:color="auto" w:sz="4" w:space="0"/>
              <w:right w:val="single" w:color="auto" w:sz="4" w:space="0"/>
            </w:tcBorders>
            <w:vAlign w:val="center"/>
          </w:tcPr>
          <w:p w14:paraId="39A609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PM</w:t>
            </w:r>
            <w:r>
              <w:rPr>
                <w:rFonts w:hint="default" w:ascii="Arial" w:hAnsi="Arial" w:cs="Arial"/>
                <w:kern w:val="0"/>
                <w:sz w:val="22"/>
                <w:szCs w:val="22"/>
                <w:vertAlign w:val="subscript"/>
              </w:rPr>
              <w:t>2.5</w:t>
            </w:r>
          </w:p>
        </w:tc>
        <w:tc>
          <w:tcPr>
            <w:tcW w:w="743" w:type="pct"/>
            <w:tcBorders>
              <w:top w:val="single" w:color="auto" w:sz="4" w:space="0"/>
              <w:left w:val="single" w:color="auto" w:sz="4" w:space="0"/>
              <w:bottom w:val="single" w:color="auto" w:sz="4" w:space="0"/>
              <w:right w:val="single" w:color="auto" w:sz="4" w:space="0"/>
            </w:tcBorders>
            <w:vAlign w:val="center"/>
          </w:tcPr>
          <w:p w14:paraId="1165077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年平均</w:t>
            </w:r>
          </w:p>
        </w:tc>
        <w:tc>
          <w:tcPr>
            <w:tcW w:w="549" w:type="pct"/>
            <w:tcBorders>
              <w:top w:val="single" w:color="auto" w:sz="4" w:space="0"/>
              <w:left w:val="single" w:color="auto" w:sz="4" w:space="0"/>
              <w:bottom w:val="single" w:color="auto" w:sz="4" w:space="0"/>
              <w:right w:val="single" w:color="auto" w:sz="4" w:space="0"/>
            </w:tcBorders>
            <w:vAlign w:val="center"/>
          </w:tcPr>
          <w:p w14:paraId="2B78B0F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25</w:t>
            </w:r>
          </w:p>
        </w:tc>
        <w:tc>
          <w:tcPr>
            <w:tcW w:w="480" w:type="pct"/>
            <w:tcBorders>
              <w:top w:val="single" w:color="auto" w:sz="4" w:space="0"/>
              <w:left w:val="single" w:color="auto" w:sz="4" w:space="0"/>
              <w:bottom w:val="single" w:color="auto" w:sz="4" w:space="0"/>
              <w:right w:val="single" w:color="auto" w:sz="4" w:space="0"/>
            </w:tcBorders>
            <w:vAlign w:val="center"/>
          </w:tcPr>
          <w:p w14:paraId="6AC88B2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35</w:t>
            </w:r>
          </w:p>
        </w:tc>
        <w:tc>
          <w:tcPr>
            <w:tcW w:w="634" w:type="pct"/>
            <w:tcBorders>
              <w:top w:val="single" w:color="auto" w:sz="4" w:space="0"/>
              <w:left w:val="single" w:color="auto" w:sz="4" w:space="0"/>
              <w:bottom w:val="single" w:color="auto" w:sz="4" w:space="0"/>
              <w:right w:val="single" w:color="auto" w:sz="4" w:space="0"/>
            </w:tcBorders>
            <w:vAlign w:val="center"/>
          </w:tcPr>
          <w:p w14:paraId="4EB593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71.43</w:t>
            </w:r>
          </w:p>
        </w:tc>
        <w:tc>
          <w:tcPr>
            <w:tcW w:w="578" w:type="pct"/>
            <w:tcBorders>
              <w:top w:val="single" w:color="auto" w:sz="4" w:space="0"/>
              <w:left w:val="single" w:color="auto" w:sz="4" w:space="0"/>
              <w:bottom w:val="single" w:color="auto" w:sz="4" w:space="0"/>
              <w:right w:val="single" w:color="auto" w:sz="4" w:space="0"/>
            </w:tcBorders>
            <w:vAlign w:val="center"/>
          </w:tcPr>
          <w:p w14:paraId="7AA7531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1C4290C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2A5E32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74F3D760">
        <w:tblPrEx>
          <w:tblCellMar>
            <w:top w:w="0" w:type="dxa"/>
            <w:left w:w="108" w:type="dxa"/>
            <w:bottom w:w="0" w:type="dxa"/>
            <w:right w:w="108" w:type="dxa"/>
          </w:tblCellMar>
        </w:tblPrEx>
        <w:trPr>
          <w:trHeight w:val="315"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506B79E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p>
        </w:tc>
        <w:tc>
          <w:tcPr>
            <w:tcW w:w="539" w:type="pct"/>
            <w:tcBorders>
              <w:top w:val="single" w:color="auto" w:sz="4" w:space="0"/>
              <w:left w:val="single" w:color="auto" w:sz="4" w:space="0"/>
              <w:bottom w:val="single" w:color="auto" w:sz="4" w:space="0"/>
              <w:right w:val="single" w:color="auto" w:sz="4" w:space="0"/>
            </w:tcBorders>
            <w:vAlign w:val="center"/>
          </w:tcPr>
          <w:p w14:paraId="792DF28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SO</w:t>
            </w:r>
            <w:r>
              <w:rPr>
                <w:rFonts w:hint="default" w:ascii="Arial" w:hAnsi="Arial" w:cs="Arial"/>
                <w:kern w:val="0"/>
                <w:sz w:val="22"/>
                <w:szCs w:val="22"/>
                <w:vertAlign w:val="subscript"/>
              </w:rPr>
              <w:t>2</w:t>
            </w:r>
          </w:p>
        </w:tc>
        <w:tc>
          <w:tcPr>
            <w:tcW w:w="743" w:type="pct"/>
            <w:tcBorders>
              <w:top w:val="single" w:color="auto" w:sz="4" w:space="0"/>
              <w:left w:val="single" w:color="auto" w:sz="4" w:space="0"/>
              <w:bottom w:val="single" w:color="auto" w:sz="4" w:space="0"/>
              <w:right w:val="single" w:color="auto" w:sz="4" w:space="0"/>
            </w:tcBorders>
            <w:vAlign w:val="center"/>
          </w:tcPr>
          <w:p w14:paraId="4667C2A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年平均</w:t>
            </w:r>
          </w:p>
        </w:tc>
        <w:tc>
          <w:tcPr>
            <w:tcW w:w="549" w:type="pct"/>
            <w:tcBorders>
              <w:top w:val="single" w:color="auto" w:sz="4" w:space="0"/>
              <w:left w:val="single" w:color="auto" w:sz="4" w:space="0"/>
              <w:bottom w:val="single" w:color="auto" w:sz="4" w:space="0"/>
              <w:right w:val="single" w:color="auto" w:sz="4" w:space="0"/>
            </w:tcBorders>
            <w:vAlign w:val="center"/>
          </w:tcPr>
          <w:p w14:paraId="548B1E1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13</w:t>
            </w:r>
          </w:p>
        </w:tc>
        <w:tc>
          <w:tcPr>
            <w:tcW w:w="480" w:type="pct"/>
            <w:tcBorders>
              <w:top w:val="single" w:color="auto" w:sz="4" w:space="0"/>
              <w:left w:val="single" w:color="auto" w:sz="4" w:space="0"/>
              <w:bottom w:val="single" w:color="auto" w:sz="4" w:space="0"/>
              <w:right w:val="single" w:color="auto" w:sz="4" w:space="0"/>
            </w:tcBorders>
            <w:vAlign w:val="center"/>
          </w:tcPr>
          <w:p w14:paraId="1CB34CD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60</w:t>
            </w:r>
          </w:p>
        </w:tc>
        <w:tc>
          <w:tcPr>
            <w:tcW w:w="634" w:type="pct"/>
            <w:tcBorders>
              <w:top w:val="single" w:color="auto" w:sz="4" w:space="0"/>
              <w:left w:val="single" w:color="auto" w:sz="4" w:space="0"/>
              <w:bottom w:val="single" w:color="auto" w:sz="4" w:space="0"/>
              <w:right w:val="single" w:color="auto" w:sz="4" w:space="0"/>
            </w:tcBorders>
            <w:vAlign w:val="center"/>
          </w:tcPr>
          <w:p w14:paraId="5271411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eastAsia="宋体" w:cs="Arial"/>
                <w:kern w:val="0"/>
                <w:sz w:val="22"/>
                <w:szCs w:val="22"/>
                <w:lang w:val="en-US" w:eastAsia="zh-CN"/>
              </w:rPr>
              <w:t>21.67</w:t>
            </w:r>
          </w:p>
        </w:tc>
        <w:tc>
          <w:tcPr>
            <w:tcW w:w="578" w:type="pct"/>
            <w:tcBorders>
              <w:top w:val="single" w:color="auto" w:sz="4" w:space="0"/>
              <w:left w:val="single" w:color="auto" w:sz="4" w:space="0"/>
              <w:bottom w:val="single" w:color="auto" w:sz="4" w:space="0"/>
              <w:right w:val="single" w:color="auto" w:sz="4" w:space="0"/>
            </w:tcBorders>
            <w:vAlign w:val="center"/>
          </w:tcPr>
          <w:p w14:paraId="350FFFA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5E24C1B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2F38C0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438B3A99">
        <w:tblPrEx>
          <w:tblCellMar>
            <w:top w:w="0" w:type="dxa"/>
            <w:left w:w="108" w:type="dxa"/>
            <w:bottom w:w="0" w:type="dxa"/>
            <w:right w:w="108" w:type="dxa"/>
          </w:tblCellMar>
        </w:tblPrEx>
        <w:trPr>
          <w:trHeight w:val="315"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00AB35C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p>
        </w:tc>
        <w:tc>
          <w:tcPr>
            <w:tcW w:w="539" w:type="pct"/>
            <w:tcBorders>
              <w:top w:val="single" w:color="auto" w:sz="4" w:space="0"/>
              <w:left w:val="single" w:color="auto" w:sz="4" w:space="0"/>
              <w:bottom w:val="single" w:color="auto" w:sz="4" w:space="0"/>
              <w:right w:val="single" w:color="auto" w:sz="4" w:space="0"/>
            </w:tcBorders>
            <w:vAlign w:val="center"/>
          </w:tcPr>
          <w:p w14:paraId="23B595C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NO</w:t>
            </w:r>
            <w:r>
              <w:rPr>
                <w:rFonts w:hint="default" w:ascii="Arial" w:hAnsi="Arial" w:cs="Arial"/>
                <w:kern w:val="0"/>
                <w:sz w:val="22"/>
                <w:szCs w:val="22"/>
                <w:vertAlign w:val="subscript"/>
              </w:rPr>
              <w:t>2</w:t>
            </w:r>
          </w:p>
        </w:tc>
        <w:tc>
          <w:tcPr>
            <w:tcW w:w="743" w:type="pct"/>
            <w:tcBorders>
              <w:top w:val="single" w:color="auto" w:sz="4" w:space="0"/>
              <w:left w:val="single" w:color="auto" w:sz="4" w:space="0"/>
              <w:bottom w:val="single" w:color="auto" w:sz="4" w:space="0"/>
              <w:right w:val="single" w:color="auto" w:sz="4" w:space="0"/>
            </w:tcBorders>
            <w:vAlign w:val="center"/>
          </w:tcPr>
          <w:p w14:paraId="1D0464F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年平均</w:t>
            </w:r>
          </w:p>
        </w:tc>
        <w:tc>
          <w:tcPr>
            <w:tcW w:w="549" w:type="pct"/>
            <w:tcBorders>
              <w:top w:val="single" w:color="auto" w:sz="4" w:space="0"/>
              <w:left w:val="single" w:color="auto" w:sz="4" w:space="0"/>
              <w:bottom w:val="single" w:color="auto" w:sz="4" w:space="0"/>
              <w:right w:val="single" w:color="auto" w:sz="4" w:space="0"/>
            </w:tcBorders>
            <w:vAlign w:val="center"/>
          </w:tcPr>
          <w:p w14:paraId="66499E3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35</w:t>
            </w:r>
          </w:p>
        </w:tc>
        <w:tc>
          <w:tcPr>
            <w:tcW w:w="480" w:type="pct"/>
            <w:tcBorders>
              <w:top w:val="single" w:color="auto" w:sz="4" w:space="0"/>
              <w:left w:val="single" w:color="auto" w:sz="4" w:space="0"/>
              <w:bottom w:val="single" w:color="auto" w:sz="4" w:space="0"/>
              <w:right w:val="single" w:color="auto" w:sz="4" w:space="0"/>
            </w:tcBorders>
            <w:vAlign w:val="center"/>
          </w:tcPr>
          <w:p w14:paraId="5435FFA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40</w:t>
            </w:r>
          </w:p>
        </w:tc>
        <w:tc>
          <w:tcPr>
            <w:tcW w:w="634" w:type="pct"/>
            <w:tcBorders>
              <w:top w:val="single" w:color="auto" w:sz="4" w:space="0"/>
              <w:left w:val="single" w:color="auto" w:sz="4" w:space="0"/>
              <w:bottom w:val="single" w:color="auto" w:sz="4" w:space="0"/>
              <w:right w:val="single" w:color="auto" w:sz="4" w:space="0"/>
            </w:tcBorders>
            <w:vAlign w:val="center"/>
          </w:tcPr>
          <w:p w14:paraId="0E4ECE0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eastAsia="宋体" w:cs="Arial"/>
                <w:kern w:val="0"/>
                <w:sz w:val="22"/>
                <w:szCs w:val="22"/>
                <w:lang w:val="en-US" w:eastAsia="zh-CN"/>
              </w:rPr>
              <w:t>87.5</w:t>
            </w:r>
          </w:p>
        </w:tc>
        <w:tc>
          <w:tcPr>
            <w:tcW w:w="578" w:type="pct"/>
            <w:tcBorders>
              <w:top w:val="single" w:color="auto" w:sz="4" w:space="0"/>
              <w:left w:val="single" w:color="auto" w:sz="4" w:space="0"/>
              <w:bottom w:val="single" w:color="auto" w:sz="4" w:space="0"/>
              <w:right w:val="single" w:color="auto" w:sz="4" w:space="0"/>
            </w:tcBorders>
            <w:vAlign w:val="center"/>
          </w:tcPr>
          <w:p w14:paraId="32D5042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60E695B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50FD56F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5AC7D32A">
        <w:tblPrEx>
          <w:tblCellMar>
            <w:top w:w="0" w:type="dxa"/>
            <w:left w:w="108" w:type="dxa"/>
            <w:bottom w:w="0" w:type="dxa"/>
            <w:right w:w="108" w:type="dxa"/>
          </w:tblCellMar>
        </w:tblPrEx>
        <w:trPr>
          <w:trHeight w:val="540"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0C51737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p>
        </w:tc>
        <w:tc>
          <w:tcPr>
            <w:tcW w:w="539" w:type="pct"/>
            <w:tcBorders>
              <w:top w:val="single" w:color="auto" w:sz="4" w:space="0"/>
              <w:left w:val="single" w:color="auto" w:sz="4" w:space="0"/>
              <w:bottom w:val="single" w:color="auto" w:sz="4" w:space="0"/>
              <w:right w:val="single" w:color="auto" w:sz="4" w:space="0"/>
            </w:tcBorders>
            <w:vAlign w:val="center"/>
          </w:tcPr>
          <w:p w14:paraId="28A5B23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O</w:t>
            </w:r>
            <w:r>
              <w:rPr>
                <w:rFonts w:hint="default" w:ascii="Arial" w:hAnsi="Arial" w:cs="Arial"/>
                <w:kern w:val="0"/>
                <w:sz w:val="22"/>
                <w:szCs w:val="22"/>
                <w:vertAlign w:val="subscript"/>
              </w:rPr>
              <w:t>3</w:t>
            </w:r>
          </w:p>
        </w:tc>
        <w:tc>
          <w:tcPr>
            <w:tcW w:w="743" w:type="pct"/>
            <w:tcBorders>
              <w:top w:val="single" w:color="auto" w:sz="4" w:space="0"/>
              <w:left w:val="single" w:color="auto" w:sz="4" w:space="0"/>
              <w:bottom w:val="single" w:color="auto" w:sz="4" w:space="0"/>
              <w:right w:val="single" w:color="auto" w:sz="4" w:space="0"/>
            </w:tcBorders>
            <w:vAlign w:val="center"/>
          </w:tcPr>
          <w:p w14:paraId="584D078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日最大8小时平均</w:t>
            </w:r>
          </w:p>
        </w:tc>
        <w:tc>
          <w:tcPr>
            <w:tcW w:w="549" w:type="pct"/>
            <w:tcBorders>
              <w:top w:val="single" w:color="auto" w:sz="4" w:space="0"/>
              <w:left w:val="single" w:color="auto" w:sz="4" w:space="0"/>
              <w:bottom w:val="single" w:color="auto" w:sz="4" w:space="0"/>
              <w:right w:val="single" w:color="auto" w:sz="4" w:space="0"/>
            </w:tcBorders>
            <w:vAlign w:val="center"/>
          </w:tcPr>
          <w:p w14:paraId="2BFD855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127</w:t>
            </w:r>
          </w:p>
        </w:tc>
        <w:tc>
          <w:tcPr>
            <w:tcW w:w="480" w:type="pct"/>
            <w:tcBorders>
              <w:top w:val="single" w:color="auto" w:sz="4" w:space="0"/>
              <w:left w:val="single" w:color="auto" w:sz="4" w:space="0"/>
              <w:bottom w:val="single" w:color="auto" w:sz="4" w:space="0"/>
              <w:right w:val="single" w:color="auto" w:sz="4" w:space="0"/>
            </w:tcBorders>
            <w:vAlign w:val="center"/>
          </w:tcPr>
          <w:p w14:paraId="5B4D40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160</w:t>
            </w:r>
          </w:p>
        </w:tc>
        <w:tc>
          <w:tcPr>
            <w:tcW w:w="634" w:type="pct"/>
            <w:tcBorders>
              <w:top w:val="single" w:color="auto" w:sz="4" w:space="0"/>
              <w:left w:val="single" w:color="auto" w:sz="4" w:space="0"/>
              <w:bottom w:val="single" w:color="auto" w:sz="4" w:space="0"/>
              <w:right w:val="single" w:color="auto" w:sz="4" w:space="0"/>
            </w:tcBorders>
            <w:vAlign w:val="center"/>
          </w:tcPr>
          <w:p w14:paraId="3CF8404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eastAsia="宋体" w:cs="Arial"/>
                <w:kern w:val="0"/>
                <w:sz w:val="22"/>
                <w:szCs w:val="22"/>
                <w:lang w:val="en-US" w:eastAsia="zh-CN"/>
              </w:rPr>
              <w:t>79.38</w:t>
            </w:r>
          </w:p>
        </w:tc>
        <w:tc>
          <w:tcPr>
            <w:tcW w:w="578" w:type="pct"/>
            <w:tcBorders>
              <w:top w:val="single" w:color="auto" w:sz="4" w:space="0"/>
              <w:left w:val="single" w:color="auto" w:sz="4" w:space="0"/>
              <w:bottom w:val="single" w:color="auto" w:sz="4" w:space="0"/>
              <w:right w:val="single" w:color="auto" w:sz="4" w:space="0"/>
            </w:tcBorders>
            <w:vAlign w:val="center"/>
          </w:tcPr>
          <w:p w14:paraId="6F9E526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4AFDD0E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65B21EB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41EF5EAA">
        <w:tblPrEx>
          <w:tblCellMar>
            <w:top w:w="0" w:type="dxa"/>
            <w:left w:w="108" w:type="dxa"/>
            <w:bottom w:w="0" w:type="dxa"/>
            <w:right w:w="108" w:type="dxa"/>
          </w:tblCellMar>
        </w:tblPrEx>
        <w:trPr>
          <w:trHeight w:val="540" w:hRule="atLeast"/>
          <w:jc w:val="center"/>
        </w:trPr>
        <w:tc>
          <w:tcPr>
            <w:tcW w:w="429" w:type="pct"/>
            <w:vMerge w:val="continue"/>
            <w:tcBorders>
              <w:top w:val="single" w:color="auto" w:sz="4" w:space="0"/>
              <w:left w:val="single" w:color="auto" w:sz="12" w:space="0"/>
              <w:bottom w:val="single" w:color="auto" w:sz="12" w:space="0"/>
              <w:right w:val="single" w:color="auto" w:sz="4" w:space="0"/>
            </w:tcBorders>
            <w:vAlign w:val="center"/>
          </w:tcPr>
          <w:p w14:paraId="288889F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p>
        </w:tc>
        <w:tc>
          <w:tcPr>
            <w:tcW w:w="539" w:type="pct"/>
            <w:tcBorders>
              <w:top w:val="single" w:color="auto" w:sz="4" w:space="0"/>
              <w:left w:val="single" w:color="auto" w:sz="4" w:space="0"/>
              <w:bottom w:val="single" w:color="auto" w:sz="12" w:space="0"/>
              <w:right w:val="single" w:color="auto" w:sz="4" w:space="0"/>
            </w:tcBorders>
            <w:vAlign w:val="center"/>
          </w:tcPr>
          <w:p w14:paraId="462727A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r>
              <w:rPr>
                <w:rFonts w:hint="default" w:ascii="Arial" w:hAnsi="Arial" w:cs="Arial"/>
                <w:color w:val="auto"/>
                <w:kern w:val="0"/>
                <w:sz w:val="22"/>
                <w:szCs w:val="22"/>
              </w:rPr>
              <w:t>CO</w:t>
            </w:r>
          </w:p>
        </w:tc>
        <w:tc>
          <w:tcPr>
            <w:tcW w:w="743" w:type="pct"/>
            <w:tcBorders>
              <w:top w:val="single" w:color="auto" w:sz="4" w:space="0"/>
              <w:left w:val="single" w:color="auto" w:sz="4" w:space="0"/>
              <w:bottom w:val="single" w:color="auto" w:sz="12" w:space="0"/>
              <w:right w:val="single" w:color="auto" w:sz="4" w:space="0"/>
            </w:tcBorders>
            <w:vAlign w:val="center"/>
          </w:tcPr>
          <w:p w14:paraId="74550B0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kern w:val="0"/>
                <w:sz w:val="22"/>
                <w:szCs w:val="22"/>
                <w:lang w:val="en-US" w:eastAsia="zh-CN"/>
              </w:rPr>
            </w:pPr>
            <w:r>
              <w:rPr>
                <w:rFonts w:hint="default" w:ascii="Arial" w:hAnsi="Arial" w:cs="Arial"/>
                <w:color w:val="auto"/>
                <w:kern w:val="0"/>
                <w:sz w:val="22"/>
                <w:szCs w:val="22"/>
              </w:rPr>
              <w:t>24小时平均</w:t>
            </w:r>
            <w:r>
              <w:rPr>
                <w:rFonts w:hint="eastAsia" w:ascii="Arial" w:hAnsi="Arial" w:cs="Arial"/>
                <w:color w:val="auto"/>
                <w:kern w:val="0"/>
                <w:sz w:val="22"/>
                <w:szCs w:val="22"/>
                <w:lang w:eastAsia="zh-CN"/>
              </w:rPr>
              <w:t>（</w:t>
            </w:r>
            <w:r>
              <w:rPr>
                <w:rFonts w:hint="eastAsia" w:ascii="Arial" w:hAnsi="Arial" w:cs="Arial"/>
                <w:color w:val="auto"/>
                <w:kern w:val="0"/>
                <w:sz w:val="22"/>
                <w:szCs w:val="22"/>
                <w:lang w:val="en-US" w:eastAsia="zh-CN"/>
              </w:rPr>
              <w:t>mg/m</w:t>
            </w:r>
            <w:r>
              <w:rPr>
                <w:rFonts w:hint="eastAsia" w:ascii="Arial" w:hAnsi="Arial" w:cs="Arial"/>
                <w:color w:val="auto"/>
                <w:kern w:val="0"/>
                <w:sz w:val="22"/>
                <w:szCs w:val="22"/>
                <w:vertAlign w:val="superscript"/>
                <w:lang w:val="en-US" w:eastAsia="zh-CN"/>
              </w:rPr>
              <w:t>3</w:t>
            </w:r>
            <w:r>
              <w:rPr>
                <w:rFonts w:hint="eastAsia" w:ascii="Arial" w:hAnsi="Arial" w:cs="Arial"/>
                <w:color w:val="auto"/>
                <w:kern w:val="0"/>
                <w:sz w:val="22"/>
                <w:szCs w:val="22"/>
                <w:lang w:val="en-US" w:eastAsia="zh-CN"/>
              </w:rPr>
              <w:t>）</w:t>
            </w:r>
          </w:p>
        </w:tc>
        <w:tc>
          <w:tcPr>
            <w:tcW w:w="549" w:type="pct"/>
            <w:tcBorders>
              <w:top w:val="single" w:color="auto" w:sz="4" w:space="0"/>
              <w:left w:val="single" w:color="auto" w:sz="4" w:space="0"/>
              <w:bottom w:val="single" w:color="auto" w:sz="12" w:space="0"/>
              <w:right w:val="single" w:color="auto" w:sz="4" w:space="0"/>
            </w:tcBorders>
            <w:vAlign w:val="center"/>
          </w:tcPr>
          <w:p w14:paraId="238C8DD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kern w:val="0"/>
                <w:sz w:val="22"/>
                <w:szCs w:val="22"/>
                <w:lang w:val="en-US" w:eastAsia="zh-CN"/>
              </w:rPr>
            </w:pPr>
            <w:r>
              <w:rPr>
                <w:rFonts w:hint="eastAsia" w:ascii="Arial" w:hAnsi="Arial" w:cs="Arial"/>
                <w:color w:val="auto"/>
                <w:kern w:val="0"/>
                <w:sz w:val="22"/>
                <w:szCs w:val="22"/>
                <w:lang w:val="en-US" w:eastAsia="zh-CN"/>
              </w:rPr>
              <w:t>1.0</w:t>
            </w:r>
          </w:p>
        </w:tc>
        <w:tc>
          <w:tcPr>
            <w:tcW w:w="480" w:type="pct"/>
            <w:tcBorders>
              <w:top w:val="single" w:color="auto" w:sz="4" w:space="0"/>
              <w:left w:val="single" w:color="auto" w:sz="4" w:space="0"/>
              <w:bottom w:val="single" w:color="auto" w:sz="12" w:space="0"/>
              <w:right w:val="single" w:color="auto" w:sz="4" w:space="0"/>
            </w:tcBorders>
            <w:vAlign w:val="center"/>
          </w:tcPr>
          <w:p w14:paraId="22DB49D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kern w:val="0"/>
                <w:sz w:val="22"/>
                <w:szCs w:val="22"/>
                <w:lang w:val="en-US" w:eastAsia="zh-CN"/>
              </w:rPr>
            </w:pPr>
            <w:r>
              <w:rPr>
                <w:rFonts w:hint="default" w:ascii="Arial" w:hAnsi="Arial" w:cs="Arial"/>
                <w:color w:val="auto"/>
                <w:kern w:val="0"/>
                <w:sz w:val="22"/>
                <w:szCs w:val="22"/>
              </w:rPr>
              <w:t>4</w:t>
            </w:r>
            <w:r>
              <w:rPr>
                <w:rFonts w:hint="eastAsia" w:ascii="Arial" w:hAnsi="Arial" w:cs="Arial"/>
                <w:color w:val="auto"/>
                <w:kern w:val="0"/>
                <w:sz w:val="22"/>
                <w:szCs w:val="22"/>
                <w:lang w:val="en-US" w:eastAsia="zh-CN"/>
              </w:rPr>
              <w:t>.0</w:t>
            </w:r>
          </w:p>
        </w:tc>
        <w:tc>
          <w:tcPr>
            <w:tcW w:w="634" w:type="pct"/>
            <w:tcBorders>
              <w:top w:val="single" w:color="auto" w:sz="4" w:space="0"/>
              <w:left w:val="single" w:color="auto" w:sz="4" w:space="0"/>
              <w:bottom w:val="single" w:color="auto" w:sz="12" w:space="0"/>
              <w:right w:val="single" w:color="auto" w:sz="4" w:space="0"/>
            </w:tcBorders>
            <w:vAlign w:val="center"/>
          </w:tcPr>
          <w:p w14:paraId="4281DA2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kern w:val="0"/>
                <w:sz w:val="22"/>
                <w:szCs w:val="22"/>
                <w:lang w:val="en-US" w:eastAsia="zh-CN"/>
              </w:rPr>
            </w:pPr>
            <w:r>
              <w:rPr>
                <w:rFonts w:hint="eastAsia" w:ascii="Arial" w:hAnsi="Arial" w:eastAsia="宋体" w:cs="Arial"/>
                <w:color w:val="auto"/>
                <w:kern w:val="0"/>
                <w:sz w:val="22"/>
                <w:szCs w:val="22"/>
                <w:lang w:val="en-US" w:eastAsia="zh-CN"/>
              </w:rPr>
              <w:t>25</w:t>
            </w:r>
          </w:p>
        </w:tc>
        <w:tc>
          <w:tcPr>
            <w:tcW w:w="578" w:type="pct"/>
            <w:tcBorders>
              <w:top w:val="single" w:color="auto" w:sz="4" w:space="0"/>
              <w:left w:val="single" w:color="auto" w:sz="4" w:space="0"/>
              <w:bottom w:val="single" w:color="auto" w:sz="12" w:space="0"/>
              <w:right w:val="single" w:color="auto" w:sz="4" w:space="0"/>
            </w:tcBorders>
            <w:vAlign w:val="center"/>
          </w:tcPr>
          <w:p w14:paraId="561BBB2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r>
              <w:rPr>
                <w:rFonts w:hint="default" w:ascii="Arial" w:hAnsi="Arial" w:cs="Arial"/>
                <w:color w:val="auto"/>
                <w:kern w:val="0"/>
                <w:sz w:val="22"/>
                <w:szCs w:val="22"/>
              </w:rPr>
              <w:t>达标</w:t>
            </w:r>
          </w:p>
        </w:tc>
        <w:tc>
          <w:tcPr>
            <w:tcW w:w="520" w:type="pct"/>
            <w:tcBorders>
              <w:top w:val="single" w:color="auto" w:sz="4" w:space="0"/>
              <w:left w:val="single" w:color="auto" w:sz="4" w:space="0"/>
              <w:bottom w:val="single" w:color="auto" w:sz="12" w:space="0"/>
              <w:right w:val="single" w:color="auto" w:sz="4" w:space="0"/>
            </w:tcBorders>
            <w:vAlign w:val="center"/>
          </w:tcPr>
          <w:p w14:paraId="6C9EA1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r>
              <w:rPr>
                <w:rFonts w:hint="default" w:ascii="Arial" w:hAnsi="Arial" w:cs="Arial"/>
                <w:color w:val="auto"/>
                <w:kern w:val="0"/>
                <w:sz w:val="22"/>
                <w:szCs w:val="22"/>
              </w:rPr>
              <w:t>/</w:t>
            </w:r>
          </w:p>
        </w:tc>
        <w:tc>
          <w:tcPr>
            <w:tcW w:w="523" w:type="pct"/>
            <w:tcBorders>
              <w:top w:val="single" w:color="auto" w:sz="4" w:space="0"/>
              <w:left w:val="single" w:color="auto" w:sz="4" w:space="0"/>
              <w:bottom w:val="single" w:color="auto" w:sz="12" w:space="0"/>
              <w:right w:val="single" w:color="auto" w:sz="12" w:space="0"/>
            </w:tcBorders>
            <w:vAlign w:val="center"/>
          </w:tcPr>
          <w:p w14:paraId="406FC7D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r>
              <w:rPr>
                <w:rFonts w:hint="default" w:ascii="Arial" w:hAnsi="Arial" w:cs="Arial"/>
                <w:color w:val="auto"/>
                <w:kern w:val="0"/>
                <w:sz w:val="22"/>
                <w:szCs w:val="22"/>
              </w:rPr>
              <w:t>/</w:t>
            </w:r>
          </w:p>
        </w:tc>
      </w:tr>
    </w:tbl>
    <w:p w14:paraId="79E79247">
      <w:pPr>
        <w:pStyle w:val="147"/>
        <w:keepNext w:val="0"/>
        <w:keepLines w:val="0"/>
        <w:pageBreakBefore w:val="0"/>
        <w:widowControl w:val="0"/>
        <w:kinsoku/>
        <w:wordWrap/>
        <w:overflowPunct/>
        <w:topLinePunct w:val="0"/>
        <w:autoSpaceDE/>
        <w:autoSpaceDN/>
        <w:bidi w:val="0"/>
        <w:adjustRightInd/>
        <w:snapToGrid/>
        <w:spacing w:line="240" w:lineRule="exact"/>
        <w:textAlignment w:val="auto"/>
        <w:rPr>
          <w:color w:val="auto"/>
        </w:rPr>
      </w:pPr>
    </w:p>
    <w:p w14:paraId="4B5F135F">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如表4.3-1可知，拟建项目所在区域的环境空气基本污染物浓度均满足《环境空气质量标准》（GB3095-2012）中二级标准限值要求，即丰都县为环境空气质量达标区。</w:t>
      </w:r>
    </w:p>
    <w:p w14:paraId="041B0534">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default" w:ascii="Arial" w:hAnsi="Arial" w:cs="Arial"/>
          <w:b/>
          <w:bCs w:val="0"/>
          <w:sz w:val="26"/>
          <w:szCs w:val="26"/>
          <w:lang w:val="en-US" w:eastAsia="zh-CN"/>
        </w:rPr>
        <w:t>4.</w:t>
      </w:r>
      <w:r>
        <w:rPr>
          <w:rFonts w:hint="eastAsia" w:ascii="Arial" w:hAnsi="Arial" w:cs="Arial"/>
          <w:b/>
          <w:bCs w:val="0"/>
          <w:sz w:val="26"/>
          <w:szCs w:val="26"/>
          <w:lang w:val="en-US" w:eastAsia="zh-CN"/>
        </w:rPr>
        <w:t>3.2地表水环境质量</w:t>
      </w:r>
      <w:r>
        <w:rPr>
          <w:rFonts w:hint="eastAsia" w:ascii="Arial" w:hAnsi="Arial" w:eastAsia="宋体" w:cs="Arial"/>
          <w:b/>
          <w:bCs w:val="0"/>
          <w:sz w:val="26"/>
          <w:szCs w:val="26"/>
          <w:lang w:val="en-US" w:eastAsia="zh-CN"/>
        </w:rPr>
        <w:t>现状与评价</w:t>
      </w:r>
    </w:p>
    <w:p w14:paraId="293BC8C5">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（1）污染源调查</w:t>
      </w:r>
    </w:p>
    <w:p w14:paraId="6B735B69">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cs="Arial"/>
          <w:b/>
          <w:bCs w:val="0"/>
          <w:sz w:val="26"/>
          <w:szCs w:val="26"/>
          <w:lang w:val="en-US" w:eastAsia="zh-CN"/>
        </w:rPr>
      </w:pPr>
      <w:r>
        <w:rPr>
          <w:rFonts w:hint="default" w:ascii="Arial" w:hAnsi="Arial" w:cs="Arial"/>
          <w:b/>
          <w:bCs w:val="0"/>
          <w:sz w:val="26"/>
          <w:szCs w:val="26"/>
          <w:lang w:val="en-US" w:eastAsia="zh-CN"/>
        </w:rPr>
        <w:t>①</w:t>
      </w:r>
      <w:r>
        <w:rPr>
          <w:rFonts w:hint="eastAsia" w:ascii="Arial" w:hAnsi="Arial" w:cs="Arial"/>
          <w:b/>
          <w:bCs w:val="0"/>
          <w:sz w:val="26"/>
          <w:szCs w:val="26"/>
          <w:lang w:val="en-US" w:eastAsia="zh-CN"/>
        </w:rPr>
        <w:t xml:space="preserve"> 工业污染源调查</w:t>
      </w:r>
    </w:p>
    <w:p w14:paraId="1AFD3FB2">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r>
        <w:rPr>
          <w:rFonts w:hint="default" w:ascii="Arial" w:hAnsi="Arial" w:cs="Arial"/>
          <w:b w:val="0"/>
          <w:bCs/>
          <w:sz w:val="26"/>
          <w:szCs w:val="26"/>
          <w:lang w:val="en-US" w:eastAsia="zh-CN"/>
        </w:rPr>
        <w:t>根据现场勘查，并结合《丰都县海螺沟水库工程建设征地移民安置规划报告》及其批复</w:t>
      </w:r>
      <w:r>
        <w:rPr>
          <w:rFonts w:hint="eastAsia" w:ascii="宋体" w:hAnsi="宋体" w:eastAsia="宋体" w:cs="宋体"/>
          <w:b w:val="0"/>
          <w:bCs/>
          <w:sz w:val="26"/>
          <w:szCs w:val="26"/>
          <w:lang w:val="en-US" w:eastAsia="zh-CN"/>
        </w:rPr>
        <w:t>“丰</w:t>
      </w:r>
      <w:r>
        <w:rPr>
          <w:rFonts w:hint="default" w:ascii="Arial" w:hAnsi="Arial" w:cs="Arial"/>
          <w:b w:val="0"/>
          <w:bCs/>
          <w:sz w:val="26"/>
          <w:szCs w:val="26"/>
          <w:lang w:val="en-US" w:eastAsia="zh-CN"/>
        </w:rPr>
        <w:t>都府</w:t>
      </w:r>
      <w:r>
        <w:rPr>
          <w:rFonts w:hint="default" w:ascii="Arial" w:hAnsi="Arial" w:eastAsia="宋体" w:cs="Arial"/>
          <w:b w:val="0"/>
          <w:bCs/>
          <w:sz w:val="26"/>
          <w:szCs w:val="26"/>
          <w:lang w:val="en-US" w:eastAsia="zh-CN"/>
        </w:rPr>
        <w:t>〔2024〕14号</w:t>
      </w:r>
      <w:r>
        <w:rPr>
          <w:rFonts w:hint="eastAsia" w:ascii="宋体" w:hAnsi="宋体" w:eastAsia="宋体" w:cs="宋体"/>
          <w:b w:val="0"/>
          <w:bCs/>
          <w:sz w:val="26"/>
          <w:szCs w:val="26"/>
          <w:lang w:val="en-US" w:eastAsia="zh-CN"/>
        </w:rPr>
        <w:t>”</w:t>
      </w:r>
      <w:r>
        <w:rPr>
          <w:rFonts w:hint="default" w:ascii="Arial" w:hAnsi="Arial" w:cs="Arial"/>
          <w:b w:val="0"/>
          <w:bCs/>
          <w:sz w:val="26"/>
          <w:szCs w:val="26"/>
          <w:lang w:val="en-US" w:eastAsia="zh-CN"/>
        </w:rPr>
        <w:t>，</w:t>
      </w:r>
      <w:r>
        <w:rPr>
          <w:rFonts w:hint="eastAsia" w:ascii="Arial" w:hAnsi="Arial" w:cs="Arial"/>
          <w:b w:val="0"/>
          <w:bCs/>
          <w:sz w:val="26"/>
          <w:szCs w:val="26"/>
          <w:lang w:val="en-US" w:eastAsia="zh-CN"/>
        </w:rPr>
        <w:t>本项目淹没区、集雨范围内、坝下减水河段内均无工矿企业分布，无工业污染源存在。</w:t>
      </w:r>
    </w:p>
    <w:p w14:paraId="35CDFF9C">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val="0"/>
          <w:sz w:val="26"/>
          <w:szCs w:val="26"/>
          <w:lang w:val="en-US" w:eastAsia="zh-CN"/>
        </w:rPr>
      </w:pPr>
      <w:r>
        <w:rPr>
          <w:rFonts w:hint="default" w:ascii="Arial" w:hAnsi="Arial" w:cs="Arial"/>
          <w:b/>
          <w:bCs w:val="0"/>
          <w:sz w:val="26"/>
          <w:szCs w:val="26"/>
          <w:lang w:val="en-US" w:eastAsia="zh-CN"/>
        </w:rPr>
        <w:t>②</w:t>
      </w:r>
      <w:r>
        <w:rPr>
          <w:rFonts w:hint="eastAsia" w:ascii="Arial" w:hAnsi="Arial" w:cs="Arial"/>
          <w:b/>
          <w:bCs w:val="0"/>
          <w:sz w:val="26"/>
          <w:szCs w:val="26"/>
          <w:lang w:val="en-US" w:eastAsia="zh-CN"/>
        </w:rPr>
        <w:t xml:space="preserve"> 农业面源</w:t>
      </w:r>
    </w:p>
    <w:p w14:paraId="0AC4E3E8">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default" w:ascii="Arial" w:hAnsi="Arial" w:cs="Arial"/>
          <w:b w:val="0"/>
          <w:bCs/>
          <w:sz w:val="26"/>
          <w:szCs w:val="26"/>
          <w:lang w:val="en-US" w:eastAsia="zh-CN"/>
        </w:rPr>
        <w:t>根据现场勘查，</w:t>
      </w:r>
      <w:r>
        <w:rPr>
          <w:rFonts w:hint="eastAsia" w:ascii="Arial" w:hAnsi="Arial" w:cs="Arial"/>
          <w:b w:val="0"/>
          <w:bCs/>
          <w:sz w:val="26"/>
          <w:szCs w:val="26"/>
          <w:lang w:val="en-US" w:eastAsia="zh-CN"/>
        </w:rPr>
        <w:t>海螺沟流域两岸分布有大量的农耕地，沿岸污染主要为农村散排污水和农田径流，但居民较分散，</w:t>
      </w:r>
      <w:r>
        <w:rPr>
          <w:rFonts w:hint="eastAsia" w:ascii="Arial" w:hAnsi="Arial" w:cs="Arial"/>
          <w:b w:val="0"/>
          <w:color w:val="auto"/>
          <w:kern w:val="2"/>
          <w:sz w:val="26"/>
          <w:szCs w:val="26"/>
          <w:lang w:val="en-US" w:eastAsia="zh-CN" w:bidi="ar-SA"/>
        </w:rPr>
        <w:t>且大多外出务工，农业面源产生量较小</w:t>
      </w:r>
      <w:r>
        <w:rPr>
          <w:rFonts w:hint="eastAsia" w:ascii="Arial" w:hAnsi="Arial" w:cs="Arial"/>
          <w:b w:val="0"/>
          <w:bCs/>
          <w:sz w:val="26"/>
          <w:szCs w:val="26"/>
          <w:lang w:val="en-US" w:eastAsia="zh-CN"/>
        </w:rPr>
        <w:t>，生活污水大多经自建旱厕收集处理后用作农肥，未直接排入河道内，河水受污染程度较轻。但河流两侧居民散养的鸭、鹅等牲畜偶有下河行为，对河流水质存在一定影响。</w:t>
      </w:r>
    </w:p>
    <w:p w14:paraId="0EEF3894">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本项目坝上集雨范围内无规模化养殖场分布，但分布有一处</w:t>
      </w:r>
      <w:r>
        <w:rPr>
          <w:rFonts w:hint="eastAsia" w:ascii="Arial" w:hAnsi="Arial" w:cs="Arial"/>
          <w:b w:val="0"/>
          <w:color w:val="auto"/>
          <w:kern w:val="2"/>
          <w:sz w:val="26"/>
          <w:szCs w:val="26"/>
          <w:lang w:val="en-US" w:eastAsia="zh-CN" w:bidi="ar-SA"/>
        </w:rPr>
        <w:t>家庭式肉牛圈养点，养殖肉牛约30头，养殖废水设置有收集池，且与本项目间有山体阻隔，养殖废水经收集处理后，全部用作农肥，退水进入高洞桥河，未排入海螺沟。</w:t>
      </w:r>
    </w:p>
    <w:p w14:paraId="0B0BA679">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val="0"/>
          <w:sz w:val="26"/>
          <w:szCs w:val="26"/>
          <w:lang w:val="en-US" w:eastAsia="zh-CN"/>
        </w:rPr>
      </w:pPr>
      <w:r>
        <w:rPr>
          <w:rFonts w:hint="eastAsia" w:ascii="宋体" w:hAnsi="宋体" w:eastAsia="宋体" w:cs="宋体"/>
          <w:b/>
          <w:bCs w:val="0"/>
          <w:sz w:val="26"/>
          <w:szCs w:val="26"/>
          <w:lang w:val="en-US" w:eastAsia="zh-CN"/>
        </w:rPr>
        <w:t>③</w:t>
      </w:r>
      <w:r>
        <w:rPr>
          <w:rFonts w:hint="eastAsia" w:ascii="Arial" w:hAnsi="Arial" w:cs="Arial"/>
          <w:b/>
          <w:bCs w:val="0"/>
          <w:sz w:val="26"/>
          <w:szCs w:val="26"/>
          <w:lang w:val="en-US" w:eastAsia="zh-CN"/>
        </w:rPr>
        <w:t xml:space="preserve"> 集中污水排放源</w:t>
      </w:r>
    </w:p>
    <w:p w14:paraId="73A23B02">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default" w:ascii="Arial" w:hAnsi="Arial" w:cs="Arial"/>
          <w:b w:val="0"/>
          <w:bCs/>
          <w:sz w:val="26"/>
          <w:szCs w:val="26"/>
          <w:lang w:val="en-US" w:eastAsia="zh-CN"/>
        </w:rPr>
        <w:t>根据现场勘查，</w:t>
      </w:r>
      <w:r>
        <w:rPr>
          <w:rFonts w:hint="eastAsia" w:ascii="Arial" w:hAnsi="Arial" w:cs="Arial"/>
          <w:b w:val="0"/>
          <w:bCs/>
          <w:sz w:val="26"/>
          <w:szCs w:val="26"/>
          <w:lang w:val="en-US" w:eastAsia="zh-CN"/>
        </w:rPr>
        <w:t>海螺沟水库淹没区、集雨范围内、坝下减水河段内均为农村，无规模化的集中污水排放源。同时根据《重庆市丰都县国民经济和社会发展第十四个五年规划和二〇三五年远景目标纲要》“丰都府</w:t>
      </w:r>
      <w:r>
        <w:rPr>
          <w:rFonts w:hint="default" w:ascii="Arial" w:hAnsi="Arial" w:cs="Arial"/>
          <w:b w:val="0"/>
          <w:bCs/>
          <w:sz w:val="26"/>
          <w:szCs w:val="26"/>
          <w:lang w:val="en-US" w:eastAsia="zh-CN"/>
        </w:rPr>
        <w:t>办</w:t>
      </w:r>
      <w:r>
        <w:rPr>
          <w:rFonts w:hint="default" w:ascii="Arial" w:hAnsi="Arial" w:eastAsia="宋体" w:cs="Arial"/>
          <w:b w:val="0"/>
          <w:bCs/>
          <w:sz w:val="26"/>
          <w:szCs w:val="26"/>
          <w:lang w:val="en-US" w:eastAsia="zh-CN"/>
        </w:rPr>
        <w:t>〔2021〕4号</w:t>
      </w:r>
      <w:r>
        <w:rPr>
          <w:rFonts w:hint="eastAsia" w:ascii="宋体" w:hAnsi="宋体" w:eastAsia="宋体" w:cs="宋体"/>
          <w:b w:val="0"/>
          <w:bCs/>
          <w:sz w:val="26"/>
          <w:szCs w:val="26"/>
          <w:lang w:val="en-US" w:eastAsia="zh-CN"/>
        </w:rPr>
        <w:t>”，海螺沟水库所在流域沿岸主要发展农业，未规划布置集中式工业园区、大型工矿企业，不会新增入河拍入口。</w:t>
      </w:r>
    </w:p>
    <w:p w14:paraId="1BD2D43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宋体" w:hAnsi="宋体" w:cs="宋体"/>
          <w:spacing w:val="-12"/>
          <w:sz w:val="26"/>
          <w:szCs w:val="26"/>
          <w:lang w:eastAsia="zh-CN"/>
        </w:rPr>
      </w:pPr>
      <w:r>
        <w:rPr>
          <w:rFonts w:hint="eastAsia" w:ascii="Arial" w:hAnsi="宋体" w:cs="Arial"/>
          <w:bCs/>
          <w:sz w:val="26"/>
          <w:szCs w:val="26"/>
          <w:lang w:eastAsia="zh-CN"/>
        </w:rPr>
        <w:t>海螺沟水库人饮供水区主要包括双龙社区、回龙场村、田家山村合计约</w:t>
      </w:r>
      <w:r>
        <w:rPr>
          <w:rFonts w:hint="eastAsia" w:ascii="Arial" w:hAnsi="宋体" w:cs="Arial"/>
          <w:bCs/>
          <w:sz w:val="26"/>
          <w:szCs w:val="26"/>
          <w:lang w:val="en-US" w:eastAsia="zh-CN"/>
        </w:rPr>
        <w:t>7000名农村居民</w:t>
      </w:r>
      <w:r>
        <w:rPr>
          <w:rFonts w:hint="eastAsia" w:ascii="Arial" w:hAnsi="宋体" w:cs="Arial"/>
          <w:bCs/>
          <w:sz w:val="26"/>
          <w:szCs w:val="26"/>
          <w:lang w:eastAsia="zh-CN"/>
        </w:rPr>
        <w:t>，灌区主要集中在双龙社区、回龙场村合计约</w:t>
      </w:r>
      <w:r>
        <w:rPr>
          <w:rFonts w:hint="eastAsia" w:ascii="Arial" w:hAnsi="宋体" w:cs="Arial"/>
          <w:bCs/>
          <w:sz w:val="26"/>
          <w:szCs w:val="26"/>
          <w:lang w:val="en-US" w:eastAsia="zh-CN"/>
        </w:rPr>
        <w:t>2000亩耕地。</w:t>
      </w:r>
      <w:r>
        <w:rPr>
          <w:rFonts w:hint="eastAsia" w:ascii="Arial" w:hAnsi="宋体" w:cs="Arial"/>
          <w:bCs/>
          <w:sz w:val="26"/>
          <w:szCs w:val="26"/>
        </w:rPr>
        <w:t>根据调查，</w:t>
      </w:r>
      <w:r>
        <w:rPr>
          <w:rFonts w:hint="eastAsia" w:ascii="Arial" w:hAnsi="宋体" w:cs="Arial"/>
          <w:bCs/>
          <w:sz w:val="26"/>
          <w:szCs w:val="26"/>
          <w:lang w:eastAsia="zh-CN"/>
        </w:rPr>
        <w:t>海螺沟水库向双龙社区所供生活用水产生的污废水，经双龙镇污水处理厂集中深度处理达标后，进入双龙河；向回龙场村所供生活用水产生的污废水，主要由各农村居民家自建旱厕收集处理后，循序用作农肥，未直接进入河道。灌区采取管道供水，</w:t>
      </w:r>
      <w:r>
        <w:rPr>
          <w:rFonts w:ascii="宋体" w:hAnsi="宋体" w:eastAsia="宋体" w:cs="宋体"/>
          <w:spacing w:val="-12"/>
          <w:sz w:val="26"/>
          <w:szCs w:val="26"/>
        </w:rPr>
        <w:t>通过植物吸收、蒸发，</w:t>
      </w:r>
      <w:r>
        <w:rPr>
          <w:rFonts w:hint="eastAsia" w:ascii="宋体" w:hAnsi="宋体" w:cs="宋体"/>
          <w:spacing w:val="-12"/>
          <w:sz w:val="26"/>
          <w:szCs w:val="26"/>
          <w:lang w:eastAsia="zh-CN"/>
        </w:rPr>
        <w:t>回归天然河道，主要进入高洞桥河、双龙河。</w:t>
      </w:r>
    </w:p>
    <w:p w14:paraId="2E2439D2">
      <w:pPr>
        <w:keepNext w:val="0"/>
        <w:keepLines w:val="0"/>
        <w:pageBreakBefore w:val="0"/>
        <w:widowControl w:val="0"/>
        <w:kinsoku/>
        <w:wordWrap/>
        <w:overflowPunct/>
        <w:topLinePunct w:val="0"/>
        <w:autoSpaceDE/>
        <w:autoSpaceDN/>
        <w:bidi w:val="0"/>
        <w:adjustRightInd/>
        <w:snapToGrid/>
        <w:spacing w:line="460" w:lineRule="exact"/>
        <w:ind w:left="0" w:right="0" w:firstLine="0" w:firstLineChars="0"/>
        <w:jc w:val="center"/>
        <w:textAlignment w:val="auto"/>
        <w:rPr>
          <w:rFonts w:hint="default" w:ascii="Arial" w:hAnsi="Arial" w:cs="Arial"/>
          <w:b/>
          <w:bCs/>
          <w:spacing w:val="-12"/>
          <w:sz w:val="26"/>
          <w:szCs w:val="26"/>
          <w:lang w:val="en-US" w:eastAsia="zh-CN"/>
        </w:rPr>
      </w:pPr>
      <w:r>
        <w:rPr>
          <w:rFonts w:hint="default" w:ascii="Arial" w:hAnsi="Arial" w:cs="Arial"/>
          <w:b/>
          <w:bCs/>
          <w:spacing w:val="-12"/>
          <w:sz w:val="26"/>
          <w:szCs w:val="26"/>
          <w:lang w:eastAsia="zh-CN"/>
        </w:rPr>
        <w:t>表</w:t>
      </w:r>
      <w:r>
        <w:rPr>
          <w:rFonts w:hint="default" w:ascii="Arial" w:hAnsi="Arial" w:cs="Arial"/>
          <w:b/>
          <w:bCs/>
          <w:spacing w:val="-12"/>
          <w:sz w:val="26"/>
          <w:szCs w:val="26"/>
          <w:lang w:val="en-US" w:eastAsia="zh-CN"/>
        </w:rPr>
        <w:t>4.3-2 退水区主要污染排放口情况统计表</w:t>
      </w:r>
    </w:p>
    <w:tbl>
      <w:tblPr>
        <w:tblStyle w:val="77"/>
        <w:tblW w:w="5017" w:type="pct"/>
        <w:jc w:val="center"/>
        <w:tblLayout w:type="autofit"/>
        <w:tblCellMar>
          <w:top w:w="0" w:type="dxa"/>
          <w:left w:w="108" w:type="dxa"/>
          <w:bottom w:w="0" w:type="dxa"/>
          <w:right w:w="108" w:type="dxa"/>
        </w:tblCellMar>
      </w:tblPr>
      <w:tblGrid>
        <w:gridCol w:w="689"/>
        <w:gridCol w:w="1334"/>
        <w:gridCol w:w="1325"/>
        <w:gridCol w:w="1069"/>
        <w:gridCol w:w="1029"/>
        <w:gridCol w:w="3639"/>
      </w:tblGrid>
      <w:tr w14:paraId="30429053">
        <w:tblPrEx>
          <w:tblCellMar>
            <w:top w:w="0" w:type="dxa"/>
            <w:left w:w="108" w:type="dxa"/>
            <w:bottom w:w="0" w:type="dxa"/>
            <w:right w:w="108" w:type="dxa"/>
          </w:tblCellMar>
        </w:tblPrEx>
        <w:trPr>
          <w:trHeight w:val="473" w:hRule="atLeast"/>
          <w:jc w:val="center"/>
        </w:trPr>
        <w:tc>
          <w:tcPr>
            <w:tcW w:w="379" w:type="pct"/>
            <w:tcBorders>
              <w:top w:val="single" w:color="auto" w:sz="12" w:space="0"/>
              <w:left w:val="single" w:color="auto" w:sz="12" w:space="0"/>
              <w:bottom w:val="single" w:color="auto" w:sz="4" w:space="0"/>
              <w:right w:val="single" w:color="auto" w:sz="4" w:space="0"/>
            </w:tcBorders>
            <w:vAlign w:val="center"/>
          </w:tcPr>
          <w:p w14:paraId="414A7C50">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val="en-US" w:eastAsia="zh-CN"/>
              </w:rPr>
            </w:pPr>
            <w:r>
              <w:rPr>
                <w:rFonts w:hint="default" w:ascii="Arial" w:hAnsi="Arial" w:cs="Arial"/>
                <w:bCs/>
                <w:kern w:val="0"/>
                <w:sz w:val="22"/>
                <w:szCs w:val="22"/>
                <w:lang w:eastAsia="zh-CN"/>
              </w:rPr>
              <w:t>序号</w:t>
            </w:r>
          </w:p>
        </w:tc>
        <w:tc>
          <w:tcPr>
            <w:tcW w:w="734" w:type="pct"/>
            <w:tcBorders>
              <w:top w:val="single" w:color="auto" w:sz="12" w:space="0"/>
              <w:left w:val="single" w:color="auto" w:sz="4" w:space="0"/>
              <w:bottom w:val="single" w:color="auto" w:sz="4" w:space="0"/>
              <w:right w:val="single" w:color="auto" w:sz="4" w:space="0"/>
            </w:tcBorders>
            <w:vAlign w:val="center"/>
          </w:tcPr>
          <w:p w14:paraId="36C2EC2C">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eastAsia="zh-CN"/>
              </w:rPr>
            </w:pPr>
            <w:r>
              <w:rPr>
                <w:rFonts w:hint="default" w:ascii="Arial" w:hAnsi="Arial" w:cs="Arial"/>
                <w:bCs/>
                <w:kern w:val="0"/>
                <w:sz w:val="22"/>
                <w:szCs w:val="22"/>
                <w:lang w:eastAsia="zh-CN"/>
              </w:rPr>
              <w:t>排污口名称</w:t>
            </w:r>
          </w:p>
        </w:tc>
        <w:tc>
          <w:tcPr>
            <w:tcW w:w="729" w:type="pct"/>
            <w:tcBorders>
              <w:top w:val="single" w:color="auto" w:sz="12" w:space="0"/>
              <w:left w:val="single" w:color="auto" w:sz="4" w:space="0"/>
              <w:bottom w:val="single" w:color="auto" w:sz="4" w:space="0"/>
              <w:right w:val="single" w:color="auto" w:sz="4" w:space="0"/>
            </w:tcBorders>
            <w:vAlign w:val="center"/>
          </w:tcPr>
          <w:p w14:paraId="4302F3EA">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eastAsia="zh-CN"/>
              </w:rPr>
            </w:pPr>
            <w:r>
              <w:rPr>
                <w:rFonts w:hint="default" w:ascii="Arial" w:hAnsi="Arial" w:cs="Arial"/>
                <w:bCs/>
                <w:kern w:val="0"/>
                <w:sz w:val="22"/>
                <w:szCs w:val="22"/>
                <w:lang w:eastAsia="zh-CN"/>
              </w:rPr>
              <w:t>位置</w:t>
            </w:r>
          </w:p>
        </w:tc>
        <w:tc>
          <w:tcPr>
            <w:tcW w:w="588" w:type="pct"/>
            <w:tcBorders>
              <w:top w:val="single" w:color="auto" w:sz="12" w:space="0"/>
              <w:left w:val="single" w:color="auto" w:sz="4" w:space="0"/>
              <w:bottom w:val="single" w:color="auto" w:sz="4" w:space="0"/>
              <w:right w:val="single" w:color="auto" w:sz="4" w:space="0"/>
            </w:tcBorders>
            <w:vAlign w:val="center"/>
          </w:tcPr>
          <w:p w14:paraId="06560E5A">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eastAsia="zh-CN"/>
              </w:rPr>
            </w:pPr>
            <w:r>
              <w:rPr>
                <w:rFonts w:hint="default" w:ascii="Arial" w:hAnsi="Arial" w:cs="Arial"/>
                <w:bCs/>
                <w:kern w:val="0"/>
                <w:sz w:val="22"/>
                <w:szCs w:val="22"/>
                <w:lang w:eastAsia="zh-CN"/>
              </w:rPr>
              <w:t>受纳</w:t>
            </w:r>
          </w:p>
          <w:p w14:paraId="3D6F775A">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eastAsia="zh-CN"/>
              </w:rPr>
            </w:pPr>
            <w:r>
              <w:rPr>
                <w:rFonts w:hint="default" w:ascii="Arial" w:hAnsi="Arial" w:cs="Arial"/>
                <w:bCs/>
                <w:kern w:val="0"/>
                <w:sz w:val="22"/>
                <w:szCs w:val="22"/>
                <w:lang w:eastAsia="zh-CN"/>
              </w:rPr>
              <w:t>水体</w:t>
            </w:r>
          </w:p>
        </w:tc>
        <w:tc>
          <w:tcPr>
            <w:tcW w:w="566" w:type="pct"/>
            <w:tcBorders>
              <w:top w:val="single" w:color="auto" w:sz="12" w:space="0"/>
              <w:left w:val="single" w:color="auto" w:sz="4" w:space="0"/>
              <w:bottom w:val="single" w:color="auto" w:sz="4" w:space="0"/>
              <w:right w:val="single" w:color="auto" w:sz="4" w:space="0"/>
            </w:tcBorders>
            <w:vAlign w:val="center"/>
          </w:tcPr>
          <w:p w14:paraId="4E880952">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eastAsia="zh-CN"/>
              </w:rPr>
            </w:pPr>
            <w:r>
              <w:rPr>
                <w:rFonts w:hint="default" w:ascii="Arial" w:hAnsi="Arial" w:cs="Arial"/>
                <w:bCs/>
                <w:kern w:val="0"/>
                <w:sz w:val="22"/>
                <w:szCs w:val="22"/>
                <w:lang w:eastAsia="zh-CN"/>
              </w:rPr>
              <w:t>污水量</w:t>
            </w:r>
          </w:p>
        </w:tc>
        <w:tc>
          <w:tcPr>
            <w:tcW w:w="2001" w:type="pct"/>
            <w:tcBorders>
              <w:top w:val="single" w:color="auto" w:sz="12" w:space="0"/>
              <w:left w:val="single" w:color="auto" w:sz="4" w:space="0"/>
              <w:bottom w:val="single" w:color="auto" w:sz="4" w:space="0"/>
              <w:right w:val="single" w:color="auto" w:sz="12" w:space="0"/>
            </w:tcBorders>
            <w:vAlign w:val="center"/>
          </w:tcPr>
          <w:p w14:paraId="38ADDC50">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val="en-US" w:eastAsia="zh-CN"/>
              </w:rPr>
            </w:pPr>
            <w:r>
              <w:rPr>
                <w:rFonts w:hint="default" w:ascii="Arial" w:hAnsi="Arial" w:cs="Arial"/>
                <w:bCs/>
                <w:kern w:val="0"/>
                <w:sz w:val="22"/>
                <w:szCs w:val="22"/>
                <w:lang w:eastAsia="zh-CN"/>
              </w:rPr>
              <w:t>执行排放标准</w:t>
            </w:r>
          </w:p>
        </w:tc>
      </w:tr>
      <w:tr w14:paraId="1F328A37">
        <w:tblPrEx>
          <w:tblCellMar>
            <w:top w:w="0" w:type="dxa"/>
            <w:left w:w="108" w:type="dxa"/>
            <w:bottom w:w="0" w:type="dxa"/>
            <w:right w:w="108" w:type="dxa"/>
          </w:tblCellMar>
        </w:tblPrEx>
        <w:trPr>
          <w:trHeight w:val="473" w:hRule="atLeast"/>
          <w:jc w:val="center"/>
        </w:trPr>
        <w:tc>
          <w:tcPr>
            <w:tcW w:w="379" w:type="pct"/>
            <w:tcBorders>
              <w:top w:val="single" w:color="auto" w:sz="4" w:space="0"/>
              <w:left w:val="single" w:color="auto" w:sz="12" w:space="0"/>
              <w:bottom w:val="single" w:color="auto" w:sz="12" w:space="0"/>
              <w:right w:val="single" w:color="auto" w:sz="4" w:space="0"/>
            </w:tcBorders>
            <w:vAlign w:val="center"/>
          </w:tcPr>
          <w:p w14:paraId="22D844D5">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val="en-US" w:eastAsia="zh-CN"/>
              </w:rPr>
            </w:pPr>
            <w:r>
              <w:rPr>
                <w:rFonts w:hint="default" w:ascii="Arial" w:hAnsi="Arial" w:cs="Arial"/>
                <w:bCs/>
                <w:kern w:val="0"/>
                <w:sz w:val="22"/>
                <w:szCs w:val="22"/>
                <w:lang w:val="en-US" w:eastAsia="zh-CN"/>
              </w:rPr>
              <w:t>1</w:t>
            </w:r>
          </w:p>
        </w:tc>
        <w:tc>
          <w:tcPr>
            <w:tcW w:w="734" w:type="pct"/>
            <w:tcBorders>
              <w:top w:val="single" w:color="auto" w:sz="4" w:space="0"/>
              <w:left w:val="single" w:color="auto" w:sz="4" w:space="0"/>
              <w:bottom w:val="single" w:color="auto" w:sz="12" w:space="0"/>
              <w:right w:val="single" w:color="auto" w:sz="4" w:space="0"/>
            </w:tcBorders>
            <w:vAlign w:val="center"/>
          </w:tcPr>
          <w:p w14:paraId="47BDBF11">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eastAsia="zh-CN"/>
              </w:rPr>
            </w:pPr>
            <w:r>
              <w:rPr>
                <w:rFonts w:hint="default" w:ascii="Arial" w:hAnsi="Arial" w:cs="Arial"/>
                <w:bCs/>
                <w:sz w:val="22"/>
                <w:szCs w:val="22"/>
                <w:lang w:eastAsia="zh-CN"/>
              </w:rPr>
              <w:t>双龙镇污水处理厂</w:t>
            </w:r>
          </w:p>
        </w:tc>
        <w:tc>
          <w:tcPr>
            <w:tcW w:w="729" w:type="pct"/>
            <w:tcBorders>
              <w:top w:val="single" w:color="auto" w:sz="4" w:space="0"/>
              <w:left w:val="single" w:color="auto" w:sz="4" w:space="0"/>
              <w:bottom w:val="single" w:color="auto" w:sz="12" w:space="0"/>
              <w:right w:val="single" w:color="auto" w:sz="4" w:space="0"/>
            </w:tcBorders>
            <w:vAlign w:val="center"/>
          </w:tcPr>
          <w:p w14:paraId="776C9521">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val="en-US" w:eastAsia="zh-CN"/>
              </w:rPr>
            </w:pPr>
            <w:r>
              <w:rPr>
                <w:rFonts w:hint="default" w:ascii="Arial" w:hAnsi="Arial" w:cs="Arial"/>
                <w:bCs/>
                <w:kern w:val="0"/>
                <w:sz w:val="22"/>
                <w:szCs w:val="22"/>
                <w:lang w:eastAsia="zh-CN"/>
              </w:rPr>
              <w:t>双龙村</w:t>
            </w:r>
            <w:r>
              <w:rPr>
                <w:rFonts w:hint="default" w:ascii="Arial" w:hAnsi="Arial" w:cs="Arial"/>
                <w:bCs/>
                <w:kern w:val="0"/>
                <w:sz w:val="22"/>
                <w:szCs w:val="22"/>
                <w:lang w:val="en-US" w:eastAsia="zh-CN"/>
              </w:rPr>
              <w:t>2社</w:t>
            </w:r>
          </w:p>
        </w:tc>
        <w:tc>
          <w:tcPr>
            <w:tcW w:w="588" w:type="pct"/>
            <w:tcBorders>
              <w:top w:val="single" w:color="auto" w:sz="4" w:space="0"/>
              <w:left w:val="single" w:color="auto" w:sz="4" w:space="0"/>
              <w:bottom w:val="single" w:color="auto" w:sz="12" w:space="0"/>
              <w:right w:val="single" w:color="auto" w:sz="4" w:space="0"/>
            </w:tcBorders>
            <w:vAlign w:val="center"/>
          </w:tcPr>
          <w:p w14:paraId="4BB107D5">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eastAsia="zh-CN"/>
              </w:rPr>
            </w:pPr>
            <w:r>
              <w:rPr>
                <w:rFonts w:hint="default" w:ascii="Arial" w:hAnsi="Arial" w:cs="Arial"/>
                <w:bCs/>
                <w:kern w:val="0"/>
                <w:sz w:val="22"/>
                <w:szCs w:val="22"/>
                <w:lang w:eastAsia="zh-CN"/>
              </w:rPr>
              <w:t>双龙河</w:t>
            </w:r>
          </w:p>
        </w:tc>
        <w:tc>
          <w:tcPr>
            <w:tcW w:w="566" w:type="pct"/>
            <w:tcBorders>
              <w:top w:val="single" w:color="auto" w:sz="4" w:space="0"/>
              <w:left w:val="single" w:color="auto" w:sz="4" w:space="0"/>
              <w:bottom w:val="single" w:color="auto" w:sz="12" w:space="0"/>
              <w:right w:val="single" w:color="auto" w:sz="4" w:space="0"/>
            </w:tcBorders>
            <w:vAlign w:val="center"/>
          </w:tcPr>
          <w:p w14:paraId="65D78530">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val="en-US" w:eastAsia="zh-CN"/>
              </w:rPr>
            </w:pPr>
            <w:r>
              <w:rPr>
                <w:rFonts w:hint="default" w:ascii="Arial" w:hAnsi="Arial" w:cs="Arial"/>
                <w:bCs/>
                <w:kern w:val="0"/>
                <w:sz w:val="22"/>
                <w:szCs w:val="22"/>
                <w:lang w:val="en-US" w:eastAsia="zh-CN"/>
              </w:rPr>
              <w:t>600m</w:t>
            </w:r>
            <w:r>
              <w:rPr>
                <w:rFonts w:hint="default" w:ascii="Arial" w:hAnsi="Arial" w:cs="Arial"/>
                <w:bCs/>
                <w:kern w:val="0"/>
                <w:sz w:val="22"/>
                <w:szCs w:val="22"/>
                <w:vertAlign w:val="superscript"/>
                <w:lang w:val="en-US" w:eastAsia="zh-CN"/>
              </w:rPr>
              <w:t>3</w:t>
            </w:r>
            <w:r>
              <w:rPr>
                <w:rFonts w:hint="default" w:ascii="Arial" w:hAnsi="Arial" w:cs="Arial"/>
                <w:bCs/>
                <w:kern w:val="0"/>
                <w:sz w:val="22"/>
                <w:szCs w:val="22"/>
                <w:lang w:val="en-US" w:eastAsia="zh-CN"/>
              </w:rPr>
              <w:t>/d</w:t>
            </w:r>
          </w:p>
        </w:tc>
        <w:tc>
          <w:tcPr>
            <w:tcW w:w="2001" w:type="pct"/>
            <w:tcBorders>
              <w:top w:val="single" w:color="auto" w:sz="4" w:space="0"/>
              <w:left w:val="single" w:color="auto" w:sz="4" w:space="0"/>
              <w:bottom w:val="single" w:color="auto" w:sz="12" w:space="0"/>
              <w:right w:val="single" w:color="auto" w:sz="12" w:space="0"/>
            </w:tcBorders>
            <w:vAlign w:val="center"/>
          </w:tcPr>
          <w:p w14:paraId="5A19C773">
            <w:pPr>
              <w:pStyle w:val="2102"/>
              <w:keepNext w:val="0"/>
              <w:keepLines w:val="0"/>
              <w:pageBreakBefore w:val="0"/>
              <w:widowControl w:val="0"/>
              <w:kinsoku/>
              <w:wordWrap/>
              <w:overflowPunct/>
              <w:topLinePunct w:val="0"/>
              <w:autoSpaceDE/>
              <w:autoSpaceDN/>
              <w:bidi w:val="0"/>
              <w:spacing w:line="300" w:lineRule="exact"/>
              <w:ind w:left="0" w:right="0" w:firstLine="0"/>
              <w:jc w:val="center"/>
              <w:textAlignment w:val="auto"/>
              <w:rPr>
                <w:rFonts w:hint="default" w:ascii="Arial" w:hAnsi="Arial" w:cs="Arial"/>
                <w:bCs/>
                <w:kern w:val="0"/>
                <w:sz w:val="22"/>
                <w:szCs w:val="22"/>
                <w:lang w:eastAsia="zh-CN"/>
              </w:rPr>
            </w:pPr>
            <w:r>
              <w:rPr>
                <w:rFonts w:hint="default" w:ascii="Arial" w:hAnsi="Arial" w:cs="Arial"/>
                <w:spacing w:val="-1"/>
                <w:sz w:val="22"/>
                <w:szCs w:val="22"/>
              </w:rPr>
              <w:t>《城镇污水处理厂污染物排</w:t>
            </w:r>
            <w:r>
              <w:rPr>
                <w:rFonts w:hint="default" w:ascii="Arial" w:hAnsi="Arial" w:cs="Arial"/>
                <w:spacing w:val="3"/>
                <w:sz w:val="22"/>
                <w:szCs w:val="22"/>
              </w:rPr>
              <w:t>放标准》</w:t>
            </w:r>
            <w:r>
              <w:rPr>
                <w:rFonts w:hint="eastAsia" w:ascii="Arial" w:hAnsi="Arial" w:cs="Arial"/>
                <w:spacing w:val="3"/>
                <w:sz w:val="22"/>
                <w:szCs w:val="22"/>
                <w:lang w:eastAsia="zh-CN"/>
              </w:rPr>
              <w:t>（</w:t>
            </w:r>
            <w:r>
              <w:rPr>
                <w:rFonts w:hint="default" w:ascii="Arial" w:hAnsi="Arial" w:cs="Arial"/>
                <w:sz w:val="22"/>
                <w:szCs w:val="22"/>
              </w:rPr>
              <w:t>GB</w:t>
            </w:r>
            <w:r>
              <w:rPr>
                <w:rFonts w:hint="default" w:ascii="Arial" w:hAnsi="Arial" w:cs="Arial"/>
                <w:spacing w:val="3"/>
                <w:sz w:val="22"/>
                <w:szCs w:val="22"/>
              </w:rPr>
              <w:t>18918-2002</w:t>
            </w:r>
            <w:r>
              <w:rPr>
                <w:rFonts w:hint="eastAsia" w:ascii="Arial" w:hAnsi="Arial" w:cs="Arial"/>
                <w:spacing w:val="3"/>
                <w:sz w:val="22"/>
                <w:szCs w:val="22"/>
                <w:lang w:eastAsia="zh-CN"/>
              </w:rPr>
              <w:t>）中</w:t>
            </w:r>
            <w:r>
              <w:rPr>
                <w:rFonts w:hint="default" w:ascii="Arial" w:hAnsi="Arial" w:cs="Arial"/>
                <w:spacing w:val="10"/>
                <w:sz w:val="22"/>
                <w:szCs w:val="22"/>
              </w:rPr>
              <w:t>一</w:t>
            </w:r>
            <w:r>
              <w:rPr>
                <w:rFonts w:hint="default" w:ascii="Arial" w:hAnsi="Arial" w:cs="Arial"/>
                <w:spacing w:val="-52"/>
                <w:sz w:val="22"/>
                <w:szCs w:val="22"/>
              </w:rPr>
              <w:t xml:space="preserve"> </w:t>
            </w:r>
            <w:r>
              <w:rPr>
                <w:rFonts w:hint="default" w:ascii="Arial" w:hAnsi="Arial" w:cs="Arial"/>
                <w:spacing w:val="10"/>
                <w:sz w:val="22"/>
                <w:szCs w:val="22"/>
              </w:rPr>
              <w:t>级B标</w:t>
            </w:r>
          </w:p>
        </w:tc>
      </w:tr>
    </w:tbl>
    <w:p w14:paraId="36B653BA">
      <w:pPr>
        <w:keepNext w:val="0"/>
        <w:keepLines w:val="0"/>
        <w:pageBreakBefore w:val="0"/>
        <w:widowControl w:val="0"/>
        <w:kinsoku/>
        <w:wordWrap/>
        <w:overflowPunct/>
        <w:topLinePunct w:val="0"/>
        <w:autoSpaceDE/>
        <w:autoSpaceDN/>
        <w:bidi w:val="0"/>
        <w:adjustRightInd/>
        <w:snapToGrid/>
        <w:spacing w:line="240" w:lineRule="exact"/>
        <w:ind w:left="0" w:right="0" w:firstLine="520" w:firstLineChars="200"/>
        <w:jc w:val="both"/>
        <w:textAlignment w:val="auto"/>
        <w:rPr>
          <w:rFonts w:hint="eastAsia" w:ascii="Arial" w:hAnsi="宋体" w:cs="Arial"/>
          <w:bCs/>
          <w:sz w:val="26"/>
          <w:szCs w:val="26"/>
          <w:lang w:eastAsia="zh-CN"/>
        </w:rPr>
      </w:pPr>
    </w:p>
    <w:p w14:paraId="0CA09DCA">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（2）地表水环境质量变化趋势分析</w:t>
      </w:r>
    </w:p>
    <w:p w14:paraId="625752DA">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次拟建海螺沟水库地处渠溪河水系—双龙河支流—高洞桥河支流—海螺沟中游，根据调查，双龙河、高洞桥河、海螺沟均未进行水域功能划分，故未设置例行监测断面。本次评价引用渠溪河东风大桥断面2019~2023年的例行监测数据，来对区域地表水环境质量变化趋势进行分析，该监测断面位于双龙河汇入渠溪河后，渠溪河下游约0.62km处，引用可行。项目所在流域水环境质量变化情况详见表4.3-3所示。</w:t>
      </w:r>
    </w:p>
    <w:p w14:paraId="14BAD17D">
      <w:pPr>
        <w:keepNext w:val="0"/>
        <w:keepLines w:val="0"/>
        <w:pageBreakBefore w:val="0"/>
        <w:widowControl w:val="0"/>
        <w:kinsoku/>
        <w:wordWrap/>
        <w:overflowPunct/>
        <w:topLinePunct w:val="0"/>
        <w:autoSpaceDE/>
        <w:autoSpaceDN/>
        <w:bidi w:val="0"/>
        <w:adjustRightInd/>
        <w:snapToGrid/>
        <w:spacing w:line="460" w:lineRule="exact"/>
        <w:ind w:left="0" w:right="0" w:firstLine="0" w:firstLineChars="0"/>
        <w:jc w:val="center"/>
        <w:textAlignment w:val="auto"/>
        <w:rPr>
          <w:rFonts w:hint="default" w:ascii="Arial" w:hAnsi="Arial" w:cs="Arial"/>
          <w:b/>
          <w:bCs/>
          <w:spacing w:val="-12"/>
          <w:sz w:val="26"/>
          <w:szCs w:val="26"/>
          <w:lang w:val="en-US" w:eastAsia="zh-CN"/>
        </w:rPr>
      </w:pPr>
      <w:r>
        <w:rPr>
          <w:rFonts w:hint="default" w:ascii="Arial" w:hAnsi="Arial" w:cs="Arial"/>
          <w:b/>
          <w:bCs/>
          <w:spacing w:val="-12"/>
          <w:sz w:val="26"/>
          <w:szCs w:val="26"/>
          <w:lang w:eastAsia="zh-CN"/>
        </w:rPr>
        <w:t>表</w:t>
      </w:r>
      <w:r>
        <w:rPr>
          <w:rFonts w:hint="default" w:ascii="Arial" w:hAnsi="Arial" w:cs="Arial"/>
          <w:b/>
          <w:bCs/>
          <w:spacing w:val="-12"/>
          <w:sz w:val="26"/>
          <w:szCs w:val="26"/>
          <w:lang w:val="en-US" w:eastAsia="zh-CN"/>
        </w:rPr>
        <w:t>4.3-</w:t>
      </w:r>
      <w:r>
        <w:rPr>
          <w:rFonts w:hint="eastAsia" w:ascii="Arial" w:hAnsi="Arial" w:cs="Arial"/>
          <w:b/>
          <w:bCs/>
          <w:spacing w:val="-12"/>
          <w:sz w:val="26"/>
          <w:szCs w:val="26"/>
          <w:lang w:val="en-US" w:eastAsia="zh-CN"/>
        </w:rPr>
        <w:t>3</w:t>
      </w:r>
      <w:r>
        <w:rPr>
          <w:rFonts w:hint="default" w:ascii="Arial" w:hAnsi="Arial" w:cs="Arial"/>
          <w:b/>
          <w:bCs/>
          <w:spacing w:val="-12"/>
          <w:sz w:val="26"/>
          <w:szCs w:val="26"/>
          <w:lang w:val="en-US" w:eastAsia="zh-CN"/>
        </w:rPr>
        <w:t xml:space="preserve"> </w:t>
      </w:r>
      <w:r>
        <w:rPr>
          <w:rFonts w:hint="eastAsia" w:ascii="Arial" w:hAnsi="Arial" w:cs="Arial"/>
          <w:b/>
          <w:bCs/>
          <w:spacing w:val="-12"/>
          <w:sz w:val="26"/>
          <w:szCs w:val="26"/>
          <w:lang w:val="en-US" w:eastAsia="zh-CN"/>
        </w:rPr>
        <w:t>渠溪河流域水环境质量变化趋势</w:t>
      </w:r>
      <w:r>
        <w:rPr>
          <w:rFonts w:hint="default" w:ascii="Arial" w:hAnsi="Arial" w:cs="Arial"/>
          <w:b/>
          <w:bCs/>
          <w:spacing w:val="-12"/>
          <w:sz w:val="26"/>
          <w:szCs w:val="26"/>
          <w:lang w:val="en-US" w:eastAsia="zh-CN"/>
        </w:rPr>
        <w:t>统计表</w:t>
      </w:r>
    </w:p>
    <w:tbl>
      <w:tblPr>
        <w:tblStyle w:val="78"/>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664"/>
        <w:gridCol w:w="889"/>
        <w:gridCol w:w="706"/>
        <w:gridCol w:w="1012"/>
        <w:gridCol w:w="1012"/>
        <w:gridCol w:w="1012"/>
        <w:gridCol w:w="1012"/>
        <w:gridCol w:w="1012"/>
        <w:gridCol w:w="1078"/>
      </w:tblGrid>
      <w:tr w14:paraId="2E76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3" w:type="dxa"/>
            <w:vMerge w:val="restart"/>
            <w:vAlign w:val="center"/>
          </w:tcPr>
          <w:p w14:paraId="5596E6D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河流</w:t>
            </w:r>
          </w:p>
        </w:tc>
        <w:tc>
          <w:tcPr>
            <w:tcW w:w="664" w:type="dxa"/>
            <w:vMerge w:val="restart"/>
            <w:vAlign w:val="center"/>
          </w:tcPr>
          <w:p w14:paraId="3F66EDD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断面</w:t>
            </w:r>
          </w:p>
        </w:tc>
        <w:tc>
          <w:tcPr>
            <w:tcW w:w="889" w:type="dxa"/>
            <w:vMerge w:val="restart"/>
            <w:vAlign w:val="center"/>
          </w:tcPr>
          <w:p w14:paraId="1EA07F0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项目</w:t>
            </w:r>
          </w:p>
        </w:tc>
        <w:tc>
          <w:tcPr>
            <w:tcW w:w="706" w:type="dxa"/>
            <w:vMerge w:val="restart"/>
            <w:vAlign w:val="center"/>
          </w:tcPr>
          <w:p w14:paraId="0E5AC7D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单位</w:t>
            </w:r>
          </w:p>
        </w:tc>
        <w:tc>
          <w:tcPr>
            <w:tcW w:w="5060" w:type="dxa"/>
            <w:gridSpan w:val="5"/>
            <w:vAlign w:val="center"/>
          </w:tcPr>
          <w:p w14:paraId="688D423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年均值</w:t>
            </w:r>
          </w:p>
        </w:tc>
        <w:tc>
          <w:tcPr>
            <w:tcW w:w="1078" w:type="dxa"/>
            <w:vMerge w:val="restart"/>
            <w:vAlign w:val="center"/>
          </w:tcPr>
          <w:p w14:paraId="32CEEE7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标准限值</w:t>
            </w:r>
          </w:p>
        </w:tc>
      </w:tr>
      <w:tr w14:paraId="0BA6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72332BC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6AC116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vMerge w:val="continue"/>
            <w:vAlign w:val="center"/>
          </w:tcPr>
          <w:p w14:paraId="1A3120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706" w:type="dxa"/>
            <w:vMerge w:val="continue"/>
            <w:vAlign w:val="center"/>
          </w:tcPr>
          <w:p w14:paraId="4FCAAA3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4E73825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2019年</w:t>
            </w:r>
          </w:p>
        </w:tc>
        <w:tc>
          <w:tcPr>
            <w:tcW w:w="1012" w:type="dxa"/>
            <w:vAlign w:val="center"/>
          </w:tcPr>
          <w:p w14:paraId="3467D41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2020年</w:t>
            </w:r>
          </w:p>
        </w:tc>
        <w:tc>
          <w:tcPr>
            <w:tcW w:w="1012" w:type="dxa"/>
            <w:vAlign w:val="center"/>
          </w:tcPr>
          <w:p w14:paraId="7154C96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2021年</w:t>
            </w:r>
          </w:p>
        </w:tc>
        <w:tc>
          <w:tcPr>
            <w:tcW w:w="1012" w:type="dxa"/>
            <w:vAlign w:val="center"/>
          </w:tcPr>
          <w:p w14:paraId="4673748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2022年</w:t>
            </w:r>
          </w:p>
        </w:tc>
        <w:tc>
          <w:tcPr>
            <w:tcW w:w="1012" w:type="dxa"/>
            <w:vAlign w:val="center"/>
          </w:tcPr>
          <w:p w14:paraId="2EAD3F9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2023年</w:t>
            </w:r>
          </w:p>
        </w:tc>
        <w:tc>
          <w:tcPr>
            <w:tcW w:w="1078" w:type="dxa"/>
            <w:vMerge w:val="continue"/>
            <w:vAlign w:val="center"/>
          </w:tcPr>
          <w:p w14:paraId="29D59DF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p>
        </w:tc>
      </w:tr>
      <w:tr w14:paraId="7CD7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restart"/>
            <w:shd w:val="clear" w:color="auto" w:fill="auto"/>
            <w:vAlign w:val="center"/>
          </w:tcPr>
          <w:p w14:paraId="5B7ED76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渠溪河</w:t>
            </w:r>
          </w:p>
        </w:tc>
        <w:tc>
          <w:tcPr>
            <w:tcW w:w="664" w:type="dxa"/>
            <w:vMerge w:val="restart"/>
            <w:shd w:val="clear" w:color="auto" w:fill="auto"/>
            <w:vAlign w:val="center"/>
          </w:tcPr>
          <w:p w14:paraId="36DC8D3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东风大桥断面</w:t>
            </w:r>
          </w:p>
        </w:tc>
        <w:tc>
          <w:tcPr>
            <w:tcW w:w="889" w:type="dxa"/>
            <w:vAlign w:val="center"/>
          </w:tcPr>
          <w:p w14:paraId="6D880B3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pH</w:t>
            </w:r>
          </w:p>
        </w:tc>
        <w:tc>
          <w:tcPr>
            <w:tcW w:w="706" w:type="dxa"/>
            <w:vAlign w:val="center"/>
          </w:tcPr>
          <w:p w14:paraId="1695005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无量纲</w:t>
            </w:r>
          </w:p>
        </w:tc>
        <w:tc>
          <w:tcPr>
            <w:tcW w:w="1012" w:type="dxa"/>
            <w:vAlign w:val="center"/>
          </w:tcPr>
          <w:p w14:paraId="161CB0F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7.9</w:t>
            </w:r>
          </w:p>
        </w:tc>
        <w:tc>
          <w:tcPr>
            <w:tcW w:w="1012" w:type="dxa"/>
            <w:vAlign w:val="center"/>
          </w:tcPr>
          <w:p w14:paraId="3D2F043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w:t>
            </w:r>
          </w:p>
        </w:tc>
        <w:tc>
          <w:tcPr>
            <w:tcW w:w="1012" w:type="dxa"/>
            <w:vAlign w:val="center"/>
          </w:tcPr>
          <w:p w14:paraId="7E9A1AD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8</w:t>
            </w:r>
          </w:p>
        </w:tc>
        <w:tc>
          <w:tcPr>
            <w:tcW w:w="1012" w:type="dxa"/>
            <w:vAlign w:val="center"/>
          </w:tcPr>
          <w:p w14:paraId="1954B92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8</w:t>
            </w:r>
          </w:p>
        </w:tc>
        <w:tc>
          <w:tcPr>
            <w:tcW w:w="1012" w:type="dxa"/>
            <w:vAlign w:val="center"/>
          </w:tcPr>
          <w:p w14:paraId="16F0D2F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8</w:t>
            </w:r>
          </w:p>
        </w:tc>
        <w:tc>
          <w:tcPr>
            <w:tcW w:w="1078" w:type="dxa"/>
            <w:vAlign w:val="center"/>
          </w:tcPr>
          <w:p w14:paraId="69FD854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6~9</w:t>
            </w:r>
          </w:p>
        </w:tc>
      </w:tr>
      <w:tr w14:paraId="0BB3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E34AF9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21E8E73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0916545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DO</w:t>
            </w:r>
          </w:p>
        </w:tc>
        <w:tc>
          <w:tcPr>
            <w:tcW w:w="706" w:type="dxa"/>
            <w:vMerge w:val="restart"/>
            <w:vAlign w:val="center"/>
          </w:tcPr>
          <w:p w14:paraId="1B9B4FE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mg/L</w:t>
            </w:r>
          </w:p>
        </w:tc>
        <w:tc>
          <w:tcPr>
            <w:tcW w:w="1012" w:type="dxa"/>
            <w:vAlign w:val="center"/>
          </w:tcPr>
          <w:p w14:paraId="4C2DE6E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7.8</w:t>
            </w:r>
          </w:p>
        </w:tc>
        <w:tc>
          <w:tcPr>
            <w:tcW w:w="1012" w:type="dxa"/>
            <w:vAlign w:val="center"/>
          </w:tcPr>
          <w:p w14:paraId="2A4AA9F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8.5</w:t>
            </w:r>
          </w:p>
        </w:tc>
        <w:tc>
          <w:tcPr>
            <w:tcW w:w="1012" w:type="dxa"/>
            <w:vAlign w:val="center"/>
          </w:tcPr>
          <w:p w14:paraId="33B2BF8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7.9</w:t>
            </w:r>
          </w:p>
        </w:tc>
        <w:tc>
          <w:tcPr>
            <w:tcW w:w="1012" w:type="dxa"/>
            <w:vAlign w:val="center"/>
          </w:tcPr>
          <w:p w14:paraId="783F08B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7.9</w:t>
            </w:r>
          </w:p>
        </w:tc>
        <w:tc>
          <w:tcPr>
            <w:tcW w:w="1012" w:type="dxa"/>
            <w:vAlign w:val="center"/>
          </w:tcPr>
          <w:p w14:paraId="4FA34E3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7.6</w:t>
            </w:r>
          </w:p>
        </w:tc>
        <w:tc>
          <w:tcPr>
            <w:tcW w:w="1078" w:type="dxa"/>
            <w:vAlign w:val="center"/>
          </w:tcPr>
          <w:p w14:paraId="6B3D644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≥5</w:t>
            </w:r>
          </w:p>
        </w:tc>
      </w:tr>
      <w:tr w14:paraId="65D2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20CDB03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2F320CF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7F34E3E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高锰酸盐指数</w:t>
            </w:r>
          </w:p>
        </w:tc>
        <w:tc>
          <w:tcPr>
            <w:tcW w:w="706" w:type="dxa"/>
            <w:vMerge w:val="continue"/>
            <w:vAlign w:val="center"/>
          </w:tcPr>
          <w:p w14:paraId="78999E4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4F541C5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3.6</w:t>
            </w:r>
          </w:p>
        </w:tc>
        <w:tc>
          <w:tcPr>
            <w:tcW w:w="1012" w:type="dxa"/>
            <w:vAlign w:val="center"/>
          </w:tcPr>
          <w:p w14:paraId="13E77FE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4.3</w:t>
            </w:r>
          </w:p>
        </w:tc>
        <w:tc>
          <w:tcPr>
            <w:tcW w:w="1012" w:type="dxa"/>
            <w:vAlign w:val="center"/>
          </w:tcPr>
          <w:p w14:paraId="0B26847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4.0</w:t>
            </w:r>
          </w:p>
        </w:tc>
        <w:tc>
          <w:tcPr>
            <w:tcW w:w="1012" w:type="dxa"/>
            <w:vAlign w:val="center"/>
          </w:tcPr>
          <w:p w14:paraId="6AA9C54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4.5</w:t>
            </w:r>
          </w:p>
        </w:tc>
        <w:tc>
          <w:tcPr>
            <w:tcW w:w="1012" w:type="dxa"/>
            <w:vAlign w:val="center"/>
          </w:tcPr>
          <w:p w14:paraId="65FCACE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4.0</w:t>
            </w:r>
          </w:p>
        </w:tc>
        <w:tc>
          <w:tcPr>
            <w:tcW w:w="1078" w:type="dxa"/>
            <w:vAlign w:val="center"/>
          </w:tcPr>
          <w:p w14:paraId="4B97ABC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≤6</w:t>
            </w:r>
          </w:p>
        </w:tc>
      </w:tr>
      <w:tr w14:paraId="3A29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83" w:type="dxa"/>
            <w:vMerge w:val="continue"/>
            <w:vAlign w:val="center"/>
          </w:tcPr>
          <w:p w14:paraId="144653D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7F76B86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F23746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COD</w:t>
            </w:r>
          </w:p>
        </w:tc>
        <w:tc>
          <w:tcPr>
            <w:tcW w:w="706" w:type="dxa"/>
            <w:vMerge w:val="continue"/>
            <w:vAlign w:val="center"/>
          </w:tcPr>
          <w:p w14:paraId="5773F93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60CDE21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14.2</w:t>
            </w:r>
          </w:p>
        </w:tc>
        <w:tc>
          <w:tcPr>
            <w:tcW w:w="1012" w:type="dxa"/>
            <w:vAlign w:val="center"/>
          </w:tcPr>
          <w:p w14:paraId="7C11DFF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14.3</w:t>
            </w:r>
          </w:p>
        </w:tc>
        <w:tc>
          <w:tcPr>
            <w:tcW w:w="1012" w:type="dxa"/>
            <w:vAlign w:val="center"/>
          </w:tcPr>
          <w:p w14:paraId="2B27244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15</w:t>
            </w:r>
          </w:p>
        </w:tc>
        <w:tc>
          <w:tcPr>
            <w:tcW w:w="1012" w:type="dxa"/>
            <w:vAlign w:val="center"/>
          </w:tcPr>
          <w:p w14:paraId="101356A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12.8</w:t>
            </w:r>
          </w:p>
        </w:tc>
        <w:tc>
          <w:tcPr>
            <w:tcW w:w="1012" w:type="dxa"/>
            <w:vAlign w:val="center"/>
          </w:tcPr>
          <w:p w14:paraId="7B5A61E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16.8</w:t>
            </w:r>
          </w:p>
        </w:tc>
        <w:tc>
          <w:tcPr>
            <w:tcW w:w="1078" w:type="dxa"/>
            <w:vAlign w:val="center"/>
          </w:tcPr>
          <w:p w14:paraId="4EF4EA5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w:t>
            </w:r>
          </w:p>
        </w:tc>
      </w:tr>
      <w:tr w14:paraId="7852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476429D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473E1F7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0B740C0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BOD</w:t>
            </w:r>
            <w:r>
              <w:rPr>
                <w:rFonts w:hint="eastAsia" w:ascii="Arial" w:hAnsi="Arial" w:cs="Arial"/>
                <w:b w:val="0"/>
                <w:bCs/>
                <w:sz w:val="22"/>
                <w:szCs w:val="22"/>
                <w:vertAlign w:val="subscript"/>
                <w:lang w:val="en-US" w:eastAsia="zh-CN"/>
              </w:rPr>
              <w:t>5</w:t>
            </w:r>
          </w:p>
        </w:tc>
        <w:tc>
          <w:tcPr>
            <w:tcW w:w="706" w:type="dxa"/>
            <w:vMerge w:val="continue"/>
            <w:vAlign w:val="center"/>
          </w:tcPr>
          <w:p w14:paraId="2C6B009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46196AA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1.7</w:t>
            </w:r>
          </w:p>
        </w:tc>
        <w:tc>
          <w:tcPr>
            <w:tcW w:w="1012" w:type="dxa"/>
            <w:vAlign w:val="center"/>
          </w:tcPr>
          <w:p w14:paraId="12125B4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w:t>
            </w:r>
          </w:p>
        </w:tc>
        <w:tc>
          <w:tcPr>
            <w:tcW w:w="1012" w:type="dxa"/>
            <w:vAlign w:val="center"/>
          </w:tcPr>
          <w:p w14:paraId="681C83A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2.4</w:t>
            </w:r>
          </w:p>
        </w:tc>
        <w:tc>
          <w:tcPr>
            <w:tcW w:w="1012" w:type="dxa"/>
            <w:vAlign w:val="center"/>
          </w:tcPr>
          <w:p w14:paraId="060A7A0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2.2</w:t>
            </w:r>
          </w:p>
        </w:tc>
        <w:tc>
          <w:tcPr>
            <w:tcW w:w="1012" w:type="dxa"/>
            <w:vAlign w:val="center"/>
          </w:tcPr>
          <w:p w14:paraId="50E6748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1.8</w:t>
            </w:r>
          </w:p>
        </w:tc>
        <w:tc>
          <w:tcPr>
            <w:tcW w:w="1078" w:type="dxa"/>
            <w:vAlign w:val="center"/>
          </w:tcPr>
          <w:p w14:paraId="4787CA0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w:t>
            </w:r>
          </w:p>
        </w:tc>
      </w:tr>
      <w:tr w14:paraId="1ACB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3" w:type="dxa"/>
            <w:vMerge w:val="continue"/>
            <w:vAlign w:val="center"/>
          </w:tcPr>
          <w:p w14:paraId="262774B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8214F1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0B922B9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NH</w:t>
            </w:r>
            <w:r>
              <w:rPr>
                <w:rFonts w:hint="eastAsia" w:ascii="Arial" w:hAnsi="Arial" w:cs="Arial"/>
                <w:b w:val="0"/>
                <w:bCs/>
                <w:sz w:val="22"/>
                <w:szCs w:val="22"/>
                <w:vertAlign w:val="subscript"/>
                <w:lang w:val="en-US" w:eastAsia="zh-CN"/>
              </w:rPr>
              <w:t>3</w:t>
            </w:r>
            <w:r>
              <w:rPr>
                <w:rFonts w:hint="eastAsia" w:ascii="Arial" w:hAnsi="Arial" w:cs="Arial"/>
                <w:b w:val="0"/>
                <w:bCs/>
                <w:sz w:val="22"/>
                <w:szCs w:val="22"/>
                <w:vertAlign w:val="baseline"/>
                <w:lang w:val="en-US" w:eastAsia="zh-CN"/>
              </w:rPr>
              <w:t>-N</w:t>
            </w:r>
          </w:p>
        </w:tc>
        <w:tc>
          <w:tcPr>
            <w:tcW w:w="706" w:type="dxa"/>
            <w:vMerge w:val="continue"/>
            <w:vAlign w:val="center"/>
          </w:tcPr>
          <w:p w14:paraId="643538F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506ACFD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0.26</w:t>
            </w:r>
          </w:p>
        </w:tc>
        <w:tc>
          <w:tcPr>
            <w:tcW w:w="1012" w:type="dxa"/>
            <w:vAlign w:val="center"/>
          </w:tcPr>
          <w:p w14:paraId="432E0FF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0.28</w:t>
            </w:r>
          </w:p>
        </w:tc>
        <w:tc>
          <w:tcPr>
            <w:tcW w:w="1012" w:type="dxa"/>
            <w:vAlign w:val="center"/>
          </w:tcPr>
          <w:p w14:paraId="15DB497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0.4</w:t>
            </w:r>
          </w:p>
        </w:tc>
        <w:tc>
          <w:tcPr>
            <w:tcW w:w="1012" w:type="dxa"/>
            <w:vAlign w:val="center"/>
          </w:tcPr>
          <w:p w14:paraId="3EDEEDF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0.41</w:t>
            </w:r>
          </w:p>
        </w:tc>
        <w:tc>
          <w:tcPr>
            <w:tcW w:w="1012" w:type="dxa"/>
            <w:vAlign w:val="center"/>
          </w:tcPr>
          <w:p w14:paraId="3C33D5A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0.34</w:t>
            </w:r>
          </w:p>
        </w:tc>
        <w:tc>
          <w:tcPr>
            <w:tcW w:w="1078" w:type="dxa"/>
            <w:vAlign w:val="center"/>
          </w:tcPr>
          <w:p w14:paraId="51A55A3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w:t>
            </w:r>
          </w:p>
        </w:tc>
      </w:tr>
      <w:tr w14:paraId="12A9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6ABC588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0142FE5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594074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TP</w:t>
            </w:r>
          </w:p>
        </w:tc>
        <w:tc>
          <w:tcPr>
            <w:tcW w:w="706" w:type="dxa"/>
            <w:vMerge w:val="continue"/>
            <w:vAlign w:val="center"/>
          </w:tcPr>
          <w:p w14:paraId="4847764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1056816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0.128</w:t>
            </w:r>
          </w:p>
        </w:tc>
        <w:tc>
          <w:tcPr>
            <w:tcW w:w="1012" w:type="dxa"/>
            <w:vAlign w:val="center"/>
          </w:tcPr>
          <w:p w14:paraId="3DDB38E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0.103</w:t>
            </w:r>
          </w:p>
        </w:tc>
        <w:tc>
          <w:tcPr>
            <w:tcW w:w="1012" w:type="dxa"/>
            <w:vAlign w:val="center"/>
          </w:tcPr>
          <w:p w14:paraId="4196D5C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0.086</w:t>
            </w:r>
          </w:p>
        </w:tc>
        <w:tc>
          <w:tcPr>
            <w:tcW w:w="1012" w:type="dxa"/>
            <w:vAlign w:val="center"/>
          </w:tcPr>
          <w:p w14:paraId="6A1FB0C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0.106</w:t>
            </w:r>
          </w:p>
        </w:tc>
        <w:tc>
          <w:tcPr>
            <w:tcW w:w="1012" w:type="dxa"/>
            <w:vAlign w:val="center"/>
          </w:tcPr>
          <w:p w14:paraId="54F27D1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0.112</w:t>
            </w:r>
          </w:p>
        </w:tc>
        <w:tc>
          <w:tcPr>
            <w:tcW w:w="1078" w:type="dxa"/>
            <w:vAlign w:val="center"/>
          </w:tcPr>
          <w:p w14:paraId="62B5622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≤0.05</w:t>
            </w:r>
          </w:p>
        </w:tc>
      </w:tr>
      <w:tr w14:paraId="02BF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7C805E9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BB7BA8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66ED18F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Cu</w:t>
            </w:r>
          </w:p>
        </w:tc>
        <w:tc>
          <w:tcPr>
            <w:tcW w:w="706" w:type="dxa"/>
            <w:vMerge w:val="continue"/>
            <w:vAlign w:val="center"/>
          </w:tcPr>
          <w:p w14:paraId="3951821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64A8DF7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0.01</w:t>
            </w:r>
          </w:p>
        </w:tc>
        <w:tc>
          <w:tcPr>
            <w:tcW w:w="1012" w:type="dxa"/>
            <w:vAlign w:val="center"/>
          </w:tcPr>
          <w:p w14:paraId="1A5CE08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0.004</w:t>
            </w:r>
          </w:p>
        </w:tc>
        <w:tc>
          <w:tcPr>
            <w:tcW w:w="1012" w:type="dxa"/>
            <w:vAlign w:val="center"/>
          </w:tcPr>
          <w:p w14:paraId="374FAB5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0.003</w:t>
            </w:r>
          </w:p>
        </w:tc>
        <w:tc>
          <w:tcPr>
            <w:tcW w:w="1012" w:type="dxa"/>
            <w:vAlign w:val="center"/>
          </w:tcPr>
          <w:p w14:paraId="5D6E004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1AABE91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78" w:type="dxa"/>
            <w:vAlign w:val="center"/>
          </w:tcPr>
          <w:p w14:paraId="0B38CFF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w:t>
            </w:r>
          </w:p>
        </w:tc>
      </w:tr>
      <w:tr w14:paraId="282E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E8FDE7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713D48D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A717DC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Zn</w:t>
            </w:r>
          </w:p>
        </w:tc>
        <w:tc>
          <w:tcPr>
            <w:tcW w:w="706" w:type="dxa"/>
            <w:vMerge w:val="continue"/>
            <w:vAlign w:val="center"/>
          </w:tcPr>
          <w:p w14:paraId="0BFCD15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7F34E8B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3AF0B42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0.025</w:t>
            </w:r>
          </w:p>
        </w:tc>
        <w:tc>
          <w:tcPr>
            <w:tcW w:w="1012" w:type="dxa"/>
            <w:vAlign w:val="center"/>
          </w:tcPr>
          <w:p w14:paraId="37526ED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0.025</w:t>
            </w:r>
          </w:p>
        </w:tc>
        <w:tc>
          <w:tcPr>
            <w:tcW w:w="1012" w:type="dxa"/>
            <w:vAlign w:val="center"/>
          </w:tcPr>
          <w:p w14:paraId="105C725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0.025</w:t>
            </w:r>
          </w:p>
        </w:tc>
        <w:tc>
          <w:tcPr>
            <w:tcW w:w="1012" w:type="dxa"/>
            <w:vAlign w:val="center"/>
          </w:tcPr>
          <w:p w14:paraId="00A23C9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0.014</w:t>
            </w:r>
          </w:p>
        </w:tc>
        <w:tc>
          <w:tcPr>
            <w:tcW w:w="1078" w:type="dxa"/>
            <w:vAlign w:val="center"/>
          </w:tcPr>
          <w:p w14:paraId="06C4FD6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w:t>
            </w:r>
          </w:p>
        </w:tc>
      </w:tr>
      <w:tr w14:paraId="16D4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485781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4F5FDB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3033FF9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氟化物</w:t>
            </w:r>
          </w:p>
        </w:tc>
        <w:tc>
          <w:tcPr>
            <w:tcW w:w="706" w:type="dxa"/>
            <w:vMerge w:val="continue"/>
            <w:vAlign w:val="center"/>
          </w:tcPr>
          <w:p w14:paraId="6756345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1715AE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0.21</w:t>
            </w:r>
          </w:p>
        </w:tc>
        <w:tc>
          <w:tcPr>
            <w:tcW w:w="1012" w:type="dxa"/>
            <w:vAlign w:val="center"/>
          </w:tcPr>
          <w:p w14:paraId="3BCFB59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0.181</w:t>
            </w:r>
          </w:p>
        </w:tc>
        <w:tc>
          <w:tcPr>
            <w:tcW w:w="1012" w:type="dxa"/>
            <w:vAlign w:val="center"/>
          </w:tcPr>
          <w:p w14:paraId="4AD2945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0.22</w:t>
            </w:r>
          </w:p>
        </w:tc>
        <w:tc>
          <w:tcPr>
            <w:tcW w:w="1012" w:type="dxa"/>
            <w:vAlign w:val="center"/>
          </w:tcPr>
          <w:p w14:paraId="0AB5179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0.19</w:t>
            </w:r>
          </w:p>
        </w:tc>
        <w:tc>
          <w:tcPr>
            <w:tcW w:w="1012" w:type="dxa"/>
            <w:vAlign w:val="center"/>
          </w:tcPr>
          <w:p w14:paraId="5145182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0.167</w:t>
            </w:r>
          </w:p>
        </w:tc>
        <w:tc>
          <w:tcPr>
            <w:tcW w:w="1078" w:type="dxa"/>
            <w:vAlign w:val="center"/>
          </w:tcPr>
          <w:p w14:paraId="0C786C4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w:t>
            </w:r>
          </w:p>
        </w:tc>
      </w:tr>
      <w:tr w14:paraId="5CC2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21E7AAC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48906A3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13E3B8C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Se</w:t>
            </w:r>
          </w:p>
        </w:tc>
        <w:tc>
          <w:tcPr>
            <w:tcW w:w="706" w:type="dxa"/>
            <w:vMerge w:val="continue"/>
            <w:vAlign w:val="center"/>
          </w:tcPr>
          <w:p w14:paraId="04E46B9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7BA7A16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5E5C92C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080BF4E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626419E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591BCE8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78" w:type="dxa"/>
            <w:vAlign w:val="center"/>
          </w:tcPr>
          <w:p w14:paraId="437400E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≤0.01</w:t>
            </w:r>
          </w:p>
        </w:tc>
      </w:tr>
      <w:tr w14:paraId="7842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44A813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5DACB26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65B938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As</w:t>
            </w:r>
          </w:p>
        </w:tc>
        <w:tc>
          <w:tcPr>
            <w:tcW w:w="706" w:type="dxa"/>
            <w:vMerge w:val="continue"/>
            <w:vAlign w:val="center"/>
          </w:tcPr>
          <w:p w14:paraId="5D1FB8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shd w:val="clear" w:color="auto" w:fill="auto"/>
            <w:vAlign w:val="center"/>
          </w:tcPr>
          <w:p w14:paraId="56F8839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12" w:type="dxa"/>
            <w:shd w:val="clear" w:color="auto" w:fill="auto"/>
            <w:vAlign w:val="center"/>
          </w:tcPr>
          <w:p w14:paraId="6BE9528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12" w:type="dxa"/>
            <w:shd w:val="clear" w:color="auto" w:fill="auto"/>
            <w:vAlign w:val="center"/>
          </w:tcPr>
          <w:p w14:paraId="37CC351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12" w:type="dxa"/>
            <w:shd w:val="clear" w:color="auto" w:fill="auto"/>
            <w:vAlign w:val="center"/>
          </w:tcPr>
          <w:p w14:paraId="00BC604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12" w:type="dxa"/>
            <w:shd w:val="clear" w:color="auto" w:fill="auto"/>
            <w:vAlign w:val="center"/>
          </w:tcPr>
          <w:p w14:paraId="28A9C3C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78" w:type="dxa"/>
            <w:shd w:val="clear" w:color="auto" w:fill="auto"/>
            <w:vAlign w:val="center"/>
          </w:tcPr>
          <w:p w14:paraId="62098B9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≤0.05</w:t>
            </w:r>
          </w:p>
        </w:tc>
      </w:tr>
      <w:tr w14:paraId="04D5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36767C6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5ED5BDC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2D2D928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Hg</w:t>
            </w:r>
          </w:p>
        </w:tc>
        <w:tc>
          <w:tcPr>
            <w:tcW w:w="706" w:type="dxa"/>
            <w:vMerge w:val="continue"/>
            <w:vAlign w:val="center"/>
          </w:tcPr>
          <w:p w14:paraId="40F454E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shd w:val="clear" w:color="auto" w:fill="auto"/>
            <w:vAlign w:val="center"/>
          </w:tcPr>
          <w:p w14:paraId="55A2864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12" w:type="dxa"/>
            <w:shd w:val="clear" w:color="auto" w:fill="auto"/>
            <w:vAlign w:val="center"/>
          </w:tcPr>
          <w:p w14:paraId="0520782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12" w:type="dxa"/>
            <w:shd w:val="clear" w:color="auto" w:fill="auto"/>
            <w:vAlign w:val="center"/>
          </w:tcPr>
          <w:p w14:paraId="582143C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12" w:type="dxa"/>
            <w:shd w:val="clear" w:color="auto" w:fill="auto"/>
            <w:vAlign w:val="center"/>
          </w:tcPr>
          <w:p w14:paraId="18D8DCD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12" w:type="dxa"/>
            <w:shd w:val="clear" w:color="auto" w:fill="auto"/>
            <w:vAlign w:val="center"/>
          </w:tcPr>
          <w:p w14:paraId="76F96A6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78" w:type="dxa"/>
            <w:shd w:val="clear" w:color="auto" w:fill="auto"/>
            <w:vAlign w:val="center"/>
          </w:tcPr>
          <w:p w14:paraId="38D3994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≤0.001</w:t>
            </w:r>
          </w:p>
        </w:tc>
      </w:tr>
      <w:tr w14:paraId="298B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464D58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2586335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223D54E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Cd</w:t>
            </w:r>
          </w:p>
        </w:tc>
        <w:tc>
          <w:tcPr>
            <w:tcW w:w="706" w:type="dxa"/>
            <w:vMerge w:val="continue"/>
            <w:vAlign w:val="center"/>
          </w:tcPr>
          <w:p w14:paraId="1445ED5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151DA1F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12" w:type="dxa"/>
            <w:vAlign w:val="center"/>
          </w:tcPr>
          <w:p w14:paraId="6C2CDEA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12" w:type="dxa"/>
            <w:vAlign w:val="center"/>
          </w:tcPr>
          <w:p w14:paraId="1CFAD84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12" w:type="dxa"/>
            <w:vAlign w:val="center"/>
          </w:tcPr>
          <w:p w14:paraId="1AA79B9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12" w:type="dxa"/>
            <w:vAlign w:val="center"/>
          </w:tcPr>
          <w:p w14:paraId="72C78A0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78" w:type="dxa"/>
            <w:shd w:val="clear" w:color="auto" w:fill="auto"/>
            <w:vAlign w:val="center"/>
          </w:tcPr>
          <w:p w14:paraId="2CAC636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≤0.005</w:t>
            </w:r>
          </w:p>
        </w:tc>
      </w:tr>
      <w:tr w14:paraId="61F6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9C5A4D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2876788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31E01E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Cr</w:t>
            </w:r>
            <w:r>
              <w:rPr>
                <w:rFonts w:hint="eastAsia" w:ascii="Arial" w:hAnsi="Arial" w:cs="Arial"/>
                <w:b w:val="0"/>
                <w:bCs/>
                <w:sz w:val="22"/>
                <w:szCs w:val="22"/>
                <w:vertAlign w:val="superscript"/>
                <w:lang w:val="en-US" w:eastAsia="zh-CN"/>
              </w:rPr>
              <w:t>6+</w:t>
            </w:r>
          </w:p>
        </w:tc>
        <w:tc>
          <w:tcPr>
            <w:tcW w:w="706" w:type="dxa"/>
            <w:vMerge w:val="continue"/>
            <w:vAlign w:val="center"/>
          </w:tcPr>
          <w:p w14:paraId="77AB4C3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7F403CD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018481F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060C6A8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443B997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1007E43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78" w:type="dxa"/>
            <w:shd w:val="clear" w:color="auto" w:fill="auto"/>
            <w:vAlign w:val="center"/>
          </w:tcPr>
          <w:p w14:paraId="17320E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≤0.05</w:t>
            </w:r>
          </w:p>
        </w:tc>
      </w:tr>
      <w:tr w14:paraId="3AA7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3" w:type="dxa"/>
            <w:vMerge w:val="continue"/>
            <w:vAlign w:val="center"/>
          </w:tcPr>
          <w:p w14:paraId="10AB280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03FFA8B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3EC1757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Pb</w:t>
            </w:r>
          </w:p>
        </w:tc>
        <w:tc>
          <w:tcPr>
            <w:tcW w:w="706" w:type="dxa"/>
            <w:vMerge w:val="continue"/>
            <w:vAlign w:val="center"/>
          </w:tcPr>
          <w:p w14:paraId="6092EC9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351280E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12" w:type="dxa"/>
            <w:vAlign w:val="center"/>
          </w:tcPr>
          <w:p w14:paraId="1BC5D1F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12" w:type="dxa"/>
            <w:vAlign w:val="center"/>
          </w:tcPr>
          <w:p w14:paraId="68135DC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12" w:type="dxa"/>
            <w:vAlign w:val="center"/>
          </w:tcPr>
          <w:p w14:paraId="2CBC1F0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12" w:type="dxa"/>
            <w:vAlign w:val="center"/>
          </w:tcPr>
          <w:p w14:paraId="5DA8E32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78" w:type="dxa"/>
            <w:shd w:val="clear" w:color="auto" w:fill="auto"/>
            <w:vAlign w:val="center"/>
          </w:tcPr>
          <w:p w14:paraId="74FFAAD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≤0.05</w:t>
            </w:r>
          </w:p>
        </w:tc>
      </w:tr>
      <w:tr w14:paraId="0186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69281E5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9DAD73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144A27D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氰化物</w:t>
            </w:r>
          </w:p>
        </w:tc>
        <w:tc>
          <w:tcPr>
            <w:tcW w:w="706" w:type="dxa"/>
            <w:vMerge w:val="continue"/>
            <w:vAlign w:val="center"/>
          </w:tcPr>
          <w:p w14:paraId="2DA71F8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0ADC311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shd w:val="clear" w:color="auto" w:fill="auto"/>
            <w:vAlign w:val="center"/>
          </w:tcPr>
          <w:p w14:paraId="08EE98B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0.002</w:t>
            </w:r>
          </w:p>
        </w:tc>
        <w:tc>
          <w:tcPr>
            <w:tcW w:w="1012" w:type="dxa"/>
            <w:shd w:val="clear" w:color="auto" w:fill="auto"/>
            <w:vAlign w:val="center"/>
          </w:tcPr>
          <w:p w14:paraId="6E4F7B7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0.002</w:t>
            </w:r>
          </w:p>
        </w:tc>
        <w:tc>
          <w:tcPr>
            <w:tcW w:w="1012" w:type="dxa"/>
            <w:shd w:val="clear" w:color="auto" w:fill="auto"/>
            <w:vAlign w:val="center"/>
          </w:tcPr>
          <w:p w14:paraId="618BB16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0.002</w:t>
            </w:r>
          </w:p>
        </w:tc>
        <w:tc>
          <w:tcPr>
            <w:tcW w:w="1012" w:type="dxa"/>
            <w:shd w:val="clear" w:color="auto" w:fill="auto"/>
            <w:vAlign w:val="center"/>
          </w:tcPr>
          <w:p w14:paraId="1D520C9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0.002</w:t>
            </w:r>
          </w:p>
        </w:tc>
        <w:tc>
          <w:tcPr>
            <w:tcW w:w="1078" w:type="dxa"/>
            <w:shd w:val="clear" w:color="auto" w:fill="auto"/>
            <w:vAlign w:val="center"/>
          </w:tcPr>
          <w:p w14:paraId="1FED6DE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≤0.2</w:t>
            </w:r>
          </w:p>
        </w:tc>
      </w:tr>
      <w:tr w14:paraId="2FE7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063620B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CD654F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F7EAE1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挥发酚</w:t>
            </w:r>
          </w:p>
        </w:tc>
        <w:tc>
          <w:tcPr>
            <w:tcW w:w="706" w:type="dxa"/>
            <w:vMerge w:val="continue"/>
            <w:vAlign w:val="center"/>
          </w:tcPr>
          <w:p w14:paraId="25B667E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28D00B5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0.0003</w:t>
            </w:r>
          </w:p>
        </w:tc>
        <w:tc>
          <w:tcPr>
            <w:tcW w:w="1012" w:type="dxa"/>
            <w:vAlign w:val="center"/>
          </w:tcPr>
          <w:p w14:paraId="2346334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0.0004</w:t>
            </w:r>
          </w:p>
        </w:tc>
        <w:tc>
          <w:tcPr>
            <w:tcW w:w="1012" w:type="dxa"/>
            <w:vAlign w:val="center"/>
          </w:tcPr>
          <w:p w14:paraId="55840B4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0.0003</w:t>
            </w:r>
          </w:p>
        </w:tc>
        <w:tc>
          <w:tcPr>
            <w:tcW w:w="1012" w:type="dxa"/>
            <w:vAlign w:val="center"/>
          </w:tcPr>
          <w:p w14:paraId="1DAEFED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4F781E9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78" w:type="dxa"/>
            <w:shd w:val="clear" w:color="auto" w:fill="auto"/>
            <w:vAlign w:val="center"/>
          </w:tcPr>
          <w:p w14:paraId="181F1EE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≤0.005</w:t>
            </w:r>
          </w:p>
        </w:tc>
      </w:tr>
      <w:tr w14:paraId="67D9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2F3930B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74934B4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1B5FE87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石油类</w:t>
            </w:r>
          </w:p>
        </w:tc>
        <w:tc>
          <w:tcPr>
            <w:tcW w:w="706" w:type="dxa"/>
            <w:vMerge w:val="continue"/>
            <w:vAlign w:val="center"/>
          </w:tcPr>
          <w:p w14:paraId="177F669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1D78971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12" w:type="dxa"/>
            <w:vAlign w:val="center"/>
          </w:tcPr>
          <w:p w14:paraId="4C354D4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12" w:type="dxa"/>
            <w:vAlign w:val="center"/>
          </w:tcPr>
          <w:p w14:paraId="4B2EE7A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12" w:type="dxa"/>
            <w:vAlign w:val="center"/>
          </w:tcPr>
          <w:p w14:paraId="44A75FB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12" w:type="dxa"/>
            <w:vAlign w:val="center"/>
          </w:tcPr>
          <w:p w14:paraId="7FDC8B1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78" w:type="dxa"/>
            <w:shd w:val="clear" w:color="auto" w:fill="auto"/>
            <w:vAlign w:val="center"/>
          </w:tcPr>
          <w:p w14:paraId="6012B77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≤0.05</w:t>
            </w:r>
          </w:p>
        </w:tc>
      </w:tr>
      <w:tr w14:paraId="0313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38F93EB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303B066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33E8145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LAS</w:t>
            </w:r>
          </w:p>
        </w:tc>
        <w:tc>
          <w:tcPr>
            <w:tcW w:w="706" w:type="dxa"/>
            <w:vMerge w:val="continue"/>
            <w:vAlign w:val="center"/>
          </w:tcPr>
          <w:p w14:paraId="58930DE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0E5E020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72D19E3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0C0A521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0A89F82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59C76CE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78" w:type="dxa"/>
            <w:shd w:val="clear" w:color="auto" w:fill="auto"/>
            <w:vAlign w:val="center"/>
          </w:tcPr>
          <w:p w14:paraId="485D0F2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≤0.2</w:t>
            </w:r>
          </w:p>
        </w:tc>
      </w:tr>
      <w:tr w14:paraId="7305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008F72C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45E16BD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16FCCA6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硫化物</w:t>
            </w:r>
          </w:p>
        </w:tc>
        <w:tc>
          <w:tcPr>
            <w:tcW w:w="706" w:type="dxa"/>
            <w:vMerge w:val="continue"/>
            <w:vAlign w:val="center"/>
          </w:tcPr>
          <w:p w14:paraId="079E315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512E948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2FBD66E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4297AA7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03D136F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0.004</w:t>
            </w:r>
          </w:p>
        </w:tc>
        <w:tc>
          <w:tcPr>
            <w:tcW w:w="1012" w:type="dxa"/>
            <w:vAlign w:val="center"/>
          </w:tcPr>
          <w:p w14:paraId="395F760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78" w:type="dxa"/>
            <w:shd w:val="clear" w:color="auto" w:fill="auto"/>
            <w:vAlign w:val="center"/>
          </w:tcPr>
          <w:p w14:paraId="3125D6B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≤0.2</w:t>
            </w:r>
          </w:p>
        </w:tc>
      </w:tr>
    </w:tbl>
    <w:p w14:paraId="543AAA91">
      <w:pPr>
        <w:pStyle w:val="100"/>
        <w:keepNext w:val="0"/>
        <w:keepLines w:val="0"/>
        <w:pageBreakBefore w:val="0"/>
        <w:widowControl w:val="0"/>
        <w:kinsoku/>
        <w:wordWrap/>
        <w:overflowPunct/>
        <w:topLinePunct w:val="0"/>
        <w:autoSpaceDE/>
        <w:autoSpaceDN/>
        <w:bidi w:val="0"/>
        <w:adjustRightInd/>
        <w:snapToGrid/>
        <w:spacing w:line="240" w:lineRule="exact"/>
        <w:ind w:firstLine="520" w:firstLineChars="200"/>
        <w:jc w:val="both"/>
        <w:textAlignment w:val="auto"/>
        <w:rPr>
          <w:rFonts w:hint="default" w:ascii="Arial" w:hAnsi="Arial" w:cs="Arial"/>
          <w:b w:val="0"/>
          <w:bCs/>
          <w:sz w:val="26"/>
          <w:szCs w:val="26"/>
          <w:lang w:val="en-US" w:eastAsia="zh-CN"/>
        </w:rPr>
      </w:pPr>
    </w:p>
    <w:p w14:paraId="4BA520D0">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r>
        <w:rPr>
          <w:rFonts w:hint="eastAsia" w:ascii="Arial" w:hAnsi="Arial" w:cs="Arial"/>
          <w:b w:val="0"/>
          <w:bCs/>
          <w:sz w:val="26"/>
          <w:szCs w:val="26"/>
          <w:lang w:val="en-US" w:eastAsia="zh-CN"/>
        </w:rPr>
        <w:t>由表4.3-3可知，渠溪河东风大桥断面2019~2023年各监测因子均满足《地表水环境质量标准》（GB3838-2002）中</w:t>
      </w:r>
      <w:r>
        <w:rPr>
          <w:rFonts w:hint="eastAsia" w:ascii="Arial" w:hAnsi="Arial" w:cs="Arial"/>
          <w:b w:val="0"/>
          <w:bCs/>
          <w:sz w:val="26"/>
          <w:szCs w:val="26"/>
          <w:lang w:val="en-US" w:eastAsia="zh-CN"/>
        </w:rPr>
        <w:fldChar w:fldCharType="begin"/>
      </w:r>
      <w:r>
        <w:rPr>
          <w:rFonts w:hint="eastAsia" w:ascii="Arial" w:hAnsi="Arial" w:cs="Arial"/>
          <w:b w:val="0"/>
          <w:bCs/>
          <w:sz w:val="26"/>
          <w:szCs w:val="26"/>
          <w:lang w:val="en-US" w:eastAsia="zh-CN"/>
        </w:rPr>
        <w:instrText xml:space="preserve"> = 3 \* ROMAN </w:instrText>
      </w:r>
      <w:r>
        <w:rPr>
          <w:rFonts w:hint="eastAsia" w:ascii="Arial" w:hAnsi="Arial" w:cs="Arial"/>
          <w:b w:val="0"/>
          <w:bCs/>
          <w:sz w:val="26"/>
          <w:szCs w:val="26"/>
          <w:lang w:val="en-US" w:eastAsia="zh-CN"/>
        </w:rPr>
        <w:fldChar w:fldCharType="separate"/>
      </w:r>
      <w:r>
        <w:rPr>
          <w:rFonts w:hint="eastAsia" w:ascii="Arial" w:hAnsi="Arial" w:cs="Arial"/>
          <w:b w:val="0"/>
          <w:bCs/>
          <w:sz w:val="26"/>
          <w:szCs w:val="26"/>
          <w:lang w:val="en-US" w:eastAsia="zh-CN"/>
        </w:rPr>
        <w:t>III</w:t>
      </w:r>
      <w:r>
        <w:rPr>
          <w:rFonts w:hint="eastAsia" w:ascii="Arial" w:hAnsi="Arial" w:cs="Arial"/>
          <w:b w:val="0"/>
          <w:bCs/>
          <w:sz w:val="26"/>
          <w:szCs w:val="26"/>
          <w:lang w:val="en-US" w:eastAsia="zh-CN"/>
        </w:rPr>
        <w:fldChar w:fldCharType="end"/>
      </w:r>
      <w:r>
        <w:rPr>
          <w:rFonts w:hint="eastAsia" w:ascii="Arial" w:hAnsi="Arial" w:cs="Arial"/>
          <w:b w:val="0"/>
          <w:bCs/>
          <w:sz w:val="26"/>
          <w:szCs w:val="26"/>
          <w:lang w:val="en-US" w:eastAsia="zh-CN"/>
        </w:rPr>
        <w:t>类水域标准限值要求，未出现超标现状。</w:t>
      </w:r>
    </w:p>
    <w:p w14:paraId="18EE089F">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250A1269">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0362D14A">
      <w:pPr>
        <w:pStyle w:val="100"/>
        <w:keepNext w:val="0"/>
        <w:keepLines w:val="0"/>
        <w:pageBreakBefore w:val="0"/>
        <w:widowControl w:val="0"/>
        <w:kinsoku/>
        <w:wordWrap/>
        <w:overflowPunct/>
        <w:topLinePunct w:val="0"/>
        <w:autoSpaceDE/>
        <w:autoSpaceDN/>
        <w:bidi w:val="0"/>
        <w:adjustRightInd/>
        <w:snapToGrid/>
        <w:spacing w:line="460" w:lineRule="exact"/>
        <w:ind w:firstLine="482" w:firstLineChars="200"/>
        <w:jc w:val="both"/>
        <w:textAlignment w:val="auto"/>
        <w:rPr>
          <w:rFonts w:hint="default" w:ascii="Arial" w:hAnsi="Arial" w:cs="Arial"/>
          <w:b w:val="0"/>
          <w:bCs/>
          <w:sz w:val="26"/>
          <w:szCs w:val="26"/>
          <w:lang w:val="en-US" w:eastAsia="zh-CN"/>
        </w:rPr>
      </w:pPr>
      <w:r>
        <w:drawing>
          <wp:anchor distT="0" distB="0" distL="114300" distR="114300" simplePos="0" relativeHeight="251766784" behindDoc="0" locked="0" layoutInCell="1" allowOverlap="1">
            <wp:simplePos x="0" y="0"/>
            <wp:positionH relativeFrom="column">
              <wp:posOffset>156210</wp:posOffset>
            </wp:positionH>
            <wp:positionV relativeFrom="paragraph">
              <wp:posOffset>24130</wp:posOffset>
            </wp:positionV>
            <wp:extent cx="5227320" cy="2982595"/>
            <wp:effectExtent l="0" t="0" r="11430" b="8255"/>
            <wp:wrapNone/>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32"/>
                    <a:stretch>
                      <a:fillRect/>
                    </a:stretch>
                  </pic:blipFill>
                  <pic:spPr>
                    <a:xfrm>
                      <a:off x="0" y="0"/>
                      <a:ext cx="5227320" cy="2982595"/>
                    </a:xfrm>
                    <a:prstGeom prst="rect">
                      <a:avLst/>
                    </a:prstGeom>
                    <a:noFill/>
                    <a:ln>
                      <a:noFill/>
                    </a:ln>
                  </pic:spPr>
                </pic:pic>
              </a:graphicData>
            </a:graphic>
          </wp:anchor>
        </w:drawing>
      </w:r>
    </w:p>
    <w:p w14:paraId="62675449">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7759C835">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5AA1328C">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177EAD1A">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16B9C064">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15356F98">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2FBFCDAE">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6F02C93B">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124FF242">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5F1CFD6A">
      <w:pPr>
        <w:keepNext w:val="0"/>
        <w:keepLines w:val="0"/>
        <w:pageBreakBefore w:val="0"/>
        <w:widowControl w:val="0"/>
        <w:kinsoku/>
        <w:wordWrap/>
        <w:overflowPunct/>
        <w:topLinePunct w:val="0"/>
        <w:autoSpaceDE/>
        <w:autoSpaceDN/>
        <w:bidi w:val="0"/>
        <w:adjustRightInd/>
        <w:snapToGrid/>
        <w:spacing w:line="240" w:lineRule="exact"/>
        <w:ind w:left="0" w:right="0" w:firstLine="0" w:firstLineChars="0"/>
        <w:jc w:val="center"/>
        <w:textAlignment w:val="auto"/>
        <w:rPr>
          <w:rFonts w:hint="eastAsia" w:ascii="Arial" w:hAnsi="Arial" w:eastAsia="宋体" w:cs="Arial"/>
          <w:b/>
          <w:bCs/>
          <w:spacing w:val="-12"/>
          <w:sz w:val="26"/>
          <w:szCs w:val="26"/>
          <w:lang w:val="en-US" w:eastAsia="zh-CN"/>
        </w:rPr>
      </w:pPr>
    </w:p>
    <w:p w14:paraId="6A59226C">
      <w:pPr>
        <w:keepNext w:val="0"/>
        <w:keepLines w:val="0"/>
        <w:pageBreakBefore w:val="0"/>
        <w:widowControl w:val="0"/>
        <w:kinsoku/>
        <w:wordWrap/>
        <w:overflowPunct/>
        <w:topLinePunct w:val="0"/>
        <w:autoSpaceDE/>
        <w:autoSpaceDN/>
        <w:bidi w:val="0"/>
        <w:adjustRightInd/>
        <w:snapToGrid/>
        <w:spacing w:line="460" w:lineRule="exact"/>
        <w:ind w:left="0" w:right="0" w:firstLine="0" w:firstLineChars="0"/>
        <w:jc w:val="center"/>
        <w:textAlignment w:val="auto"/>
        <w:rPr>
          <w:rFonts w:hint="default" w:ascii="Arial" w:hAnsi="Arial" w:eastAsia="宋体" w:cs="Arial"/>
          <w:b/>
          <w:bCs/>
          <w:spacing w:val="-12"/>
          <w:sz w:val="26"/>
          <w:szCs w:val="26"/>
          <w:lang w:val="en-US" w:eastAsia="zh-CN"/>
        </w:rPr>
      </w:pPr>
      <w:r>
        <w:rPr>
          <w:rFonts w:hint="eastAsia" w:ascii="Arial" w:hAnsi="Arial" w:eastAsia="宋体" w:cs="Arial"/>
          <w:b/>
          <w:bCs/>
          <w:spacing w:val="-12"/>
          <w:sz w:val="26"/>
          <w:szCs w:val="26"/>
          <w:lang w:val="en-US" w:eastAsia="zh-CN"/>
        </w:rPr>
        <w:t>图4.3-1 渠溪河东风大桥断面历年监测数据变化趋势图</w:t>
      </w:r>
    </w:p>
    <w:p w14:paraId="72637B88">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eastAsia="宋体" w:cs="Arial"/>
          <w:bCs/>
          <w:sz w:val="26"/>
          <w:szCs w:val="26"/>
          <w:lang w:eastAsia="zh-CN"/>
        </w:rPr>
      </w:pPr>
      <w:r>
        <w:rPr>
          <w:rFonts w:hint="eastAsia" w:ascii="Arial" w:hAnsi="宋体" w:eastAsia="宋体" w:cs="Arial"/>
          <w:bCs/>
          <w:sz w:val="26"/>
          <w:szCs w:val="26"/>
          <w:lang w:val="en-US" w:eastAsia="zh-CN"/>
        </w:rPr>
        <w:t>由图4.3-1可知，2019~2023年</w:t>
      </w:r>
      <w:r>
        <w:rPr>
          <w:rFonts w:hint="eastAsia" w:ascii="Arial" w:hAnsi="宋体" w:eastAsia="宋体" w:cs="Arial"/>
          <w:bCs/>
          <w:sz w:val="26"/>
          <w:szCs w:val="26"/>
          <w:lang w:eastAsia="zh-CN"/>
        </w:rPr>
        <w:t>渠溪河东风大桥断面中化学需氧量年均浓度呈现一定上升趋势，氨氮浓度先升高后降低，但总体占标率较低，溶解氧、高锰酸盐指数、五日生化需氧量、总磷浓度呈现下降趋势。</w:t>
      </w:r>
    </w:p>
    <w:p w14:paraId="22ABB9F0">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（3）地表水环境质量现状调查与评价</w:t>
      </w:r>
    </w:p>
    <w:p w14:paraId="4E781B4E">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① 监测基本情况</w:t>
      </w:r>
    </w:p>
    <w:p w14:paraId="5BB902AE">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根据《环境影响评价技术导则 地表水环境》（HJ2.3-2018），本项目地表水环境影响评价等级为一级，调查时期应至少包括枯水期和丰水期，本次评价引用《重庆市渠溪河流域综合规划环境影响报告书》于2024年1月24~26日对双龙河汇入渠溪河上游500m处、海螺沟水库坝址处进行取样监测得出的结果，来对海螺沟枯水期水环境质量现状进行评价。同时委托重庆国环环境监测有限公司于2024年8月26~28日，对双龙河汇入渠溪河上游500m处、海螺沟水库坝址处进行了取样实测，来对海螺沟丰水期水环境质量现状进行评价。监测断面布设及监测因子详见表4.3-4所示。</w:t>
      </w:r>
    </w:p>
    <w:p w14:paraId="1B97F397">
      <w:pPr>
        <w:keepNext w:val="0"/>
        <w:keepLines w:val="0"/>
        <w:pageBreakBefore w:val="0"/>
        <w:widowControl w:val="0"/>
        <w:kinsoku/>
        <w:wordWrap/>
        <w:overflowPunct/>
        <w:topLinePunct w:val="0"/>
        <w:autoSpaceDE/>
        <w:autoSpaceDN/>
        <w:bidi w:val="0"/>
        <w:adjustRightInd/>
        <w:snapToGrid/>
        <w:spacing w:line="460" w:lineRule="exact"/>
        <w:ind w:left="0" w:right="0" w:firstLine="0" w:firstLineChars="0"/>
        <w:jc w:val="center"/>
        <w:textAlignment w:val="auto"/>
        <w:rPr>
          <w:rFonts w:hint="eastAsia" w:ascii="Arial" w:hAnsi="Arial" w:cs="Arial"/>
          <w:b/>
          <w:bCs/>
          <w:spacing w:val="-12"/>
          <w:sz w:val="26"/>
          <w:szCs w:val="26"/>
          <w:lang w:val="en-US" w:eastAsia="zh-CN"/>
        </w:rPr>
      </w:pPr>
      <w:r>
        <w:rPr>
          <w:rFonts w:hint="default" w:ascii="Arial" w:hAnsi="Arial" w:cs="Arial"/>
          <w:b/>
          <w:bCs/>
          <w:spacing w:val="-12"/>
          <w:sz w:val="26"/>
          <w:szCs w:val="26"/>
          <w:lang w:eastAsia="zh-CN"/>
        </w:rPr>
        <w:t>表</w:t>
      </w:r>
      <w:r>
        <w:rPr>
          <w:rFonts w:hint="default" w:ascii="Arial" w:hAnsi="Arial" w:cs="Arial"/>
          <w:b/>
          <w:bCs/>
          <w:spacing w:val="-12"/>
          <w:sz w:val="26"/>
          <w:szCs w:val="26"/>
          <w:lang w:val="en-US" w:eastAsia="zh-CN"/>
        </w:rPr>
        <w:t>4.3-</w:t>
      </w:r>
      <w:r>
        <w:rPr>
          <w:rFonts w:hint="eastAsia" w:ascii="Arial" w:hAnsi="Arial" w:cs="Arial"/>
          <w:b/>
          <w:bCs/>
          <w:spacing w:val="-12"/>
          <w:sz w:val="26"/>
          <w:szCs w:val="26"/>
          <w:lang w:val="en-US" w:eastAsia="zh-CN"/>
        </w:rPr>
        <w:t>4</w:t>
      </w:r>
      <w:r>
        <w:rPr>
          <w:rFonts w:hint="default" w:ascii="Arial" w:hAnsi="Arial" w:cs="Arial"/>
          <w:b/>
          <w:bCs/>
          <w:spacing w:val="-12"/>
          <w:sz w:val="26"/>
          <w:szCs w:val="26"/>
          <w:lang w:val="en-US" w:eastAsia="zh-CN"/>
        </w:rPr>
        <w:t xml:space="preserve"> </w:t>
      </w:r>
      <w:r>
        <w:rPr>
          <w:rFonts w:hint="eastAsia" w:ascii="Arial" w:hAnsi="Arial" w:cs="Arial"/>
          <w:b/>
          <w:bCs/>
          <w:spacing w:val="-12"/>
          <w:sz w:val="26"/>
          <w:szCs w:val="26"/>
          <w:lang w:val="en-US" w:eastAsia="zh-CN"/>
        </w:rPr>
        <w:t>地表水监测断面布置情况一览表</w:t>
      </w:r>
    </w:p>
    <w:tbl>
      <w:tblPr>
        <w:tblStyle w:val="77"/>
        <w:tblW w:w="51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1"/>
        <w:gridCol w:w="1147"/>
        <w:gridCol w:w="2246"/>
        <w:gridCol w:w="2825"/>
        <w:gridCol w:w="1881"/>
      </w:tblGrid>
      <w:tr w14:paraId="426B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598" w:type="pct"/>
            <w:vAlign w:val="center"/>
          </w:tcPr>
          <w:p w14:paraId="18838764">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napToGrid w:val="0"/>
                <w:color w:val="auto"/>
                <w:kern w:val="0"/>
                <w:sz w:val="22"/>
                <w:szCs w:val="22"/>
                <w:highlight w:val="none"/>
                <w:lang w:val="en-US" w:eastAsia="zh-CN"/>
              </w:rPr>
              <w:t>河流</w:t>
            </w:r>
          </w:p>
        </w:tc>
        <w:tc>
          <w:tcPr>
            <w:tcW w:w="623" w:type="pct"/>
            <w:vAlign w:val="center"/>
          </w:tcPr>
          <w:p w14:paraId="2AD8337E">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rPr>
              <w:t>监测断面</w:t>
            </w:r>
          </w:p>
        </w:tc>
        <w:tc>
          <w:tcPr>
            <w:tcW w:w="1220" w:type="pct"/>
            <w:vAlign w:val="center"/>
          </w:tcPr>
          <w:p w14:paraId="4A99453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rPr>
              <w:t>监测项目</w:t>
            </w:r>
          </w:p>
        </w:tc>
        <w:tc>
          <w:tcPr>
            <w:tcW w:w="1535" w:type="pct"/>
            <w:vAlign w:val="center"/>
          </w:tcPr>
          <w:p w14:paraId="58A8A5C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rPr>
              <w:t>监测时间/频率</w:t>
            </w:r>
          </w:p>
        </w:tc>
        <w:tc>
          <w:tcPr>
            <w:tcW w:w="1022" w:type="pct"/>
            <w:vAlign w:val="center"/>
          </w:tcPr>
          <w:p w14:paraId="4F0A273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rPr>
              <w:t>数据来源</w:t>
            </w:r>
          </w:p>
        </w:tc>
      </w:tr>
      <w:tr w14:paraId="1DDC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598" w:type="pct"/>
            <w:vMerge w:val="restart"/>
            <w:vAlign w:val="center"/>
          </w:tcPr>
          <w:p w14:paraId="3AFB1D5B">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val="0"/>
                <w:snapToGrid w:val="0"/>
                <w:color w:val="auto"/>
                <w:kern w:val="0"/>
                <w:sz w:val="22"/>
                <w:szCs w:val="22"/>
                <w:highlight w:val="none"/>
                <w:lang w:val="en-US" w:eastAsia="zh-CN"/>
              </w:rPr>
            </w:pPr>
            <w:r>
              <w:rPr>
                <w:rFonts w:hint="default" w:ascii="Arial" w:hAnsi="Arial" w:cs="Arial"/>
                <w:b w:val="0"/>
                <w:bCs w:val="0"/>
                <w:snapToGrid w:val="0"/>
                <w:color w:val="auto"/>
                <w:kern w:val="0"/>
                <w:sz w:val="22"/>
                <w:szCs w:val="22"/>
                <w:highlight w:val="none"/>
                <w:lang w:val="en-US" w:eastAsia="zh-CN"/>
              </w:rPr>
              <w:t>双龙河</w:t>
            </w:r>
          </w:p>
        </w:tc>
        <w:tc>
          <w:tcPr>
            <w:tcW w:w="623" w:type="pct"/>
            <w:vMerge w:val="restart"/>
            <w:vAlign w:val="center"/>
          </w:tcPr>
          <w:p w14:paraId="2B5615A0">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z w:val="22"/>
                <w:szCs w:val="22"/>
                <w:lang w:val="en-US" w:eastAsia="zh-CN"/>
              </w:rPr>
              <w:t>双龙河汇入渠溪河上游500m处</w:t>
            </w:r>
          </w:p>
        </w:tc>
        <w:tc>
          <w:tcPr>
            <w:tcW w:w="1220" w:type="pct"/>
            <w:vMerge w:val="restart"/>
            <w:vAlign w:val="center"/>
          </w:tcPr>
          <w:p w14:paraId="3F211E2D">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lang w:bidi="ar"/>
              </w:rPr>
              <w:t>水温、pH、DO、高锰酸盐指数、COD、总磷、BOD</w:t>
            </w:r>
            <w:r>
              <w:rPr>
                <w:rFonts w:hint="default" w:ascii="Arial" w:hAnsi="Arial" w:cs="Arial"/>
                <w:b w:val="0"/>
                <w:bCs w:val="0"/>
                <w:snapToGrid w:val="0"/>
                <w:color w:val="auto"/>
                <w:kern w:val="0"/>
                <w:sz w:val="22"/>
                <w:szCs w:val="22"/>
                <w:highlight w:val="none"/>
                <w:vertAlign w:val="subscript"/>
                <w:lang w:bidi="ar"/>
              </w:rPr>
              <w:t>5</w:t>
            </w:r>
            <w:r>
              <w:rPr>
                <w:rFonts w:hint="default" w:ascii="Arial" w:hAnsi="Arial" w:cs="Arial"/>
                <w:b w:val="0"/>
                <w:bCs w:val="0"/>
                <w:snapToGrid w:val="0"/>
                <w:color w:val="auto"/>
                <w:kern w:val="0"/>
                <w:sz w:val="22"/>
                <w:szCs w:val="22"/>
                <w:highlight w:val="none"/>
                <w:lang w:bidi="ar"/>
              </w:rPr>
              <w:t>、氨氮、总氮、铜、锌、氟化物、硒、砷、汞、镉、铬（六价）、铅、氰化物、挥发酚、石油类、阴离子表面活性剂、硫化物、粪大肠菌群、叶绿素a、透明度、硫酸盐、氯化物、铁、锰、硝酸盐</w:t>
            </w:r>
          </w:p>
        </w:tc>
        <w:tc>
          <w:tcPr>
            <w:tcW w:w="1535" w:type="pct"/>
            <w:vAlign w:val="center"/>
          </w:tcPr>
          <w:p w14:paraId="2C0BD400">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lang w:val="en-US"/>
              </w:rPr>
            </w:pPr>
            <w:r>
              <w:rPr>
                <w:rFonts w:hint="default" w:ascii="Arial" w:hAnsi="Arial" w:cs="Arial"/>
                <w:b w:val="0"/>
                <w:bCs w:val="0"/>
                <w:sz w:val="22"/>
                <w:szCs w:val="22"/>
                <w:lang w:val="en-US" w:eastAsia="zh-CN"/>
              </w:rPr>
              <w:t>2024年1月24~26日，连续监测3天，每天取样监测1次。</w:t>
            </w:r>
          </w:p>
        </w:tc>
        <w:tc>
          <w:tcPr>
            <w:tcW w:w="1022" w:type="pct"/>
            <w:vAlign w:val="center"/>
          </w:tcPr>
          <w:p w14:paraId="648A211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 w:val="0"/>
                <w:bCs w:val="0"/>
                <w:snapToGrid w:val="0"/>
                <w:color w:val="auto"/>
                <w:kern w:val="0"/>
                <w:sz w:val="22"/>
                <w:szCs w:val="22"/>
                <w:highlight w:val="none"/>
                <w:lang w:eastAsia="zh-CN"/>
              </w:rPr>
            </w:pPr>
            <w:r>
              <w:rPr>
                <w:rFonts w:hint="default" w:ascii="Arial" w:hAnsi="Arial" w:cs="Arial"/>
                <w:b w:val="0"/>
                <w:bCs w:val="0"/>
                <w:snapToGrid w:val="0"/>
                <w:color w:val="auto"/>
                <w:kern w:val="0"/>
                <w:sz w:val="22"/>
                <w:szCs w:val="22"/>
                <w:highlight w:val="none"/>
                <w:lang w:eastAsia="zh-CN"/>
              </w:rPr>
              <w:t>引用</w:t>
            </w:r>
            <w:r>
              <w:rPr>
                <w:rFonts w:hint="default" w:ascii="Arial" w:hAnsi="Arial" w:cs="Arial"/>
                <w:b w:val="0"/>
                <w:bCs w:val="0"/>
                <w:sz w:val="22"/>
                <w:szCs w:val="22"/>
                <w:lang w:val="en-US" w:eastAsia="zh-CN"/>
              </w:rPr>
              <w:t>《重庆市渠溪河流域综合规划环境影响报告书》。</w:t>
            </w:r>
          </w:p>
        </w:tc>
      </w:tr>
      <w:tr w14:paraId="4E4E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598" w:type="pct"/>
            <w:vMerge w:val="continue"/>
            <w:vAlign w:val="center"/>
          </w:tcPr>
          <w:p w14:paraId="4319FE1A">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val="0"/>
                <w:snapToGrid w:val="0"/>
                <w:color w:val="auto"/>
                <w:kern w:val="0"/>
                <w:sz w:val="22"/>
                <w:szCs w:val="22"/>
                <w:highlight w:val="none"/>
                <w:lang w:val="en-US" w:eastAsia="zh-CN"/>
              </w:rPr>
            </w:pPr>
          </w:p>
        </w:tc>
        <w:tc>
          <w:tcPr>
            <w:tcW w:w="623" w:type="pct"/>
            <w:vMerge w:val="continue"/>
            <w:vAlign w:val="center"/>
          </w:tcPr>
          <w:p w14:paraId="0AC0DCA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z w:val="22"/>
                <w:szCs w:val="22"/>
                <w:lang w:val="en-US" w:eastAsia="zh-CN"/>
              </w:rPr>
            </w:pPr>
          </w:p>
        </w:tc>
        <w:tc>
          <w:tcPr>
            <w:tcW w:w="1220" w:type="pct"/>
            <w:vMerge w:val="continue"/>
            <w:vAlign w:val="center"/>
          </w:tcPr>
          <w:p w14:paraId="43EA85D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p>
        </w:tc>
        <w:tc>
          <w:tcPr>
            <w:tcW w:w="1535" w:type="pct"/>
            <w:vAlign w:val="center"/>
          </w:tcPr>
          <w:p w14:paraId="7A3E693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z w:val="22"/>
                <w:szCs w:val="22"/>
                <w:lang w:val="en-US" w:eastAsia="zh-CN"/>
              </w:rPr>
              <w:t>2024年8月26~28日，连续监测3天，每天取样监测1次。</w:t>
            </w:r>
          </w:p>
        </w:tc>
        <w:tc>
          <w:tcPr>
            <w:tcW w:w="1022" w:type="pct"/>
            <w:vAlign w:val="center"/>
          </w:tcPr>
          <w:p w14:paraId="249B7B0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 w:val="0"/>
                <w:bCs w:val="0"/>
                <w:snapToGrid w:val="0"/>
                <w:color w:val="auto"/>
                <w:kern w:val="0"/>
                <w:sz w:val="22"/>
                <w:szCs w:val="22"/>
                <w:highlight w:val="none"/>
                <w:lang w:eastAsia="zh-CN"/>
              </w:rPr>
            </w:pPr>
            <w:r>
              <w:rPr>
                <w:rFonts w:hint="default" w:ascii="Arial" w:hAnsi="Arial" w:cs="Arial"/>
                <w:b w:val="0"/>
                <w:bCs w:val="0"/>
                <w:snapToGrid w:val="0"/>
                <w:color w:val="auto"/>
                <w:kern w:val="0"/>
                <w:sz w:val="22"/>
                <w:szCs w:val="22"/>
                <w:highlight w:val="none"/>
                <w:lang w:eastAsia="zh-CN"/>
              </w:rPr>
              <w:t>本次补充监测</w:t>
            </w:r>
          </w:p>
        </w:tc>
      </w:tr>
      <w:tr w14:paraId="7AD6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598" w:type="pct"/>
            <w:vMerge w:val="restart"/>
            <w:vAlign w:val="center"/>
          </w:tcPr>
          <w:p w14:paraId="3EE0091C">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val="0"/>
                <w:snapToGrid w:val="0"/>
                <w:color w:val="auto"/>
                <w:kern w:val="0"/>
                <w:sz w:val="22"/>
                <w:szCs w:val="22"/>
                <w:highlight w:val="none"/>
                <w:lang w:val="en-US" w:eastAsia="zh-CN"/>
              </w:rPr>
            </w:pPr>
            <w:r>
              <w:rPr>
                <w:rFonts w:hint="default" w:ascii="Arial" w:hAnsi="Arial" w:cs="Arial"/>
                <w:b w:val="0"/>
                <w:bCs w:val="0"/>
                <w:snapToGrid w:val="0"/>
                <w:color w:val="auto"/>
                <w:kern w:val="0"/>
                <w:sz w:val="22"/>
                <w:szCs w:val="22"/>
                <w:highlight w:val="none"/>
                <w:lang w:val="en-US" w:eastAsia="zh-CN"/>
              </w:rPr>
              <w:t>海螺沟</w:t>
            </w:r>
          </w:p>
        </w:tc>
        <w:tc>
          <w:tcPr>
            <w:tcW w:w="623" w:type="pct"/>
            <w:vMerge w:val="restart"/>
            <w:vAlign w:val="center"/>
          </w:tcPr>
          <w:p w14:paraId="70324CBA">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海螺沟水库坝址处</w:t>
            </w:r>
          </w:p>
        </w:tc>
        <w:tc>
          <w:tcPr>
            <w:tcW w:w="1220" w:type="pct"/>
            <w:vMerge w:val="continue"/>
            <w:vAlign w:val="center"/>
          </w:tcPr>
          <w:p w14:paraId="4BB3CBD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p>
        </w:tc>
        <w:tc>
          <w:tcPr>
            <w:tcW w:w="1535" w:type="pct"/>
            <w:shd w:val="clear" w:color="auto" w:fill="auto"/>
            <w:vAlign w:val="center"/>
          </w:tcPr>
          <w:p w14:paraId="641B1F9E">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z w:val="22"/>
                <w:szCs w:val="22"/>
                <w:lang w:val="en-US" w:eastAsia="zh-CN"/>
              </w:rPr>
              <w:t>2024年1月24~26日，连续监测3天，每天取样监测1次。</w:t>
            </w:r>
          </w:p>
        </w:tc>
        <w:tc>
          <w:tcPr>
            <w:tcW w:w="1022" w:type="pct"/>
            <w:shd w:val="clear" w:color="auto" w:fill="auto"/>
            <w:vAlign w:val="center"/>
          </w:tcPr>
          <w:p w14:paraId="1972C2E0">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napToGrid w:val="0"/>
                <w:color w:val="auto"/>
                <w:kern w:val="0"/>
                <w:sz w:val="22"/>
                <w:szCs w:val="22"/>
                <w:highlight w:val="none"/>
                <w:lang w:eastAsia="zh-CN"/>
              </w:rPr>
              <w:t>引用</w:t>
            </w:r>
            <w:r>
              <w:rPr>
                <w:rFonts w:hint="default" w:ascii="Arial" w:hAnsi="Arial" w:cs="Arial"/>
                <w:b w:val="0"/>
                <w:bCs w:val="0"/>
                <w:sz w:val="22"/>
                <w:szCs w:val="22"/>
                <w:lang w:val="en-US" w:eastAsia="zh-CN"/>
              </w:rPr>
              <w:t>《重庆市渠溪河流域综合规划环境影响报告书》。</w:t>
            </w:r>
          </w:p>
        </w:tc>
      </w:tr>
      <w:tr w14:paraId="4AEC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598" w:type="pct"/>
            <w:vMerge w:val="continue"/>
            <w:vAlign w:val="center"/>
          </w:tcPr>
          <w:p w14:paraId="5848AC00">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val="0"/>
                <w:snapToGrid w:val="0"/>
                <w:color w:val="auto"/>
                <w:kern w:val="0"/>
                <w:sz w:val="22"/>
                <w:szCs w:val="22"/>
                <w:highlight w:val="none"/>
                <w:lang w:val="en-US" w:eastAsia="zh-CN"/>
              </w:rPr>
            </w:pPr>
          </w:p>
        </w:tc>
        <w:tc>
          <w:tcPr>
            <w:tcW w:w="623" w:type="pct"/>
            <w:vMerge w:val="continue"/>
            <w:vAlign w:val="center"/>
          </w:tcPr>
          <w:p w14:paraId="6D10AA1E">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z w:val="22"/>
                <w:szCs w:val="22"/>
                <w:lang w:val="en-US" w:eastAsia="zh-CN"/>
              </w:rPr>
            </w:pPr>
          </w:p>
        </w:tc>
        <w:tc>
          <w:tcPr>
            <w:tcW w:w="1220" w:type="pct"/>
            <w:vMerge w:val="continue"/>
            <w:vAlign w:val="center"/>
          </w:tcPr>
          <w:p w14:paraId="1840783C">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p>
        </w:tc>
        <w:tc>
          <w:tcPr>
            <w:tcW w:w="1535" w:type="pct"/>
            <w:shd w:val="clear" w:color="auto" w:fill="auto"/>
            <w:vAlign w:val="center"/>
          </w:tcPr>
          <w:p w14:paraId="36CE7095">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z w:val="22"/>
                <w:szCs w:val="22"/>
                <w:lang w:val="en-US" w:eastAsia="zh-CN"/>
              </w:rPr>
              <w:t>2024年8月26~28日，连续监测3天，每天取样监测1次。</w:t>
            </w:r>
          </w:p>
        </w:tc>
        <w:tc>
          <w:tcPr>
            <w:tcW w:w="1022" w:type="pct"/>
            <w:shd w:val="clear" w:color="auto" w:fill="auto"/>
            <w:vAlign w:val="center"/>
          </w:tcPr>
          <w:p w14:paraId="2E89377D">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napToGrid w:val="0"/>
                <w:color w:val="auto"/>
                <w:kern w:val="0"/>
                <w:sz w:val="22"/>
                <w:szCs w:val="22"/>
                <w:highlight w:val="none"/>
                <w:lang w:eastAsia="zh-CN"/>
              </w:rPr>
              <w:t>本次补充监测</w:t>
            </w:r>
          </w:p>
        </w:tc>
      </w:tr>
    </w:tbl>
    <w:p w14:paraId="54483E0E">
      <w:pPr>
        <w:keepNext w:val="0"/>
        <w:keepLines w:val="0"/>
        <w:pageBreakBefore w:val="0"/>
        <w:widowControl w:val="0"/>
        <w:kinsoku/>
        <w:wordWrap/>
        <w:overflowPunct/>
        <w:topLinePunct w:val="0"/>
        <w:autoSpaceDE/>
        <w:autoSpaceDN/>
        <w:bidi w:val="0"/>
        <w:adjustRightInd/>
        <w:snapToGrid/>
        <w:spacing w:line="240" w:lineRule="exact"/>
        <w:ind w:left="0" w:right="0" w:firstLine="0" w:firstLineChars="0"/>
        <w:jc w:val="center"/>
        <w:textAlignment w:val="auto"/>
        <w:rPr>
          <w:rFonts w:hint="default" w:ascii="Arial" w:hAnsi="Arial" w:cs="Arial"/>
          <w:b/>
          <w:bCs/>
          <w:spacing w:val="-12"/>
          <w:sz w:val="26"/>
          <w:szCs w:val="26"/>
          <w:lang w:val="en-US" w:eastAsia="zh-CN"/>
        </w:rPr>
      </w:pPr>
    </w:p>
    <w:p w14:paraId="006B9651">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default" w:ascii="Arial" w:hAnsi="Arial" w:eastAsia="宋体" w:cs="Arial"/>
          <w:b/>
          <w:bCs w:val="0"/>
          <w:sz w:val="26"/>
          <w:szCs w:val="26"/>
          <w:lang w:val="en-US" w:eastAsia="zh-CN"/>
        </w:rPr>
        <w:t>②</w:t>
      </w:r>
      <w:r>
        <w:rPr>
          <w:rFonts w:hint="eastAsia" w:ascii="Arial" w:hAnsi="Arial" w:eastAsia="宋体" w:cs="Arial"/>
          <w:b/>
          <w:bCs w:val="0"/>
          <w:sz w:val="26"/>
          <w:szCs w:val="26"/>
          <w:lang w:val="en-US" w:eastAsia="zh-CN"/>
        </w:rPr>
        <w:t xml:space="preserve"> 评价方法</w:t>
      </w:r>
    </w:p>
    <w:p w14:paraId="4D15875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cs="Arial"/>
          <w:sz w:val="26"/>
          <w:szCs w:val="26"/>
        </w:rPr>
        <w:t>采用标准指数法对地表水质进行现状评价，计算公式如下：</w:t>
      </w:r>
    </w:p>
    <w:p w14:paraId="3B62666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cs="Arial"/>
          <w:snapToGrid w:val="0"/>
          <w:sz w:val="26"/>
          <w:szCs w:val="26"/>
        </w:rPr>
      </w:pPr>
      <w:r>
        <w:rPr>
          <w:rFonts w:ascii="Arial" w:cs="Arial"/>
          <w:snapToGrid w:val="0"/>
          <w:sz w:val="26"/>
          <w:szCs w:val="26"/>
        </w:rPr>
        <w:t>一般因子：</w:t>
      </w:r>
    </w:p>
    <w:p w14:paraId="0D5DA1EB">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center"/>
        <w:textAlignment w:val="auto"/>
        <w:rPr>
          <w:rFonts w:ascii="Arial" w:hAnsi="Arial" w:cs="Arial"/>
          <w:snapToGrid w:val="0"/>
          <w:sz w:val="26"/>
          <w:szCs w:val="26"/>
          <w:vertAlign w:val="subscript"/>
        </w:rPr>
      </w:pPr>
      <w:r>
        <w:rPr>
          <w:rFonts w:ascii="Arial" w:hAnsi="Arial" w:cs="Arial"/>
          <w:snapToGrid w:val="0"/>
          <w:sz w:val="26"/>
          <w:szCs w:val="26"/>
        </w:rPr>
        <w:t>S</w:t>
      </w:r>
      <w:r>
        <w:rPr>
          <w:rFonts w:ascii="Arial" w:hAnsi="Arial" w:cs="Arial"/>
          <w:snapToGrid w:val="0"/>
          <w:sz w:val="26"/>
          <w:szCs w:val="26"/>
          <w:vertAlign w:val="subscript"/>
        </w:rPr>
        <w:t>ij</w:t>
      </w:r>
      <w:r>
        <w:rPr>
          <w:rFonts w:ascii="Arial" w:hAnsi="Arial" w:cs="Arial"/>
          <w:snapToGrid w:val="0"/>
          <w:sz w:val="26"/>
          <w:szCs w:val="26"/>
        </w:rPr>
        <w:t>=C</w:t>
      </w:r>
      <w:r>
        <w:rPr>
          <w:rFonts w:ascii="Arial" w:hAnsi="Arial" w:cs="Arial"/>
          <w:snapToGrid w:val="0"/>
          <w:sz w:val="26"/>
          <w:szCs w:val="26"/>
          <w:vertAlign w:val="subscript"/>
        </w:rPr>
        <w:t>ij</w:t>
      </w:r>
      <w:r>
        <w:rPr>
          <w:rFonts w:ascii="Arial" w:hAnsi="Arial" w:cs="Arial"/>
          <w:snapToGrid w:val="0"/>
          <w:sz w:val="26"/>
          <w:szCs w:val="26"/>
        </w:rPr>
        <w:t>/C</w:t>
      </w:r>
      <w:r>
        <w:rPr>
          <w:rFonts w:ascii="Arial" w:hAnsi="Arial" w:cs="Arial"/>
          <w:snapToGrid w:val="0"/>
          <w:sz w:val="26"/>
          <w:szCs w:val="26"/>
          <w:vertAlign w:val="subscript"/>
        </w:rPr>
        <w:t>s</w:t>
      </w:r>
      <w:r>
        <w:rPr>
          <w:rFonts w:ascii="Arial" w:cs="Arial"/>
          <w:snapToGrid w:val="0"/>
          <w:sz w:val="26"/>
          <w:szCs w:val="26"/>
          <w:vertAlign w:val="subscript"/>
        </w:rPr>
        <w:t>，</w:t>
      </w:r>
      <w:r>
        <w:rPr>
          <w:rFonts w:ascii="Arial" w:hAnsi="Arial" w:cs="Arial"/>
          <w:snapToGrid w:val="0"/>
          <w:sz w:val="26"/>
          <w:szCs w:val="26"/>
          <w:vertAlign w:val="subscript"/>
        </w:rPr>
        <w:t>i</w:t>
      </w:r>
    </w:p>
    <w:p w14:paraId="1B421A63">
      <w:pPr>
        <w:keepNext w:val="0"/>
        <w:keepLines w:val="0"/>
        <w:pageBreakBefore w:val="0"/>
        <w:widowControl w:val="0"/>
        <w:kinsoku/>
        <w:wordWrap/>
        <w:overflowPunct/>
        <w:topLinePunct w:val="0"/>
        <w:autoSpaceDE/>
        <w:autoSpaceDN/>
        <w:bidi w:val="0"/>
        <w:adjustRightInd/>
        <w:snapToGrid/>
        <w:spacing w:line="460" w:lineRule="exact"/>
        <w:ind w:firstLine="1040" w:firstLineChars="400"/>
        <w:textAlignment w:val="auto"/>
        <w:rPr>
          <w:rFonts w:ascii="Arial" w:hAnsi="Arial" w:cs="Arial"/>
          <w:snapToGrid w:val="0"/>
          <w:sz w:val="26"/>
          <w:szCs w:val="26"/>
        </w:rPr>
      </w:pPr>
      <w:r>
        <w:rPr>
          <w:rFonts w:ascii="Arial" w:cs="Arial"/>
          <w:snapToGrid w:val="0"/>
          <w:sz w:val="26"/>
          <w:szCs w:val="26"/>
        </w:rPr>
        <w:t>式中：</w:t>
      </w:r>
      <w:r>
        <w:rPr>
          <w:rFonts w:ascii="Arial" w:hAnsi="Arial" w:cs="Arial"/>
          <w:snapToGrid w:val="0"/>
          <w:sz w:val="26"/>
          <w:szCs w:val="26"/>
        </w:rPr>
        <w:t>S</w:t>
      </w:r>
      <w:r>
        <w:rPr>
          <w:rFonts w:ascii="Arial" w:hAnsi="Arial" w:cs="Arial"/>
          <w:snapToGrid w:val="0"/>
          <w:sz w:val="26"/>
          <w:szCs w:val="26"/>
          <w:vertAlign w:val="subscript"/>
        </w:rPr>
        <w:t>ij</w:t>
      </w:r>
      <w:r>
        <w:rPr>
          <w:rFonts w:ascii="Arial" w:hAnsi="Arial" w:cs="Arial"/>
          <w:snapToGrid w:val="0"/>
          <w:sz w:val="26"/>
          <w:szCs w:val="26"/>
        </w:rPr>
        <w:t>——</w:t>
      </w:r>
      <w:r>
        <w:rPr>
          <w:rFonts w:ascii="Arial" w:cs="Arial"/>
          <w:snapToGrid w:val="0"/>
          <w:sz w:val="26"/>
          <w:szCs w:val="26"/>
        </w:rPr>
        <w:t>标准指数；</w:t>
      </w:r>
    </w:p>
    <w:p w14:paraId="6E8EEB48">
      <w:pPr>
        <w:keepNext w:val="0"/>
        <w:keepLines w:val="0"/>
        <w:pageBreakBefore w:val="0"/>
        <w:widowControl w:val="0"/>
        <w:kinsoku/>
        <w:wordWrap/>
        <w:overflowPunct/>
        <w:topLinePunct w:val="0"/>
        <w:autoSpaceDE/>
        <w:autoSpaceDN/>
        <w:bidi w:val="0"/>
        <w:adjustRightInd/>
        <w:snapToGrid/>
        <w:spacing w:line="460" w:lineRule="exact"/>
        <w:ind w:firstLine="1820" w:firstLineChars="700"/>
        <w:textAlignment w:val="auto"/>
        <w:rPr>
          <w:rFonts w:ascii="Arial" w:hAnsi="Arial" w:cs="Arial"/>
          <w:snapToGrid w:val="0"/>
          <w:sz w:val="26"/>
          <w:szCs w:val="26"/>
        </w:rPr>
      </w:pPr>
      <w:r>
        <w:rPr>
          <w:rFonts w:ascii="Arial" w:hAnsi="Arial" w:cs="Arial"/>
          <w:snapToGrid w:val="0"/>
          <w:sz w:val="26"/>
          <w:szCs w:val="26"/>
        </w:rPr>
        <w:t>C</w:t>
      </w:r>
      <w:r>
        <w:rPr>
          <w:rFonts w:ascii="Arial" w:hAnsi="Arial" w:cs="Arial"/>
          <w:snapToGrid w:val="0"/>
          <w:sz w:val="26"/>
          <w:szCs w:val="26"/>
          <w:vertAlign w:val="subscript"/>
        </w:rPr>
        <w:t>ij</w:t>
      </w:r>
      <w:r>
        <w:rPr>
          <w:rFonts w:ascii="Arial" w:hAnsi="Arial" w:cs="Arial"/>
          <w:snapToGrid w:val="0"/>
          <w:sz w:val="26"/>
          <w:szCs w:val="26"/>
        </w:rPr>
        <w:t>——</w:t>
      </w:r>
      <w:r>
        <w:rPr>
          <w:rFonts w:ascii="Arial" w:cs="Arial"/>
          <w:snapToGrid w:val="0"/>
          <w:sz w:val="26"/>
          <w:szCs w:val="26"/>
        </w:rPr>
        <w:t>评价因子</w:t>
      </w:r>
      <w:r>
        <w:rPr>
          <w:rFonts w:ascii="Arial" w:hAnsi="Arial" w:cs="Arial"/>
          <w:snapToGrid w:val="0"/>
          <w:sz w:val="26"/>
          <w:szCs w:val="26"/>
        </w:rPr>
        <w:t>i</w:t>
      </w:r>
      <w:r>
        <w:rPr>
          <w:rFonts w:ascii="Arial" w:cs="Arial"/>
          <w:snapToGrid w:val="0"/>
          <w:sz w:val="26"/>
          <w:szCs w:val="26"/>
        </w:rPr>
        <w:t>在</w:t>
      </w:r>
      <w:r>
        <w:rPr>
          <w:rFonts w:ascii="Arial" w:hAnsi="Arial" w:cs="Arial"/>
          <w:snapToGrid w:val="0"/>
          <w:sz w:val="26"/>
          <w:szCs w:val="26"/>
        </w:rPr>
        <w:t>j</w:t>
      </w:r>
      <w:r>
        <w:rPr>
          <w:rFonts w:ascii="Arial" w:cs="Arial"/>
          <w:snapToGrid w:val="0"/>
          <w:sz w:val="26"/>
          <w:szCs w:val="26"/>
        </w:rPr>
        <w:t>点的实测浓度值（</w:t>
      </w:r>
      <w:r>
        <w:rPr>
          <w:rFonts w:ascii="Arial" w:hAnsi="Arial" w:cs="Arial"/>
          <w:snapToGrid w:val="0"/>
          <w:sz w:val="26"/>
          <w:szCs w:val="26"/>
        </w:rPr>
        <w:t>mg/L</w:t>
      </w:r>
      <w:r>
        <w:rPr>
          <w:rFonts w:ascii="Arial" w:cs="Arial"/>
          <w:snapToGrid w:val="0"/>
          <w:sz w:val="26"/>
          <w:szCs w:val="26"/>
        </w:rPr>
        <w:t>）；</w:t>
      </w:r>
    </w:p>
    <w:p w14:paraId="090C422B">
      <w:pPr>
        <w:keepNext w:val="0"/>
        <w:keepLines w:val="0"/>
        <w:pageBreakBefore w:val="0"/>
        <w:widowControl w:val="0"/>
        <w:kinsoku/>
        <w:wordWrap/>
        <w:overflowPunct/>
        <w:topLinePunct w:val="0"/>
        <w:autoSpaceDE/>
        <w:autoSpaceDN/>
        <w:bidi w:val="0"/>
        <w:adjustRightInd/>
        <w:snapToGrid/>
        <w:spacing w:line="460" w:lineRule="exact"/>
        <w:ind w:firstLine="1820" w:firstLineChars="700"/>
        <w:textAlignment w:val="auto"/>
        <w:rPr>
          <w:rFonts w:ascii="Arial" w:hAnsi="Arial" w:cs="Arial"/>
          <w:snapToGrid w:val="0"/>
          <w:sz w:val="26"/>
          <w:szCs w:val="26"/>
        </w:rPr>
      </w:pPr>
      <w:r>
        <w:rPr>
          <w:rFonts w:ascii="Arial" w:hAnsi="Arial" w:cs="Arial"/>
          <w:snapToGrid w:val="0"/>
          <w:sz w:val="26"/>
          <w:szCs w:val="26"/>
        </w:rPr>
        <w:t>C</w:t>
      </w:r>
      <w:r>
        <w:rPr>
          <w:rFonts w:ascii="Arial" w:hAnsi="Arial" w:cs="Arial"/>
          <w:snapToGrid w:val="0"/>
          <w:sz w:val="26"/>
          <w:szCs w:val="26"/>
          <w:vertAlign w:val="subscript"/>
        </w:rPr>
        <w:t>s</w:t>
      </w:r>
      <w:r>
        <w:rPr>
          <w:rFonts w:ascii="Arial" w:cs="Arial"/>
          <w:snapToGrid w:val="0"/>
          <w:sz w:val="26"/>
          <w:szCs w:val="26"/>
          <w:vertAlign w:val="subscript"/>
        </w:rPr>
        <w:t>，</w:t>
      </w:r>
      <w:r>
        <w:rPr>
          <w:rFonts w:ascii="Arial" w:hAnsi="Arial" w:cs="Arial"/>
          <w:snapToGrid w:val="0"/>
          <w:sz w:val="26"/>
          <w:szCs w:val="26"/>
          <w:vertAlign w:val="subscript"/>
        </w:rPr>
        <w:t>i</w:t>
      </w:r>
      <w:r>
        <w:rPr>
          <w:rFonts w:ascii="Arial" w:hAnsi="Arial" w:cs="Arial"/>
          <w:snapToGrid w:val="0"/>
          <w:sz w:val="26"/>
          <w:szCs w:val="26"/>
        </w:rPr>
        <w:t>——</w:t>
      </w:r>
      <w:r>
        <w:rPr>
          <w:rFonts w:ascii="Arial" w:cs="Arial"/>
          <w:snapToGrid w:val="0"/>
          <w:sz w:val="26"/>
          <w:szCs w:val="26"/>
        </w:rPr>
        <w:t>评价因子</w:t>
      </w:r>
      <w:r>
        <w:rPr>
          <w:rFonts w:ascii="Arial" w:hAnsi="Arial" w:cs="Arial"/>
          <w:snapToGrid w:val="0"/>
          <w:sz w:val="26"/>
          <w:szCs w:val="26"/>
        </w:rPr>
        <w:t>i</w:t>
      </w:r>
      <w:r>
        <w:rPr>
          <w:rFonts w:ascii="Arial" w:cs="Arial"/>
          <w:snapToGrid w:val="0"/>
          <w:sz w:val="26"/>
          <w:szCs w:val="26"/>
        </w:rPr>
        <w:t>的评价标准限值（</w:t>
      </w:r>
      <w:r>
        <w:rPr>
          <w:rFonts w:ascii="Arial" w:hAnsi="Arial" w:cs="Arial"/>
          <w:snapToGrid w:val="0"/>
          <w:sz w:val="26"/>
          <w:szCs w:val="26"/>
        </w:rPr>
        <w:t>mg/L</w:t>
      </w:r>
      <w:r>
        <w:rPr>
          <w:rFonts w:ascii="Arial" w:cs="Arial"/>
          <w:snapToGrid w:val="0"/>
          <w:sz w:val="26"/>
          <w:szCs w:val="26"/>
        </w:rPr>
        <w:t>）。</w:t>
      </w:r>
    </w:p>
    <w:p w14:paraId="6FEAFEC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napToGrid w:val="0"/>
          <w:sz w:val="26"/>
          <w:szCs w:val="26"/>
          <w:lang w:eastAsia="zh-CN"/>
        </w:rPr>
      </w:pPr>
      <w:r>
        <w:rPr>
          <w:rFonts w:ascii="Arial" w:hAnsi="Arial" w:cs="Arial"/>
          <w:snapToGrid w:val="0"/>
          <w:sz w:val="26"/>
          <w:szCs w:val="26"/>
        </w:rPr>
        <w:t>pH</w:t>
      </w:r>
      <w:r>
        <w:rPr>
          <w:rFonts w:ascii="Arial" w:cs="Arial"/>
          <w:snapToGrid w:val="0"/>
          <w:sz w:val="26"/>
          <w:szCs w:val="26"/>
        </w:rPr>
        <w:t>标准指数</w:t>
      </w:r>
      <w:r>
        <w:rPr>
          <w:rFonts w:hint="eastAsia" w:ascii="Arial" w:cs="Arial"/>
          <w:snapToGrid w:val="0"/>
          <w:sz w:val="26"/>
          <w:szCs w:val="26"/>
          <w:lang w:eastAsia="zh-CN"/>
        </w:rPr>
        <w:t>：</w:t>
      </w:r>
    </w:p>
    <w:p w14:paraId="597749A1">
      <w:pPr>
        <w:keepNext w:val="0"/>
        <w:keepLines w:val="0"/>
        <w:pageBreakBefore w:val="0"/>
        <w:widowControl w:val="0"/>
        <w:kinsoku/>
        <w:wordWrap/>
        <w:overflowPunct/>
        <w:topLinePunct w:val="0"/>
        <w:autoSpaceDE/>
        <w:autoSpaceDN/>
        <w:bidi w:val="0"/>
        <w:adjustRightInd/>
        <w:snapToGrid/>
        <w:spacing w:line="460" w:lineRule="exact"/>
        <w:ind w:firstLine="1820" w:firstLineChars="700"/>
        <w:textAlignment w:val="auto"/>
        <w:rPr>
          <w:rFonts w:ascii="Arial" w:hAnsi="Arial" w:cs="Arial"/>
          <w:snapToGrid w:val="0"/>
          <w:sz w:val="26"/>
          <w:szCs w:val="26"/>
        </w:rPr>
      </w:pPr>
      <w:r>
        <w:rPr>
          <w:rFonts w:ascii="Arial" w:hAnsi="Arial" w:cs="Arial"/>
          <w:snapToGrid w:val="0"/>
          <w:sz w:val="26"/>
          <w:szCs w:val="26"/>
        </w:rPr>
        <w:t>pH</w:t>
      </w:r>
      <w:r>
        <w:rPr>
          <w:rFonts w:ascii="Arial" w:hAnsi="Arial" w:cs="Arial"/>
          <w:snapToGrid w:val="0"/>
          <w:sz w:val="26"/>
          <w:szCs w:val="26"/>
          <w:vertAlign w:val="subscript"/>
        </w:rPr>
        <w:t>j</w:t>
      </w:r>
      <w:r>
        <w:rPr>
          <w:rFonts w:ascii="宋体" w:hAnsi="宋体" w:cs="Arial"/>
          <w:snapToGrid w:val="0"/>
          <w:sz w:val="26"/>
          <w:szCs w:val="26"/>
        </w:rPr>
        <w:t>≤</w:t>
      </w:r>
      <w:r>
        <w:rPr>
          <w:rFonts w:ascii="Arial" w:hAnsi="Arial" w:cs="Arial"/>
          <w:snapToGrid w:val="0"/>
          <w:sz w:val="26"/>
          <w:szCs w:val="26"/>
        </w:rPr>
        <w:t>7.0    S</w:t>
      </w:r>
      <w:r>
        <w:rPr>
          <w:rFonts w:ascii="Arial" w:hAnsi="Arial" w:cs="Arial"/>
          <w:snapToGrid w:val="0"/>
          <w:sz w:val="26"/>
          <w:szCs w:val="26"/>
          <w:vertAlign w:val="subscript"/>
        </w:rPr>
        <w:t>pHj</w:t>
      </w:r>
      <w:r>
        <w:rPr>
          <w:rFonts w:ascii="Arial" w:hAnsi="Arial" w:cs="Arial"/>
          <w:snapToGrid w:val="0"/>
          <w:sz w:val="26"/>
          <w:szCs w:val="26"/>
        </w:rPr>
        <w:t>=</w:t>
      </w:r>
      <w:r>
        <w:rPr>
          <w:rFonts w:ascii="Arial" w:cs="Arial"/>
          <w:snapToGrid w:val="0"/>
          <w:sz w:val="26"/>
          <w:szCs w:val="26"/>
        </w:rPr>
        <w:t>（</w:t>
      </w:r>
      <w:r>
        <w:rPr>
          <w:rFonts w:ascii="Arial" w:hAnsi="Arial" w:cs="Arial"/>
          <w:snapToGrid w:val="0"/>
          <w:sz w:val="26"/>
          <w:szCs w:val="26"/>
        </w:rPr>
        <w:t>7.0</w:t>
      </w:r>
      <w:r>
        <w:rPr>
          <w:rFonts w:ascii="Arial" w:cs="Arial"/>
          <w:snapToGrid w:val="0"/>
          <w:sz w:val="26"/>
          <w:szCs w:val="26"/>
        </w:rPr>
        <w:t>－</w:t>
      </w:r>
      <w:r>
        <w:rPr>
          <w:rFonts w:ascii="Arial" w:hAnsi="Arial" w:cs="Arial"/>
          <w:snapToGrid w:val="0"/>
          <w:sz w:val="26"/>
          <w:szCs w:val="26"/>
        </w:rPr>
        <w:t>pH</w:t>
      </w:r>
      <w:r>
        <w:rPr>
          <w:rFonts w:ascii="Arial" w:hAnsi="Arial" w:cs="Arial"/>
          <w:snapToGrid w:val="0"/>
          <w:sz w:val="26"/>
          <w:szCs w:val="26"/>
          <w:vertAlign w:val="subscript"/>
        </w:rPr>
        <w:t>j</w:t>
      </w:r>
      <w:r>
        <w:rPr>
          <w:rFonts w:ascii="Arial" w:cs="Arial"/>
          <w:snapToGrid w:val="0"/>
          <w:sz w:val="26"/>
          <w:szCs w:val="26"/>
        </w:rPr>
        <w:t>）</w:t>
      </w:r>
      <w:r>
        <w:rPr>
          <w:rFonts w:ascii="Arial" w:hAnsi="Arial" w:cs="Arial"/>
          <w:snapToGrid w:val="0"/>
          <w:sz w:val="26"/>
          <w:szCs w:val="26"/>
        </w:rPr>
        <w:t>/</w:t>
      </w:r>
      <w:r>
        <w:rPr>
          <w:rFonts w:ascii="Arial" w:cs="Arial"/>
          <w:snapToGrid w:val="0"/>
          <w:sz w:val="26"/>
          <w:szCs w:val="26"/>
        </w:rPr>
        <w:t>（</w:t>
      </w:r>
      <w:r>
        <w:rPr>
          <w:rFonts w:ascii="Arial" w:hAnsi="Arial" w:cs="Arial"/>
          <w:snapToGrid w:val="0"/>
          <w:sz w:val="26"/>
          <w:szCs w:val="26"/>
        </w:rPr>
        <w:t>7.0</w:t>
      </w:r>
      <w:r>
        <w:rPr>
          <w:rFonts w:ascii="Arial" w:cs="Arial"/>
          <w:snapToGrid w:val="0"/>
          <w:sz w:val="26"/>
          <w:szCs w:val="26"/>
        </w:rPr>
        <w:t>－</w:t>
      </w:r>
      <w:r>
        <w:rPr>
          <w:rFonts w:ascii="Arial" w:hAnsi="Arial" w:cs="Arial"/>
          <w:snapToGrid w:val="0"/>
          <w:sz w:val="26"/>
          <w:szCs w:val="26"/>
        </w:rPr>
        <w:t>pH</w:t>
      </w:r>
      <w:r>
        <w:rPr>
          <w:rFonts w:ascii="Arial" w:hAnsi="Arial" w:cs="Arial"/>
          <w:snapToGrid w:val="0"/>
          <w:sz w:val="26"/>
          <w:szCs w:val="26"/>
          <w:vertAlign w:val="subscript"/>
        </w:rPr>
        <w:t>sd</w:t>
      </w:r>
      <w:r>
        <w:rPr>
          <w:rFonts w:ascii="Arial" w:cs="Arial"/>
          <w:snapToGrid w:val="0"/>
          <w:sz w:val="26"/>
          <w:szCs w:val="26"/>
        </w:rPr>
        <w:t>）</w:t>
      </w:r>
    </w:p>
    <w:p w14:paraId="2E7BFA85">
      <w:pPr>
        <w:keepNext w:val="0"/>
        <w:keepLines w:val="0"/>
        <w:pageBreakBefore w:val="0"/>
        <w:widowControl w:val="0"/>
        <w:kinsoku/>
        <w:wordWrap/>
        <w:overflowPunct/>
        <w:topLinePunct w:val="0"/>
        <w:autoSpaceDE/>
        <w:autoSpaceDN/>
        <w:bidi w:val="0"/>
        <w:adjustRightInd/>
        <w:snapToGrid/>
        <w:spacing w:line="460" w:lineRule="exact"/>
        <w:ind w:firstLine="1820" w:firstLineChars="700"/>
        <w:textAlignment w:val="auto"/>
        <w:rPr>
          <w:rFonts w:ascii="Arial" w:hAnsi="Arial" w:cs="Arial"/>
          <w:snapToGrid w:val="0"/>
          <w:sz w:val="26"/>
          <w:szCs w:val="26"/>
        </w:rPr>
      </w:pPr>
      <w:r>
        <w:rPr>
          <w:rFonts w:ascii="Arial" w:hAnsi="Arial" w:cs="Arial"/>
          <w:snapToGrid w:val="0"/>
          <w:sz w:val="26"/>
          <w:szCs w:val="26"/>
        </w:rPr>
        <w:t>pH</w:t>
      </w:r>
      <w:r>
        <w:rPr>
          <w:rFonts w:ascii="Arial" w:hAnsi="Arial" w:cs="Arial"/>
          <w:snapToGrid w:val="0"/>
          <w:sz w:val="26"/>
          <w:szCs w:val="26"/>
          <w:vertAlign w:val="subscript"/>
        </w:rPr>
        <w:t>j</w:t>
      </w:r>
      <w:r>
        <w:rPr>
          <w:rFonts w:ascii="Arial" w:cs="Arial"/>
          <w:snapToGrid w:val="0"/>
          <w:sz w:val="26"/>
          <w:szCs w:val="26"/>
        </w:rPr>
        <w:t>＞</w:t>
      </w:r>
      <w:r>
        <w:rPr>
          <w:rFonts w:ascii="Arial" w:hAnsi="Arial" w:cs="Arial"/>
          <w:snapToGrid w:val="0"/>
          <w:sz w:val="26"/>
          <w:szCs w:val="26"/>
        </w:rPr>
        <w:t>7.0    S</w:t>
      </w:r>
      <w:r>
        <w:rPr>
          <w:rFonts w:ascii="Arial" w:hAnsi="Arial" w:cs="Arial"/>
          <w:snapToGrid w:val="0"/>
          <w:sz w:val="26"/>
          <w:szCs w:val="26"/>
          <w:vertAlign w:val="subscript"/>
        </w:rPr>
        <w:t>pHj</w:t>
      </w:r>
      <w:r>
        <w:rPr>
          <w:rFonts w:ascii="Arial" w:hAnsi="Arial" w:cs="Arial"/>
          <w:snapToGrid w:val="0"/>
          <w:sz w:val="26"/>
          <w:szCs w:val="26"/>
        </w:rPr>
        <w:t>=</w:t>
      </w:r>
      <w:r>
        <w:rPr>
          <w:rFonts w:ascii="Arial" w:cs="Arial"/>
          <w:snapToGrid w:val="0"/>
          <w:sz w:val="26"/>
          <w:szCs w:val="26"/>
        </w:rPr>
        <w:t>（</w:t>
      </w:r>
      <w:r>
        <w:rPr>
          <w:rFonts w:ascii="Arial" w:hAnsi="Arial" w:cs="Arial"/>
          <w:snapToGrid w:val="0"/>
          <w:sz w:val="26"/>
          <w:szCs w:val="26"/>
        </w:rPr>
        <w:t>pH</w:t>
      </w:r>
      <w:r>
        <w:rPr>
          <w:rFonts w:ascii="Arial" w:hAnsi="Arial" w:cs="Arial"/>
          <w:snapToGrid w:val="0"/>
          <w:sz w:val="26"/>
          <w:szCs w:val="26"/>
          <w:vertAlign w:val="subscript"/>
        </w:rPr>
        <w:t>j</w:t>
      </w:r>
      <w:r>
        <w:rPr>
          <w:rFonts w:ascii="Arial" w:cs="Arial"/>
          <w:snapToGrid w:val="0"/>
          <w:sz w:val="26"/>
          <w:szCs w:val="26"/>
        </w:rPr>
        <w:t>－</w:t>
      </w:r>
      <w:r>
        <w:rPr>
          <w:rFonts w:ascii="Arial" w:hAnsi="Arial" w:cs="Arial"/>
          <w:snapToGrid w:val="0"/>
          <w:sz w:val="26"/>
          <w:szCs w:val="26"/>
        </w:rPr>
        <w:t>7.0</w:t>
      </w:r>
      <w:r>
        <w:rPr>
          <w:rFonts w:ascii="Arial" w:cs="Arial"/>
          <w:snapToGrid w:val="0"/>
          <w:sz w:val="26"/>
          <w:szCs w:val="26"/>
        </w:rPr>
        <w:t>）</w:t>
      </w:r>
      <w:r>
        <w:rPr>
          <w:rFonts w:ascii="Arial" w:hAnsi="Arial" w:cs="Arial"/>
          <w:snapToGrid w:val="0"/>
          <w:sz w:val="26"/>
          <w:szCs w:val="26"/>
        </w:rPr>
        <w:t>/</w:t>
      </w:r>
      <w:r>
        <w:rPr>
          <w:rFonts w:ascii="Arial" w:cs="Arial"/>
          <w:snapToGrid w:val="0"/>
          <w:sz w:val="26"/>
          <w:szCs w:val="26"/>
        </w:rPr>
        <w:t>（</w:t>
      </w:r>
      <w:r>
        <w:rPr>
          <w:rFonts w:ascii="Arial" w:hAnsi="Arial" w:cs="Arial"/>
          <w:snapToGrid w:val="0"/>
          <w:sz w:val="26"/>
          <w:szCs w:val="26"/>
        </w:rPr>
        <w:t>pH</w:t>
      </w:r>
      <w:r>
        <w:rPr>
          <w:rFonts w:ascii="Arial" w:hAnsi="Arial" w:cs="Arial"/>
          <w:snapToGrid w:val="0"/>
          <w:sz w:val="26"/>
          <w:szCs w:val="26"/>
          <w:vertAlign w:val="subscript"/>
        </w:rPr>
        <w:t>su</w:t>
      </w:r>
      <w:r>
        <w:rPr>
          <w:rFonts w:ascii="Arial" w:cs="Arial"/>
          <w:snapToGrid w:val="0"/>
          <w:sz w:val="26"/>
          <w:szCs w:val="26"/>
        </w:rPr>
        <w:t>－</w:t>
      </w:r>
      <w:r>
        <w:rPr>
          <w:rFonts w:ascii="Arial" w:hAnsi="Arial" w:cs="Arial"/>
          <w:snapToGrid w:val="0"/>
          <w:sz w:val="26"/>
          <w:szCs w:val="26"/>
        </w:rPr>
        <w:t>7.0</w:t>
      </w:r>
      <w:r>
        <w:rPr>
          <w:rFonts w:ascii="Arial" w:cs="Arial"/>
          <w:snapToGrid w:val="0"/>
          <w:sz w:val="26"/>
          <w:szCs w:val="26"/>
        </w:rPr>
        <w:t>）</w:t>
      </w:r>
    </w:p>
    <w:p w14:paraId="2EBF3E29">
      <w:pPr>
        <w:keepNext w:val="0"/>
        <w:keepLines w:val="0"/>
        <w:pageBreakBefore w:val="0"/>
        <w:widowControl w:val="0"/>
        <w:kinsoku/>
        <w:wordWrap/>
        <w:overflowPunct/>
        <w:topLinePunct w:val="0"/>
        <w:autoSpaceDE/>
        <w:autoSpaceDN/>
        <w:bidi w:val="0"/>
        <w:adjustRightInd/>
        <w:snapToGrid/>
        <w:spacing w:line="460" w:lineRule="exact"/>
        <w:ind w:firstLine="1040" w:firstLineChars="400"/>
        <w:textAlignment w:val="auto"/>
        <w:rPr>
          <w:rFonts w:ascii="Arial" w:hAnsi="Arial" w:cs="Arial"/>
          <w:snapToGrid w:val="0"/>
          <w:sz w:val="26"/>
          <w:szCs w:val="26"/>
        </w:rPr>
      </w:pPr>
      <w:r>
        <w:rPr>
          <w:rFonts w:ascii="Arial" w:cs="Arial"/>
          <w:snapToGrid w:val="0"/>
          <w:sz w:val="26"/>
          <w:szCs w:val="26"/>
        </w:rPr>
        <w:t>式中：</w:t>
      </w:r>
      <w:r>
        <w:rPr>
          <w:rFonts w:ascii="Arial" w:hAnsi="Arial" w:cs="Arial"/>
          <w:snapToGrid w:val="0"/>
          <w:sz w:val="26"/>
          <w:szCs w:val="26"/>
        </w:rPr>
        <w:t>S</w:t>
      </w:r>
      <w:r>
        <w:rPr>
          <w:rFonts w:ascii="Arial" w:hAnsi="Arial" w:cs="Arial"/>
          <w:snapToGrid w:val="0"/>
          <w:sz w:val="26"/>
          <w:szCs w:val="26"/>
          <w:vertAlign w:val="subscript"/>
        </w:rPr>
        <w:t>pHj</w:t>
      </w:r>
      <w:r>
        <w:rPr>
          <w:rFonts w:ascii="Arial" w:hAnsi="Arial" w:cs="Arial"/>
          <w:snapToGrid w:val="0"/>
          <w:sz w:val="26"/>
          <w:szCs w:val="26"/>
        </w:rPr>
        <w:t>——pH</w:t>
      </w:r>
      <w:r>
        <w:rPr>
          <w:rFonts w:ascii="Arial" w:cs="Arial"/>
          <w:snapToGrid w:val="0"/>
          <w:sz w:val="26"/>
          <w:szCs w:val="26"/>
        </w:rPr>
        <w:t>值的标准指数；</w:t>
      </w:r>
    </w:p>
    <w:p w14:paraId="57F7B7BD">
      <w:pPr>
        <w:keepNext w:val="0"/>
        <w:keepLines w:val="0"/>
        <w:pageBreakBefore w:val="0"/>
        <w:widowControl w:val="0"/>
        <w:kinsoku/>
        <w:wordWrap/>
        <w:overflowPunct/>
        <w:topLinePunct w:val="0"/>
        <w:autoSpaceDE/>
        <w:autoSpaceDN/>
        <w:bidi w:val="0"/>
        <w:adjustRightInd/>
        <w:snapToGrid/>
        <w:spacing w:line="460" w:lineRule="exact"/>
        <w:ind w:firstLine="1781" w:firstLineChars="685"/>
        <w:textAlignment w:val="auto"/>
        <w:rPr>
          <w:rFonts w:ascii="Arial" w:hAnsi="Arial" w:cs="Arial"/>
          <w:snapToGrid w:val="0"/>
          <w:sz w:val="26"/>
          <w:szCs w:val="26"/>
        </w:rPr>
      </w:pPr>
      <w:r>
        <w:rPr>
          <w:rFonts w:ascii="Arial" w:hAnsi="Arial" w:cs="Arial"/>
          <w:snapToGrid w:val="0"/>
          <w:sz w:val="26"/>
          <w:szCs w:val="26"/>
        </w:rPr>
        <w:t>pH</w:t>
      </w:r>
      <w:r>
        <w:rPr>
          <w:rFonts w:ascii="Arial" w:hAnsi="Arial" w:cs="Arial"/>
          <w:snapToGrid w:val="0"/>
          <w:sz w:val="26"/>
          <w:szCs w:val="26"/>
          <w:vertAlign w:val="subscript"/>
        </w:rPr>
        <w:t>j</w:t>
      </w:r>
      <w:r>
        <w:rPr>
          <w:rFonts w:ascii="Arial" w:hAnsi="Arial" w:cs="Arial"/>
          <w:snapToGrid w:val="0"/>
          <w:sz w:val="26"/>
          <w:szCs w:val="26"/>
        </w:rPr>
        <w:t>——pH</w:t>
      </w:r>
      <w:r>
        <w:rPr>
          <w:rFonts w:ascii="Arial" w:cs="Arial"/>
          <w:snapToGrid w:val="0"/>
          <w:sz w:val="26"/>
          <w:szCs w:val="26"/>
        </w:rPr>
        <w:t>实测值；</w:t>
      </w:r>
    </w:p>
    <w:p w14:paraId="5B656870">
      <w:pPr>
        <w:keepNext w:val="0"/>
        <w:keepLines w:val="0"/>
        <w:pageBreakBefore w:val="0"/>
        <w:widowControl w:val="0"/>
        <w:kinsoku/>
        <w:wordWrap/>
        <w:overflowPunct/>
        <w:topLinePunct w:val="0"/>
        <w:autoSpaceDE/>
        <w:autoSpaceDN/>
        <w:bidi w:val="0"/>
        <w:adjustRightInd/>
        <w:snapToGrid/>
        <w:spacing w:line="460" w:lineRule="exact"/>
        <w:ind w:firstLine="1781" w:firstLineChars="685"/>
        <w:textAlignment w:val="auto"/>
        <w:rPr>
          <w:rFonts w:ascii="Arial" w:hAnsi="Arial" w:cs="Arial"/>
          <w:snapToGrid w:val="0"/>
          <w:sz w:val="26"/>
          <w:szCs w:val="26"/>
        </w:rPr>
      </w:pPr>
      <w:r>
        <w:rPr>
          <w:rFonts w:ascii="Arial" w:hAnsi="Arial" w:cs="Arial"/>
          <w:snapToGrid w:val="0"/>
          <w:sz w:val="26"/>
          <w:szCs w:val="26"/>
        </w:rPr>
        <w:t>pH</w:t>
      </w:r>
      <w:r>
        <w:rPr>
          <w:rFonts w:ascii="Arial" w:hAnsi="Arial" w:cs="Arial"/>
          <w:snapToGrid w:val="0"/>
          <w:sz w:val="26"/>
          <w:szCs w:val="26"/>
          <w:vertAlign w:val="subscript"/>
        </w:rPr>
        <w:t>sd</w:t>
      </w:r>
      <w:r>
        <w:rPr>
          <w:rFonts w:ascii="Arial" w:hAnsi="Arial" w:cs="Arial"/>
          <w:snapToGrid w:val="0"/>
          <w:sz w:val="26"/>
          <w:szCs w:val="26"/>
        </w:rPr>
        <w:t>——</w:t>
      </w:r>
      <w:r>
        <w:rPr>
          <w:rFonts w:ascii="Arial" w:cs="Arial"/>
          <w:snapToGrid w:val="0"/>
          <w:sz w:val="26"/>
          <w:szCs w:val="26"/>
        </w:rPr>
        <w:t>评价标准中</w:t>
      </w:r>
      <w:r>
        <w:rPr>
          <w:rFonts w:ascii="Arial" w:hAnsi="Arial" w:cs="Arial"/>
          <w:snapToGrid w:val="0"/>
          <w:sz w:val="26"/>
          <w:szCs w:val="26"/>
        </w:rPr>
        <w:t>pH</w:t>
      </w:r>
      <w:r>
        <w:rPr>
          <w:rFonts w:ascii="Arial" w:cs="Arial"/>
          <w:snapToGrid w:val="0"/>
          <w:sz w:val="26"/>
          <w:szCs w:val="26"/>
        </w:rPr>
        <w:t>的下限值；</w:t>
      </w:r>
    </w:p>
    <w:p w14:paraId="39BB01D1">
      <w:pPr>
        <w:pStyle w:val="100"/>
        <w:keepNext w:val="0"/>
        <w:keepLines w:val="0"/>
        <w:pageBreakBefore w:val="0"/>
        <w:widowControl w:val="0"/>
        <w:kinsoku/>
        <w:wordWrap/>
        <w:overflowPunct/>
        <w:topLinePunct w:val="0"/>
        <w:autoSpaceDE/>
        <w:autoSpaceDN/>
        <w:bidi w:val="0"/>
        <w:adjustRightInd/>
        <w:snapToGrid/>
        <w:spacing w:line="460" w:lineRule="exact"/>
        <w:ind w:firstLine="1820" w:firstLineChars="700"/>
        <w:jc w:val="both"/>
        <w:textAlignment w:val="auto"/>
        <w:rPr>
          <w:rFonts w:hint="default" w:ascii="Arial" w:hAnsi="Arial" w:cs="Arial"/>
          <w:b w:val="0"/>
          <w:bCs/>
          <w:sz w:val="26"/>
          <w:szCs w:val="26"/>
          <w:lang w:val="en-US" w:eastAsia="zh-CN"/>
        </w:rPr>
      </w:pPr>
      <w:r>
        <w:rPr>
          <w:rFonts w:ascii="Arial" w:hAnsi="Arial" w:cs="Arial"/>
          <w:b w:val="0"/>
          <w:bCs/>
          <w:snapToGrid w:val="0"/>
          <w:sz w:val="26"/>
          <w:szCs w:val="26"/>
        </w:rPr>
        <w:t>pH</w:t>
      </w:r>
      <w:r>
        <w:rPr>
          <w:rFonts w:ascii="Arial" w:hAnsi="Arial" w:cs="Arial"/>
          <w:b w:val="0"/>
          <w:bCs/>
          <w:snapToGrid w:val="0"/>
          <w:sz w:val="26"/>
          <w:szCs w:val="26"/>
          <w:vertAlign w:val="subscript"/>
        </w:rPr>
        <w:t>su</w:t>
      </w:r>
      <w:r>
        <w:rPr>
          <w:rFonts w:ascii="Arial" w:hAnsi="Arial" w:cs="Arial"/>
          <w:b w:val="0"/>
          <w:bCs/>
          <w:snapToGrid w:val="0"/>
          <w:sz w:val="26"/>
          <w:szCs w:val="26"/>
        </w:rPr>
        <w:t>——</w:t>
      </w:r>
      <w:r>
        <w:rPr>
          <w:rFonts w:ascii="Arial" w:cs="Arial"/>
          <w:b w:val="0"/>
          <w:bCs/>
          <w:snapToGrid w:val="0"/>
          <w:sz w:val="26"/>
          <w:szCs w:val="26"/>
        </w:rPr>
        <w:t>评价标准中</w:t>
      </w:r>
      <w:r>
        <w:rPr>
          <w:rFonts w:ascii="Arial" w:hAnsi="Arial" w:cs="Arial"/>
          <w:b w:val="0"/>
          <w:bCs/>
          <w:snapToGrid w:val="0"/>
          <w:sz w:val="26"/>
          <w:szCs w:val="26"/>
        </w:rPr>
        <w:t>pH</w:t>
      </w:r>
      <w:r>
        <w:rPr>
          <w:rFonts w:ascii="Arial" w:cs="Arial"/>
          <w:b w:val="0"/>
          <w:bCs/>
          <w:snapToGrid w:val="0"/>
          <w:sz w:val="26"/>
          <w:szCs w:val="26"/>
        </w:rPr>
        <w:t>的上限值。</w:t>
      </w:r>
    </w:p>
    <w:p w14:paraId="702A3F59">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r>
        <w:rPr>
          <w:rFonts w:hint="eastAsia" w:ascii="Arial" w:hAnsi="Arial" w:cs="Arial"/>
          <w:b w:val="0"/>
          <w:bCs/>
          <w:sz w:val="26"/>
          <w:szCs w:val="26"/>
          <w:lang w:val="en-US" w:eastAsia="zh-CN"/>
        </w:rPr>
        <w:t>DO标准指数：</w:t>
      </w:r>
    </w:p>
    <w:p w14:paraId="7FAFE70A">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Arial" w:hAnsi="Arial" w:eastAsia="黑体" w:cs="Arial"/>
          <w:color w:val="auto"/>
          <w:sz w:val="26"/>
          <w:szCs w:val="26"/>
          <w:highlight w:val="none"/>
        </w:rPr>
      </w:pPr>
      <m:oMath>
        <m:sSub>
          <m:sSubPr>
            <m:ctrlPr>
              <w:rPr>
                <w:rFonts w:hint="default" w:ascii="Cambria Math" w:hAnsi="Cambria Math" w:cs="Arial"/>
                <w:i/>
                <w:color w:val="auto"/>
                <w:sz w:val="26"/>
                <w:szCs w:val="26"/>
                <w:highlight w:val="none"/>
              </w:rPr>
            </m:ctrlPr>
          </m:sSubPr>
          <m:e>
            <m:r>
              <m:rPr/>
              <w:rPr>
                <w:rFonts w:hint="default" w:ascii="Cambria Math" w:hAnsi="Cambria Math" w:cs="Arial"/>
                <w:color w:val="auto"/>
                <w:sz w:val="26"/>
                <w:szCs w:val="26"/>
                <w:highlight w:val="none"/>
              </w:rPr>
              <m:t>S</m:t>
            </m:r>
            <m:ctrlPr>
              <w:rPr>
                <w:rFonts w:hint="default" w:ascii="Cambria Math" w:hAnsi="Cambria Math" w:cs="Arial"/>
                <w:i/>
                <w:color w:val="auto"/>
                <w:sz w:val="26"/>
                <w:szCs w:val="26"/>
                <w:highlight w:val="none"/>
              </w:rPr>
            </m:ctrlPr>
          </m:e>
          <m:sub>
            <m:r>
              <m:rPr/>
              <w:rPr>
                <w:rFonts w:hint="default" w:ascii="Cambria Math" w:hAnsi="Cambria Math" w:cs="Arial"/>
                <w:color w:val="auto"/>
                <w:sz w:val="26"/>
                <w:szCs w:val="26"/>
                <w:highlight w:val="none"/>
              </w:rPr>
              <m:t>DOj</m:t>
            </m:r>
            <m:ctrlPr>
              <w:rPr>
                <w:rFonts w:hint="default" w:ascii="Cambria Math" w:hAnsi="Cambria Math" w:cs="Arial"/>
                <w:i/>
                <w:color w:val="auto"/>
                <w:sz w:val="26"/>
                <w:szCs w:val="26"/>
                <w:highlight w:val="none"/>
              </w:rPr>
            </m:ctrlPr>
          </m:sub>
        </m:sSub>
        <m:r>
          <m:rPr/>
          <w:rPr>
            <w:rFonts w:hint="default" w:ascii="Cambria Math" w:hAnsi="Cambria Math" w:cs="Arial"/>
            <w:color w:val="auto"/>
            <w:sz w:val="26"/>
            <w:szCs w:val="26"/>
            <w:highlight w:val="none"/>
          </w:rPr>
          <m:t>=</m:t>
        </m:r>
        <m:sSub>
          <m:sSubPr>
            <m:ctrlPr>
              <w:rPr>
                <w:rFonts w:hint="default" w:ascii="Cambria Math" w:hAnsi="Cambria Math" w:cs="Arial"/>
                <w:i/>
                <w:color w:val="auto"/>
                <w:sz w:val="26"/>
                <w:szCs w:val="26"/>
                <w:highlight w:val="none"/>
              </w:rPr>
            </m:ctrlPr>
          </m:sSubPr>
          <m:e>
            <m:r>
              <m:rPr/>
              <w:rPr>
                <w:rFonts w:hint="default" w:ascii="Cambria Math" w:hAnsi="Cambria Math" w:cs="Arial"/>
                <w:color w:val="auto"/>
                <w:sz w:val="26"/>
                <w:szCs w:val="26"/>
                <w:highlight w:val="none"/>
              </w:rPr>
              <m:t>DO</m:t>
            </m:r>
            <m:ctrlPr>
              <w:rPr>
                <w:rFonts w:hint="default" w:ascii="Cambria Math" w:hAnsi="Cambria Math" w:cs="Arial"/>
                <w:i/>
                <w:color w:val="auto"/>
                <w:sz w:val="26"/>
                <w:szCs w:val="26"/>
                <w:highlight w:val="none"/>
              </w:rPr>
            </m:ctrlPr>
          </m:e>
          <m:sub>
            <m:r>
              <m:rPr/>
              <w:rPr>
                <w:rFonts w:hint="default" w:ascii="Cambria Math" w:hAnsi="Cambria Math" w:cs="Arial"/>
                <w:color w:val="auto"/>
                <w:sz w:val="26"/>
                <w:szCs w:val="26"/>
                <w:highlight w:val="none"/>
              </w:rPr>
              <m:t>s</m:t>
            </m:r>
            <m:ctrlPr>
              <w:rPr>
                <w:rFonts w:hint="default" w:ascii="Cambria Math" w:hAnsi="Cambria Math" w:cs="Arial"/>
                <w:i/>
                <w:color w:val="auto"/>
                <w:sz w:val="26"/>
                <w:szCs w:val="26"/>
                <w:highlight w:val="none"/>
              </w:rPr>
            </m:ctrlPr>
          </m:sub>
        </m:sSub>
        <m:r>
          <m:rPr/>
          <w:rPr>
            <w:rFonts w:hint="default" w:ascii="Cambria Math" w:hAnsi="Cambria Math" w:cs="Arial"/>
            <w:color w:val="auto"/>
            <w:sz w:val="26"/>
            <w:szCs w:val="26"/>
            <w:highlight w:val="none"/>
          </w:rPr>
          <m:t>/</m:t>
        </m:r>
        <m:sSub>
          <m:sSubPr>
            <m:ctrlPr>
              <w:rPr>
                <w:rFonts w:hint="default" w:ascii="Cambria Math" w:hAnsi="Cambria Math" w:cs="Arial"/>
                <w:i/>
                <w:color w:val="auto"/>
                <w:sz w:val="26"/>
                <w:szCs w:val="26"/>
                <w:highlight w:val="none"/>
              </w:rPr>
            </m:ctrlPr>
          </m:sSubPr>
          <m:e>
            <m:r>
              <m:rPr/>
              <w:rPr>
                <w:rFonts w:hint="default" w:ascii="Cambria Math" w:hAnsi="Cambria Math" w:cs="Arial"/>
                <w:color w:val="auto"/>
                <w:sz w:val="26"/>
                <w:szCs w:val="26"/>
                <w:highlight w:val="none"/>
              </w:rPr>
              <m:t>DO</m:t>
            </m:r>
            <m:ctrlPr>
              <w:rPr>
                <w:rFonts w:hint="default" w:ascii="Cambria Math" w:hAnsi="Cambria Math" w:cs="Arial"/>
                <w:i/>
                <w:color w:val="auto"/>
                <w:sz w:val="26"/>
                <w:szCs w:val="26"/>
                <w:highlight w:val="none"/>
              </w:rPr>
            </m:ctrlPr>
          </m:e>
          <m:sub>
            <m:r>
              <m:rPr/>
              <w:rPr>
                <w:rFonts w:hint="default" w:ascii="Cambria Math" w:hAnsi="Cambria Math" w:cs="Arial"/>
                <w:color w:val="auto"/>
                <w:sz w:val="26"/>
                <w:szCs w:val="26"/>
                <w:highlight w:val="none"/>
              </w:rPr>
              <m:t>j</m:t>
            </m:r>
            <m:ctrlPr>
              <w:rPr>
                <w:rFonts w:hint="default" w:ascii="Cambria Math" w:hAnsi="Cambria Math" w:cs="Arial"/>
                <w:i/>
                <w:color w:val="auto"/>
                <w:sz w:val="26"/>
                <w:szCs w:val="26"/>
                <w:highlight w:val="none"/>
              </w:rPr>
            </m:ctrlPr>
          </m:sub>
        </m:sSub>
      </m:oMath>
      <w:r>
        <w:rPr>
          <w:rFonts w:hint="default" w:ascii="Arial" w:hAnsi="Arial" w:eastAsia="黑体" w:cs="Arial"/>
          <w:color w:val="auto"/>
          <w:sz w:val="26"/>
          <w:szCs w:val="26"/>
          <w:highlight w:val="none"/>
        </w:rPr>
        <w:t xml:space="preserve">   </w:t>
      </w:r>
      <m:oMath>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j</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f</m:t>
            </m:r>
            <m:ctrlPr>
              <w:rPr>
                <w:rFonts w:hint="default" w:ascii="Cambria Math" w:hAnsi="Cambria Math" w:eastAsia="黑体" w:cs="Arial"/>
                <w:i/>
                <w:color w:val="auto"/>
                <w:sz w:val="26"/>
                <w:szCs w:val="26"/>
                <w:highlight w:val="none"/>
              </w:rPr>
            </m:ctrlPr>
          </m:sub>
        </m:sSub>
      </m:oMath>
    </w:p>
    <w:p w14:paraId="57246AD9">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Arial" w:hAnsi="Arial" w:eastAsia="黑体" w:cs="Arial"/>
          <w:color w:val="auto"/>
          <w:sz w:val="26"/>
          <w:szCs w:val="26"/>
          <w:highlight w:val="none"/>
        </w:rPr>
      </w:pPr>
      <m:oMath>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S</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DOj</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f>
          <m:fPr>
            <m:ctrlPr>
              <w:rPr>
                <w:rFonts w:hint="default" w:ascii="Cambria Math" w:hAnsi="Cambria Math" w:eastAsia="黑体" w:cs="Arial"/>
                <w:i/>
                <w:color w:val="auto"/>
                <w:sz w:val="26"/>
                <w:szCs w:val="26"/>
                <w:highlight w:val="none"/>
              </w:rPr>
            </m:ctrlPr>
          </m:fPr>
          <m:num>
            <m:d>
              <m:dPr>
                <m:begChr m:val="|"/>
                <m:endChr m:val="|"/>
                <m:ctrlPr>
                  <w:rPr>
                    <w:rFonts w:hint="default" w:ascii="Cambria Math" w:hAnsi="Cambria Math" w:eastAsia="黑体" w:cs="Arial"/>
                    <w:i/>
                    <w:color w:val="auto"/>
                    <w:sz w:val="26"/>
                    <w:szCs w:val="26"/>
                    <w:highlight w:val="none"/>
                  </w:rPr>
                </m:ctrlPr>
              </m:dPr>
              <m:e>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f</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j</m:t>
                    </m:r>
                    <m:ctrlPr>
                      <w:rPr>
                        <w:rFonts w:hint="default" w:ascii="Cambria Math" w:hAnsi="Cambria Math" w:eastAsia="黑体" w:cs="Arial"/>
                        <w:i/>
                        <w:color w:val="auto"/>
                        <w:sz w:val="26"/>
                        <w:szCs w:val="26"/>
                        <w:highlight w:val="none"/>
                      </w:rPr>
                    </m:ctrlPr>
                  </m:sub>
                </m:sSub>
                <m:ctrlPr>
                  <w:rPr>
                    <w:rFonts w:hint="default" w:ascii="Cambria Math" w:hAnsi="Cambria Math" w:eastAsia="黑体" w:cs="Arial"/>
                    <w:i/>
                    <w:color w:val="auto"/>
                    <w:sz w:val="26"/>
                    <w:szCs w:val="26"/>
                    <w:highlight w:val="none"/>
                  </w:rPr>
                </m:ctrlPr>
              </m:e>
            </m:d>
            <m:ctrlPr>
              <w:rPr>
                <w:rFonts w:hint="default" w:ascii="Cambria Math" w:hAnsi="Cambria Math" w:eastAsia="黑体" w:cs="Arial"/>
                <w:i/>
                <w:color w:val="auto"/>
                <w:sz w:val="26"/>
                <w:szCs w:val="26"/>
                <w:highlight w:val="none"/>
              </w:rPr>
            </m:ctrlPr>
          </m:num>
          <m:den>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f</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s</m:t>
                </m:r>
                <m:ctrlPr>
                  <w:rPr>
                    <w:rFonts w:hint="default" w:ascii="Cambria Math" w:hAnsi="Cambria Math" w:eastAsia="黑体" w:cs="Arial"/>
                    <w:i/>
                    <w:color w:val="auto"/>
                    <w:sz w:val="26"/>
                    <w:szCs w:val="26"/>
                    <w:highlight w:val="none"/>
                  </w:rPr>
                </m:ctrlPr>
              </m:sub>
            </m:sSub>
            <m:ctrlPr>
              <w:rPr>
                <w:rFonts w:hint="default" w:ascii="Cambria Math" w:hAnsi="Cambria Math" w:eastAsia="黑体" w:cs="Arial"/>
                <w:i/>
                <w:color w:val="auto"/>
                <w:sz w:val="26"/>
                <w:szCs w:val="26"/>
                <w:highlight w:val="none"/>
              </w:rPr>
            </m:ctrlPr>
          </m:den>
        </m:f>
      </m:oMath>
      <w:r>
        <w:rPr>
          <w:rFonts w:hint="default" w:ascii="Arial" w:hAnsi="Arial" w:eastAsia="黑体" w:cs="Arial"/>
          <w:color w:val="auto"/>
          <w:sz w:val="26"/>
          <w:szCs w:val="26"/>
          <w:highlight w:val="none"/>
        </w:rPr>
        <w:t xml:space="preserve">   </w:t>
      </w:r>
      <m:oMath>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j</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f</m:t>
            </m:r>
            <m:ctrlPr>
              <w:rPr>
                <w:rFonts w:hint="default" w:ascii="Cambria Math" w:hAnsi="Cambria Math" w:eastAsia="黑体" w:cs="Arial"/>
                <w:i/>
                <w:color w:val="auto"/>
                <w:sz w:val="26"/>
                <w:szCs w:val="26"/>
                <w:highlight w:val="none"/>
              </w:rPr>
            </m:ctrlPr>
          </m:sub>
        </m:sSub>
      </m:oMath>
    </w:p>
    <w:p w14:paraId="04D340AF">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Arial" w:hAnsi="Arial" w:cs="Arial"/>
          <w:color w:val="auto"/>
          <w:sz w:val="26"/>
          <w:szCs w:val="26"/>
          <w:highlight w:val="none"/>
        </w:rPr>
      </w:pPr>
      <w:r>
        <w:rPr>
          <w:rFonts w:hint="default" w:ascii="Arial" w:hAnsi="Arial" w:cs="Arial"/>
          <w:color w:val="auto"/>
          <w:sz w:val="26"/>
          <w:szCs w:val="26"/>
          <w:highlight w:val="none"/>
        </w:rPr>
        <w:t>式中：</w:t>
      </w:r>
      <w:r>
        <w:rPr>
          <w:rFonts w:hint="default" w:ascii="Arial" w:hAnsi="Arial" w:cs="Arial"/>
          <w:i/>
          <w:color w:val="auto"/>
          <w:sz w:val="26"/>
          <w:szCs w:val="26"/>
          <w:highlight w:val="none"/>
        </w:rPr>
        <w:t>S</w:t>
      </w:r>
      <w:r>
        <w:rPr>
          <w:rFonts w:hint="default" w:ascii="Arial" w:hAnsi="Arial" w:cs="Arial"/>
          <w:i/>
          <w:color w:val="auto"/>
          <w:sz w:val="26"/>
          <w:szCs w:val="26"/>
          <w:highlight w:val="none"/>
          <w:vertAlign w:val="subscript"/>
        </w:rPr>
        <w:t>DO，j</w:t>
      </w:r>
      <w:r>
        <w:rPr>
          <w:rFonts w:hint="default" w:ascii="Arial" w:hAnsi="Arial" w:cs="Arial"/>
          <w:color w:val="auto"/>
          <w:sz w:val="26"/>
          <w:szCs w:val="26"/>
          <w:highlight w:val="none"/>
        </w:rPr>
        <w:t>——溶解氧的标准指数，大于1表明该水质因子超标；</w:t>
      </w:r>
    </w:p>
    <w:p w14:paraId="61479EB9">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Arial" w:hAnsi="Arial" w:cs="Arial"/>
          <w:color w:val="auto"/>
          <w:sz w:val="26"/>
          <w:szCs w:val="26"/>
          <w:highlight w:val="none"/>
        </w:rPr>
      </w:pPr>
      <w:r>
        <w:rPr>
          <w:rFonts w:hint="default" w:ascii="Arial" w:hAnsi="Arial" w:cs="Arial"/>
          <w:i/>
          <w:color w:val="auto"/>
          <w:sz w:val="26"/>
          <w:szCs w:val="26"/>
          <w:highlight w:val="none"/>
        </w:rPr>
        <w:t>DO</w:t>
      </w:r>
      <w:r>
        <w:rPr>
          <w:rFonts w:hint="default" w:ascii="Arial" w:hAnsi="Arial" w:cs="Arial"/>
          <w:i/>
          <w:color w:val="auto"/>
          <w:sz w:val="26"/>
          <w:szCs w:val="26"/>
          <w:highlight w:val="none"/>
          <w:vertAlign w:val="subscript"/>
        </w:rPr>
        <w:t>j</w:t>
      </w:r>
      <w:r>
        <w:rPr>
          <w:rFonts w:hint="default" w:ascii="Arial" w:hAnsi="Arial" w:cs="Arial"/>
          <w:color w:val="auto"/>
          <w:sz w:val="26"/>
          <w:szCs w:val="26"/>
          <w:highlight w:val="none"/>
        </w:rPr>
        <w:t>——溶解氧在j点的实测统计代表值，mg/L；</w:t>
      </w:r>
    </w:p>
    <w:p w14:paraId="5F298F4F">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Arial" w:hAnsi="Arial" w:cs="Arial"/>
          <w:color w:val="auto"/>
          <w:sz w:val="26"/>
          <w:szCs w:val="26"/>
          <w:highlight w:val="none"/>
        </w:rPr>
      </w:pPr>
      <w:r>
        <w:rPr>
          <w:rFonts w:hint="default" w:ascii="Arial" w:hAnsi="Arial" w:cs="Arial"/>
          <w:i/>
          <w:color w:val="auto"/>
          <w:sz w:val="26"/>
          <w:szCs w:val="26"/>
          <w:highlight w:val="none"/>
        </w:rPr>
        <w:t>DO</w:t>
      </w:r>
      <w:r>
        <w:rPr>
          <w:rFonts w:hint="default" w:ascii="Arial" w:hAnsi="Arial" w:cs="Arial"/>
          <w:i/>
          <w:color w:val="auto"/>
          <w:sz w:val="26"/>
          <w:szCs w:val="26"/>
          <w:highlight w:val="none"/>
          <w:vertAlign w:val="subscript"/>
        </w:rPr>
        <w:t>s</w:t>
      </w:r>
      <w:r>
        <w:rPr>
          <w:rFonts w:hint="default" w:ascii="Arial" w:hAnsi="Arial" w:cs="Arial"/>
          <w:color w:val="auto"/>
          <w:sz w:val="26"/>
          <w:szCs w:val="26"/>
          <w:highlight w:val="none"/>
        </w:rPr>
        <w:t>——溶解氧的水质评价标准限值，mg/L；</w:t>
      </w:r>
    </w:p>
    <w:p w14:paraId="6C43A89B">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Arial" w:hAnsi="Arial" w:cs="Arial"/>
          <w:color w:val="auto"/>
          <w:sz w:val="26"/>
          <w:szCs w:val="26"/>
          <w:highlight w:val="none"/>
        </w:rPr>
      </w:pPr>
      <w:r>
        <w:rPr>
          <w:rFonts w:hint="default" w:ascii="Arial" w:hAnsi="Arial" w:cs="Arial"/>
          <w:i/>
          <w:color w:val="auto"/>
          <w:sz w:val="26"/>
          <w:szCs w:val="26"/>
          <w:highlight w:val="none"/>
        </w:rPr>
        <w:t>DO</w:t>
      </w:r>
      <w:r>
        <w:rPr>
          <w:rFonts w:hint="default" w:ascii="Arial" w:hAnsi="Arial" w:cs="Arial"/>
          <w:i/>
          <w:color w:val="auto"/>
          <w:sz w:val="26"/>
          <w:szCs w:val="26"/>
          <w:highlight w:val="none"/>
          <w:vertAlign w:val="subscript"/>
        </w:rPr>
        <w:t>f</w:t>
      </w:r>
      <w:r>
        <w:rPr>
          <w:rFonts w:hint="default" w:ascii="Arial" w:hAnsi="Arial" w:cs="Arial"/>
          <w:color w:val="auto"/>
          <w:sz w:val="26"/>
          <w:szCs w:val="26"/>
          <w:highlight w:val="none"/>
        </w:rPr>
        <w:t>——饱和溶解氧浓度，mg/L，对于河流，DO</w:t>
      </w:r>
      <w:r>
        <w:rPr>
          <w:rFonts w:hint="default" w:ascii="Arial" w:hAnsi="Arial" w:cs="Arial"/>
          <w:color w:val="auto"/>
          <w:sz w:val="26"/>
          <w:szCs w:val="26"/>
          <w:highlight w:val="none"/>
          <w:vertAlign w:val="subscript"/>
        </w:rPr>
        <w:t>f</w:t>
      </w:r>
      <w:r>
        <w:rPr>
          <w:rFonts w:hint="default" w:ascii="Arial" w:hAnsi="Arial" w:cs="Arial"/>
          <w:color w:val="auto"/>
          <w:sz w:val="26"/>
          <w:szCs w:val="26"/>
          <w:highlight w:val="none"/>
        </w:rPr>
        <w:t>=468/（31.6+T）；</w:t>
      </w:r>
    </w:p>
    <w:p w14:paraId="4E66C056">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Arial" w:hAnsi="Arial" w:cs="Arial"/>
          <w:color w:val="auto"/>
          <w:sz w:val="26"/>
          <w:szCs w:val="26"/>
          <w:highlight w:val="none"/>
        </w:rPr>
      </w:pPr>
      <w:r>
        <w:rPr>
          <w:rFonts w:hint="default" w:ascii="Arial" w:hAnsi="Arial" w:cs="Arial"/>
          <w:color w:val="auto"/>
          <w:sz w:val="26"/>
          <w:szCs w:val="26"/>
          <w:highlight w:val="none"/>
        </w:rPr>
        <w:t>T——水温，℃。</w:t>
      </w:r>
    </w:p>
    <w:p w14:paraId="3CE0E5A4">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eastAsia" w:ascii="宋体" w:hAnsi="宋体" w:eastAsia="宋体" w:cs="宋体"/>
          <w:b/>
          <w:bCs w:val="0"/>
          <w:sz w:val="26"/>
          <w:szCs w:val="26"/>
          <w:lang w:val="en-US" w:eastAsia="zh-CN"/>
        </w:rPr>
        <w:t>③</w:t>
      </w:r>
      <w:r>
        <w:rPr>
          <w:rFonts w:hint="eastAsia" w:ascii="Arial" w:hAnsi="Arial" w:eastAsia="宋体" w:cs="Arial"/>
          <w:b/>
          <w:bCs w:val="0"/>
          <w:sz w:val="26"/>
          <w:szCs w:val="26"/>
          <w:lang w:val="en-US" w:eastAsia="zh-CN"/>
        </w:rPr>
        <w:t xml:space="preserve"> 执行标准</w:t>
      </w:r>
    </w:p>
    <w:p w14:paraId="23BE1155">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bCs/>
          <w:sz w:val="26"/>
          <w:szCs w:val="26"/>
          <w:lang w:val="en-US" w:eastAsia="zh-CN"/>
        </w:rPr>
      </w:pPr>
      <w:r>
        <w:rPr>
          <w:rFonts w:hint="eastAsia" w:ascii="Arial" w:hAnsi="Arial" w:eastAsia="宋体" w:cs="Arial"/>
          <w:b w:val="0"/>
          <w:bCs/>
          <w:sz w:val="26"/>
          <w:szCs w:val="26"/>
          <w:lang w:val="en-US" w:eastAsia="zh-CN"/>
        </w:rPr>
        <w:t>执行</w:t>
      </w:r>
      <w:r>
        <w:rPr>
          <w:rFonts w:hint="default" w:ascii="Arial" w:hAnsi="Arial" w:eastAsia="宋体" w:cs="Arial"/>
          <w:b w:val="0"/>
          <w:bCs/>
          <w:sz w:val="26"/>
          <w:szCs w:val="26"/>
          <w:lang w:val="en-US" w:eastAsia="zh-CN"/>
        </w:rPr>
        <w:t>《地表水环境质量标准》（GB3838-2002）中的</w:t>
      </w:r>
      <w:r>
        <w:rPr>
          <w:rFonts w:hint="eastAsia" w:ascii="Arial" w:hAnsi="Arial" w:eastAsia="宋体" w:cs="Arial"/>
          <w:b w:val="0"/>
          <w:bCs/>
          <w:sz w:val="26"/>
          <w:szCs w:val="26"/>
          <w:lang w:val="en-US" w:eastAsia="zh-CN"/>
        </w:rPr>
        <w:t>Ⅲ</w:t>
      </w:r>
      <w:r>
        <w:rPr>
          <w:rFonts w:hint="default" w:ascii="Arial" w:hAnsi="Arial" w:eastAsia="宋体" w:cs="Arial"/>
          <w:b w:val="0"/>
          <w:bCs/>
          <w:sz w:val="26"/>
          <w:szCs w:val="26"/>
          <w:lang w:val="en-US" w:eastAsia="zh-CN"/>
        </w:rPr>
        <w:t>类水质标准</w:t>
      </w:r>
      <w:r>
        <w:rPr>
          <w:rFonts w:hint="eastAsia" w:ascii="Arial" w:hAnsi="Arial" w:eastAsia="宋体" w:cs="Arial"/>
          <w:b w:val="0"/>
          <w:bCs/>
          <w:sz w:val="26"/>
          <w:szCs w:val="26"/>
          <w:lang w:val="en-US" w:eastAsia="zh-CN"/>
        </w:rPr>
        <w:t>。</w:t>
      </w:r>
    </w:p>
    <w:p w14:paraId="42E71762">
      <w:pPr>
        <w:spacing w:line="460" w:lineRule="exact"/>
        <w:ind w:firstLine="522" w:firstLineChars="200"/>
        <w:outlineLvl w:val="3"/>
        <w:rPr>
          <w:rFonts w:hint="eastAsia" w:ascii="Arial" w:cs="Arial"/>
          <w:b/>
          <w:sz w:val="26"/>
          <w:szCs w:val="26"/>
        </w:rPr>
      </w:pPr>
      <w:r>
        <w:rPr>
          <w:rFonts w:hint="eastAsia" w:ascii="宋体" w:hAnsi="宋体" w:eastAsia="宋体" w:cs="宋体"/>
          <w:b/>
          <w:sz w:val="26"/>
          <w:szCs w:val="26"/>
        </w:rPr>
        <w:t>④</w:t>
      </w:r>
      <w:r>
        <w:rPr>
          <w:rFonts w:hint="eastAsia" w:ascii="Arial" w:cs="Arial"/>
          <w:b/>
          <w:sz w:val="26"/>
          <w:szCs w:val="26"/>
        </w:rPr>
        <w:t xml:space="preserve"> 评价结果</w:t>
      </w:r>
    </w:p>
    <w:p w14:paraId="665A16D2">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bCs/>
          <w:sz w:val="26"/>
          <w:szCs w:val="26"/>
          <w:lang w:val="en-US" w:eastAsia="zh-CN"/>
        </w:rPr>
        <w:sectPr>
          <w:pgSz w:w="12240" w:h="15840"/>
          <w:pgMar w:top="1440" w:right="1701" w:bottom="1440" w:left="1701" w:header="794" w:footer="85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Arial" w:hAnsi="Arial" w:eastAsia="宋体" w:cs="Arial"/>
          <w:b w:val="0"/>
          <w:bCs/>
          <w:sz w:val="26"/>
          <w:szCs w:val="26"/>
          <w:lang w:val="en-US" w:eastAsia="zh-CN"/>
        </w:rPr>
        <w:t>本项目所在地地表水监测结果统计及分析结果见表4.3-5~6所示。</w:t>
      </w:r>
    </w:p>
    <w:p w14:paraId="32AC4835">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表4.3-5 项目所在河段2024年枯水期地表水监测结果统计表</w:t>
      </w:r>
    </w:p>
    <w:tbl>
      <w:tblPr>
        <w:tblStyle w:val="78"/>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000"/>
        <w:gridCol w:w="1120"/>
        <w:gridCol w:w="1075"/>
        <w:gridCol w:w="775"/>
        <w:gridCol w:w="1283"/>
        <w:gridCol w:w="1017"/>
        <w:gridCol w:w="1062"/>
        <w:gridCol w:w="911"/>
        <w:gridCol w:w="857"/>
        <w:gridCol w:w="1197"/>
      </w:tblGrid>
      <w:tr w14:paraId="3FDC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Merge w:val="restart"/>
            <w:vAlign w:val="center"/>
          </w:tcPr>
          <w:p w14:paraId="3A3845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检测项目</w:t>
            </w:r>
          </w:p>
        </w:tc>
        <w:tc>
          <w:tcPr>
            <w:tcW w:w="403" w:type="pct"/>
            <w:vAlign w:val="center"/>
          </w:tcPr>
          <w:p w14:paraId="617025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bCs/>
                <w:snapToGrid w:val="0"/>
                <w:color w:val="auto"/>
                <w:kern w:val="0"/>
                <w:sz w:val="22"/>
                <w:szCs w:val="22"/>
                <w:highlight w:val="none"/>
              </w:rPr>
            </w:pPr>
            <w:r>
              <w:rPr>
                <w:rFonts w:hint="default" w:ascii="Arial" w:hAnsi="Arial" w:eastAsia="宋体" w:cs="Arial"/>
                <w:bCs/>
                <w:snapToGrid w:val="0"/>
                <w:color w:val="auto"/>
                <w:kern w:val="0"/>
                <w:sz w:val="22"/>
                <w:szCs w:val="22"/>
                <w:highlight w:val="none"/>
                <w:lang w:bidi="ar"/>
              </w:rPr>
              <w:t>点位</w:t>
            </w:r>
          </w:p>
        </w:tc>
        <w:tc>
          <w:tcPr>
            <w:tcW w:w="1718" w:type="pct"/>
            <w:gridSpan w:val="4"/>
            <w:vAlign w:val="center"/>
          </w:tcPr>
          <w:p w14:paraId="2123604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cs="Arial"/>
                <w:snapToGrid w:val="0"/>
                <w:color w:val="auto"/>
                <w:kern w:val="0"/>
                <w:sz w:val="22"/>
                <w:szCs w:val="22"/>
                <w:highlight w:val="none"/>
              </w:rPr>
              <w:t>海螺沟水库坝址</w:t>
            </w:r>
          </w:p>
        </w:tc>
        <w:tc>
          <w:tcPr>
            <w:tcW w:w="1554" w:type="pct"/>
            <w:gridSpan w:val="4"/>
            <w:vAlign w:val="center"/>
          </w:tcPr>
          <w:p w14:paraId="21098E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双龙河入渠溪河上游500m处</w:t>
            </w:r>
          </w:p>
        </w:tc>
        <w:tc>
          <w:tcPr>
            <w:tcW w:w="483" w:type="pct"/>
            <w:vMerge w:val="restart"/>
            <w:vAlign w:val="center"/>
          </w:tcPr>
          <w:p w14:paraId="143CE7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标准限值</w:t>
            </w:r>
          </w:p>
        </w:tc>
      </w:tr>
      <w:tr w14:paraId="088B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Merge w:val="continue"/>
            <w:vAlign w:val="center"/>
          </w:tcPr>
          <w:p w14:paraId="37C00A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c>
          <w:tcPr>
            <w:tcW w:w="403" w:type="pct"/>
            <w:vAlign w:val="center"/>
          </w:tcPr>
          <w:p w14:paraId="2CBAAB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bCs/>
                <w:snapToGrid w:val="0"/>
                <w:color w:val="auto"/>
                <w:kern w:val="0"/>
                <w:sz w:val="22"/>
                <w:szCs w:val="22"/>
                <w:highlight w:val="none"/>
              </w:rPr>
            </w:pPr>
            <w:r>
              <w:rPr>
                <w:rFonts w:hint="default" w:ascii="Arial" w:hAnsi="Arial" w:eastAsia="宋体" w:cs="Arial"/>
                <w:bCs/>
                <w:snapToGrid w:val="0"/>
                <w:color w:val="auto"/>
                <w:kern w:val="0"/>
                <w:sz w:val="22"/>
                <w:szCs w:val="22"/>
                <w:highlight w:val="none"/>
              </w:rPr>
              <w:t>单位</w:t>
            </w:r>
          </w:p>
        </w:tc>
        <w:tc>
          <w:tcPr>
            <w:tcW w:w="452" w:type="pct"/>
            <w:vAlign w:val="center"/>
          </w:tcPr>
          <w:p w14:paraId="78C81F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最大值</w:t>
            </w:r>
          </w:p>
        </w:tc>
        <w:tc>
          <w:tcPr>
            <w:tcW w:w="434" w:type="pct"/>
            <w:vAlign w:val="center"/>
          </w:tcPr>
          <w:p w14:paraId="46E33A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最小值</w:t>
            </w:r>
          </w:p>
        </w:tc>
        <w:tc>
          <w:tcPr>
            <w:tcW w:w="313" w:type="pct"/>
            <w:vAlign w:val="center"/>
          </w:tcPr>
          <w:p w14:paraId="68F921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超标倍数</w:t>
            </w:r>
          </w:p>
        </w:tc>
        <w:tc>
          <w:tcPr>
            <w:tcW w:w="518" w:type="pct"/>
            <w:vAlign w:val="center"/>
          </w:tcPr>
          <w:p w14:paraId="77BBC6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最大Si值</w:t>
            </w:r>
          </w:p>
        </w:tc>
        <w:tc>
          <w:tcPr>
            <w:tcW w:w="410" w:type="pct"/>
            <w:vAlign w:val="center"/>
          </w:tcPr>
          <w:p w14:paraId="222BD2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最大值</w:t>
            </w:r>
          </w:p>
        </w:tc>
        <w:tc>
          <w:tcPr>
            <w:tcW w:w="429" w:type="pct"/>
            <w:vAlign w:val="center"/>
          </w:tcPr>
          <w:p w14:paraId="74EBCC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最小值</w:t>
            </w:r>
          </w:p>
        </w:tc>
        <w:tc>
          <w:tcPr>
            <w:tcW w:w="368" w:type="pct"/>
            <w:vAlign w:val="center"/>
          </w:tcPr>
          <w:p w14:paraId="3BAF33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超标</w:t>
            </w:r>
          </w:p>
          <w:p w14:paraId="0E6B45F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倍数</w:t>
            </w:r>
          </w:p>
        </w:tc>
        <w:tc>
          <w:tcPr>
            <w:tcW w:w="346" w:type="pct"/>
            <w:vAlign w:val="center"/>
          </w:tcPr>
          <w:p w14:paraId="273A130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最大Si值</w:t>
            </w:r>
          </w:p>
        </w:tc>
        <w:tc>
          <w:tcPr>
            <w:tcW w:w="483" w:type="pct"/>
            <w:vMerge w:val="continue"/>
            <w:vAlign w:val="center"/>
          </w:tcPr>
          <w:p w14:paraId="583795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r>
      <w:tr w14:paraId="5820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5F66F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水温</w:t>
            </w:r>
          </w:p>
        </w:tc>
        <w:tc>
          <w:tcPr>
            <w:tcW w:w="403" w:type="pct"/>
            <w:vAlign w:val="center"/>
          </w:tcPr>
          <w:p w14:paraId="429E02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w:t>
            </w:r>
          </w:p>
        </w:tc>
        <w:tc>
          <w:tcPr>
            <w:tcW w:w="452" w:type="pct"/>
            <w:vAlign w:val="center"/>
          </w:tcPr>
          <w:p w14:paraId="59F139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7.6</w:t>
            </w:r>
          </w:p>
        </w:tc>
        <w:tc>
          <w:tcPr>
            <w:tcW w:w="434" w:type="pct"/>
            <w:vAlign w:val="center"/>
          </w:tcPr>
          <w:p w14:paraId="521453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7.1</w:t>
            </w:r>
          </w:p>
        </w:tc>
        <w:tc>
          <w:tcPr>
            <w:tcW w:w="313" w:type="pct"/>
            <w:vAlign w:val="center"/>
          </w:tcPr>
          <w:p w14:paraId="0706FF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5C6010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75A368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8.4</w:t>
            </w:r>
          </w:p>
        </w:tc>
        <w:tc>
          <w:tcPr>
            <w:tcW w:w="429" w:type="pct"/>
            <w:vAlign w:val="center"/>
          </w:tcPr>
          <w:p w14:paraId="78DFEE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8.1</w:t>
            </w:r>
          </w:p>
        </w:tc>
        <w:tc>
          <w:tcPr>
            <w:tcW w:w="368" w:type="pct"/>
            <w:vAlign w:val="center"/>
          </w:tcPr>
          <w:p w14:paraId="2B16C0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02404B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2BD907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4A3A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shd w:val="clear" w:color="auto" w:fill="auto"/>
            <w:vAlign w:val="center"/>
          </w:tcPr>
          <w:p w14:paraId="61CDA66B">
            <w:pPr>
              <w:widowControl/>
              <w:autoSpaceDE/>
              <w:autoSpaceDN/>
              <w:spacing w:line="36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透明度</w:t>
            </w:r>
          </w:p>
        </w:tc>
        <w:tc>
          <w:tcPr>
            <w:tcW w:w="403" w:type="pct"/>
            <w:shd w:val="clear" w:color="auto" w:fill="auto"/>
            <w:vAlign w:val="center"/>
          </w:tcPr>
          <w:p w14:paraId="2AB264E1">
            <w:pPr>
              <w:widowControl/>
              <w:autoSpaceDE/>
              <w:autoSpaceDN/>
              <w:spacing w:line="36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cm</w:t>
            </w:r>
          </w:p>
        </w:tc>
        <w:tc>
          <w:tcPr>
            <w:tcW w:w="452" w:type="pct"/>
            <w:shd w:val="clear" w:color="auto" w:fill="auto"/>
            <w:vAlign w:val="center"/>
          </w:tcPr>
          <w:p w14:paraId="7F381C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506</w:t>
            </w:r>
          </w:p>
        </w:tc>
        <w:tc>
          <w:tcPr>
            <w:tcW w:w="434" w:type="pct"/>
            <w:shd w:val="clear" w:color="auto" w:fill="auto"/>
            <w:vAlign w:val="center"/>
          </w:tcPr>
          <w:p w14:paraId="4C6448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501</w:t>
            </w:r>
          </w:p>
        </w:tc>
        <w:tc>
          <w:tcPr>
            <w:tcW w:w="313" w:type="pct"/>
            <w:shd w:val="clear" w:color="auto" w:fill="auto"/>
            <w:vAlign w:val="center"/>
          </w:tcPr>
          <w:p w14:paraId="276E6A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w:t>
            </w:r>
          </w:p>
        </w:tc>
        <w:tc>
          <w:tcPr>
            <w:tcW w:w="518" w:type="pct"/>
            <w:shd w:val="clear" w:color="auto" w:fill="auto"/>
            <w:vAlign w:val="center"/>
          </w:tcPr>
          <w:p w14:paraId="6D4442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w:t>
            </w:r>
          </w:p>
        </w:tc>
        <w:tc>
          <w:tcPr>
            <w:tcW w:w="410" w:type="pct"/>
            <w:shd w:val="clear" w:color="auto" w:fill="auto"/>
            <w:vAlign w:val="center"/>
          </w:tcPr>
          <w:p w14:paraId="4B84BE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396</w:t>
            </w:r>
          </w:p>
        </w:tc>
        <w:tc>
          <w:tcPr>
            <w:tcW w:w="429" w:type="pct"/>
            <w:shd w:val="clear" w:color="auto" w:fill="auto"/>
            <w:vAlign w:val="center"/>
          </w:tcPr>
          <w:p w14:paraId="6CA47C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392</w:t>
            </w:r>
          </w:p>
        </w:tc>
        <w:tc>
          <w:tcPr>
            <w:tcW w:w="368" w:type="pct"/>
            <w:shd w:val="clear" w:color="auto" w:fill="auto"/>
            <w:vAlign w:val="center"/>
          </w:tcPr>
          <w:p w14:paraId="42F687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w:t>
            </w:r>
          </w:p>
        </w:tc>
        <w:tc>
          <w:tcPr>
            <w:tcW w:w="346" w:type="pct"/>
            <w:shd w:val="clear" w:color="auto" w:fill="auto"/>
            <w:vAlign w:val="center"/>
          </w:tcPr>
          <w:p w14:paraId="3F4E0D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5E3C80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val="en-US" w:eastAsia="zh-CN" w:bidi="ar"/>
              </w:rPr>
              <w:t>/</w:t>
            </w:r>
          </w:p>
        </w:tc>
      </w:tr>
      <w:tr w14:paraId="0BC6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D9B397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pH值</w:t>
            </w:r>
          </w:p>
        </w:tc>
        <w:tc>
          <w:tcPr>
            <w:tcW w:w="403" w:type="pct"/>
            <w:vAlign w:val="center"/>
          </w:tcPr>
          <w:p w14:paraId="18BAB1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无量纲</w:t>
            </w:r>
          </w:p>
        </w:tc>
        <w:tc>
          <w:tcPr>
            <w:tcW w:w="452" w:type="pct"/>
            <w:vAlign w:val="center"/>
          </w:tcPr>
          <w:p w14:paraId="4A6F8D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6.8</w:t>
            </w:r>
          </w:p>
        </w:tc>
        <w:tc>
          <w:tcPr>
            <w:tcW w:w="434" w:type="pct"/>
            <w:vAlign w:val="center"/>
          </w:tcPr>
          <w:p w14:paraId="1446DB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6.6</w:t>
            </w:r>
          </w:p>
        </w:tc>
        <w:tc>
          <w:tcPr>
            <w:tcW w:w="313" w:type="pct"/>
            <w:vAlign w:val="center"/>
          </w:tcPr>
          <w:p w14:paraId="689B5E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2FFE8E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w:t>
            </w:r>
          </w:p>
        </w:tc>
        <w:tc>
          <w:tcPr>
            <w:tcW w:w="410" w:type="pct"/>
            <w:vAlign w:val="center"/>
          </w:tcPr>
          <w:p w14:paraId="16060C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7.1</w:t>
            </w:r>
          </w:p>
        </w:tc>
        <w:tc>
          <w:tcPr>
            <w:tcW w:w="429" w:type="pct"/>
            <w:vAlign w:val="center"/>
          </w:tcPr>
          <w:p w14:paraId="28BC2B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7.1</w:t>
            </w:r>
          </w:p>
        </w:tc>
        <w:tc>
          <w:tcPr>
            <w:tcW w:w="368" w:type="pct"/>
            <w:vAlign w:val="center"/>
          </w:tcPr>
          <w:p w14:paraId="25D34C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111625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w:t>
            </w:r>
          </w:p>
        </w:tc>
        <w:tc>
          <w:tcPr>
            <w:tcW w:w="483" w:type="pct"/>
            <w:vAlign w:val="center"/>
          </w:tcPr>
          <w:p w14:paraId="076B5D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6~9</w:t>
            </w:r>
          </w:p>
        </w:tc>
      </w:tr>
      <w:tr w14:paraId="65C1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12AF1E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氨氮</w:t>
            </w:r>
          </w:p>
        </w:tc>
        <w:tc>
          <w:tcPr>
            <w:tcW w:w="403" w:type="pct"/>
            <w:vAlign w:val="center"/>
          </w:tcPr>
          <w:p w14:paraId="1A02E2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E2DDB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0.355</w:t>
            </w:r>
          </w:p>
        </w:tc>
        <w:tc>
          <w:tcPr>
            <w:tcW w:w="434" w:type="pct"/>
            <w:vAlign w:val="center"/>
          </w:tcPr>
          <w:p w14:paraId="4D70EC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0.338</w:t>
            </w:r>
          </w:p>
        </w:tc>
        <w:tc>
          <w:tcPr>
            <w:tcW w:w="313" w:type="pct"/>
            <w:vAlign w:val="center"/>
          </w:tcPr>
          <w:p w14:paraId="0739C7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278B46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0.355</w:t>
            </w:r>
          </w:p>
        </w:tc>
        <w:tc>
          <w:tcPr>
            <w:tcW w:w="410" w:type="pct"/>
            <w:vAlign w:val="center"/>
          </w:tcPr>
          <w:p w14:paraId="47B57F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0.405</w:t>
            </w:r>
          </w:p>
        </w:tc>
        <w:tc>
          <w:tcPr>
            <w:tcW w:w="429" w:type="pct"/>
            <w:vAlign w:val="center"/>
          </w:tcPr>
          <w:p w14:paraId="7558994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0.396</w:t>
            </w:r>
          </w:p>
        </w:tc>
        <w:tc>
          <w:tcPr>
            <w:tcW w:w="368" w:type="pct"/>
            <w:vAlign w:val="center"/>
          </w:tcPr>
          <w:p w14:paraId="5CA764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3845E3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0.405</w:t>
            </w:r>
          </w:p>
        </w:tc>
        <w:tc>
          <w:tcPr>
            <w:tcW w:w="483" w:type="pct"/>
            <w:vAlign w:val="center"/>
          </w:tcPr>
          <w:p w14:paraId="1B68D9D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57F3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28E70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化学需氧量</w:t>
            </w:r>
          </w:p>
        </w:tc>
        <w:tc>
          <w:tcPr>
            <w:tcW w:w="403" w:type="pct"/>
            <w:vAlign w:val="center"/>
          </w:tcPr>
          <w:p w14:paraId="6C85C2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608FE2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w:t>
            </w:r>
          </w:p>
        </w:tc>
        <w:tc>
          <w:tcPr>
            <w:tcW w:w="434" w:type="pct"/>
            <w:vAlign w:val="center"/>
          </w:tcPr>
          <w:p w14:paraId="33520B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w:t>
            </w:r>
          </w:p>
        </w:tc>
        <w:tc>
          <w:tcPr>
            <w:tcW w:w="313" w:type="pct"/>
            <w:vAlign w:val="center"/>
          </w:tcPr>
          <w:p w14:paraId="7299BD3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337E86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0.45</w:t>
            </w:r>
          </w:p>
        </w:tc>
        <w:tc>
          <w:tcPr>
            <w:tcW w:w="410" w:type="pct"/>
            <w:vAlign w:val="center"/>
          </w:tcPr>
          <w:p w14:paraId="2ADDD7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12</w:t>
            </w:r>
          </w:p>
        </w:tc>
        <w:tc>
          <w:tcPr>
            <w:tcW w:w="429" w:type="pct"/>
            <w:vAlign w:val="center"/>
          </w:tcPr>
          <w:p w14:paraId="37A7F7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w:t>
            </w:r>
          </w:p>
        </w:tc>
        <w:tc>
          <w:tcPr>
            <w:tcW w:w="368" w:type="pct"/>
            <w:vAlign w:val="center"/>
          </w:tcPr>
          <w:p w14:paraId="3E5F650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0D059A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0.6</w:t>
            </w:r>
          </w:p>
        </w:tc>
        <w:tc>
          <w:tcPr>
            <w:tcW w:w="483" w:type="pct"/>
            <w:vAlign w:val="center"/>
          </w:tcPr>
          <w:p w14:paraId="72BD2D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20</w:t>
            </w:r>
          </w:p>
        </w:tc>
      </w:tr>
      <w:tr w14:paraId="60BE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F94D2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五日生化需氧量</w:t>
            </w:r>
          </w:p>
        </w:tc>
        <w:tc>
          <w:tcPr>
            <w:tcW w:w="403" w:type="pct"/>
            <w:vAlign w:val="center"/>
          </w:tcPr>
          <w:p w14:paraId="7574A7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3EAC56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1.5</w:t>
            </w:r>
          </w:p>
        </w:tc>
        <w:tc>
          <w:tcPr>
            <w:tcW w:w="434" w:type="pct"/>
            <w:vAlign w:val="center"/>
          </w:tcPr>
          <w:p w14:paraId="7677DE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1.5</w:t>
            </w:r>
          </w:p>
        </w:tc>
        <w:tc>
          <w:tcPr>
            <w:tcW w:w="313" w:type="pct"/>
            <w:vAlign w:val="center"/>
          </w:tcPr>
          <w:p w14:paraId="6E996A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5A176E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0.375</w:t>
            </w:r>
          </w:p>
        </w:tc>
        <w:tc>
          <w:tcPr>
            <w:tcW w:w="410" w:type="pct"/>
            <w:vAlign w:val="center"/>
          </w:tcPr>
          <w:p w14:paraId="07122E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1.8</w:t>
            </w:r>
          </w:p>
        </w:tc>
        <w:tc>
          <w:tcPr>
            <w:tcW w:w="429" w:type="pct"/>
            <w:vAlign w:val="center"/>
          </w:tcPr>
          <w:p w14:paraId="54BC15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1.5</w:t>
            </w:r>
          </w:p>
        </w:tc>
        <w:tc>
          <w:tcPr>
            <w:tcW w:w="368" w:type="pct"/>
            <w:vAlign w:val="center"/>
          </w:tcPr>
          <w:p w14:paraId="078F2B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5FB3A4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0.45</w:t>
            </w:r>
          </w:p>
        </w:tc>
        <w:tc>
          <w:tcPr>
            <w:tcW w:w="483" w:type="pct"/>
            <w:vAlign w:val="center"/>
          </w:tcPr>
          <w:p w14:paraId="50B4F5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w:t>
            </w:r>
            <w:r>
              <w:rPr>
                <w:rFonts w:hint="default" w:ascii="Arial" w:hAnsi="Arial" w:eastAsia="宋体" w:cs="Arial"/>
                <w:snapToGrid w:val="0"/>
                <w:color w:val="auto"/>
                <w:kern w:val="0"/>
                <w:sz w:val="22"/>
                <w:szCs w:val="22"/>
                <w:highlight w:val="none"/>
                <w:lang w:bidi="ar"/>
              </w:rPr>
              <w:t>4</w:t>
            </w:r>
          </w:p>
        </w:tc>
      </w:tr>
      <w:tr w14:paraId="41B4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E14AD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总磷</w:t>
            </w:r>
          </w:p>
        </w:tc>
        <w:tc>
          <w:tcPr>
            <w:tcW w:w="403" w:type="pct"/>
            <w:vAlign w:val="center"/>
          </w:tcPr>
          <w:p w14:paraId="1EFC69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2138E7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0.04</w:t>
            </w:r>
          </w:p>
        </w:tc>
        <w:tc>
          <w:tcPr>
            <w:tcW w:w="434" w:type="pct"/>
            <w:vAlign w:val="center"/>
          </w:tcPr>
          <w:p w14:paraId="7DCD0C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0.04</w:t>
            </w:r>
          </w:p>
        </w:tc>
        <w:tc>
          <w:tcPr>
            <w:tcW w:w="313" w:type="pct"/>
            <w:vAlign w:val="center"/>
          </w:tcPr>
          <w:p w14:paraId="0E00C7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19654A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0.2</w:t>
            </w:r>
          </w:p>
        </w:tc>
        <w:tc>
          <w:tcPr>
            <w:tcW w:w="410" w:type="pct"/>
            <w:vAlign w:val="center"/>
          </w:tcPr>
          <w:p w14:paraId="61F692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w:t>
            </w:r>
          </w:p>
        </w:tc>
        <w:tc>
          <w:tcPr>
            <w:tcW w:w="429" w:type="pct"/>
            <w:vAlign w:val="center"/>
          </w:tcPr>
          <w:p w14:paraId="0882A2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w:t>
            </w:r>
          </w:p>
        </w:tc>
        <w:tc>
          <w:tcPr>
            <w:tcW w:w="368" w:type="pct"/>
            <w:vAlign w:val="center"/>
          </w:tcPr>
          <w:p w14:paraId="41CFBA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16EEAD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0.45</w:t>
            </w:r>
          </w:p>
        </w:tc>
        <w:tc>
          <w:tcPr>
            <w:tcW w:w="483" w:type="pct"/>
            <w:vAlign w:val="center"/>
          </w:tcPr>
          <w:p w14:paraId="2FEE18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3AC3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8EF36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粪大肠菌群</w:t>
            </w:r>
          </w:p>
        </w:tc>
        <w:tc>
          <w:tcPr>
            <w:tcW w:w="403" w:type="pct"/>
            <w:vAlign w:val="center"/>
          </w:tcPr>
          <w:p w14:paraId="316B1B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MPN/L</w:t>
            </w:r>
          </w:p>
        </w:tc>
        <w:tc>
          <w:tcPr>
            <w:tcW w:w="452" w:type="pct"/>
            <w:vAlign w:val="center"/>
          </w:tcPr>
          <w:p w14:paraId="203600C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1300</w:t>
            </w:r>
          </w:p>
        </w:tc>
        <w:tc>
          <w:tcPr>
            <w:tcW w:w="434" w:type="pct"/>
            <w:vAlign w:val="center"/>
          </w:tcPr>
          <w:p w14:paraId="33D4D3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560</w:t>
            </w:r>
          </w:p>
        </w:tc>
        <w:tc>
          <w:tcPr>
            <w:tcW w:w="313" w:type="pct"/>
            <w:vAlign w:val="center"/>
          </w:tcPr>
          <w:p w14:paraId="4D2D44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21831D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0.13</w:t>
            </w:r>
          </w:p>
        </w:tc>
        <w:tc>
          <w:tcPr>
            <w:tcW w:w="410" w:type="pct"/>
            <w:vAlign w:val="center"/>
          </w:tcPr>
          <w:p w14:paraId="6B03B4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950</w:t>
            </w:r>
          </w:p>
        </w:tc>
        <w:tc>
          <w:tcPr>
            <w:tcW w:w="429" w:type="pct"/>
            <w:vAlign w:val="center"/>
          </w:tcPr>
          <w:p w14:paraId="720CF1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460</w:t>
            </w:r>
          </w:p>
        </w:tc>
        <w:tc>
          <w:tcPr>
            <w:tcW w:w="368" w:type="pct"/>
            <w:vAlign w:val="center"/>
          </w:tcPr>
          <w:p w14:paraId="65AB97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6B4E41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0.095</w:t>
            </w:r>
          </w:p>
        </w:tc>
        <w:tc>
          <w:tcPr>
            <w:tcW w:w="483" w:type="pct"/>
            <w:vAlign w:val="center"/>
          </w:tcPr>
          <w:p w14:paraId="761328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10000</w:t>
            </w:r>
          </w:p>
        </w:tc>
      </w:tr>
      <w:tr w14:paraId="5243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A1F90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六价铬</w:t>
            </w:r>
          </w:p>
        </w:tc>
        <w:tc>
          <w:tcPr>
            <w:tcW w:w="403" w:type="pct"/>
            <w:vAlign w:val="center"/>
          </w:tcPr>
          <w:p w14:paraId="3FEA33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083C6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0.004L</w:t>
            </w:r>
          </w:p>
        </w:tc>
        <w:tc>
          <w:tcPr>
            <w:tcW w:w="434" w:type="pct"/>
            <w:vAlign w:val="center"/>
          </w:tcPr>
          <w:p w14:paraId="36EFDE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0.004L</w:t>
            </w:r>
          </w:p>
        </w:tc>
        <w:tc>
          <w:tcPr>
            <w:tcW w:w="313" w:type="pct"/>
            <w:vAlign w:val="center"/>
          </w:tcPr>
          <w:p w14:paraId="49CD0C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5085AC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1335E7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0.004L</w:t>
            </w:r>
          </w:p>
        </w:tc>
        <w:tc>
          <w:tcPr>
            <w:tcW w:w="429" w:type="pct"/>
            <w:vAlign w:val="center"/>
          </w:tcPr>
          <w:p w14:paraId="02423C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0.004L</w:t>
            </w:r>
          </w:p>
        </w:tc>
        <w:tc>
          <w:tcPr>
            <w:tcW w:w="368" w:type="pct"/>
            <w:vAlign w:val="center"/>
          </w:tcPr>
          <w:p w14:paraId="7BC2BF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7A06B9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579CBC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544A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CEF4F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汞</w:t>
            </w:r>
          </w:p>
        </w:tc>
        <w:tc>
          <w:tcPr>
            <w:tcW w:w="403" w:type="pct"/>
            <w:vAlign w:val="center"/>
          </w:tcPr>
          <w:p w14:paraId="2DCF2A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BC417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0.00007</w:t>
            </w:r>
          </w:p>
        </w:tc>
        <w:tc>
          <w:tcPr>
            <w:tcW w:w="434" w:type="pct"/>
            <w:vAlign w:val="center"/>
          </w:tcPr>
          <w:p w14:paraId="2FFEF2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0.00006</w:t>
            </w:r>
          </w:p>
        </w:tc>
        <w:tc>
          <w:tcPr>
            <w:tcW w:w="313" w:type="pct"/>
            <w:vAlign w:val="center"/>
          </w:tcPr>
          <w:p w14:paraId="6AB8C1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79E1D8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0.7</w:t>
            </w:r>
          </w:p>
        </w:tc>
        <w:tc>
          <w:tcPr>
            <w:tcW w:w="410" w:type="pct"/>
            <w:vAlign w:val="center"/>
          </w:tcPr>
          <w:p w14:paraId="594666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0.00008</w:t>
            </w:r>
          </w:p>
        </w:tc>
        <w:tc>
          <w:tcPr>
            <w:tcW w:w="429" w:type="pct"/>
            <w:vAlign w:val="center"/>
          </w:tcPr>
          <w:p w14:paraId="344619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0.00007</w:t>
            </w:r>
          </w:p>
        </w:tc>
        <w:tc>
          <w:tcPr>
            <w:tcW w:w="368" w:type="pct"/>
            <w:vAlign w:val="center"/>
          </w:tcPr>
          <w:p w14:paraId="450ED6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36F841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0.8</w:t>
            </w:r>
          </w:p>
        </w:tc>
        <w:tc>
          <w:tcPr>
            <w:tcW w:w="483" w:type="pct"/>
            <w:vAlign w:val="center"/>
          </w:tcPr>
          <w:p w14:paraId="582D10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0.0001</w:t>
            </w:r>
          </w:p>
        </w:tc>
      </w:tr>
      <w:tr w14:paraId="587D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B6703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镉</w:t>
            </w:r>
          </w:p>
        </w:tc>
        <w:tc>
          <w:tcPr>
            <w:tcW w:w="403" w:type="pct"/>
            <w:vAlign w:val="center"/>
          </w:tcPr>
          <w:p w14:paraId="0A2503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61D7C4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434" w:type="pct"/>
            <w:vAlign w:val="center"/>
          </w:tcPr>
          <w:p w14:paraId="1F50ED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313" w:type="pct"/>
            <w:vAlign w:val="center"/>
          </w:tcPr>
          <w:p w14:paraId="749DE2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7B2DE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70A6AB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429" w:type="pct"/>
            <w:vAlign w:val="center"/>
          </w:tcPr>
          <w:p w14:paraId="00703E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368" w:type="pct"/>
            <w:vAlign w:val="center"/>
          </w:tcPr>
          <w:p w14:paraId="2E17F5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4CEAFE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670CC3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0.005</w:t>
            </w:r>
          </w:p>
        </w:tc>
      </w:tr>
      <w:tr w14:paraId="0397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vAlign w:val="center"/>
          </w:tcPr>
          <w:p w14:paraId="648A8F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砷</w:t>
            </w:r>
          </w:p>
        </w:tc>
        <w:tc>
          <w:tcPr>
            <w:tcW w:w="403" w:type="pct"/>
            <w:vAlign w:val="center"/>
          </w:tcPr>
          <w:p w14:paraId="2253E4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5AC3C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0.0014</w:t>
            </w:r>
          </w:p>
        </w:tc>
        <w:tc>
          <w:tcPr>
            <w:tcW w:w="434" w:type="pct"/>
            <w:vAlign w:val="center"/>
          </w:tcPr>
          <w:p w14:paraId="4D40FE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0.0011</w:t>
            </w:r>
          </w:p>
        </w:tc>
        <w:tc>
          <w:tcPr>
            <w:tcW w:w="313" w:type="pct"/>
            <w:vAlign w:val="center"/>
          </w:tcPr>
          <w:p w14:paraId="6EE97E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731DE45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0.028</w:t>
            </w:r>
          </w:p>
        </w:tc>
        <w:tc>
          <w:tcPr>
            <w:tcW w:w="410" w:type="pct"/>
            <w:vAlign w:val="center"/>
          </w:tcPr>
          <w:p w14:paraId="584051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0.0012</w:t>
            </w:r>
          </w:p>
        </w:tc>
        <w:tc>
          <w:tcPr>
            <w:tcW w:w="429" w:type="pct"/>
            <w:vAlign w:val="center"/>
          </w:tcPr>
          <w:p w14:paraId="44248F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0.0008</w:t>
            </w:r>
          </w:p>
        </w:tc>
        <w:tc>
          <w:tcPr>
            <w:tcW w:w="368" w:type="pct"/>
            <w:vAlign w:val="center"/>
          </w:tcPr>
          <w:p w14:paraId="1C07CB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36B043B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0.024</w:t>
            </w:r>
          </w:p>
        </w:tc>
        <w:tc>
          <w:tcPr>
            <w:tcW w:w="483" w:type="pct"/>
            <w:vAlign w:val="center"/>
          </w:tcPr>
          <w:p w14:paraId="51A800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24AA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49DCB1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铅</w:t>
            </w:r>
          </w:p>
        </w:tc>
        <w:tc>
          <w:tcPr>
            <w:tcW w:w="403" w:type="pct"/>
            <w:vAlign w:val="center"/>
          </w:tcPr>
          <w:p w14:paraId="1826A6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070022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34" w:type="pct"/>
            <w:vAlign w:val="center"/>
          </w:tcPr>
          <w:p w14:paraId="0D8BF7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13" w:type="pct"/>
            <w:vAlign w:val="center"/>
          </w:tcPr>
          <w:p w14:paraId="35141F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3B2E13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5331C3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29" w:type="pct"/>
            <w:vAlign w:val="center"/>
          </w:tcPr>
          <w:p w14:paraId="46530B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68" w:type="pct"/>
            <w:vAlign w:val="center"/>
          </w:tcPr>
          <w:p w14:paraId="00C57C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0A724A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1E633B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244A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5D0A7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硒</w:t>
            </w:r>
          </w:p>
        </w:tc>
        <w:tc>
          <w:tcPr>
            <w:tcW w:w="403" w:type="pct"/>
            <w:vAlign w:val="center"/>
          </w:tcPr>
          <w:p w14:paraId="361AFA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150D2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434" w:type="pct"/>
            <w:vAlign w:val="center"/>
          </w:tcPr>
          <w:p w14:paraId="3E56C0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313" w:type="pct"/>
            <w:vAlign w:val="center"/>
          </w:tcPr>
          <w:p w14:paraId="6E6131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144301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79525F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429" w:type="pct"/>
            <w:vAlign w:val="center"/>
          </w:tcPr>
          <w:p w14:paraId="277F5E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368" w:type="pct"/>
            <w:vAlign w:val="center"/>
          </w:tcPr>
          <w:p w14:paraId="53FF5C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318C7A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7BF59D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0.01</w:t>
            </w:r>
          </w:p>
        </w:tc>
      </w:tr>
      <w:tr w14:paraId="313B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EA7F3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石油类</w:t>
            </w:r>
          </w:p>
        </w:tc>
        <w:tc>
          <w:tcPr>
            <w:tcW w:w="403" w:type="pct"/>
            <w:vAlign w:val="center"/>
          </w:tcPr>
          <w:p w14:paraId="5FFFE2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47E2D8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0.02</w:t>
            </w:r>
          </w:p>
        </w:tc>
        <w:tc>
          <w:tcPr>
            <w:tcW w:w="434" w:type="pct"/>
            <w:vAlign w:val="center"/>
          </w:tcPr>
          <w:p w14:paraId="2FEEC6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13" w:type="pct"/>
            <w:vAlign w:val="center"/>
          </w:tcPr>
          <w:p w14:paraId="2E3ABF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138D56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w:t>
            </w:r>
          </w:p>
        </w:tc>
        <w:tc>
          <w:tcPr>
            <w:tcW w:w="410" w:type="pct"/>
            <w:vAlign w:val="center"/>
          </w:tcPr>
          <w:p w14:paraId="13839BF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29" w:type="pct"/>
            <w:vAlign w:val="center"/>
          </w:tcPr>
          <w:p w14:paraId="723BBF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68" w:type="pct"/>
            <w:vAlign w:val="center"/>
          </w:tcPr>
          <w:p w14:paraId="55A7C1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4E556D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2AD25A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7BCF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429D8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溶解氧</w:t>
            </w:r>
          </w:p>
        </w:tc>
        <w:tc>
          <w:tcPr>
            <w:tcW w:w="403" w:type="pct"/>
            <w:vAlign w:val="center"/>
          </w:tcPr>
          <w:p w14:paraId="7F0B39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4C679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9.59</w:t>
            </w:r>
          </w:p>
        </w:tc>
        <w:tc>
          <w:tcPr>
            <w:tcW w:w="434" w:type="pct"/>
            <w:vAlign w:val="center"/>
          </w:tcPr>
          <w:p w14:paraId="4FF45FA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9.39</w:t>
            </w:r>
          </w:p>
        </w:tc>
        <w:tc>
          <w:tcPr>
            <w:tcW w:w="313" w:type="pct"/>
            <w:vAlign w:val="center"/>
          </w:tcPr>
          <w:p w14:paraId="6E1950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479A3D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0.42</w:t>
            </w:r>
          </w:p>
        </w:tc>
        <w:tc>
          <w:tcPr>
            <w:tcW w:w="410" w:type="pct"/>
            <w:vAlign w:val="center"/>
          </w:tcPr>
          <w:p w14:paraId="2C79CB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9.14</w:t>
            </w:r>
          </w:p>
        </w:tc>
        <w:tc>
          <w:tcPr>
            <w:tcW w:w="429" w:type="pct"/>
            <w:vAlign w:val="center"/>
          </w:tcPr>
          <w:p w14:paraId="53BE1A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8.83</w:t>
            </w:r>
          </w:p>
        </w:tc>
        <w:tc>
          <w:tcPr>
            <w:tcW w:w="368" w:type="pct"/>
            <w:vAlign w:val="center"/>
          </w:tcPr>
          <w:p w14:paraId="5525421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0237F3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0.43</w:t>
            </w:r>
          </w:p>
        </w:tc>
        <w:tc>
          <w:tcPr>
            <w:tcW w:w="483" w:type="pct"/>
            <w:vAlign w:val="center"/>
          </w:tcPr>
          <w:p w14:paraId="4AFB5B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5</w:t>
            </w:r>
          </w:p>
        </w:tc>
      </w:tr>
      <w:tr w14:paraId="3768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6877C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高锰酸盐指数</w:t>
            </w:r>
          </w:p>
        </w:tc>
        <w:tc>
          <w:tcPr>
            <w:tcW w:w="403" w:type="pct"/>
            <w:vAlign w:val="center"/>
          </w:tcPr>
          <w:p w14:paraId="7B879D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8C63A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2.5</w:t>
            </w:r>
          </w:p>
        </w:tc>
        <w:tc>
          <w:tcPr>
            <w:tcW w:w="434" w:type="pct"/>
            <w:vAlign w:val="center"/>
          </w:tcPr>
          <w:p w14:paraId="74A56B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w:t>
            </w:r>
          </w:p>
        </w:tc>
        <w:tc>
          <w:tcPr>
            <w:tcW w:w="313" w:type="pct"/>
            <w:vAlign w:val="center"/>
          </w:tcPr>
          <w:p w14:paraId="15566F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2C46514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0.42</w:t>
            </w:r>
          </w:p>
        </w:tc>
        <w:tc>
          <w:tcPr>
            <w:tcW w:w="410" w:type="pct"/>
            <w:vAlign w:val="center"/>
          </w:tcPr>
          <w:p w14:paraId="0270EC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2.5</w:t>
            </w:r>
          </w:p>
        </w:tc>
        <w:tc>
          <w:tcPr>
            <w:tcW w:w="429" w:type="pct"/>
            <w:vAlign w:val="center"/>
          </w:tcPr>
          <w:p w14:paraId="1D07F1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w:t>
            </w:r>
          </w:p>
        </w:tc>
        <w:tc>
          <w:tcPr>
            <w:tcW w:w="368" w:type="pct"/>
            <w:vAlign w:val="center"/>
          </w:tcPr>
          <w:p w14:paraId="043BD59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23E131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0.42</w:t>
            </w:r>
          </w:p>
        </w:tc>
        <w:tc>
          <w:tcPr>
            <w:tcW w:w="483" w:type="pct"/>
            <w:vAlign w:val="center"/>
          </w:tcPr>
          <w:p w14:paraId="1AF25D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6</w:t>
            </w:r>
          </w:p>
        </w:tc>
      </w:tr>
      <w:tr w14:paraId="63FE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3C9C1D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总氮</w:t>
            </w:r>
          </w:p>
        </w:tc>
        <w:tc>
          <w:tcPr>
            <w:tcW w:w="403" w:type="pct"/>
            <w:vAlign w:val="center"/>
          </w:tcPr>
          <w:p w14:paraId="195478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54A0A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1.96</w:t>
            </w:r>
          </w:p>
        </w:tc>
        <w:tc>
          <w:tcPr>
            <w:tcW w:w="434" w:type="pct"/>
            <w:vAlign w:val="center"/>
          </w:tcPr>
          <w:p w14:paraId="4B059B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1.65</w:t>
            </w:r>
          </w:p>
        </w:tc>
        <w:tc>
          <w:tcPr>
            <w:tcW w:w="313" w:type="pct"/>
            <w:vAlign w:val="center"/>
          </w:tcPr>
          <w:p w14:paraId="69D66B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65F15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28A7DE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3.56</w:t>
            </w:r>
          </w:p>
        </w:tc>
        <w:tc>
          <w:tcPr>
            <w:tcW w:w="429" w:type="pct"/>
            <w:vAlign w:val="center"/>
          </w:tcPr>
          <w:p w14:paraId="22C423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2.68</w:t>
            </w:r>
          </w:p>
        </w:tc>
        <w:tc>
          <w:tcPr>
            <w:tcW w:w="368" w:type="pct"/>
            <w:vAlign w:val="center"/>
          </w:tcPr>
          <w:p w14:paraId="5497B8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293A949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6BF980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3F65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46D08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铜</w:t>
            </w:r>
          </w:p>
        </w:tc>
        <w:tc>
          <w:tcPr>
            <w:tcW w:w="403" w:type="pct"/>
            <w:vAlign w:val="center"/>
          </w:tcPr>
          <w:p w14:paraId="03EE63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C4410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34" w:type="pct"/>
            <w:vAlign w:val="center"/>
          </w:tcPr>
          <w:p w14:paraId="0064C5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13" w:type="pct"/>
            <w:vAlign w:val="center"/>
          </w:tcPr>
          <w:p w14:paraId="125073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28AD6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5DA406E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29" w:type="pct"/>
            <w:vAlign w:val="center"/>
          </w:tcPr>
          <w:p w14:paraId="146E27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68" w:type="pct"/>
            <w:vAlign w:val="center"/>
          </w:tcPr>
          <w:p w14:paraId="5711DD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208D4E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4BA809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3043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6F415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锌</w:t>
            </w:r>
          </w:p>
        </w:tc>
        <w:tc>
          <w:tcPr>
            <w:tcW w:w="403" w:type="pct"/>
            <w:vAlign w:val="center"/>
          </w:tcPr>
          <w:p w14:paraId="67D3E9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9A897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34" w:type="pct"/>
            <w:vAlign w:val="center"/>
          </w:tcPr>
          <w:p w14:paraId="7378B5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13" w:type="pct"/>
            <w:vAlign w:val="center"/>
          </w:tcPr>
          <w:p w14:paraId="740D7A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31629C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28370D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29" w:type="pct"/>
            <w:vAlign w:val="center"/>
          </w:tcPr>
          <w:p w14:paraId="60FD1B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68" w:type="pct"/>
            <w:vAlign w:val="center"/>
          </w:tcPr>
          <w:p w14:paraId="0B8C9AE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72587F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660EC5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0647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53063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氟化物</w:t>
            </w:r>
          </w:p>
        </w:tc>
        <w:tc>
          <w:tcPr>
            <w:tcW w:w="403" w:type="pct"/>
            <w:vAlign w:val="center"/>
          </w:tcPr>
          <w:p w14:paraId="1DE26F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3110F9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0.06</w:t>
            </w:r>
          </w:p>
        </w:tc>
        <w:tc>
          <w:tcPr>
            <w:tcW w:w="434" w:type="pct"/>
            <w:vAlign w:val="center"/>
          </w:tcPr>
          <w:p w14:paraId="648AF4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0.048</w:t>
            </w:r>
          </w:p>
        </w:tc>
        <w:tc>
          <w:tcPr>
            <w:tcW w:w="313" w:type="pct"/>
            <w:vAlign w:val="center"/>
          </w:tcPr>
          <w:p w14:paraId="2A5FE8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585C27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0.06</w:t>
            </w:r>
          </w:p>
        </w:tc>
        <w:tc>
          <w:tcPr>
            <w:tcW w:w="410" w:type="pct"/>
            <w:vAlign w:val="center"/>
          </w:tcPr>
          <w:p w14:paraId="1990FF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0.092</w:t>
            </w:r>
          </w:p>
        </w:tc>
        <w:tc>
          <w:tcPr>
            <w:tcW w:w="429" w:type="pct"/>
            <w:vAlign w:val="center"/>
          </w:tcPr>
          <w:p w14:paraId="675A00A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0.086</w:t>
            </w:r>
          </w:p>
        </w:tc>
        <w:tc>
          <w:tcPr>
            <w:tcW w:w="368" w:type="pct"/>
            <w:vAlign w:val="center"/>
          </w:tcPr>
          <w:p w14:paraId="5A5B57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c>
          <w:tcPr>
            <w:tcW w:w="346" w:type="pct"/>
            <w:vAlign w:val="center"/>
          </w:tcPr>
          <w:p w14:paraId="6C3A9D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w:t>
            </w:r>
          </w:p>
        </w:tc>
        <w:tc>
          <w:tcPr>
            <w:tcW w:w="483" w:type="pct"/>
            <w:vAlign w:val="center"/>
          </w:tcPr>
          <w:p w14:paraId="05951A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400D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E9CB8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氰化物</w:t>
            </w:r>
          </w:p>
        </w:tc>
        <w:tc>
          <w:tcPr>
            <w:tcW w:w="403" w:type="pct"/>
            <w:vAlign w:val="center"/>
          </w:tcPr>
          <w:p w14:paraId="311B92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99385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0.001L</w:t>
            </w:r>
          </w:p>
        </w:tc>
        <w:tc>
          <w:tcPr>
            <w:tcW w:w="434" w:type="pct"/>
            <w:vAlign w:val="center"/>
          </w:tcPr>
          <w:p w14:paraId="51055A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0.001L</w:t>
            </w:r>
          </w:p>
        </w:tc>
        <w:tc>
          <w:tcPr>
            <w:tcW w:w="313" w:type="pct"/>
            <w:vAlign w:val="center"/>
          </w:tcPr>
          <w:p w14:paraId="6E0D81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3AD23E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62AA5F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0.001L</w:t>
            </w:r>
          </w:p>
        </w:tc>
        <w:tc>
          <w:tcPr>
            <w:tcW w:w="429" w:type="pct"/>
            <w:vAlign w:val="center"/>
          </w:tcPr>
          <w:p w14:paraId="2C9D99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0.001L</w:t>
            </w:r>
          </w:p>
        </w:tc>
        <w:tc>
          <w:tcPr>
            <w:tcW w:w="368" w:type="pct"/>
            <w:vAlign w:val="center"/>
          </w:tcPr>
          <w:p w14:paraId="3A8962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561FC0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5329DF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6B0F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24CC8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挥发酚</w:t>
            </w:r>
          </w:p>
        </w:tc>
        <w:tc>
          <w:tcPr>
            <w:tcW w:w="403" w:type="pct"/>
            <w:vAlign w:val="center"/>
          </w:tcPr>
          <w:p w14:paraId="2CCC84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A3D4C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0.0003L</w:t>
            </w:r>
          </w:p>
        </w:tc>
        <w:tc>
          <w:tcPr>
            <w:tcW w:w="434" w:type="pct"/>
            <w:vAlign w:val="center"/>
          </w:tcPr>
          <w:p w14:paraId="0625C8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0.0003L</w:t>
            </w:r>
          </w:p>
        </w:tc>
        <w:tc>
          <w:tcPr>
            <w:tcW w:w="313" w:type="pct"/>
            <w:vAlign w:val="center"/>
          </w:tcPr>
          <w:p w14:paraId="278AE9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2249F0C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34E257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0.0003L</w:t>
            </w:r>
          </w:p>
        </w:tc>
        <w:tc>
          <w:tcPr>
            <w:tcW w:w="429" w:type="pct"/>
            <w:vAlign w:val="center"/>
          </w:tcPr>
          <w:p w14:paraId="3E1D6D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0.0003L</w:t>
            </w:r>
          </w:p>
        </w:tc>
        <w:tc>
          <w:tcPr>
            <w:tcW w:w="368" w:type="pct"/>
            <w:vAlign w:val="center"/>
          </w:tcPr>
          <w:p w14:paraId="232234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693179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221F47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0.005</w:t>
            </w:r>
          </w:p>
        </w:tc>
      </w:tr>
      <w:tr w14:paraId="03BC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936F6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硫化物</w:t>
            </w:r>
          </w:p>
        </w:tc>
        <w:tc>
          <w:tcPr>
            <w:tcW w:w="403" w:type="pct"/>
            <w:vAlign w:val="center"/>
          </w:tcPr>
          <w:p w14:paraId="5C6F55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4B461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34" w:type="pct"/>
            <w:vAlign w:val="center"/>
          </w:tcPr>
          <w:p w14:paraId="72DE83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13" w:type="pct"/>
            <w:vAlign w:val="center"/>
          </w:tcPr>
          <w:p w14:paraId="2BC451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1F162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67DC38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29" w:type="pct"/>
            <w:vAlign w:val="center"/>
          </w:tcPr>
          <w:p w14:paraId="5F2ABA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68" w:type="pct"/>
            <w:vAlign w:val="center"/>
          </w:tcPr>
          <w:p w14:paraId="181F19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3C0025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03CBD9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58B6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71E638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阴离子表面活性剂</w:t>
            </w:r>
          </w:p>
        </w:tc>
        <w:tc>
          <w:tcPr>
            <w:tcW w:w="403" w:type="pct"/>
            <w:vAlign w:val="center"/>
          </w:tcPr>
          <w:p w14:paraId="19866B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3560C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0.05L</w:t>
            </w:r>
          </w:p>
        </w:tc>
        <w:tc>
          <w:tcPr>
            <w:tcW w:w="434" w:type="pct"/>
            <w:vAlign w:val="center"/>
          </w:tcPr>
          <w:p w14:paraId="36178C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0.05L</w:t>
            </w:r>
          </w:p>
        </w:tc>
        <w:tc>
          <w:tcPr>
            <w:tcW w:w="313" w:type="pct"/>
            <w:vAlign w:val="center"/>
          </w:tcPr>
          <w:p w14:paraId="2FFFEC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065FA5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2F18BF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0.05L</w:t>
            </w:r>
          </w:p>
        </w:tc>
        <w:tc>
          <w:tcPr>
            <w:tcW w:w="429" w:type="pct"/>
            <w:vAlign w:val="center"/>
          </w:tcPr>
          <w:p w14:paraId="695522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0.05L</w:t>
            </w:r>
          </w:p>
        </w:tc>
        <w:tc>
          <w:tcPr>
            <w:tcW w:w="368" w:type="pct"/>
            <w:vAlign w:val="center"/>
          </w:tcPr>
          <w:p w14:paraId="6CCE04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6CA75B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33DA9A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7C60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F09CF4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叶绿素a</w:t>
            </w:r>
          </w:p>
        </w:tc>
        <w:tc>
          <w:tcPr>
            <w:tcW w:w="403" w:type="pct"/>
            <w:vAlign w:val="center"/>
          </w:tcPr>
          <w:p w14:paraId="4C166F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73DF2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34" w:type="pct"/>
            <w:vAlign w:val="center"/>
          </w:tcPr>
          <w:p w14:paraId="5A3045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13" w:type="pct"/>
            <w:vAlign w:val="center"/>
          </w:tcPr>
          <w:p w14:paraId="5CCF04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185273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6C25EC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29" w:type="pct"/>
            <w:vAlign w:val="center"/>
          </w:tcPr>
          <w:p w14:paraId="714DD6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68" w:type="pct"/>
            <w:vAlign w:val="center"/>
          </w:tcPr>
          <w:p w14:paraId="2A179F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5993483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4AE1C0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56BB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3322F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硫酸盐</w:t>
            </w:r>
          </w:p>
        </w:tc>
        <w:tc>
          <w:tcPr>
            <w:tcW w:w="403" w:type="pct"/>
            <w:vAlign w:val="center"/>
          </w:tcPr>
          <w:p w14:paraId="672E28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6508DB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22.4</w:t>
            </w:r>
          </w:p>
        </w:tc>
        <w:tc>
          <w:tcPr>
            <w:tcW w:w="434" w:type="pct"/>
            <w:vAlign w:val="center"/>
          </w:tcPr>
          <w:p w14:paraId="0E307F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18.8</w:t>
            </w:r>
          </w:p>
        </w:tc>
        <w:tc>
          <w:tcPr>
            <w:tcW w:w="313" w:type="pct"/>
            <w:vAlign w:val="center"/>
          </w:tcPr>
          <w:p w14:paraId="26EDD7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0788D7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0.0896</w:t>
            </w:r>
          </w:p>
        </w:tc>
        <w:tc>
          <w:tcPr>
            <w:tcW w:w="410" w:type="pct"/>
            <w:vAlign w:val="center"/>
          </w:tcPr>
          <w:p w14:paraId="577EE7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21.8</w:t>
            </w:r>
          </w:p>
        </w:tc>
        <w:tc>
          <w:tcPr>
            <w:tcW w:w="429" w:type="pct"/>
            <w:vAlign w:val="center"/>
          </w:tcPr>
          <w:p w14:paraId="659ED01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17.2</w:t>
            </w:r>
          </w:p>
        </w:tc>
        <w:tc>
          <w:tcPr>
            <w:tcW w:w="368" w:type="pct"/>
            <w:vAlign w:val="center"/>
          </w:tcPr>
          <w:p w14:paraId="774148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688113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w:t>
            </w:r>
          </w:p>
        </w:tc>
        <w:tc>
          <w:tcPr>
            <w:tcW w:w="483" w:type="pct"/>
            <w:vAlign w:val="center"/>
          </w:tcPr>
          <w:p w14:paraId="46BF1D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250</w:t>
            </w:r>
          </w:p>
        </w:tc>
      </w:tr>
      <w:tr w14:paraId="32FB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7A8D5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氯化物</w:t>
            </w:r>
          </w:p>
        </w:tc>
        <w:tc>
          <w:tcPr>
            <w:tcW w:w="403" w:type="pct"/>
            <w:vAlign w:val="center"/>
          </w:tcPr>
          <w:p w14:paraId="5978548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BCA855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12.1</w:t>
            </w:r>
          </w:p>
        </w:tc>
        <w:tc>
          <w:tcPr>
            <w:tcW w:w="434" w:type="pct"/>
            <w:vAlign w:val="center"/>
          </w:tcPr>
          <w:p w14:paraId="4D1B83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9.92</w:t>
            </w:r>
          </w:p>
        </w:tc>
        <w:tc>
          <w:tcPr>
            <w:tcW w:w="313" w:type="pct"/>
            <w:vAlign w:val="center"/>
          </w:tcPr>
          <w:p w14:paraId="35EB13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379248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0.0484</w:t>
            </w:r>
          </w:p>
        </w:tc>
        <w:tc>
          <w:tcPr>
            <w:tcW w:w="410" w:type="pct"/>
            <w:vAlign w:val="center"/>
          </w:tcPr>
          <w:p w14:paraId="1C4048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17.7</w:t>
            </w:r>
          </w:p>
        </w:tc>
        <w:tc>
          <w:tcPr>
            <w:tcW w:w="429" w:type="pct"/>
            <w:vAlign w:val="center"/>
          </w:tcPr>
          <w:p w14:paraId="058CB8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13.4</w:t>
            </w:r>
          </w:p>
        </w:tc>
        <w:tc>
          <w:tcPr>
            <w:tcW w:w="368" w:type="pct"/>
            <w:vAlign w:val="center"/>
          </w:tcPr>
          <w:p w14:paraId="3A87E24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0360DF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0.07</w:t>
            </w:r>
          </w:p>
        </w:tc>
        <w:tc>
          <w:tcPr>
            <w:tcW w:w="483" w:type="pct"/>
            <w:vAlign w:val="center"/>
          </w:tcPr>
          <w:p w14:paraId="5A4E6A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250</w:t>
            </w:r>
          </w:p>
        </w:tc>
      </w:tr>
      <w:tr w14:paraId="52A7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EF1F0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硝酸盐氮</w:t>
            </w:r>
          </w:p>
        </w:tc>
        <w:tc>
          <w:tcPr>
            <w:tcW w:w="403" w:type="pct"/>
            <w:vAlign w:val="center"/>
          </w:tcPr>
          <w:p w14:paraId="3E9F23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611412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0.242</w:t>
            </w:r>
          </w:p>
        </w:tc>
        <w:tc>
          <w:tcPr>
            <w:tcW w:w="434" w:type="pct"/>
            <w:vAlign w:val="center"/>
          </w:tcPr>
          <w:p w14:paraId="4972FD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0.216</w:t>
            </w:r>
          </w:p>
        </w:tc>
        <w:tc>
          <w:tcPr>
            <w:tcW w:w="313" w:type="pct"/>
            <w:vAlign w:val="center"/>
          </w:tcPr>
          <w:p w14:paraId="7AEB71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462C84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0.0242</w:t>
            </w:r>
          </w:p>
        </w:tc>
        <w:tc>
          <w:tcPr>
            <w:tcW w:w="410" w:type="pct"/>
            <w:vAlign w:val="center"/>
          </w:tcPr>
          <w:p w14:paraId="1B27177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1.03</w:t>
            </w:r>
          </w:p>
        </w:tc>
        <w:tc>
          <w:tcPr>
            <w:tcW w:w="429" w:type="pct"/>
            <w:vAlign w:val="center"/>
          </w:tcPr>
          <w:p w14:paraId="775DBF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0.891</w:t>
            </w:r>
          </w:p>
        </w:tc>
        <w:tc>
          <w:tcPr>
            <w:tcW w:w="368" w:type="pct"/>
            <w:vAlign w:val="center"/>
          </w:tcPr>
          <w:p w14:paraId="68A623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17AA4B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0.1</w:t>
            </w:r>
          </w:p>
        </w:tc>
        <w:tc>
          <w:tcPr>
            <w:tcW w:w="483" w:type="pct"/>
            <w:vAlign w:val="center"/>
          </w:tcPr>
          <w:p w14:paraId="5ACA3F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10</w:t>
            </w:r>
          </w:p>
        </w:tc>
      </w:tr>
      <w:tr w14:paraId="7FE3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C2C4C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铁</w:t>
            </w:r>
          </w:p>
        </w:tc>
        <w:tc>
          <w:tcPr>
            <w:tcW w:w="403" w:type="pct"/>
            <w:vAlign w:val="center"/>
          </w:tcPr>
          <w:p w14:paraId="759A71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0AE16F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0.03L</w:t>
            </w:r>
          </w:p>
        </w:tc>
        <w:tc>
          <w:tcPr>
            <w:tcW w:w="434" w:type="pct"/>
            <w:vAlign w:val="center"/>
          </w:tcPr>
          <w:p w14:paraId="0BEF82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0.03L</w:t>
            </w:r>
          </w:p>
        </w:tc>
        <w:tc>
          <w:tcPr>
            <w:tcW w:w="313" w:type="pct"/>
            <w:vAlign w:val="center"/>
          </w:tcPr>
          <w:p w14:paraId="4D7EE3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017A46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3C7783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0.03L</w:t>
            </w:r>
          </w:p>
        </w:tc>
        <w:tc>
          <w:tcPr>
            <w:tcW w:w="429" w:type="pct"/>
            <w:vAlign w:val="center"/>
          </w:tcPr>
          <w:p w14:paraId="33116E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0.03L</w:t>
            </w:r>
          </w:p>
        </w:tc>
        <w:tc>
          <w:tcPr>
            <w:tcW w:w="368" w:type="pct"/>
            <w:vAlign w:val="center"/>
          </w:tcPr>
          <w:p w14:paraId="0BF277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6B51DE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4E52DC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0.3</w:t>
            </w:r>
          </w:p>
        </w:tc>
      </w:tr>
      <w:tr w14:paraId="79FF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FF01C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锰</w:t>
            </w:r>
          </w:p>
        </w:tc>
        <w:tc>
          <w:tcPr>
            <w:tcW w:w="403" w:type="pct"/>
            <w:vAlign w:val="center"/>
          </w:tcPr>
          <w:p w14:paraId="70B69D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6A0DF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34" w:type="pct"/>
            <w:vAlign w:val="center"/>
          </w:tcPr>
          <w:p w14:paraId="02A599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13" w:type="pct"/>
            <w:vAlign w:val="center"/>
          </w:tcPr>
          <w:p w14:paraId="017064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238BD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6173AD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29" w:type="pct"/>
            <w:vAlign w:val="center"/>
          </w:tcPr>
          <w:p w14:paraId="36AC2E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68" w:type="pct"/>
            <w:vAlign w:val="center"/>
          </w:tcPr>
          <w:p w14:paraId="78B78B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05A7B5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0509EF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0.1</w:t>
            </w:r>
          </w:p>
        </w:tc>
      </w:tr>
    </w:tbl>
    <w:p w14:paraId="4752A32B">
      <w:pPr>
        <w:pStyle w:val="10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Arial" w:hAnsi="Arial" w:eastAsia="宋体" w:cs="Arial"/>
          <w:b/>
          <w:bCs w:val="0"/>
          <w:sz w:val="26"/>
          <w:szCs w:val="26"/>
          <w:lang w:val="en-US" w:eastAsia="zh-CN"/>
        </w:rPr>
      </w:pPr>
    </w:p>
    <w:p w14:paraId="03E0BDDB">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表4.3-6 项目所在河段2024年丰水期地表水监测结果统计表</w:t>
      </w:r>
    </w:p>
    <w:tbl>
      <w:tblPr>
        <w:tblStyle w:val="78"/>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000"/>
        <w:gridCol w:w="1213"/>
        <w:gridCol w:w="1234"/>
        <w:gridCol w:w="806"/>
        <w:gridCol w:w="800"/>
        <w:gridCol w:w="1217"/>
        <w:gridCol w:w="1149"/>
        <w:gridCol w:w="824"/>
        <w:gridCol w:w="857"/>
        <w:gridCol w:w="1195"/>
      </w:tblGrid>
      <w:tr w14:paraId="15CE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Merge w:val="restart"/>
            <w:vAlign w:val="center"/>
          </w:tcPr>
          <w:p w14:paraId="4DD56F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检测项目</w:t>
            </w:r>
          </w:p>
        </w:tc>
        <w:tc>
          <w:tcPr>
            <w:tcW w:w="404" w:type="pct"/>
            <w:vAlign w:val="center"/>
          </w:tcPr>
          <w:p w14:paraId="66F052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bCs/>
                <w:snapToGrid w:val="0"/>
                <w:color w:val="auto"/>
                <w:kern w:val="0"/>
                <w:sz w:val="22"/>
                <w:szCs w:val="22"/>
                <w:highlight w:val="none"/>
              </w:rPr>
            </w:pPr>
            <w:r>
              <w:rPr>
                <w:rFonts w:hint="default" w:ascii="Arial" w:hAnsi="Arial" w:eastAsia="宋体" w:cs="Arial"/>
                <w:bCs/>
                <w:snapToGrid w:val="0"/>
                <w:color w:val="auto"/>
                <w:kern w:val="0"/>
                <w:sz w:val="22"/>
                <w:szCs w:val="22"/>
                <w:highlight w:val="none"/>
                <w:lang w:bidi="ar"/>
              </w:rPr>
              <w:t>点位</w:t>
            </w:r>
          </w:p>
        </w:tc>
        <w:tc>
          <w:tcPr>
            <w:tcW w:w="1637" w:type="pct"/>
            <w:gridSpan w:val="4"/>
            <w:vAlign w:val="center"/>
          </w:tcPr>
          <w:p w14:paraId="3CD88F2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cs="Arial"/>
                <w:snapToGrid w:val="0"/>
                <w:color w:val="auto"/>
                <w:kern w:val="0"/>
                <w:sz w:val="22"/>
                <w:szCs w:val="22"/>
                <w:highlight w:val="none"/>
              </w:rPr>
              <w:t>海螺沟水库坝址</w:t>
            </w:r>
          </w:p>
        </w:tc>
        <w:tc>
          <w:tcPr>
            <w:tcW w:w="1635" w:type="pct"/>
            <w:gridSpan w:val="4"/>
            <w:vAlign w:val="center"/>
          </w:tcPr>
          <w:p w14:paraId="0C0A80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双龙河入渠溪河上游500m处</w:t>
            </w:r>
          </w:p>
        </w:tc>
        <w:tc>
          <w:tcPr>
            <w:tcW w:w="482" w:type="pct"/>
            <w:vMerge w:val="restart"/>
            <w:vAlign w:val="center"/>
          </w:tcPr>
          <w:p w14:paraId="1D970E1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标准限值</w:t>
            </w:r>
          </w:p>
        </w:tc>
      </w:tr>
      <w:tr w14:paraId="6691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Merge w:val="continue"/>
            <w:vAlign w:val="center"/>
          </w:tcPr>
          <w:p w14:paraId="2AAED8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c>
          <w:tcPr>
            <w:tcW w:w="404" w:type="pct"/>
            <w:vAlign w:val="center"/>
          </w:tcPr>
          <w:p w14:paraId="0918BA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bCs/>
                <w:snapToGrid w:val="0"/>
                <w:color w:val="auto"/>
                <w:kern w:val="0"/>
                <w:sz w:val="22"/>
                <w:szCs w:val="22"/>
                <w:highlight w:val="none"/>
              </w:rPr>
            </w:pPr>
            <w:r>
              <w:rPr>
                <w:rFonts w:hint="default" w:ascii="Arial" w:hAnsi="Arial" w:eastAsia="宋体" w:cs="Arial"/>
                <w:bCs/>
                <w:snapToGrid w:val="0"/>
                <w:color w:val="auto"/>
                <w:kern w:val="0"/>
                <w:sz w:val="22"/>
                <w:szCs w:val="22"/>
                <w:highlight w:val="none"/>
              </w:rPr>
              <w:t>单位</w:t>
            </w:r>
          </w:p>
        </w:tc>
        <w:tc>
          <w:tcPr>
            <w:tcW w:w="490" w:type="pct"/>
            <w:vAlign w:val="center"/>
          </w:tcPr>
          <w:p w14:paraId="582005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最大值</w:t>
            </w:r>
          </w:p>
        </w:tc>
        <w:tc>
          <w:tcPr>
            <w:tcW w:w="498" w:type="pct"/>
            <w:vAlign w:val="center"/>
          </w:tcPr>
          <w:p w14:paraId="5134FD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最小值</w:t>
            </w:r>
          </w:p>
        </w:tc>
        <w:tc>
          <w:tcPr>
            <w:tcW w:w="325" w:type="pct"/>
            <w:vAlign w:val="center"/>
          </w:tcPr>
          <w:p w14:paraId="1173F9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超标倍数</w:t>
            </w:r>
          </w:p>
        </w:tc>
        <w:tc>
          <w:tcPr>
            <w:tcW w:w="323" w:type="pct"/>
            <w:vAlign w:val="center"/>
          </w:tcPr>
          <w:p w14:paraId="2127C2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最大Si值</w:t>
            </w:r>
          </w:p>
        </w:tc>
        <w:tc>
          <w:tcPr>
            <w:tcW w:w="491" w:type="pct"/>
            <w:vAlign w:val="center"/>
          </w:tcPr>
          <w:p w14:paraId="301299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最大值</w:t>
            </w:r>
          </w:p>
        </w:tc>
        <w:tc>
          <w:tcPr>
            <w:tcW w:w="464" w:type="pct"/>
            <w:vAlign w:val="center"/>
          </w:tcPr>
          <w:p w14:paraId="5632FA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最小值</w:t>
            </w:r>
          </w:p>
        </w:tc>
        <w:tc>
          <w:tcPr>
            <w:tcW w:w="332" w:type="pct"/>
            <w:vAlign w:val="center"/>
          </w:tcPr>
          <w:p w14:paraId="187EBB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超标</w:t>
            </w:r>
          </w:p>
          <w:p w14:paraId="03A261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倍数</w:t>
            </w:r>
          </w:p>
        </w:tc>
        <w:tc>
          <w:tcPr>
            <w:tcW w:w="346" w:type="pct"/>
            <w:vAlign w:val="center"/>
          </w:tcPr>
          <w:p w14:paraId="2DE98C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最大Si值</w:t>
            </w:r>
          </w:p>
        </w:tc>
        <w:tc>
          <w:tcPr>
            <w:tcW w:w="482" w:type="pct"/>
            <w:vMerge w:val="continue"/>
            <w:vAlign w:val="center"/>
          </w:tcPr>
          <w:p w14:paraId="788E95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r>
      <w:tr w14:paraId="6008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vAlign w:val="center"/>
          </w:tcPr>
          <w:p w14:paraId="562D8B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水温</w:t>
            </w:r>
          </w:p>
        </w:tc>
        <w:tc>
          <w:tcPr>
            <w:tcW w:w="404" w:type="pct"/>
            <w:vAlign w:val="center"/>
          </w:tcPr>
          <w:p w14:paraId="540B34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w:t>
            </w:r>
          </w:p>
        </w:tc>
        <w:tc>
          <w:tcPr>
            <w:tcW w:w="490" w:type="pct"/>
            <w:vAlign w:val="center"/>
          </w:tcPr>
          <w:p w14:paraId="1D9887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22.8</w:t>
            </w:r>
          </w:p>
        </w:tc>
        <w:tc>
          <w:tcPr>
            <w:tcW w:w="498" w:type="pct"/>
            <w:vAlign w:val="center"/>
          </w:tcPr>
          <w:p w14:paraId="33C220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24.9</w:t>
            </w:r>
          </w:p>
        </w:tc>
        <w:tc>
          <w:tcPr>
            <w:tcW w:w="325" w:type="pct"/>
            <w:vAlign w:val="center"/>
          </w:tcPr>
          <w:p w14:paraId="30681D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0A33BB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w:t>
            </w:r>
          </w:p>
        </w:tc>
        <w:tc>
          <w:tcPr>
            <w:tcW w:w="491" w:type="pct"/>
            <w:vAlign w:val="center"/>
          </w:tcPr>
          <w:p w14:paraId="45F69C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23.6</w:t>
            </w:r>
          </w:p>
        </w:tc>
        <w:tc>
          <w:tcPr>
            <w:tcW w:w="464" w:type="pct"/>
            <w:vAlign w:val="center"/>
          </w:tcPr>
          <w:p w14:paraId="73F9F6A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26.8</w:t>
            </w:r>
          </w:p>
        </w:tc>
        <w:tc>
          <w:tcPr>
            <w:tcW w:w="332" w:type="pct"/>
            <w:vAlign w:val="center"/>
          </w:tcPr>
          <w:p w14:paraId="53736D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3A8A8C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55180B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148F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shd w:val="clear" w:color="auto" w:fill="auto"/>
            <w:vAlign w:val="center"/>
          </w:tcPr>
          <w:p w14:paraId="15F5156F">
            <w:pPr>
              <w:widowControl/>
              <w:autoSpaceDE/>
              <w:autoSpaceDN/>
              <w:spacing w:line="36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透明度</w:t>
            </w:r>
          </w:p>
        </w:tc>
        <w:tc>
          <w:tcPr>
            <w:tcW w:w="404" w:type="pct"/>
            <w:shd w:val="clear" w:color="auto" w:fill="auto"/>
            <w:vAlign w:val="center"/>
          </w:tcPr>
          <w:p w14:paraId="7BCE6EEE">
            <w:pPr>
              <w:widowControl/>
              <w:autoSpaceDE/>
              <w:autoSpaceDN/>
              <w:spacing w:line="36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cm</w:t>
            </w:r>
          </w:p>
        </w:tc>
        <w:tc>
          <w:tcPr>
            <w:tcW w:w="490" w:type="pct"/>
            <w:shd w:val="clear" w:color="auto" w:fill="auto"/>
            <w:vAlign w:val="center"/>
          </w:tcPr>
          <w:p w14:paraId="7322B2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41.7</w:t>
            </w:r>
          </w:p>
        </w:tc>
        <w:tc>
          <w:tcPr>
            <w:tcW w:w="498" w:type="pct"/>
            <w:shd w:val="clear" w:color="auto" w:fill="auto"/>
            <w:vAlign w:val="center"/>
          </w:tcPr>
          <w:p w14:paraId="53F86C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43.3</w:t>
            </w:r>
          </w:p>
        </w:tc>
        <w:tc>
          <w:tcPr>
            <w:tcW w:w="325" w:type="pct"/>
            <w:shd w:val="clear" w:color="auto" w:fill="auto"/>
            <w:vAlign w:val="center"/>
          </w:tcPr>
          <w:p w14:paraId="65A5C46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6A07E7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w:t>
            </w:r>
          </w:p>
        </w:tc>
        <w:tc>
          <w:tcPr>
            <w:tcW w:w="491" w:type="pct"/>
            <w:shd w:val="clear" w:color="auto" w:fill="auto"/>
            <w:vAlign w:val="center"/>
          </w:tcPr>
          <w:p w14:paraId="625A1B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13.8</w:t>
            </w:r>
          </w:p>
        </w:tc>
        <w:tc>
          <w:tcPr>
            <w:tcW w:w="464" w:type="pct"/>
            <w:shd w:val="clear" w:color="auto" w:fill="auto"/>
            <w:vAlign w:val="center"/>
          </w:tcPr>
          <w:p w14:paraId="1F878B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14.6</w:t>
            </w:r>
          </w:p>
        </w:tc>
        <w:tc>
          <w:tcPr>
            <w:tcW w:w="332" w:type="pct"/>
            <w:shd w:val="clear" w:color="auto" w:fill="auto"/>
            <w:vAlign w:val="center"/>
          </w:tcPr>
          <w:p w14:paraId="19BE9B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shd w:val="clear" w:color="auto" w:fill="auto"/>
            <w:vAlign w:val="center"/>
          </w:tcPr>
          <w:p w14:paraId="38CF55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shd w:val="clear" w:color="auto" w:fill="auto"/>
            <w:vAlign w:val="center"/>
          </w:tcPr>
          <w:p w14:paraId="2536FC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val="en-US" w:eastAsia="zh-CN" w:bidi="ar"/>
              </w:rPr>
              <w:t>/</w:t>
            </w:r>
          </w:p>
        </w:tc>
      </w:tr>
      <w:tr w14:paraId="2CA2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89974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pH值</w:t>
            </w:r>
          </w:p>
        </w:tc>
        <w:tc>
          <w:tcPr>
            <w:tcW w:w="404" w:type="pct"/>
            <w:vAlign w:val="center"/>
          </w:tcPr>
          <w:p w14:paraId="40AA0E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无量纲</w:t>
            </w:r>
          </w:p>
        </w:tc>
        <w:tc>
          <w:tcPr>
            <w:tcW w:w="490" w:type="pct"/>
            <w:vAlign w:val="center"/>
          </w:tcPr>
          <w:p w14:paraId="287D83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7.5</w:t>
            </w:r>
          </w:p>
        </w:tc>
        <w:tc>
          <w:tcPr>
            <w:tcW w:w="498" w:type="pct"/>
            <w:vAlign w:val="center"/>
          </w:tcPr>
          <w:p w14:paraId="7A65EB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7.6</w:t>
            </w:r>
          </w:p>
        </w:tc>
        <w:tc>
          <w:tcPr>
            <w:tcW w:w="325" w:type="pct"/>
            <w:vAlign w:val="center"/>
          </w:tcPr>
          <w:p w14:paraId="37D75B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0AFE7E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w:t>
            </w:r>
          </w:p>
        </w:tc>
        <w:tc>
          <w:tcPr>
            <w:tcW w:w="491" w:type="pct"/>
            <w:vAlign w:val="center"/>
          </w:tcPr>
          <w:p w14:paraId="31CAE3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7.3</w:t>
            </w:r>
          </w:p>
        </w:tc>
        <w:tc>
          <w:tcPr>
            <w:tcW w:w="464" w:type="pct"/>
            <w:vAlign w:val="center"/>
          </w:tcPr>
          <w:p w14:paraId="5BF1B5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7.4</w:t>
            </w:r>
          </w:p>
        </w:tc>
        <w:tc>
          <w:tcPr>
            <w:tcW w:w="332" w:type="pct"/>
            <w:vAlign w:val="center"/>
          </w:tcPr>
          <w:p w14:paraId="4DBC8F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09FB95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0.2</w:t>
            </w:r>
          </w:p>
        </w:tc>
        <w:tc>
          <w:tcPr>
            <w:tcW w:w="482" w:type="pct"/>
            <w:vAlign w:val="center"/>
          </w:tcPr>
          <w:p w14:paraId="01E158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6~9</w:t>
            </w:r>
          </w:p>
        </w:tc>
      </w:tr>
      <w:tr w14:paraId="7B73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39E74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氨氮</w:t>
            </w:r>
          </w:p>
        </w:tc>
        <w:tc>
          <w:tcPr>
            <w:tcW w:w="404" w:type="pct"/>
            <w:vAlign w:val="center"/>
          </w:tcPr>
          <w:p w14:paraId="311842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2DB07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0.269</w:t>
            </w:r>
          </w:p>
        </w:tc>
        <w:tc>
          <w:tcPr>
            <w:tcW w:w="498" w:type="pct"/>
            <w:vAlign w:val="center"/>
          </w:tcPr>
          <w:p w14:paraId="4F05BE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0.381</w:t>
            </w:r>
          </w:p>
        </w:tc>
        <w:tc>
          <w:tcPr>
            <w:tcW w:w="325" w:type="pct"/>
            <w:vAlign w:val="center"/>
          </w:tcPr>
          <w:p w14:paraId="7CB1B3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31B818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0.381</w:t>
            </w:r>
          </w:p>
        </w:tc>
        <w:tc>
          <w:tcPr>
            <w:tcW w:w="491" w:type="pct"/>
            <w:shd w:val="clear" w:color="auto" w:fill="auto"/>
            <w:vAlign w:val="center"/>
          </w:tcPr>
          <w:p w14:paraId="0DF52A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0.112</w:t>
            </w:r>
          </w:p>
        </w:tc>
        <w:tc>
          <w:tcPr>
            <w:tcW w:w="464" w:type="pct"/>
            <w:shd w:val="clear" w:color="auto" w:fill="auto"/>
            <w:vAlign w:val="center"/>
          </w:tcPr>
          <w:p w14:paraId="4ED5D2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0.183</w:t>
            </w:r>
          </w:p>
        </w:tc>
        <w:tc>
          <w:tcPr>
            <w:tcW w:w="332" w:type="pct"/>
            <w:vAlign w:val="center"/>
          </w:tcPr>
          <w:p w14:paraId="1188B7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60E46D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0.183</w:t>
            </w:r>
          </w:p>
        </w:tc>
        <w:tc>
          <w:tcPr>
            <w:tcW w:w="482" w:type="pct"/>
            <w:vAlign w:val="center"/>
          </w:tcPr>
          <w:p w14:paraId="78FC160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360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380C9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化学需氧量</w:t>
            </w:r>
          </w:p>
        </w:tc>
        <w:tc>
          <w:tcPr>
            <w:tcW w:w="404" w:type="pct"/>
            <w:vAlign w:val="center"/>
          </w:tcPr>
          <w:p w14:paraId="019AC0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05FAA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13</w:t>
            </w:r>
          </w:p>
        </w:tc>
        <w:tc>
          <w:tcPr>
            <w:tcW w:w="498" w:type="pct"/>
            <w:vAlign w:val="center"/>
          </w:tcPr>
          <w:p w14:paraId="1BE042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11</w:t>
            </w:r>
          </w:p>
        </w:tc>
        <w:tc>
          <w:tcPr>
            <w:tcW w:w="325" w:type="pct"/>
            <w:vAlign w:val="center"/>
          </w:tcPr>
          <w:p w14:paraId="5A00A2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75B717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0.65</w:t>
            </w:r>
          </w:p>
        </w:tc>
        <w:tc>
          <w:tcPr>
            <w:tcW w:w="491" w:type="pct"/>
            <w:vAlign w:val="center"/>
          </w:tcPr>
          <w:p w14:paraId="34A73B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14</w:t>
            </w:r>
          </w:p>
        </w:tc>
        <w:tc>
          <w:tcPr>
            <w:tcW w:w="464" w:type="pct"/>
            <w:vAlign w:val="center"/>
          </w:tcPr>
          <w:p w14:paraId="46E539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15</w:t>
            </w:r>
          </w:p>
        </w:tc>
        <w:tc>
          <w:tcPr>
            <w:tcW w:w="332" w:type="pct"/>
            <w:vAlign w:val="center"/>
          </w:tcPr>
          <w:p w14:paraId="7EA6C4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4F1DCF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0.75</w:t>
            </w:r>
          </w:p>
        </w:tc>
        <w:tc>
          <w:tcPr>
            <w:tcW w:w="482" w:type="pct"/>
            <w:vAlign w:val="center"/>
          </w:tcPr>
          <w:p w14:paraId="372E9D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20</w:t>
            </w:r>
          </w:p>
        </w:tc>
      </w:tr>
      <w:tr w14:paraId="31C4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40" w:type="pct"/>
            <w:vAlign w:val="center"/>
          </w:tcPr>
          <w:p w14:paraId="0A2776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五日生化需氧量</w:t>
            </w:r>
          </w:p>
        </w:tc>
        <w:tc>
          <w:tcPr>
            <w:tcW w:w="404" w:type="pct"/>
            <w:vAlign w:val="center"/>
          </w:tcPr>
          <w:p w14:paraId="6C91CE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89CDC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3.8</w:t>
            </w:r>
          </w:p>
        </w:tc>
        <w:tc>
          <w:tcPr>
            <w:tcW w:w="498" w:type="pct"/>
            <w:vAlign w:val="center"/>
          </w:tcPr>
          <w:p w14:paraId="30CCB5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3.2</w:t>
            </w:r>
          </w:p>
        </w:tc>
        <w:tc>
          <w:tcPr>
            <w:tcW w:w="325" w:type="pct"/>
            <w:vAlign w:val="center"/>
          </w:tcPr>
          <w:p w14:paraId="01D3F3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598474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0.95</w:t>
            </w:r>
          </w:p>
        </w:tc>
        <w:tc>
          <w:tcPr>
            <w:tcW w:w="491" w:type="pct"/>
            <w:vAlign w:val="center"/>
          </w:tcPr>
          <w:p w14:paraId="2D4BF5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3.7</w:t>
            </w:r>
          </w:p>
        </w:tc>
        <w:tc>
          <w:tcPr>
            <w:tcW w:w="464" w:type="pct"/>
            <w:vAlign w:val="center"/>
          </w:tcPr>
          <w:p w14:paraId="3A09E8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3.5</w:t>
            </w:r>
          </w:p>
        </w:tc>
        <w:tc>
          <w:tcPr>
            <w:tcW w:w="332" w:type="pct"/>
            <w:vAlign w:val="center"/>
          </w:tcPr>
          <w:p w14:paraId="3625FB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18ABCB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0.925</w:t>
            </w:r>
          </w:p>
        </w:tc>
        <w:tc>
          <w:tcPr>
            <w:tcW w:w="482" w:type="pct"/>
            <w:vAlign w:val="center"/>
          </w:tcPr>
          <w:p w14:paraId="1DCD91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w:t>
            </w:r>
            <w:r>
              <w:rPr>
                <w:rFonts w:hint="default" w:ascii="Arial" w:hAnsi="Arial" w:eastAsia="宋体" w:cs="Arial"/>
                <w:snapToGrid w:val="0"/>
                <w:color w:val="auto"/>
                <w:kern w:val="0"/>
                <w:sz w:val="22"/>
                <w:szCs w:val="22"/>
                <w:highlight w:val="none"/>
                <w:lang w:bidi="ar"/>
              </w:rPr>
              <w:t>4</w:t>
            </w:r>
          </w:p>
        </w:tc>
      </w:tr>
      <w:tr w14:paraId="7A19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8E84C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总磷</w:t>
            </w:r>
          </w:p>
        </w:tc>
        <w:tc>
          <w:tcPr>
            <w:tcW w:w="404" w:type="pct"/>
            <w:vAlign w:val="center"/>
          </w:tcPr>
          <w:p w14:paraId="46A8DFC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5D364C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0.07</w:t>
            </w:r>
          </w:p>
        </w:tc>
        <w:tc>
          <w:tcPr>
            <w:tcW w:w="498" w:type="pct"/>
            <w:vAlign w:val="center"/>
          </w:tcPr>
          <w:p w14:paraId="1C15A9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0.07</w:t>
            </w:r>
          </w:p>
        </w:tc>
        <w:tc>
          <w:tcPr>
            <w:tcW w:w="325" w:type="pct"/>
            <w:vAlign w:val="center"/>
          </w:tcPr>
          <w:p w14:paraId="2E49EB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1D4075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0.35</w:t>
            </w:r>
          </w:p>
        </w:tc>
        <w:tc>
          <w:tcPr>
            <w:tcW w:w="491" w:type="pct"/>
            <w:vAlign w:val="center"/>
          </w:tcPr>
          <w:p w14:paraId="2F96BB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64" w:type="pct"/>
            <w:vAlign w:val="center"/>
          </w:tcPr>
          <w:p w14:paraId="7B7DEED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0.03</w:t>
            </w:r>
          </w:p>
        </w:tc>
        <w:tc>
          <w:tcPr>
            <w:tcW w:w="332" w:type="pct"/>
            <w:vAlign w:val="center"/>
          </w:tcPr>
          <w:p w14:paraId="651B25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3914B9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0.15</w:t>
            </w:r>
          </w:p>
        </w:tc>
        <w:tc>
          <w:tcPr>
            <w:tcW w:w="482" w:type="pct"/>
            <w:vAlign w:val="center"/>
          </w:tcPr>
          <w:p w14:paraId="52DBDE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5953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9C7FD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粪大肠菌群</w:t>
            </w:r>
          </w:p>
        </w:tc>
        <w:tc>
          <w:tcPr>
            <w:tcW w:w="404" w:type="pct"/>
            <w:vAlign w:val="center"/>
          </w:tcPr>
          <w:p w14:paraId="070B41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MPN/L</w:t>
            </w:r>
          </w:p>
        </w:tc>
        <w:tc>
          <w:tcPr>
            <w:tcW w:w="490" w:type="pct"/>
            <w:vAlign w:val="center"/>
          </w:tcPr>
          <w:p w14:paraId="58E2E3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120</w:t>
            </w:r>
          </w:p>
        </w:tc>
        <w:tc>
          <w:tcPr>
            <w:tcW w:w="498" w:type="pct"/>
            <w:vAlign w:val="center"/>
          </w:tcPr>
          <w:p w14:paraId="2CF32F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170</w:t>
            </w:r>
          </w:p>
        </w:tc>
        <w:tc>
          <w:tcPr>
            <w:tcW w:w="325" w:type="pct"/>
            <w:vAlign w:val="center"/>
          </w:tcPr>
          <w:p w14:paraId="36B026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7AA242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0.017</w:t>
            </w:r>
          </w:p>
        </w:tc>
        <w:tc>
          <w:tcPr>
            <w:tcW w:w="491" w:type="pct"/>
            <w:vAlign w:val="center"/>
          </w:tcPr>
          <w:p w14:paraId="3651A8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140</w:t>
            </w:r>
          </w:p>
        </w:tc>
        <w:tc>
          <w:tcPr>
            <w:tcW w:w="464" w:type="pct"/>
            <w:vAlign w:val="center"/>
          </w:tcPr>
          <w:p w14:paraId="4C5B13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170</w:t>
            </w:r>
          </w:p>
        </w:tc>
        <w:tc>
          <w:tcPr>
            <w:tcW w:w="332" w:type="pct"/>
            <w:vAlign w:val="center"/>
          </w:tcPr>
          <w:p w14:paraId="52D9A2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6153B2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0.017</w:t>
            </w:r>
          </w:p>
        </w:tc>
        <w:tc>
          <w:tcPr>
            <w:tcW w:w="482" w:type="pct"/>
            <w:vAlign w:val="center"/>
          </w:tcPr>
          <w:p w14:paraId="018E79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10000</w:t>
            </w:r>
          </w:p>
        </w:tc>
      </w:tr>
      <w:tr w14:paraId="281E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3658C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六价铬</w:t>
            </w:r>
          </w:p>
        </w:tc>
        <w:tc>
          <w:tcPr>
            <w:tcW w:w="404" w:type="pct"/>
            <w:vAlign w:val="center"/>
          </w:tcPr>
          <w:p w14:paraId="13AB9D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76FB06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498" w:type="pct"/>
            <w:vAlign w:val="center"/>
          </w:tcPr>
          <w:p w14:paraId="35AB1B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325" w:type="pct"/>
            <w:vAlign w:val="center"/>
          </w:tcPr>
          <w:p w14:paraId="3DF2B3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3EE749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w:t>
            </w:r>
          </w:p>
        </w:tc>
        <w:tc>
          <w:tcPr>
            <w:tcW w:w="491" w:type="pct"/>
            <w:vAlign w:val="center"/>
          </w:tcPr>
          <w:p w14:paraId="6C5085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464" w:type="pct"/>
            <w:vAlign w:val="center"/>
          </w:tcPr>
          <w:p w14:paraId="545FF3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332" w:type="pct"/>
            <w:vAlign w:val="center"/>
          </w:tcPr>
          <w:p w14:paraId="6342DD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526C2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A31DB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2AE7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vAlign w:val="center"/>
          </w:tcPr>
          <w:p w14:paraId="77C3890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汞</w:t>
            </w:r>
          </w:p>
        </w:tc>
        <w:tc>
          <w:tcPr>
            <w:tcW w:w="404" w:type="pct"/>
            <w:vAlign w:val="center"/>
          </w:tcPr>
          <w:p w14:paraId="2AAC07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26655F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0.00004L</w:t>
            </w:r>
          </w:p>
        </w:tc>
        <w:tc>
          <w:tcPr>
            <w:tcW w:w="498" w:type="pct"/>
            <w:vAlign w:val="center"/>
          </w:tcPr>
          <w:p w14:paraId="32C0C2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0.00004L</w:t>
            </w:r>
          </w:p>
        </w:tc>
        <w:tc>
          <w:tcPr>
            <w:tcW w:w="325" w:type="pct"/>
            <w:vAlign w:val="center"/>
          </w:tcPr>
          <w:p w14:paraId="1AA4D8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0D6195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1D1A75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0.00004L</w:t>
            </w:r>
          </w:p>
        </w:tc>
        <w:tc>
          <w:tcPr>
            <w:tcW w:w="464" w:type="pct"/>
            <w:vAlign w:val="center"/>
          </w:tcPr>
          <w:p w14:paraId="28E7E9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0.00004L</w:t>
            </w:r>
          </w:p>
        </w:tc>
        <w:tc>
          <w:tcPr>
            <w:tcW w:w="332" w:type="pct"/>
            <w:vAlign w:val="center"/>
          </w:tcPr>
          <w:p w14:paraId="68EF6B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7E0E4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0B55E9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0.0001</w:t>
            </w:r>
          </w:p>
        </w:tc>
      </w:tr>
      <w:tr w14:paraId="0723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BB023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镉</w:t>
            </w:r>
          </w:p>
        </w:tc>
        <w:tc>
          <w:tcPr>
            <w:tcW w:w="404" w:type="pct"/>
            <w:vAlign w:val="center"/>
          </w:tcPr>
          <w:p w14:paraId="032037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4F1CF7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0.0001</w:t>
            </w:r>
          </w:p>
        </w:tc>
        <w:tc>
          <w:tcPr>
            <w:tcW w:w="498" w:type="pct"/>
            <w:vAlign w:val="center"/>
          </w:tcPr>
          <w:p w14:paraId="41FA8B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0.0002</w:t>
            </w:r>
          </w:p>
        </w:tc>
        <w:tc>
          <w:tcPr>
            <w:tcW w:w="325" w:type="pct"/>
            <w:vAlign w:val="center"/>
          </w:tcPr>
          <w:p w14:paraId="220701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7EFB6D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0.04</w:t>
            </w:r>
          </w:p>
        </w:tc>
        <w:tc>
          <w:tcPr>
            <w:tcW w:w="491" w:type="pct"/>
            <w:vAlign w:val="center"/>
          </w:tcPr>
          <w:p w14:paraId="1F3954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0.0002</w:t>
            </w:r>
          </w:p>
        </w:tc>
        <w:tc>
          <w:tcPr>
            <w:tcW w:w="464" w:type="pct"/>
            <w:vAlign w:val="center"/>
          </w:tcPr>
          <w:p w14:paraId="6654BB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w:t>
            </w:r>
          </w:p>
        </w:tc>
        <w:tc>
          <w:tcPr>
            <w:tcW w:w="332" w:type="pct"/>
            <w:vAlign w:val="center"/>
          </w:tcPr>
          <w:p w14:paraId="4E23610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78EB53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0.06</w:t>
            </w:r>
          </w:p>
        </w:tc>
        <w:tc>
          <w:tcPr>
            <w:tcW w:w="482" w:type="pct"/>
            <w:vAlign w:val="center"/>
          </w:tcPr>
          <w:p w14:paraId="1F8377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0.005</w:t>
            </w:r>
          </w:p>
        </w:tc>
      </w:tr>
      <w:tr w14:paraId="4909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492D2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砷</w:t>
            </w:r>
          </w:p>
        </w:tc>
        <w:tc>
          <w:tcPr>
            <w:tcW w:w="404" w:type="pct"/>
            <w:vAlign w:val="center"/>
          </w:tcPr>
          <w:p w14:paraId="401A3F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0D99F8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498" w:type="pct"/>
            <w:vAlign w:val="center"/>
          </w:tcPr>
          <w:p w14:paraId="7FDABE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325" w:type="pct"/>
            <w:vAlign w:val="center"/>
          </w:tcPr>
          <w:p w14:paraId="463D16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1F808E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327141A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464" w:type="pct"/>
            <w:vAlign w:val="center"/>
          </w:tcPr>
          <w:p w14:paraId="73AF53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332" w:type="pct"/>
            <w:vAlign w:val="center"/>
          </w:tcPr>
          <w:p w14:paraId="2D1BB9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30EF1A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343349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22A4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5EFFB3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铅</w:t>
            </w:r>
          </w:p>
        </w:tc>
        <w:tc>
          <w:tcPr>
            <w:tcW w:w="404" w:type="pct"/>
            <w:vAlign w:val="center"/>
          </w:tcPr>
          <w:p w14:paraId="7162B1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080745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498" w:type="pct"/>
            <w:vAlign w:val="center"/>
          </w:tcPr>
          <w:p w14:paraId="4B1258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325" w:type="pct"/>
            <w:vAlign w:val="center"/>
          </w:tcPr>
          <w:p w14:paraId="1834CC1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7D07CD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338D66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464" w:type="pct"/>
            <w:vAlign w:val="center"/>
          </w:tcPr>
          <w:p w14:paraId="221D3D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332" w:type="pct"/>
            <w:vAlign w:val="center"/>
          </w:tcPr>
          <w:p w14:paraId="2DA6467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012C6A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4C39DF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12C2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34728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硒</w:t>
            </w:r>
          </w:p>
        </w:tc>
        <w:tc>
          <w:tcPr>
            <w:tcW w:w="404" w:type="pct"/>
            <w:vAlign w:val="center"/>
          </w:tcPr>
          <w:p w14:paraId="406BCE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2F1D87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0.0004L</w:t>
            </w:r>
          </w:p>
        </w:tc>
        <w:tc>
          <w:tcPr>
            <w:tcW w:w="498" w:type="pct"/>
            <w:vAlign w:val="center"/>
          </w:tcPr>
          <w:p w14:paraId="007D92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0.0004L</w:t>
            </w:r>
          </w:p>
        </w:tc>
        <w:tc>
          <w:tcPr>
            <w:tcW w:w="325" w:type="pct"/>
            <w:vAlign w:val="center"/>
          </w:tcPr>
          <w:p w14:paraId="5191B1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6584A7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2B3E27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0.0004L</w:t>
            </w:r>
          </w:p>
        </w:tc>
        <w:tc>
          <w:tcPr>
            <w:tcW w:w="464" w:type="pct"/>
            <w:vAlign w:val="center"/>
          </w:tcPr>
          <w:p w14:paraId="6A3C5F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0.0004L</w:t>
            </w:r>
          </w:p>
        </w:tc>
        <w:tc>
          <w:tcPr>
            <w:tcW w:w="332" w:type="pct"/>
            <w:vAlign w:val="center"/>
          </w:tcPr>
          <w:p w14:paraId="29EF06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0BA41C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43556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0.01</w:t>
            </w:r>
          </w:p>
        </w:tc>
      </w:tr>
      <w:tr w14:paraId="0AE5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98376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石油类</w:t>
            </w:r>
          </w:p>
        </w:tc>
        <w:tc>
          <w:tcPr>
            <w:tcW w:w="404" w:type="pct"/>
            <w:vAlign w:val="center"/>
          </w:tcPr>
          <w:p w14:paraId="3459BA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D83BB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98" w:type="pct"/>
            <w:vAlign w:val="center"/>
          </w:tcPr>
          <w:p w14:paraId="1092503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w:t>
            </w:r>
            <w:r>
              <w:rPr>
                <w:rFonts w:hint="eastAsia" w:ascii="Arial" w:hAnsi="Arial" w:cs="Arial"/>
                <w:snapToGrid w:val="0"/>
                <w:color w:val="auto"/>
                <w:kern w:val="0"/>
                <w:sz w:val="22"/>
                <w:szCs w:val="22"/>
                <w:highlight w:val="none"/>
                <w:lang w:val="en-US" w:eastAsia="zh-CN" w:bidi="ar"/>
              </w:rPr>
              <w:t>3</w:t>
            </w:r>
          </w:p>
        </w:tc>
        <w:tc>
          <w:tcPr>
            <w:tcW w:w="325" w:type="pct"/>
            <w:vAlign w:val="center"/>
          </w:tcPr>
          <w:p w14:paraId="52386D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513A13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0.6</w:t>
            </w:r>
          </w:p>
        </w:tc>
        <w:tc>
          <w:tcPr>
            <w:tcW w:w="491" w:type="pct"/>
            <w:vAlign w:val="center"/>
          </w:tcPr>
          <w:p w14:paraId="73412C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64" w:type="pct"/>
            <w:vAlign w:val="center"/>
          </w:tcPr>
          <w:p w14:paraId="4EDA2D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w:t>
            </w:r>
            <w:r>
              <w:rPr>
                <w:rFonts w:hint="eastAsia" w:ascii="Arial" w:hAnsi="Arial" w:cs="Arial"/>
                <w:snapToGrid w:val="0"/>
                <w:color w:val="auto"/>
                <w:kern w:val="0"/>
                <w:sz w:val="22"/>
                <w:szCs w:val="22"/>
                <w:highlight w:val="none"/>
                <w:lang w:val="en-US" w:eastAsia="zh-CN" w:bidi="ar"/>
              </w:rPr>
              <w:t>02</w:t>
            </w:r>
          </w:p>
        </w:tc>
        <w:tc>
          <w:tcPr>
            <w:tcW w:w="332" w:type="pct"/>
            <w:vAlign w:val="center"/>
          </w:tcPr>
          <w:p w14:paraId="01A76B9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685A9A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0.4</w:t>
            </w:r>
          </w:p>
        </w:tc>
        <w:tc>
          <w:tcPr>
            <w:tcW w:w="482" w:type="pct"/>
            <w:vAlign w:val="center"/>
          </w:tcPr>
          <w:p w14:paraId="479D23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18B5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40" w:type="pct"/>
            <w:vAlign w:val="center"/>
          </w:tcPr>
          <w:p w14:paraId="348ECF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溶解氧</w:t>
            </w:r>
          </w:p>
        </w:tc>
        <w:tc>
          <w:tcPr>
            <w:tcW w:w="404" w:type="pct"/>
            <w:vAlign w:val="center"/>
          </w:tcPr>
          <w:p w14:paraId="60DCAE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3744A31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5.96</w:t>
            </w:r>
          </w:p>
        </w:tc>
        <w:tc>
          <w:tcPr>
            <w:tcW w:w="498" w:type="pct"/>
            <w:vAlign w:val="center"/>
          </w:tcPr>
          <w:p w14:paraId="5D3762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7.33</w:t>
            </w:r>
          </w:p>
        </w:tc>
        <w:tc>
          <w:tcPr>
            <w:tcW w:w="325" w:type="pct"/>
            <w:vAlign w:val="center"/>
          </w:tcPr>
          <w:p w14:paraId="7CDD74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0C355B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0.604</w:t>
            </w:r>
          </w:p>
        </w:tc>
        <w:tc>
          <w:tcPr>
            <w:tcW w:w="491" w:type="pct"/>
            <w:vAlign w:val="center"/>
          </w:tcPr>
          <w:p w14:paraId="01B64E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5.84</w:t>
            </w:r>
          </w:p>
        </w:tc>
        <w:tc>
          <w:tcPr>
            <w:tcW w:w="464" w:type="pct"/>
            <w:vAlign w:val="center"/>
          </w:tcPr>
          <w:p w14:paraId="2160BA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7.21</w:t>
            </w:r>
          </w:p>
        </w:tc>
        <w:tc>
          <w:tcPr>
            <w:tcW w:w="332" w:type="pct"/>
            <w:vAlign w:val="center"/>
          </w:tcPr>
          <w:p w14:paraId="561B30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1654D5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0.624</w:t>
            </w:r>
          </w:p>
        </w:tc>
        <w:tc>
          <w:tcPr>
            <w:tcW w:w="482" w:type="pct"/>
            <w:vAlign w:val="center"/>
          </w:tcPr>
          <w:p w14:paraId="379A43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5</w:t>
            </w:r>
          </w:p>
        </w:tc>
      </w:tr>
      <w:tr w14:paraId="4508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732D6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高锰酸盐指数</w:t>
            </w:r>
          </w:p>
        </w:tc>
        <w:tc>
          <w:tcPr>
            <w:tcW w:w="404" w:type="pct"/>
            <w:vAlign w:val="center"/>
          </w:tcPr>
          <w:p w14:paraId="56DB244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16E4CC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5.6</w:t>
            </w:r>
          </w:p>
        </w:tc>
        <w:tc>
          <w:tcPr>
            <w:tcW w:w="498" w:type="pct"/>
            <w:vAlign w:val="center"/>
          </w:tcPr>
          <w:p w14:paraId="7C9B88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5.2</w:t>
            </w:r>
          </w:p>
        </w:tc>
        <w:tc>
          <w:tcPr>
            <w:tcW w:w="325" w:type="pct"/>
            <w:vAlign w:val="center"/>
          </w:tcPr>
          <w:p w14:paraId="136609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543410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0.93</w:t>
            </w:r>
          </w:p>
        </w:tc>
        <w:tc>
          <w:tcPr>
            <w:tcW w:w="491" w:type="pct"/>
            <w:vAlign w:val="center"/>
          </w:tcPr>
          <w:p w14:paraId="10CA1A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4.2</w:t>
            </w:r>
          </w:p>
        </w:tc>
        <w:tc>
          <w:tcPr>
            <w:tcW w:w="464" w:type="pct"/>
            <w:vAlign w:val="center"/>
          </w:tcPr>
          <w:p w14:paraId="194FDD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4.9</w:t>
            </w:r>
          </w:p>
        </w:tc>
        <w:tc>
          <w:tcPr>
            <w:tcW w:w="332" w:type="pct"/>
            <w:vAlign w:val="center"/>
          </w:tcPr>
          <w:p w14:paraId="7301A1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496878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0.82</w:t>
            </w:r>
          </w:p>
        </w:tc>
        <w:tc>
          <w:tcPr>
            <w:tcW w:w="482" w:type="pct"/>
            <w:vAlign w:val="center"/>
          </w:tcPr>
          <w:p w14:paraId="0F52AD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6</w:t>
            </w:r>
          </w:p>
        </w:tc>
      </w:tr>
      <w:tr w14:paraId="5269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629C80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总氮</w:t>
            </w:r>
          </w:p>
        </w:tc>
        <w:tc>
          <w:tcPr>
            <w:tcW w:w="404" w:type="pct"/>
            <w:vAlign w:val="center"/>
          </w:tcPr>
          <w:p w14:paraId="61B4CC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357F39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0.81</w:t>
            </w:r>
          </w:p>
        </w:tc>
        <w:tc>
          <w:tcPr>
            <w:tcW w:w="498" w:type="pct"/>
            <w:vAlign w:val="center"/>
          </w:tcPr>
          <w:p w14:paraId="521AE3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0.77</w:t>
            </w:r>
          </w:p>
        </w:tc>
        <w:tc>
          <w:tcPr>
            <w:tcW w:w="325" w:type="pct"/>
            <w:shd w:val="clear" w:color="auto" w:fill="auto"/>
            <w:vAlign w:val="center"/>
          </w:tcPr>
          <w:p w14:paraId="4CC2C5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1AD632D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6CB875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0.62</w:t>
            </w:r>
          </w:p>
        </w:tc>
        <w:tc>
          <w:tcPr>
            <w:tcW w:w="464" w:type="pct"/>
            <w:vAlign w:val="center"/>
          </w:tcPr>
          <w:p w14:paraId="5A5EEA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0.65</w:t>
            </w:r>
          </w:p>
        </w:tc>
        <w:tc>
          <w:tcPr>
            <w:tcW w:w="332" w:type="pct"/>
            <w:vAlign w:val="center"/>
          </w:tcPr>
          <w:p w14:paraId="2ECECF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3FC8BE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CE53D9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4EBC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5E504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铜</w:t>
            </w:r>
          </w:p>
        </w:tc>
        <w:tc>
          <w:tcPr>
            <w:tcW w:w="404" w:type="pct"/>
            <w:vAlign w:val="center"/>
          </w:tcPr>
          <w:p w14:paraId="472405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2E2752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0.04L</w:t>
            </w:r>
          </w:p>
        </w:tc>
        <w:tc>
          <w:tcPr>
            <w:tcW w:w="498" w:type="pct"/>
            <w:vAlign w:val="center"/>
          </w:tcPr>
          <w:p w14:paraId="27AB49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0.04L</w:t>
            </w:r>
          </w:p>
        </w:tc>
        <w:tc>
          <w:tcPr>
            <w:tcW w:w="325" w:type="pct"/>
            <w:shd w:val="clear" w:color="auto" w:fill="auto"/>
            <w:vAlign w:val="center"/>
          </w:tcPr>
          <w:p w14:paraId="26F6D8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096B26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688C71D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0.04L</w:t>
            </w:r>
          </w:p>
        </w:tc>
        <w:tc>
          <w:tcPr>
            <w:tcW w:w="464" w:type="pct"/>
            <w:vAlign w:val="center"/>
          </w:tcPr>
          <w:p w14:paraId="51E2FF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0.04L</w:t>
            </w:r>
          </w:p>
        </w:tc>
        <w:tc>
          <w:tcPr>
            <w:tcW w:w="332" w:type="pct"/>
            <w:vAlign w:val="center"/>
          </w:tcPr>
          <w:p w14:paraId="3A5FDF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629663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3F6084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6F25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DA8E9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锌</w:t>
            </w:r>
          </w:p>
        </w:tc>
        <w:tc>
          <w:tcPr>
            <w:tcW w:w="404" w:type="pct"/>
            <w:vAlign w:val="center"/>
          </w:tcPr>
          <w:p w14:paraId="278148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52E66B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0.009L</w:t>
            </w:r>
          </w:p>
        </w:tc>
        <w:tc>
          <w:tcPr>
            <w:tcW w:w="498" w:type="pct"/>
            <w:vAlign w:val="center"/>
          </w:tcPr>
          <w:p w14:paraId="186475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0.009L</w:t>
            </w:r>
          </w:p>
        </w:tc>
        <w:tc>
          <w:tcPr>
            <w:tcW w:w="325" w:type="pct"/>
            <w:shd w:val="clear" w:color="auto" w:fill="auto"/>
            <w:vAlign w:val="center"/>
          </w:tcPr>
          <w:p w14:paraId="7C9962B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3951DA3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40862F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0.009L</w:t>
            </w:r>
          </w:p>
        </w:tc>
        <w:tc>
          <w:tcPr>
            <w:tcW w:w="464" w:type="pct"/>
            <w:vAlign w:val="center"/>
          </w:tcPr>
          <w:p w14:paraId="7618D4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0.009L</w:t>
            </w:r>
          </w:p>
        </w:tc>
        <w:tc>
          <w:tcPr>
            <w:tcW w:w="332" w:type="pct"/>
            <w:vAlign w:val="center"/>
          </w:tcPr>
          <w:p w14:paraId="52FCA9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B9A11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035024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26BC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DAE7B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氟化物</w:t>
            </w:r>
          </w:p>
        </w:tc>
        <w:tc>
          <w:tcPr>
            <w:tcW w:w="404" w:type="pct"/>
            <w:vAlign w:val="center"/>
          </w:tcPr>
          <w:p w14:paraId="0D15B5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14B1D4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0.291</w:t>
            </w:r>
          </w:p>
        </w:tc>
        <w:tc>
          <w:tcPr>
            <w:tcW w:w="498" w:type="pct"/>
            <w:vAlign w:val="center"/>
          </w:tcPr>
          <w:p w14:paraId="28D4EB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0.307</w:t>
            </w:r>
          </w:p>
        </w:tc>
        <w:tc>
          <w:tcPr>
            <w:tcW w:w="325" w:type="pct"/>
            <w:vAlign w:val="center"/>
          </w:tcPr>
          <w:p w14:paraId="77EF2A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3DC369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0.307</w:t>
            </w:r>
          </w:p>
        </w:tc>
        <w:tc>
          <w:tcPr>
            <w:tcW w:w="491" w:type="pct"/>
            <w:vAlign w:val="center"/>
          </w:tcPr>
          <w:p w14:paraId="337653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0.269</w:t>
            </w:r>
          </w:p>
        </w:tc>
        <w:tc>
          <w:tcPr>
            <w:tcW w:w="464" w:type="pct"/>
            <w:vAlign w:val="center"/>
          </w:tcPr>
          <w:p w14:paraId="7B585E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0.275</w:t>
            </w:r>
          </w:p>
        </w:tc>
        <w:tc>
          <w:tcPr>
            <w:tcW w:w="332" w:type="pct"/>
            <w:vAlign w:val="center"/>
          </w:tcPr>
          <w:p w14:paraId="76E644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31D569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0.275</w:t>
            </w:r>
          </w:p>
        </w:tc>
        <w:tc>
          <w:tcPr>
            <w:tcW w:w="482" w:type="pct"/>
            <w:vAlign w:val="center"/>
          </w:tcPr>
          <w:p w14:paraId="227DA5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2420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1BADA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氰化物</w:t>
            </w:r>
          </w:p>
        </w:tc>
        <w:tc>
          <w:tcPr>
            <w:tcW w:w="404" w:type="pct"/>
            <w:vAlign w:val="center"/>
          </w:tcPr>
          <w:p w14:paraId="46DD10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7D77BD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498" w:type="pct"/>
            <w:vAlign w:val="center"/>
          </w:tcPr>
          <w:p w14:paraId="32F6BB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325" w:type="pct"/>
            <w:vAlign w:val="center"/>
          </w:tcPr>
          <w:p w14:paraId="1C4D8B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1B2D05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7939B6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464" w:type="pct"/>
            <w:vAlign w:val="center"/>
          </w:tcPr>
          <w:p w14:paraId="347A92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332" w:type="pct"/>
            <w:vAlign w:val="center"/>
          </w:tcPr>
          <w:p w14:paraId="189897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02041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36A07F5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3D52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52BBE5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挥发酚</w:t>
            </w:r>
          </w:p>
        </w:tc>
        <w:tc>
          <w:tcPr>
            <w:tcW w:w="404" w:type="pct"/>
            <w:vAlign w:val="center"/>
          </w:tcPr>
          <w:p w14:paraId="6D272A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120B42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498" w:type="pct"/>
            <w:vAlign w:val="center"/>
          </w:tcPr>
          <w:p w14:paraId="4EC670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325" w:type="pct"/>
            <w:vAlign w:val="center"/>
          </w:tcPr>
          <w:p w14:paraId="1A98AB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438667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3F8524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464" w:type="pct"/>
            <w:vAlign w:val="center"/>
          </w:tcPr>
          <w:p w14:paraId="28E184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332" w:type="pct"/>
            <w:vAlign w:val="center"/>
          </w:tcPr>
          <w:p w14:paraId="34CCA7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207310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7425ED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0.005</w:t>
            </w:r>
          </w:p>
        </w:tc>
      </w:tr>
      <w:tr w14:paraId="6B0D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701C9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硫化物</w:t>
            </w:r>
          </w:p>
        </w:tc>
        <w:tc>
          <w:tcPr>
            <w:tcW w:w="404" w:type="pct"/>
            <w:vAlign w:val="center"/>
          </w:tcPr>
          <w:p w14:paraId="1E7D10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5D63AA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98" w:type="pct"/>
            <w:vAlign w:val="center"/>
          </w:tcPr>
          <w:p w14:paraId="67CC66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0.03</w:t>
            </w:r>
          </w:p>
        </w:tc>
        <w:tc>
          <w:tcPr>
            <w:tcW w:w="325" w:type="pct"/>
            <w:vAlign w:val="center"/>
          </w:tcPr>
          <w:p w14:paraId="0147C9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521E4E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0.15</w:t>
            </w:r>
          </w:p>
        </w:tc>
        <w:tc>
          <w:tcPr>
            <w:tcW w:w="491" w:type="pct"/>
            <w:vAlign w:val="center"/>
          </w:tcPr>
          <w:p w14:paraId="698E9B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64" w:type="pct"/>
            <w:vAlign w:val="center"/>
          </w:tcPr>
          <w:p w14:paraId="162437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0.03</w:t>
            </w:r>
          </w:p>
        </w:tc>
        <w:tc>
          <w:tcPr>
            <w:tcW w:w="332" w:type="pct"/>
            <w:vAlign w:val="center"/>
          </w:tcPr>
          <w:p w14:paraId="79FBAC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03FCA2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0.15</w:t>
            </w:r>
          </w:p>
        </w:tc>
        <w:tc>
          <w:tcPr>
            <w:tcW w:w="482" w:type="pct"/>
            <w:vAlign w:val="center"/>
          </w:tcPr>
          <w:p w14:paraId="6D4E91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0BD3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40" w:type="pct"/>
            <w:vAlign w:val="center"/>
          </w:tcPr>
          <w:p w14:paraId="34FD96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阴离子表面活性剂</w:t>
            </w:r>
          </w:p>
        </w:tc>
        <w:tc>
          <w:tcPr>
            <w:tcW w:w="404" w:type="pct"/>
            <w:vAlign w:val="center"/>
          </w:tcPr>
          <w:p w14:paraId="5C4826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3E14E4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0.083</w:t>
            </w:r>
          </w:p>
        </w:tc>
        <w:tc>
          <w:tcPr>
            <w:tcW w:w="498" w:type="pct"/>
            <w:vAlign w:val="center"/>
          </w:tcPr>
          <w:p w14:paraId="748E96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0.093</w:t>
            </w:r>
          </w:p>
        </w:tc>
        <w:tc>
          <w:tcPr>
            <w:tcW w:w="325" w:type="pct"/>
            <w:vAlign w:val="center"/>
          </w:tcPr>
          <w:p w14:paraId="2D0592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2079C0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0.465</w:t>
            </w:r>
          </w:p>
        </w:tc>
        <w:tc>
          <w:tcPr>
            <w:tcW w:w="491" w:type="pct"/>
            <w:vAlign w:val="center"/>
          </w:tcPr>
          <w:p w14:paraId="4CD643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0.063</w:t>
            </w:r>
          </w:p>
        </w:tc>
        <w:tc>
          <w:tcPr>
            <w:tcW w:w="464" w:type="pct"/>
            <w:vAlign w:val="center"/>
          </w:tcPr>
          <w:p w14:paraId="4CC0D5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0.082</w:t>
            </w:r>
          </w:p>
        </w:tc>
        <w:tc>
          <w:tcPr>
            <w:tcW w:w="332" w:type="pct"/>
            <w:vAlign w:val="center"/>
          </w:tcPr>
          <w:p w14:paraId="1CE502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1FA87D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0.41</w:t>
            </w:r>
          </w:p>
        </w:tc>
        <w:tc>
          <w:tcPr>
            <w:tcW w:w="482" w:type="pct"/>
            <w:vAlign w:val="center"/>
          </w:tcPr>
          <w:p w14:paraId="742ED7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35D7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70B931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叶绿素a</w:t>
            </w:r>
          </w:p>
        </w:tc>
        <w:tc>
          <w:tcPr>
            <w:tcW w:w="404" w:type="pct"/>
            <w:vAlign w:val="center"/>
          </w:tcPr>
          <w:p w14:paraId="094425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4246D0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w:t>
            </w:r>
          </w:p>
        </w:tc>
        <w:tc>
          <w:tcPr>
            <w:tcW w:w="498" w:type="pct"/>
            <w:vAlign w:val="center"/>
          </w:tcPr>
          <w:p w14:paraId="09B62D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0.011</w:t>
            </w:r>
          </w:p>
        </w:tc>
        <w:tc>
          <w:tcPr>
            <w:tcW w:w="325" w:type="pct"/>
            <w:vAlign w:val="center"/>
          </w:tcPr>
          <w:p w14:paraId="714C4A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1E7447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441DDE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0.007</w:t>
            </w:r>
          </w:p>
        </w:tc>
        <w:tc>
          <w:tcPr>
            <w:tcW w:w="464" w:type="pct"/>
            <w:vAlign w:val="center"/>
          </w:tcPr>
          <w:p w14:paraId="7B8A75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w:t>
            </w:r>
          </w:p>
        </w:tc>
        <w:tc>
          <w:tcPr>
            <w:tcW w:w="332" w:type="pct"/>
            <w:vAlign w:val="center"/>
          </w:tcPr>
          <w:p w14:paraId="414539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1323D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7544F6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7CEC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6987D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硫酸盐</w:t>
            </w:r>
          </w:p>
        </w:tc>
        <w:tc>
          <w:tcPr>
            <w:tcW w:w="404" w:type="pct"/>
            <w:vAlign w:val="center"/>
          </w:tcPr>
          <w:p w14:paraId="6ED7CC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54B8D1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6.54</w:t>
            </w:r>
          </w:p>
        </w:tc>
        <w:tc>
          <w:tcPr>
            <w:tcW w:w="498" w:type="pct"/>
            <w:vAlign w:val="center"/>
          </w:tcPr>
          <w:p w14:paraId="4F1CAE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6.79</w:t>
            </w:r>
          </w:p>
        </w:tc>
        <w:tc>
          <w:tcPr>
            <w:tcW w:w="325" w:type="pct"/>
            <w:vAlign w:val="center"/>
          </w:tcPr>
          <w:p w14:paraId="73E2D6F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39252E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0.027</w:t>
            </w:r>
          </w:p>
        </w:tc>
        <w:tc>
          <w:tcPr>
            <w:tcW w:w="491" w:type="pct"/>
            <w:vAlign w:val="center"/>
          </w:tcPr>
          <w:p w14:paraId="51105E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16.8</w:t>
            </w:r>
          </w:p>
        </w:tc>
        <w:tc>
          <w:tcPr>
            <w:tcW w:w="464" w:type="pct"/>
            <w:vAlign w:val="center"/>
          </w:tcPr>
          <w:p w14:paraId="55C790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17</w:t>
            </w:r>
          </w:p>
        </w:tc>
        <w:tc>
          <w:tcPr>
            <w:tcW w:w="332" w:type="pct"/>
            <w:vAlign w:val="center"/>
          </w:tcPr>
          <w:p w14:paraId="6B2B85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4E70AC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0.068</w:t>
            </w:r>
          </w:p>
        </w:tc>
        <w:tc>
          <w:tcPr>
            <w:tcW w:w="482" w:type="pct"/>
            <w:vAlign w:val="center"/>
          </w:tcPr>
          <w:p w14:paraId="0AEE94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250</w:t>
            </w:r>
          </w:p>
        </w:tc>
      </w:tr>
      <w:tr w14:paraId="5719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DD1EF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氯化物</w:t>
            </w:r>
          </w:p>
        </w:tc>
        <w:tc>
          <w:tcPr>
            <w:tcW w:w="404" w:type="pct"/>
            <w:vAlign w:val="center"/>
          </w:tcPr>
          <w:p w14:paraId="5EAF4D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3ECDD1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6.44</w:t>
            </w:r>
          </w:p>
        </w:tc>
        <w:tc>
          <w:tcPr>
            <w:tcW w:w="498" w:type="pct"/>
            <w:vAlign w:val="center"/>
          </w:tcPr>
          <w:p w14:paraId="50E7B1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6.52</w:t>
            </w:r>
          </w:p>
        </w:tc>
        <w:tc>
          <w:tcPr>
            <w:tcW w:w="325" w:type="pct"/>
            <w:vAlign w:val="center"/>
          </w:tcPr>
          <w:p w14:paraId="7C8C99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1C5949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0.026</w:t>
            </w:r>
          </w:p>
        </w:tc>
        <w:tc>
          <w:tcPr>
            <w:tcW w:w="491" w:type="pct"/>
            <w:vAlign w:val="center"/>
          </w:tcPr>
          <w:p w14:paraId="1411D7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10.2</w:t>
            </w:r>
          </w:p>
        </w:tc>
        <w:tc>
          <w:tcPr>
            <w:tcW w:w="464" w:type="pct"/>
            <w:vAlign w:val="center"/>
          </w:tcPr>
          <w:p w14:paraId="5E63CC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11.1</w:t>
            </w:r>
          </w:p>
        </w:tc>
        <w:tc>
          <w:tcPr>
            <w:tcW w:w="332" w:type="pct"/>
            <w:vAlign w:val="center"/>
          </w:tcPr>
          <w:p w14:paraId="10D76D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206205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0.044</w:t>
            </w:r>
          </w:p>
        </w:tc>
        <w:tc>
          <w:tcPr>
            <w:tcW w:w="482" w:type="pct"/>
            <w:vAlign w:val="center"/>
          </w:tcPr>
          <w:p w14:paraId="17D6C6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250</w:t>
            </w:r>
          </w:p>
        </w:tc>
      </w:tr>
      <w:tr w14:paraId="2FDC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85FE0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硝酸盐氮</w:t>
            </w:r>
          </w:p>
        </w:tc>
        <w:tc>
          <w:tcPr>
            <w:tcW w:w="404" w:type="pct"/>
            <w:vAlign w:val="center"/>
          </w:tcPr>
          <w:p w14:paraId="1A137D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22470E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498" w:type="pct"/>
            <w:vAlign w:val="center"/>
          </w:tcPr>
          <w:p w14:paraId="6ACC7B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325" w:type="pct"/>
            <w:vAlign w:val="center"/>
          </w:tcPr>
          <w:p w14:paraId="48B526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53D471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6D44A4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464" w:type="pct"/>
            <w:vAlign w:val="center"/>
          </w:tcPr>
          <w:p w14:paraId="008EC3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332" w:type="pct"/>
            <w:vAlign w:val="center"/>
          </w:tcPr>
          <w:p w14:paraId="3B12E8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0C25E4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50C895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10</w:t>
            </w:r>
          </w:p>
        </w:tc>
      </w:tr>
      <w:tr w14:paraId="23E0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361E46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铁</w:t>
            </w:r>
          </w:p>
        </w:tc>
        <w:tc>
          <w:tcPr>
            <w:tcW w:w="404" w:type="pct"/>
            <w:vAlign w:val="center"/>
          </w:tcPr>
          <w:p w14:paraId="5DD210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DC8B7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0.01L</w:t>
            </w:r>
          </w:p>
        </w:tc>
        <w:tc>
          <w:tcPr>
            <w:tcW w:w="498" w:type="pct"/>
            <w:vAlign w:val="center"/>
          </w:tcPr>
          <w:p w14:paraId="22CDF0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0.01L</w:t>
            </w:r>
          </w:p>
        </w:tc>
        <w:tc>
          <w:tcPr>
            <w:tcW w:w="325" w:type="pct"/>
            <w:vAlign w:val="center"/>
          </w:tcPr>
          <w:p w14:paraId="5A1B88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6DC87D6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3BCBE41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0.01L</w:t>
            </w:r>
          </w:p>
        </w:tc>
        <w:tc>
          <w:tcPr>
            <w:tcW w:w="464" w:type="pct"/>
            <w:vAlign w:val="center"/>
          </w:tcPr>
          <w:p w14:paraId="226589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0.01L</w:t>
            </w:r>
          </w:p>
        </w:tc>
        <w:tc>
          <w:tcPr>
            <w:tcW w:w="332" w:type="pct"/>
            <w:vAlign w:val="center"/>
          </w:tcPr>
          <w:p w14:paraId="0EA7A1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77A4BD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57536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0.3</w:t>
            </w:r>
          </w:p>
        </w:tc>
      </w:tr>
      <w:tr w14:paraId="6FC0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9C2E9D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锰</w:t>
            </w:r>
          </w:p>
        </w:tc>
        <w:tc>
          <w:tcPr>
            <w:tcW w:w="404" w:type="pct"/>
            <w:vAlign w:val="center"/>
          </w:tcPr>
          <w:p w14:paraId="1B5C4F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0969374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0.01L</w:t>
            </w:r>
          </w:p>
        </w:tc>
        <w:tc>
          <w:tcPr>
            <w:tcW w:w="498" w:type="pct"/>
            <w:vAlign w:val="center"/>
          </w:tcPr>
          <w:p w14:paraId="13EFDC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0.01L</w:t>
            </w:r>
          </w:p>
        </w:tc>
        <w:tc>
          <w:tcPr>
            <w:tcW w:w="325" w:type="pct"/>
            <w:vAlign w:val="center"/>
          </w:tcPr>
          <w:p w14:paraId="73D109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4842A2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004136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0.01L</w:t>
            </w:r>
          </w:p>
        </w:tc>
        <w:tc>
          <w:tcPr>
            <w:tcW w:w="464" w:type="pct"/>
            <w:vAlign w:val="center"/>
          </w:tcPr>
          <w:p w14:paraId="0B901A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0.01L</w:t>
            </w:r>
          </w:p>
        </w:tc>
        <w:tc>
          <w:tcPr>
            <w:tcW w:w="332" w:type="pct"/>
            <w:vAlign w:val="center"/>
          </w:tcPr>
          <w:p w14:paraId="725219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7627D3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566BF1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0.1</w:t>
            </w:r>
          </w:p>
        </w:tc>
      </w:tr>
    </w:tbl>
    <w:p w14:paraId="0C2D6C1E">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0E4622F8">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712925C4">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325F83ED">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13CADFAD">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435C68F9">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35E777CB">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Arial" w:hAnsi="Arial" w:eastAsia="宋体" w:cs="Arial"/>
          <w:b/>
          <w:bCs w:val="0"/>
          <w:sz w:val="26"/>
          <w:szCs w:val="26"/>
          <w:lang w:val="en-US" w:eastAsia="zh-CN"/>
        </w:rPr>
        <w:sectPr>
          <w:pgSz w:w="15840" w:h="12240" w:orient="landscape"/>
          <w:pgMar w:top="1701" w:right="1440" w:bottom="1701" w:left="1440" w:header="1077" w:footer="850" w:gutter="0"/>
          <w:pgBorders>
            <w:top w:val="none" w:sz="0" w:space="0"/>
            <w:left w:val="none" w:sz="0" w:space="0"/>
            <w:bottom w:val="none" w:sz="0" w:space="0"/>
            <w:right w:val="none" w:sz="0" w:space="0"/>
          </w:pgBorders>
          <w:pgNumType w:fmt="decimal"/>
          <w:cols w:space="0" w:num="1"/>
          <w:rtlGutter w:val="0"/>
          <w:docGrid w:linePitch="0" w:charSpace="0"/>
        </w:sectPr>
      </w:pPr>
    </w:p>
    <w:p w14:paraId="4EC64286">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由表4.3-5~4.3.6可知，海螺沟、双龙河监测断面枯水期、丰水期</w:t>
      </w:r>
      <w:r>
        <w:rPr>
          <w:rFonts w:ascii="Arial" w:hAnsi="宋体" w:cs="Arial"/>
          <w:b w:val="0"/>
          <w:bCs/>
          <w:sz w:val="26"/>
          <w:szCs w:val="26"/>
        </w:rPr>
        <w:t>各项</w:t>
      </w:r>
      <w:r>
        <w:rPr>
          <w:rFonts w:hint="eastAsia" w:ascii="Arial" w:hAnsi="宋体" w:cs="Arial"/>
          <w:b w:val="0"/>
          <w:bCs/>
          <w:sz w:val="26"/>
          <w:szCs w:val="26"/>
          <w:lang w:eastAsia="zh-CN"/>
        </w:rPr>
        <w:t>监测因子</w:t>
      </w:r>
      <w:r>
        <w:rPr>
          <w:rFonts w:ascii="Arial" w:hAnsi="宋体" w:cs="Arial"/>
          <w:b w:val="0"/>
          <w:bCs/>
          <w:sz w:val="26"/>
          <w:szCs w:val="26"/>
        </w:rPr>
        <w:t>指标的</w:t>
      </w:r>
      <w:r>
        <w:rPr>
          <w:rFonts w:hint="eastAsia" w:ascii="Arial" w:hAnsi="宋体" w:cs="Arial"/>
          <w:b w:val="0"/>
          <w:bCs/>
          <w:sz w:val="26"/>
          <w:szCs w:val="26"/>
        </w:rPr>
        <w:t>S</w:t>
      </w:r>
      <w:r>
        <w:rPr>
          <w:rFonts w:hint="eastAsia" w:ascii="Arial" w:hAnsi="宋体" w:cs="Arial"/>
          <w:b w:val="0"/>
          <w:bCs/>
          <w:sz w:val="26"/>
          <w:szCs w:val="26"/>
          <w:vertAlign w:val="subscript"/>
        </w:rPr>
        <w:t>ij</w:t>
      </w:r>
      <w:r>
        <w:rPr>
          <w:rFonts w:ascii="Arial" w:hAnsi="宋体" w:cs="Arial"/>
          <w:b w:val="0"/>
          <w:bCs/>
          <w:sz w:val="26"/>
          <w:szCs w:val="26"/>
        </w:rPr>
        <w:t>值均小于1，表明未超标，水环境质量</w:t>
      </w:r>
      <w:r>
        <w:rPr>
          <w:rFonts w:hint="eastAsia" w:ascii="Arial" w:hAnsi="宋体" w:cs="Arial"/>
          <w:b w:val="0"/>
          <w:bCs/>
          <w:sz w:val="26"/>
          <w:szCs w:val="26"/>
          <w:lang w:eastAsia="zh-CN"/>
        </w:rPr>
        <w:t>现状</w:t>
      </w:r>
      <w:r>
        <w:rPr>
          <w:rFonts w:ascii="Arial" w:hAnsi="宋体" w:cs="Arial"/>
          <w:b w:val="0"/>
          <w:bCs/>
          <w:sz w:val="26"/>
          <w:szCs w:val="26"/>
        </w:rPr>
        <w:t>满足《地表水环境质量标准》（GB3838-2002）</w:t>
      </w:r>
      <w:r>
        <w:rPr>
          <w:rFonts w:hint="eastAsia" w:ascii="Arial" w:hAnsi="宋体" w:cs="Arial"/>
          <w:b w:val="0"/>
          <w:bCs/>
          <w:sz w:val="26"/>
          <w:szCs w:val="26"/>
        </w:rPr>
        <w:t>Ⅲ</w:t>
      </w:r>
      <w:r>
        <w:rPr>
          <w:rFonts w:ascii="Arial" w:hAnsi="宋体" w:cs="Arial"/>
          <w:b w:val="0"/>
          <w:bCs/>
          <w:sz w:val="26"/>
          <w:szCs w:val="26"/>
        </w:rPr>
        <w:t>类水域标准</w:t>
      </w:r>
      <w:r>
        <w:rPr>
          <w:rFonts w:hint="eastAsia" w:ascii="Arial" w:hAnsi="宋体" w:cs="Arial"/>
          <w:b w:val="0"/>
          <w:bCs/>
          <w:sz w:val="26"/>
          <w:szCs w:val="26"/>
          <w:lang w:eastAsia="zh-CN"/>
        </w:rPr>
        <w:t>。</w:t>
      </w:r>
    </w:p>
    <w:p w14:paraId="0C3BC933">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（4）库区水质现状监测</w:t>
      </w:r>
    </w:p>
    <w:p w14:paraId="1F11FCCF">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cs="Arial"/>
          <w:b w:val="0"/>
          <w:bCs/>
          <w:color w:val="auto"/>
          <w:sz w:val="26"/>
          <w:szCs w:val="26"/>
          <w:lang w:val="en-US" w:eastAsia="zh-CN"/>
        </w:rPr>
      </w:pPr>
      <w:r>
        <w:rPr>
          <w:rFonts w:hint="eastAsia" w:ascii="Arial" w:hAnsi="Arial" w:cs="Arial"/>
          <w:b w:val="0"/>
          <w:bCs/>
          <w:sz w:val="26"/>
          <w:szCs w:val="26"/>
          <w:lang w:val="en-US" w:eastAsia="zh-CN"/>
        </w:rPr>
        <w:t>海螺沟水库建成后，具有饮用水源功能，</w:t>
      </w:r>
      <w:r>
        <w:rPr>
          <w:rFonts w:hint="eastAsia" w:ascii="Arial" w:cs="Arial"/>
          <w:b w:val="0"/>
          <w:bCs/>
          <w:color w:val="auto"/>
          <w:sz w:val="26"/>
          <w:szCs w:val="26"/>
        </w:rPr>
        <w:t>根据《饮用水水源保护区划分技术规范》（HJ 338-2018）“4.2.1 地表水饮用水水源保护区及准保护区水质要求”：地表水饮用水水源一级保护区水质基本项目</w:t>
      </w:r>
      <w:r>
        <w:rPr>
          <w:rFonts w:hint="eastAsia" w:ascii="Arial" w:cs="Arial"/>
          <w:b w:val="0"/>
          <w:bCs/>
          <w:color w:val="auto"/>
          <w:sz w:val="26"/>
          <w:szCs w:val="26"/>
          <w:lang w:eastAsia="zh-CN"/>
        </w:rPr>
        <w:t>限值</w:t>
      </w:r>
      <w:r>
        <w:rPr>
          <w:rFonts w:hint="eastAsia" w:ascii="Arial" w:cs="Arial"/>
          <w:b w:val="0"/>
          <w:bCs/>
          <w:color w:val="auto"/>
          <w:sz w:val="26"/>
          <w:szCs w:val="26"/>
        </w:rPr>
        <w:t>不得超过《地表水环境质量标准》（GB3838-2002）中Ⅱ类标准要求，地表水饮用水水源二级保护区水质基本项目</w:t>
      </w:r>
      <w:r>
        <w:rPr>
          <w:rFonts w:hint="eastAsia" w:ascii="Arial" w:cs="Arial"/>
          <w:b w:val="0"/>
          <w:bCs/>
          <w:color w:val="auto"/>
          <w:sz w:val="26"/>
          <w:szCs w:val="26"/>
          <w:lang w:eastAsia="zh-CN"/>
        </w:rPr>
        <w:t>限值</w:t>
      </w:r>
      <w:r>
        <w:rPr>
          <w:rFonts w:hint="eastAsia" w:ascii="Arial" w:cs="Arial"/>
          <w:b w:val="0"/>
          <w:bCs/>
          <w:color w:val="auto"/>
          <w:sz w:val="26"/>
          <w:szCs w:val="26"/>
        </w:rPr>
        <w:t>不得超过《地表水环境质量标准》（GB3838-2002）中Ⅲ类标准要求。</w:t>
      </w:r>
      <w:r>
        <w:rPr>
          <w:rFonts w:hint="eastAsia" w:ascii="Arial" w:cs="Arial"/>
          <w:b w:val="0"/>
          <w:bCs/>
          <w:color w:val="auto"/>
          <w:sz w:val="26"/>
          <w:szCs w:val="26"/>
          <w:lang w:eastAsia="zh-CN"/>
        </w:rPr>
        <w:t>为此，本报告引用丰都县水质监测中心于</w:t>
      </w:r>
      <w:r>
        <w:rPr>
          <w:rFonts w:hint="eastAsia" w:ascii="Arial" w:cs="Arial"/>
          <w:b w:val="0"/>
          <w:bCs/>
          <w:color w:val="auto"/>
          <w:sz w:val="26"/>
          <w:szCs w:val="26"/>
          <w:lang w:val="en-US" w:eastAsia="zh-CN"/>
        </w:rPr>
        <w:t>2023年4月13日对海螺沟水库库区范围内水质进行取样监测得出的数据来进行评价。监测结果详见表4.3-7所示。</w:t>
      </w:r>
    </w:p>
    <w:p w14:paraId="3155E9D2">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cs="Arial"/>
          <w:b/>
          <w:bCs w:val="0"/>
          <w:color w:val="auto"/>
          <w:sz w:val="26"/>
          <w:szCs w:val="26"/>
          <w:lang w:val="en-US" w:eastAsia="zh-CN"/>
        </w:rPr>
      </w:pPr>
      <w:r>
        <w:rPr>
          <w:rFonts w:hint="eastAsia" w:ascii="Arial" w:cs="Arial"/>
          <w:b/>
          <w:bCs w:val="0"/>
          <w:color w:val="auto"/>
          <w:sz w:val="26"/>
          <w:szCs w:val="26"/>
          <w:lang w:val="en-US" w:eastAsia="zh-CN"/>
        </w:rPr>
        <w:t>表4.3-7 海螺沟水库库区范围内水质现状监测结果一览表  单位：mg/L</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9"/>
        <w:gridCol w:w="2483"/>
        <w:gridCol w:w="1359"/>
        <w:gridCol w:w="1287"/>
        <w:gridCol w:w="1170"/>
        <w:gridCol w:w="1419"/>
      </w:tblGrid>
      <w:tr w14:paraId="0C82F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00" w:hRule="atLeast"/>
          <w:jc w:val="center"/>
        </w:trPr>
        <w:tc>
          <w:tcPr>
            <w:tcW w:w="919" w:type="dxa"/>
            <w:noWrap w:val="0"/>
            <w:vAlign w:val="center"/>
          </w:tcPr>
          <w:p w14:paraId="67E6590F">
            <w:pPr>
              <w:spacing w:line="300" w:lineRule="exact"/>
              <w:jc w:val="center"/>
              <w:rPr>
                <w:rFonts w:ascii="Arial" w:hAnsi="Arial" w:cs="Arial"/>
                <w:color w:val="auto"/>
                <w:sz w:val="22"/>
              </w:rPr>
            </w:pPr>
            <w:r>
              <w:rPr>
                <w:rFonts w:ascii="Arial" w:hAnsi="Arial" w:cs="Arial"/>
                <w:color w:val="auto"/>
                <w:sz w:val="22"/>
              </w:rPr>
              <w:t>序号</w:t>
            </w:r>
          </w:p>
        </w:tc>
        <w:tc>
          <w:tcPr>
            <w:tcW w:w="2483" w:type="dxa"/>
            <w:noWrap w:val="0"/>
            <w:vAlign w:val="center"/>
          </w:tcPr>
          <w:p w14:paraId="7678BD64">
            <w:pPr>
              <w:spacing w:line="300" w:lineRule="exact"/>
              <w:jc w:val="right"/>
              <w:rPr>
                <w:rFonts w:ascii="Arial" w:hAnsi="Arial" w:cs="Arial"/>
                <w:color w:val="auto"/>
                <w:sz w:val="22"/>
              </w:rPr>
            </w:pPr>
            <w:r>
              <w:rPr>
                <w:rFonts w:ascii="Arial" w:hAnsi="Arial" w:cs="Arial"/>
                <w:color w:val="auto"/>
                <w:sz w:val="22"/>
              </w:rPr>
              <w:t>样品名称及编号</w:t>
            </w:r>
          </w:p>
          <w:p w14:paraId="7FD215E1">
            <w:pPr>
              <w:spacing w:line="300" w:lineRule="exact"/>
              <w:jc w:val="left"/>
              <w:rPr>
                <w:rFonts w:ascii="Arial" w:hAnsi="Arial" w:cs="Arial"/>
                <w:color w:val="auto"/>
                <w:sz w:val="22"/>
              </w:rPr>
            </w:pPr>
            <w:r>
              <w:rPr>
                <w:rFonts w:ascii="Arial" w:hAnsi="Arial" w:cs="Arial"/>
                <w:color w:val="auto"/>
                <w:sz w:val="22"/>
              </w:rPr>
              <w:t>检测项目</w:t>
            </w:r>
          </w:p>
        </w:tc>
        <w:tc>
          <w:tcPr>
            <w:tcW w:w="1359" w:type="dxa"/>
            <w:noWrap w:val="0"/>
            <w:vAlign w:val="center"/>
          </w:tcPr>
          <w:p w14:paraId="04AD215D">
            <w:pPr>
              <w:spacing w:line="300" w:lineRule="exact"/>
              <w:jc w:val="center"/>
              <w:rPr>
                <w:rFonts w:hint="eastAsia" w:ascii="Arial" w:hAnsi="Arial" w:eastAsia="宋体" w:cs="Arial"/>
                <w:color w:val="auto"/>
                <w:sz w:val="22"/>
                <w:lang w:eastAsia="zh-CN"/>
              </w:rPr>
            </w:pPr>
            <w:r>
              <w:rPr>
                <w:rFonts w:hint="eastAsia" w:ascii="Arial" w:hAnsi="Arial" w:cs="Arial"/>
                <w:color w:val="auto"/>
                <w:sz w:val="22"/>
                <w:lang w:eastAsia="zh-CN"/>
              </w:rPr>
              <w:t>监测值</w:t>
            </w:r>
          </w:p>
        </w:tc>
        <w:tc>
          <w:tcPr>
            <w:tcW w:w="1287" w:type="dxa"/>
            <w:noWrap w:val="0"/>
            <w:vAlign w:val="center"/>
          </w:tcPr>
          <w:p w14:paraId="6F204C81">
            <w:pPr>
              <w:spacing w:line="300" w:lineRule="exact"/>
              <w:jc w:val="center"/>
              <w:rPr>
                <w:rFonts w:ascii="Arial" w:hAnsi="Arial" w:cs="Arial"/>
                <w:color w:val="auto"/>
                <w:sz w:val="22"/>
              </w:rPr>
            </w:pPr>
            <w:r>
              <w:rPr>
                <w:rFonts w:ascii="Arial" w:hAnsi="Arial" w:cs="Arial"/>
                <w:color w:val="auto"/>
                <w:sz w:val="22"/>
              </w:rPr>
              <w:t>标准限值</w:t>
            </w:r>
          </w:p>
        </w:tc>
        <w:tc>
          <w:tcPr>
            <w:tcW w:w="1170" w:type="dxa"/>
            <w:noWrap w:val="0"/>
            <w:vAlign w:val="center"/>
          </w:tcPr>
          <w:p w14:paraId="7D3CE856">
            <w:pPr>
              <w:spacing w:line="300" w:lineRule="exact"/>
              <w:jc w:val="center"/>
              <w:rPr>
                <w:rFonts w:ascii="Arial" w:hAnsi="Arial" w:cs="Arial"/>
                <w:color w:val="auto"/>
                <w:sz w:val="22"/>
              </w:rPr>
            </w:pPr>
            <w:r>
              <w:rPr>
                <w:rFonts w:ascii="Arial" w:hAnsi="Arial" w:cs="Arial"/>
                <w:color w:val="auto"/>
                <w:sz w:val="22"/>
              </w:rPr>
              <w:t>S</w:t>
            </w:r>
            <w:r>
              <w:rPr>
                <w:rFonts w:ascii="Arial" w:hAnsi="Arial" w:cs="Arial"/>
                <w:color w:val="auto"/>
                <w:sz w:val="22"/>
                <w:vertAlign w:val="subscript"/>
              </w:rPr>
              <w:t>ij</w:t>
            </w:r>
          </w:p>
        </w:tc>
        <w:tc>
          <w:tcPr>
            <w:tcW w:w="1419" w:type="dxa"/>
            <w:noWrap w:val="0"/>
            <w:vAlign w:val="center"/>
          </w:tcPr>
          <w:p w14:paraId="4152F052">
            <w:pPr>
              <w:spacing w:line="300" w:lineRule="exact"/>
              <w:jc w:val="center"/>
              <w:rPr>
                <w:rFonts w:ascii="Arial" w:hAnsi="Arial" w:cs="Arial"/>
                <w:color w:val="auto"/>
                <w:sz w:val="22"/>
              </w:rPr>
            </w:pPr>
            <w:r>
              <w:rPr>
                <w:rFonts w:ascii="Arial" w:hAnsi="Arial" w:cs="Arial"/>
                <w:color w:val="auto"/>
                <w:sz w:val="22"/>
              </w:rPr>
              <w:t>是否超标</w:t>
            </w:r>
          </w:p>
        </w:tc>
      </w:tr>
      <w:tr w14:paraId="56FC8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919" w:type="dxa"/>
            <w:noWrap w:val="0"/>
            <w:vAlign w:val="center"/>
          </w:tcPr>
          <w:p w14:paraId="3F70A1EF">
            <w:pPr>
              <w:spacing w:line="300" w:lineRule="exact"/>
              <w:jc w:val="center"/>
              <w:rPr>
                <w:rFonts w:ascii="Arial" w:hAnsi="Arial" w:cs="Arial"/>
                <w:color w:val="auto"/>
                <w:sz w:val="22"/>
              </w:rPr>
            </w:pPr>
            <w:r>
              <w:rPr>
                <w:rFonts w:hint="eastAsia" w:ascii="Arial" w:hAnsi="Arial" w:cs="Arial"/>
                <w:color w:val="auto"/>
                <w:sz w:val="22"/>
              </w:rPr>
              <w:t>1</w:t>
            </w:r>
          </w:p>
        </w:tc>
        <w:tc>
          <w:tcPr>
            <w:tcW w:w="2483" w:type="dxa"/>
            <w:noWrap w:val="0"/>
            <w:vAlign w:val="center"/>
          </w:tcPr>
          <w:p w14:paraId="6C45542F">
            <w:pPr>
              <w:spacing w:line="300" w:lineRule="exact"/>
              <w:jc w:val="center"/>
              <w:rPr>
                <w:rFonts w:ascii="Arial" w:hAnsi="Arial" w:cs="Arial"/>
                <w:color w:val="auto"/>
                <w:sz w:val="22"/>
              </w:rPr>
            </w:pPr>
            <w:r>
              <w:rPr>
                <w:rFonts w:hint="eastAsia" w:ascii="Arial" w:hAnsi="Arial" w:cs="Arial"/>
                <w:color w:val="auto"/>
                <w:sz w:val="22"/>
              </w:rPr>
              <w:t>水温（℃）</w:t>
            </w:r>
          </w:p>
        </w:tc>
        <w:tc>
          <w:tcPr>
            <w:tcW w:w="1359" w:type="dxa"/>
            <w:noWrap w:val="0"/>
            <w:vAlign w:val="center"/>
          </w:tcPr>
          <w:p w14:paraId="3E3751EC">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19.6</w:t>
            </w:r>
          </w:p>
        </w:tc>
        <w:tc>
          <w:tcPr>
            <w:tcW w:w="1287" w:type="dxa"/>
            <w:noWrap w:val="0"/>
            <w:vAlign w:val="center"/>
          </w:tcPr>
          <w:p w14:paraId="0CDDD8A6">
            <w:pPr>
              <w:spacing w:line="300" w:lineRule="exact"/>
              <w:jc w:val="center"/>
              <w:rPr>
                <w:rFonts w:ascii="Arial" w:hAnsi="Arial" w:cs="Arial"/>
                <w:color w:val="auto"/>
                <w:sz w:val="22"/>
              </w:rPr>
            </w:pPr>
            <w:r>
              <w:rPr>
                <w:rFonts w:hint="eastAsia" w:ascii="Arial" w:hAnsi="Arial" w:cs="Arial"/>
                <w:color w:val="auto"/>
                <w:sz w:val="22"/>
              </w:rPr>
              <w:t>/</w:t>
            </w:r>
          </w:p>
        </w:tc>
        <w:tc>
          <w:tcPr>
            <w:tcW w:w="1170" w:type="dxa"/>
            <w:noWrap w:val="0"/>
            <w:vAlign w:val="center"/>
          </w:tcPr>
          <w:p w14:paraId="21AC1061">
            <w:pPr>
              <w:spacing w:line="300" w:lineRule="exact"/>
              <w:jc w:val="center"/>
              <w:rPr>
                <w:rFonts w:ascii="Arial" w:hAnsi="Arial" w:cs="Arial"/>
                <w:color w:val="auto"/>
                <w:sz w:val="22"/>
              </w:rPr>
            </w:pPr>
            <w:r>
              <w:rPr>
                <w:rFonts w:hint="eastAsia" w:ascii="Arial" w:hAnsi="Arial" w:cs="Arial"/>
                <w:color w:val="auto"/>
                <w:sz w:val="22"/>
              </w:rPr>
              <w:t>/</w:t>
            </w:r>
          </w:p>
        </w:tc>
        <w:tc>
          <w:tcPr>
            <w:tcW w:w="1419" w:type="dxa"/>
            <w:noWrap w:val="0"/>
            <w:vAlign w:val="center"/>
          </w:tcPr>
          <w:p w14:paraId="562D5296">
            <w:pPr>
              <w:spacing w:line="300" w:lineRule="exact"/>
              <w:jc w:val="center"/>
              <w:rPr>
                <w:rFonts w:ascii="Arial" w:hAnsi="Arial" w:cs="Arial"/>
                <w:color w:val="auto"/>
                <w:sz w:val="22"/>
              </w:rPr>
            </w:pPr>
            <w:r>
              <w:rPr>
                <w:rFonts w:hint="eastAsia" w:ascii="Arial" w:hAnsi="Arial" w:cs="Arial"/>
                <w:color w:val="auto"/>
                <w:sz w:val="22"/>
              </w:rPr>
              <w:t>/</w:t>
            </w:r>
          </w:p>
        </w:tc>
      </w:tr>
      <w:tr w14:paraId="2A75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919" w:type="dxa"/>
            <w:noWrap w:val="0"/>
            <w:vAlign w:val="center"/>
          </w:tcPr>
          <w:p w14:paraId="377ADDEB">
            <w:pPr>
              <w:spacing w:line="300" w:lineRule="exact"/>
              <w:jc w:val="center"/>
              <w:rPr>
                <w:rFonts w:ascii="Arial" w:hAnsi="Arial" w:cs="Arial"/>
                <w:color w:val="auto"/>
                <w:sz w:val="22"/>
              </w:rPr>
            </w:pPr>
            <w:r>
              <w:rPr>
                <w:rFonts w:hint="eastAsia" w:ascii="Arial" w:hAnsi="Arial" w:cs="Arial"/>
                <w:color w:val="auto"/>
                <w:sz w:val="22"/>
              </w:rPr>
              <w:t>2</w:t>
            </w:r>
          </w:p>
        </w:tc>
        <w:tc>
          <w:tcPr>
            <w:tcW w:w="2483" w:type="dxa"/>
            <w:noWrap w:val="0"/>
            <w:vAlign w:val="center"/>
          </w:tcPr>
          <w:p w14:paraId="32F366A4">
            <w:pPr>
              <w:spacing w:line="300" w:lineRule="exact"/>
              <w:jc w:val="center"/>
              <w:rPr>
                <w:rFonts w:ascii="Arial" w:hAnsi="Arial" w:cs="Arial"/>
                <w:color w:val="auto"/>
                <w:sz w:val="22"/>
              </w:rPr>
            </w:pPr>
            <w:r>
              <w:rPr>
                <w:rFonts w:hint="eastAsia" w:ascii="Arial" w:hAnsi="Arial" w:cs="Arial"/>
                <w:color w:val="auto"/>
                <w:sz w:val="22"/>
              </w:rPr>
              <w:t>pH（无量纲）</w:t>
            </w:r>
          </w:p>
        </w:tc>
        <w:tc>
          <w:tcPr>
            <w:tcW w:w="1359" w:type="dxa"/>
            <w:noWrap w:val="0"/>
            <w:vAlign w:val="center"/>
          </w:tcPr>
          <w:p w14:paraId="5097EF93">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8.3</w:t>
            </w:r>
          </w:p>
        </w:tc>
        <w:tc>
          <w:tcPr>
            <w:tcW w:w="1287" w:type="dxa"/>
            <w:noWrap w:val="0"/>
            <w:vAlign w:val="center"/>
          </w:tcPr>
          <w:p w14:paraId="4D4E5E55">
            <w:pPr>
              <w:spacing w:line="300" w:lineRule="exact"/>
              <w:jc w:val="center"/>
              <w:rPr>
                <w:rFonts w:ascii="Arial" w:hAnsi="Arial" w:cs="Arial"/>
                <w:color w:val="auto"/>
                <w:sz w:val="22"/>
              </w:rPr>
            </w:pPr>
            <w:r>
              <w:rPr>
                <w:rFonts w:hint="eastAsia" w:ascii="Arial" w:hAnsi="Arial" w:cs="Arial"/>
                <w:color w:val="auto"/>
                <w:sz w:val="22"/>
              </w:rPr>
              <w:t>6~9</w:t>
            </w:r>
          </w:p>
        </w:tc>
        <w:tc>
          <w:tcPr>
            <w:tcW w:w="1170" w:type="dxa"/>
            <w:noWrap w:val="0"/>
            <w:vAlign w:val="center"/>
          </w:tcPr>
          <w:p w14:paraId="05FF3EF1">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0.65</w:t>
            </w:r>
          </w:p>
        </w:tc>
        <w:tc>
          <w:tcPr>
            <w:tcW w:w="1419" w:type="dxa"/>
            <w:noWrap w:val="0"/>
            <w:vAlign w:val="center"/>
          </w:tcPr>
          <w:p w14:paraId="4310EBDD">
            <w:pPr>
              <w:spacing w:line="300" w:lineRule="exact"/>
              <w:jc w:val="center"/>
              <w:rPr>
                <w:rFonts w:ascii="Arial" w:hAnsi="Arial" w:cs="Arial"/>
                <w:color w:val="auto"/>
                <w:sz w:val="22"/>
              </w:rPr>
            </w:pPr>
            <w:r>
              <w:rPr>
                <w:rFonts w:hint="eastAsia" w:ascii="Arial" w:hAnsi="Arial" w:cs="Arial"/>
                <w:color w:val="auto"/>
                <w:sz w:val="22"/>
              </w:rPr>
              <w:t>否</w:t>
            </w:r>
          </w:p>
        </w:tc>
      </w:tr>
      <w:tr w14:paraId="56034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919" w:type="dxa"/>
            <w:noWrap w:val="0"/>
            <w:vAlign w:val="center"/>
          </w:tcPr>
          <w:p w14:paraId="265B870A">
            <w:pPr>
              <w:spacing w:line="300" w:lineRule="exact"/>
              <w:jc w:val="center"/>
              <w:rPr>
                <w:rFonts w:ascii="Arial" w:hAnsi="Arial" w:cs="Arial"/>
                <w:color w:val="auto"/>
                <w:sz w:val="22"/>
              </w:rPr>
            </w:pPr>
            <w:r>
              <w:rPr>
                <w:rFonts w:hint="eastAsia" w:ascii="Arial" w:hAnsi="Arial" w:cs="Arial"/>
                <w:color w:val="auto"/>
                <w:sz w:val="22"/>
              </w:rPr>
              <w:t>3</w:t>
            </w:r>
          </w:p>
        </w:tc>
        <w:tc>
          <w:tcPr>
            <w:tcW w:w="2483" w:type="dxa"/>
            <w:noWrap w:val="0"/>
            <w:vAlign w:val="center"/>
          </w:tcPr>
          <w:p w14:paraId="460EAE88">
            <w:pPr>
              <w:spacing w:line="300" w:lineRule="exact"/>
              <w:jc w:val="center"/>
              <w:rPr>
                <w:rFonts w:ascii="Arial" w:hAnsi="Arial" w:cs="Arial"/>
                <w:color w:val="auto"/>
                <w:sz w:val="22"/>
              </w:rPr>
            </w:pPr>
            <w:r>
              <w:rPr>
                <w:rFonts w:hint="eastAsia" w:ascii="Arial" w:hAnsi="Arial" w:cs="Arial"/>
                <w:color w:val="auto"/>
                <w:sz w:val="22"/>
              </w:rPr>
              <w:t>溶解氧（mg/L）</w:t>
            </w:r>
          </w:p>
        </w:tc>
        <w:tc>
          <w:tcPr>
            <w:tcW w:w="1359" w:type="dxa"/>
            <w:noWrap w:val="0"/>
            <w:vAlign w:val="center"/>
          </w:tcPr>
          <w:p w14:paraId="4C396C20">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8.2</w:t>
            </w:r>
          </w:p>
        </w:tc>
        <w:tc>
          <w:tcPr>
            <w:tcW w:w="1287" w:type="dxa"/>
            <w:noWrap w:val="0"/>
            <w:vAlign w:val="center"/>
          </w:tcPr>
          <w:p w14:paraId="59B11AF3">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rPr>
              <w:t>＞6</w:t>
            </w:r>
          </w:p>
        </w:tc>
        <w:tc>
          <w:tcPr>
            <w:tcW w:w="1170" w:type="dxa"/>
            <w:noWrap w:val="0"/>
            <w:vAlign w:val="center"/>
          </w:tcPr>
          <w:p w14:paraId="27A0BD4A">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0.656</w:t>
            </w:r>
          </w:p>
        </w:tc>
        <w:tc>
          <w:tcPr>
            <w:tcW w:w="1419" w:type="dxa"/>
            <w:noWrap w:val="0"/>
            <w:vAlign w:val="center"/>
          </w:tcPr>
          <w:p w14:paraId="50B90591">
            <w:pPr>
              <w:spacing w:line="300" w:lineRule="exact"/>
              <w:jc w:val="center"/>
              <w:rPr>
                <w:rFonts w:ascii="Arial" w:hAnsi="Arial" w:cs="Arial"/>
                <w:color w:val="auto"/>
                <w:sz w:val="22"/>
              </w:rPr>
            </w:pPr>
            <w:r>
              <w:rPr>
                <w:rFonts w:hint="eastAsia" w:ascii="Arial" w:hAnsi="Arial" w:cs="Arial"/>
                <w:color w:val="auto"/>
                <w:sz w:val="22"/>
              </w:rPr>
              <w:t>否</w:t>
            </w:r>
          </w:p>
        </w:tc>
      </w:tr>
      <w:tr w14:paraId="6EE8C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31D76DD0">
            <w:pPr>
              <w:spacing w:line="300" w:lineRule="exact"/>
              <w:jc w:val="center"/>
              <w:rPr>
                <w:rFonts w:ascii="Arial" w:hAnsi="Arial" w:cs="Arial"/>
                <w:color w:val="auto"/>
                <w:sz w:val="22"/>
              </w:rPr>
            </w:pPr>
            <w:r>
              <w:rPr>
                <w:rFonts w:hint="eastAsia" w:ascii="Arial" w:hAnsi="Arial" w:cs="Arial"/>
                <w:color w:val="auto"/>
                <w:sz w:val="22"/>
              </w:rPr>
              <w:t>4</w:t>
            </w:r>
          </w:p>
        </w:tc>
        <w:tc>
          <w:tcPr>
            <w:tcW w:w="2483" w:type="dxa"/>
            <w:noWrap w:val="0"/>
            <w:vAlign w:val="center"/>
          </w:tcPr>
          <w:p w14:paraId="601A6797">
            <w:pPr>
              <w:spacing w:line="300" w:lineRule="exact"/>
              <w:jc w:val="center"/>
              <w:rPr>
                <w:rFonts w:ascii="Arial" w:hAnsi="Arial" w:cs="Arial"/>
                <w:color w:val="auto"/>
                <w:sz w:val="22"/>
              </w:rPr>
            </w:pPr>
            <w:r>
              <w:rPr>
                <w:rFonts w:hint="eastAsia" w:ascii="Arial" w:hAnsi="Arial" w:cs="Arial"/>
                <w:color w:val="auto"/>
                <w:sz w:val="22"/>
              </w:rPr>
              <w:t>高锰酸盐指数（mg/L）</w:t>
            </w:r>
          </w:p>
        </w:tc>
        <w:tc>
          <w:tcPr>
            <w:tcW w:w="1359" w:type="dxa"/>
            <w:noWrap w:val="0"/>
            <w:vAlign w:val="center"/>
          </w:tcPr>
          <w:p w14:paraId="34ACF328">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5.1</w:t>
            </w:r>
          </w:p>
        </w:tc>
        <w:tc>
          <w:tcPr>
            <w:tcW w:w="1287" w:type="dxa"/>
            <w:noWrap w:val="0"/>
            <w:vAlign w:val="center"/>
          </w:tcPr>
          <w:p w14:paraId="5729B1AA">
            <w:pPr>
              <w:spacing w:line="300" w:lineRule="exact"/>
              <w:jc w:val="center"/>
              <w:rPr>
                <w:rFonts w:hint="eastAsia" w:ascii="Arial" w:hAnsi="Arial" w:eastAsia="宋体" w:cs="Arial"/>
                <w:color w:val="auto"/>
                <w:sz w:val="22"/>
                <w:lang w:eastAsia="zh-CN"/>
              </w:rPr>
            </w:pPr>
            <w:r>
              <w:rPr>
                <w:rFonts w:hint="eastAsia" w:ascii="Arial" w:hAnsi="Arial" w:cs="Arial"/>
                <w:color w:val="auto"/>
                <w:sz w:val="22"/>
              </w:rPr>
              <w:t>4</w:t>
            </w:r>
          </w:p>
        </w:tc>
        <w:tc>
          <w:tcPr>
            <w:tcW w:w="1170" w:type="dxa"/>
            <w:noWrap w:val="0"/>
            <w:vAlign w:val="center"/>
          </w:tcPr>
          <w:p w14:paraId="3A9860F2">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1.275</w:t>
            </w:r>
          </w:p>
        </w:tc>
        <w:tc>
          <w:tcPr>
            <w:tcW w:w="1419" w:type="dxa"/>
            <w:noWrap w:val="0"/>
            <w:vAlign w:val="center"/>
          </w:tcPr>
          <w:p w14:paraId="290B6C1F">
            <w:pPr>
              <w:spacing w:line="300" w:lineRule="exact"/>
              <w:jc w:val="center"/>
              <w:rPr>
                <w:rFonts w:hint="eastAsia" w:ascii="Arial" w:hAnsi="Arial" w:eastAsia="宋体" w:cs="Arial"/>
                <w:color w:val="auto"/>
                <w:sz w:val="22"/>
                <w:lang w:val="en-US" w:eastAsia="zh-CN"/>
              </w:rPr>
            </w:pPr>
            <w:r>
              <w:rPr>
                <w:rFonts w:hint="eastAsia" w:ascii="Arial" w:hAnsi="Arial" w:cs="Arial"/>
                <w:color w:val="auto"/>
                <w:sz w:val="22"/>
                <w:lang w:val="en-US" w:eastAsia="zh-CN"/>
              </w:rPr>
              <w:t>是</w:t>
            </w:r>
          </w:p>
        </w:tc>
      </w:tr>
      <w:tr w14:paraId="3E8FB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483DCBF2">
            <w:pPr>
              <w:spacing w:line="300" w:lineRule="exact"/>
              <w:jc w:val="center"/>
              <w:rPr>
                <w:rFonts w:hint="eastAsia" w:ascii="Arial" w:hAnsi="Arial" w:cs="Arial"/>
                <w:color w:val="auto"/>
                <w:sz w:val="22"/>
              </w:rPr>
            </w:pPr>
            <w:r>
              <w:rPr>
                <w:rFonts w:hint="eastAsia" w:ascii="Arial" w:hAnsi="Arial" w:cs="Arial"/>
                <w:color w:val="auto"/>
                <w:sz w:val="22"/>
              </w:rPr>
              <w:t>5</w:t>
            </w:r>
          </w:p>
        </w:tc>
        <w:tc>
          <w:tcPr>
            <w:tcW w:w="2483" w:type="dxa"/>
            <w:shd w:val="clear" w:color="auto" w:fill="auto"/>
            <w:noWrap w:val="0"/>
            <w:vAlign w:val="center"/>
          </w:tcPr>
          <w:p w14:paraId="19556E48">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BOD</w:t>
            </w:r>
            <w:r>
              <w:rPr>
                <w:rFonts w:hint="eastAsia" w:ascii="Arial" w:hAnsi="Arial" w:cs="Arial"/>
                <w:color w:val="auto"/>
                <w:sz w:val="22"/>
                <w:vertAlign w:val="subscript"/>
              </w:rPr>
              <w:t>5</w:t>
            </w:r>
            <w:r>
              <w:rPr>
                <w:rFonts w:hint="eastAsia" w:ascii="Arial" w:hAnsi="Arial" w:cs="Arial"/>
                <w:color w:val="auto"/>
                <w:sz w:val="22"/>
              </w:rPr>
              <w:t>（mg/L）</w:t>
            </w:r>
          </w:p>
        </w:tc>
        <w:tc>
          <w:tcPr>
            <w:tcW w:w="1359" w:type="dxa"/>
            <w:shd w:val="clear" w:color="auto" w:fill="auto"/>
            <w:noWrap w:val="0"/>
            <w:vAlign w:val="center"/>
          </w:tcPr>
          <w:p w14:paraId="495D5023">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1.2</w:t>
            </w:r>
          </w:p>
        </w:tc>
        <w:tc>
          <w:tcPr>
            <w:tcW w:w="1287" w:type="dxa"/>
            <w:shd w:val="clear" w:color="auto" w:fill="auto"/>
            <w:noWrap w:val="0"/>
            <w:vAlign w:val="center"/>
          </w:tcPr>
          <w:p w14:paraId="7FD9D71D">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rPr>
              <w:t>3</w:t>
            </w:r>
          </w:p>
        </w:tc>
        <w:tc>
          <w:tcPr>
            <w:tcW w:w="1170" w:type="dxa"/>
            <w:shd w:val="clear" w:color="auto" w:fill="auto"/>
            <w:noWrap w:val="0"/>
            <w:vAlign w:val="center"/>
          </w:tcPr>
          <w:p w14:paraId="36D1A668">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0.4</w:t>
            </w:r>
          </w:p>
        </w:tc>
        <w:tc>
          <w:tcPr>
            <w:tcW w:w="1419" w:type="dxa"/>
            <w:shd w:val="clear" w:color="auto" w:fill="auto"/>
            <w:noWrap w:val="0"/>
            <w:vAlign w:val="center"/>
          </w:tcPr>
          <w:p w14:paraId="7CAA5B82">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3DB78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0663DB65">
            <w:pPr>
              <w:spacing w:line="300" w:lineRule="exact"/>
              <w:jc w:val="center"/>
              <w:rPr>
                <w:rFonts w:hint="eastAsia" w:ascii="Arial" w:hAnsi="Arial" w:cs="Arial"/>
                <w:color w:val="auto"/>
                <w:sz w:val="22"/>
              </w:rPr>
            </w:pPr>
            <w:r>
              <w:rPr>
                <w:rFonts w:hint="eastAsia" w:ascii="Arial" w:hAnsi="Arial" w:cs="Arial"/>
                <w:color w:val="auto"/>
                <w:sz w:val="22"/>
              </w:rPr>
              <w:t>6</w:t>
            </w:r>
          </w:p>
        </w:tc>
        <w:tc>
          <w:tcPr>
            <w:tcW w:w="2483" w:type="dxa"/>
            <w:shd w:val="clear" w:color="auto" w:fill="auto"/>
            <w:noWrap w:val="0"/>
            <w:vAlign w:val="center"/>
          </w:tcPr>
          <w:p w14:paraId="0F13D1FD">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NH</w:t>
            </w:r>
            <w:r>
              <w:rPr>
                <w:rFonts w:hint="eastAsia" w:ascii="Arial" w:hAnsi="Arial" w:cs="Arial"/>
                <w:color w:val="auto"/>
                <w:sz w:val="22"/>
                <w:vertAlign w:val="subscript"/>
              </w:rPr>
              <w:t>3</w:t>
            </w:r>
            <w:r>
              <w:rPr>
                <w:rFonts w:hint="eastAsia" w:ascii="Arial" w:hAnsi="Arial" w:cs="Arial"/>
                <w:color w:val="auto"/>
                <w:sz w:val="22"/>
              </w:rPr>
              <w:t>-N（mg/L）</w:t>
            </w:r>
          </w:p>
        </w:tc>
        <w:tc>
          <w:tcPr>
            <w:tcW w:w="1359" w:type="dxa"/>
            <w:shd w:val="clear" w:color="auto" w:fill="auto"/>
            <w:noWrap w:val="0"/>
            <w:vAlign w:val="center"/>
          </w:tcPr>
          <w:p w14:paraId="7EFC7E44">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0.13</w:t>
            </w:r>
          </w:p>
        </w:tc>
        <w:tc>
          <w:tcPr>
            <w:tcW w:w="1287" w:type="dxa"/>
            <w:shd w:val="clear" w:color="auto" w:fill="auto"/>
            <w:noWrap w:val="0"/>
            <w:vAlign w:val="center"/>
          </w:tcPr>
          <w:p w14:paraId="284B6449">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rPr>
              <w:t>0.5</w:t>
            </w:r>
          </w:p>
        </w:tc>
        <w:tc>
          <w:tcPr>
            <w:tcW w:w="1170" w:type="dxa"/>
            <w:shd w:val="clear" w:color="auto" w:fill="auto"/>
            <w:noWrap w:val="0"/>
            <w:vAlign w:val="center"/>
          </w:tcPr>
          <w:p w14:paraId="380AF9D1">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0.26</w:t>
            </w:r>
          </w:p>
        </w:tc>
        <w:tc>
          <w:tcPr>
            <w:tcW w:w="1419" w:type="dxa"/>
            <w:shd w:val="clear" w:color="auto" w:fill="auto"/>
            <w:noWrap w:val="0"/>
            <w:vAlign w:val="center"/>
          </w:tcPr>
          <w:p w14:paraId="287D35EA">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36BDF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919" w:type="dxa"/>
            <w:noWrap w:val="0"/>
            <w:vAlign w:val="center"/>
          </w:tcPr>
          <w:p w14:paraId="55895444">
            <w:pPr>
              <w:spacing w:line="300" w:lineRule="exact"/>
              <w:jc w:val="center"/>
              <w:rPr>
                <w:rFonts w:hint="eastAsia" w:ascii="Arial" w:hAnsi="Arial" w:cs="Arial"/>
                <w:color w:val="auto"/>
                <w:sz w:val="22"/>
              </w:rPr>
            </w:pPr>
            <w:r>
              <w:rPr>
                <w:rFonts w:hint="eastAsia" w:ascii="Arial" w:hAnsi="Arial" w:cs="Arial"/>
                <w:color w:val="auto"/>
                <w:sz w:val="22"/>
              </w:rPr>
              <w:t>7</w:t>
            </w:r>
          </w:p>
        </w:tc>
        <w:tc>
          <w:tcPr>
            <w:tcW w:w="2483" w:type="dxa"/>
            <w:shd w:val="clear" w:color="auto" w:fill="auto"/>
            <w:noWrap w:val="0"/>
            <w:vAlign w:val="center"/>
          </w:tcPr>
          <w:p w14:paraId="4564AE1F">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TP（mg/L）</w:t>
            </w:r>
          </w:p>
        </w:tc>
        <w:tc>
          <w:tcPr>
            <w:tcW w:w="1359" w:type="dxa"/>
            <w:shd w:val="clear" w:color="auto" w:fill="auto"/>
            <w:noWrap w:val="0"/>
            <w:vAlign w:val="center"/>
          </w:tcPr>
          <w:p w14:paraId="0BA02E22">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0.04</w:t>
            </w:r>
          </w:p>
        </w:tc>
        <w:tc>
          <w:tcPr>
            <w:tcW w:w="1287" w:type="dxa"/>
            <w:shd w:val="clear" w:color="auto" w:fill="auto"/>
            <w:noWrap w:val="0"/>
            <w:vAlign w:val="center"/>
          </w:tcPr>
          <w:p w14:paraId="66412CC9">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rPr>
              <w:t>0.1</w:t>
            </w:r>
          </w:p>
        </w:tc>
        <w:tc>
          <w:tcPr>
            <w:tcW w:w="1170" w:type="dxa"/>
            <w:shd w:val="clear" w:color="auto" w:fill="auto"/>
            <w:noWrap w:val="0"/>
            <w:vAlign w:val="center"/>
          </w:tcPr>
          <w:p w14:paraId="68AD52C0">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0.4</w:t>
            </w:r>
          </w:p>
        </w:tc>
        <w:tc>
          <w:tcPr>
            <w:tcW w:w="1419" w:type="dxa"/>
            <w:shd w:val="clear" w:color="auto" w:fill="auto"/>
            <w:noWrap w:val="0"/>
            <w:vAlign w:val="center"/>
          </w:tcPr>
          <w:p w14:paraId="20748977">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7C809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77C66CD4">
            <w:pPr>
              <w:spacing w:line="300" w:lineRule="exact"/>
              <w:jc w:val="center"/>
              <w:rPr>
                <w:rFonts w:hint="eastAsia" w:ascii="Arial" w:hAnsi="Arial" w:cs="Arial"/>
                <w:color w:val="auto"/>
                <w:sz w:val="22"/>
              </w:rPr>
            </w:pPr>
            <w:r>
              <w:rPr>
                <w:rFonts w:hint="eastAsia" w:ascii="Arial" w:hAnsi="Arial" w:cs="Arial"/>
                <w:color w:val="auto"/>
                <w:sz w:val="22"/>
              </w:rPr>
              <w:t>8</w:t>
            </w:r>
          </w:p>
        </w:tc>
        <w:tc>
          <w:tcPr>
            <w:tcW w:w="2483" w:type="dxa"/>
            <w:shd w:val="clear" w:color="auto" w:fill="auto"/>
            <w:noWrap w:val="0"/>
            <w:vAlign w:val="center"/>
          </w:tcPr>
          <w:p w14:paraId="66DAB5A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TN（mg/L）</w:t>
            </w:r>
          </w:p>
        </w:tc>
        <w:tc>
          <w:tcPr>
            <w:tcW w:w="1359" w:type="dxa"/>
            <w:shd w:val="clear" w:color="auto" w:fill="auto"/>
            <w:noWrap w:val="0"/>
            <w:vAlign w:val="center"/>
          </w:tcPr>
          <w:p w14:paraId="73C2A985">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0.33</w:t>
            </w:r>
          </w:p>
        </w:tc>
        <w:tc>
          <w:tcPr>
            <w:tcW w:w="1287" w:type="dxa"/>
            <w:shd w:val="clear" w:color="auto" w:fill="auto"/>
            <w:noWrap w:val="0"/>
            <w:vAlign w:val="center"/>
          </w:tcPr>
          <w:p w14:paraId="22FC0A60">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rPr>
              <w:t>0.5</w:t>
            </w:r>
          </w:p>
        </w:tc>
        <w:tc>
          <w:tcPr>
            <w:tcW w:w="1170" w:type="dxa"/>
            <w:shd w:val="clear" w:color="auto" w:fill="auto"/>
            <w:noWrap w:val="0"/>
            <w:vAlign w:val="center"/>
          </w:tcPr>
          <w:p w14:paraId="1F0D2D54">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0.66</w:t>
            </w:r>
          </w:p>
        </w:tc>
        <w:tc>
          <w:tcPr>
            <w:tcW w:w="1419" w:type="dxa"/>
            <w:shd w:val="clear" w:color="auto" w:fill="auto"/>
            <w:noWrap w:val="0"/>
            <w:vAlign w:val="center"/>
          </w:tcPr>
          <w:p w14:paraId="42F64973">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val="en-US" w:eastAsia="zh-CN"/>
              </w:rPr>
              <w:t>/</w:t>
            </w:r>
          </w:p>
        </w:tc>
      </w:tr>
      <w:tr w14:paraId="453CA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58" w:hRule="atLeast"/>
          <w:jc w:val="center"/>
        </w:trPr>
        <w:tc>
          <w:tcPr>
            <w:tcW w:w="919" w:type="dxa"/>
            <w:noWrap w:val="0"/>
            <w:vAlign w:val="center"/>
          </w:tcPr>
          <w:p w14:paraId="148FD1B7">
            <w:pPr>
              <w:spacing w:line="300" w:lineRule="exact"/>
              <w:jc w:val="center"/>
              <w:rPr>
                <w:rFonts w:hint="eastAsia" w:ascii="Arial" w:hAnsi="Arial" w:cs="Arial"/>
                <w:color w:val="auto"/>
                <w:sz w:val="22"/>
              </w:rPr>
            </w:pPr>
            <w:r>
              <w:rPr>
                <w:rFonts w:hint="eastAsia" w:ascii="Arial" w:hAnsi="Arial" w:cs="Arial"/>
                <w:color w:val="auto"/>
                <w:sz w:val="22"/>
              </w:rPr>
              <w:t>9</w:t>
            </w:r>
          </w:p>
        </w:tc>
        <w:tc>
          <w:tcPr>
            <w:tcW w:w="2483" w:type="dxa"/>
            <w:shd w:val="clear" w:color="auto" w:fill="auto"/>
            <w:noWrap w:val="0"/>
            <w:vAlign w:val="center"/>
          </w:tcPr>
          <w:p w14:paraId="2E1183F0">
            <w:pPr>
              <w:spacing w:line="300" w:lineRule="exact"/>
              <w:jc w:val="center"/>
              <w:rPr>
                <w:rFonts w:ascii="Arial" w:hAnsi="Arial" w:eastAsia="宋体" w:cs="Arial"/>
                <w:color w:val="auto"/>
                <w:kern w:val="2"/>
                <w:sz w:val="22"/>
                <w:szCs w:val="22"/>
                <w:lang w:val="en-US" w:eastAsia="zh-CN" w:bidi="ar-SA"/>
              </w:rPr>
            </w:pPr>
            <w:r>
              <w:rPr>
                <w:rFonts w:ascii="Arial" w:hAnsi="Arial" w:cs="Arial"/>
                <w:color w:val="auto"/>
                <w:sz w:val="22"/>
              </w:rPr>
              <w:t>C</w:t>
            </w:r>
            <w:r>
              <w:rPr>
                <w:rFonts w:hint="eastAsia" w:ascii="Arial" w:hAnsi="Arial" w:cs="Arial"/>
                <w:color w:val="auto"/>
                <w:sz w:val="22"/>
              </w:rPr>
              <w:t>r</w:t>
            </w:r>
            <w:r>
              <w:rPr>
                <w:rFonts w:hint="eastAsia" w:ascii="Arial" w:hAnsi="Arial" w:cs="Arial"/>
                <w:color w:val="auto"/>
                <w:sz w:val="22"/>
                <w:vertAlign w:val="superscript"/>
              </w:rPr>
              <w:t>6+</w:t>
            </w:r>
            <w:r>
              <w:rPr>
                <w:rFonts w:hint="eastAsia" w:ascii="Arial" w:hAnsi="Arial" w:cs="Arial"/>
                <w:color w:val="auto"/>
                <w:sz w:val="22"/>
              </w:rPr>
              <w:t>（mg/L）</w:t>
            </w:r>
          </w:p>
        </w:tc>
        <w:tc>
          <w:tcPr>
            <w:tcW w:w="1359" w:type="dxa"/>
            <w:shd w:val="clear" w:color="auto" w:fill="auto"/>
            <w:noWrap w:val="0"/>
            <w:vAlign w:val="center"/>
          </w:tcPr>
          <w:p w14:paraId="08E254A4">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0.006</w:t>
            </w:r>
          </w:p>
        </w:tc>
        <w:tc>
          <w:tcPr>
            <w:tcW w:w="1287" w:type="dxa"/>
            <w:shd w:val="clear" w:color="auto" w:fill="auto"/>
            <w:noWrap w:val="0"/>
            <w:vAlign w:val="center"/>
          </w:tcPr>
          <w:p w14:paraId="73ECA13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0.05</w:t>
            </w:r>
          </w:p>
        </w:tc>
        <w:tc>
          <w:tcPr>
            <w:tcW w:w="1170" w:type="dxa"/>
            <w:shd w:val="clear" w:color="auto" w:fill="auto"/>
            <w:noWrap w:val="0"/>
            <w:vAlign w:val="center"/>
          </w:tcPr>
          <w:p w14:paraId="7B9DB7A2">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0.12</w:t>
            </w:r>
          </w:p>
        </w:tc>
        <w:tc>
          <w:tcPr>
            <w:tcW w:w="1419" w:type="dxa"/>
            <w:shd w:val="clear" w:color="auto" w:fill="auto"/>
            <w:noWrap w:val="0"/>
            <w:vAlign w:val="center"/>
          </w:tcPr>
          <w:p w14:paraId="3A9F2DED">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否</w:t>
            </w:r>
          </w:p>
        </w:tc>
      </w:tr>
      <w:tr w14:paraId="3E6F6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1C08C279">
            <w:pPr>
              <w:spacing w:line="300" w:lineRule="exact"/>
              <w:jc w:val="center"/>
              <w:rPr>
                <w:rFonts w:hint="eastAsia" w:ascii="Arial" w:hAnsi="Arial" w:cs="Arial"/>
                <w:color w:val="auto"/>
                <w:sz w:val="22"/>
              </w:rPr>
            </w:pPr>
            <w:r>
              <w:rPr>
                <w:rFonts w:hint="eastAsia" w:ascii="Arial" w:hAnsi="Arial" w:cs="Arial"/>
                <w:color w:val="auto"/>
                <w:sz w:val="22"/>
              </w:rPr>
              <w:t>10</w:t>
            </w:r>
          </w:p>
        </w:tc>
        <w:tc>
          <w:tcPr>
            <w:tcW w:w="2483" w:type="dxa"/>
            <w:shd w:val="clear" w:color="auto" w:fill="auto"/>
            <w:noWrap w:val="0"/>
            <w:vAlign w:val="center"/>
          </w:tcPr>
          <w:p w14:paraId="191E1C0A">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氰化物（mg/L）</w:t>
            </w:r>
          </w:p>
        </w:tc>
        <w:tc>
          <w:tcPr>
            <w:tcW w:w="1359" w:type="dxa"/>
            <w:shd w:val="clear" w:color="auto" w:fill="auto"/>
            <w:noWrap w:val="0"/>
            <w:vAlign w:val="center"/>
          </w:tcPr>
          <w:p w14:paraId="26386BEF">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0.004</w:t>
            </w:r>
          </w:p>
        </w:tc>
        <w:tc>
          <w:tcPr>
            <w:tcW w:w="1287" w:type="dxa"/>
            <w:shd w:val="clear" w:color="auto" w:fill="auto"/>
            <w:noWrap w:val="0"/>
            <w:vAlign w:val="center"/>
          </w:tcPr>
          <w:p w14:paraId="219EF1E1">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rPr>
              <w:t>0.05</w:t>
            </w:r>
          </w:p>
        </w:tc>
        <w:tc>
          <w:tcPr>
            <w:tcW w:w="1170" w:type="dxa"/>
            <w:shd w:val="clear" w:color="auto" w:fill="auto"/>
            <w:noWrap w:val="0"/>
            <w:vAlign w:val="center"/>
          </w:tcPr>
          <w:p w14:paraId="3AC3D0FF">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w:t>
            </w:r>
          </w:p>
        </w:tc>
        <w:tc>
          <w:tcPr>
            <w:tcW w:w="1419" w:type="dxa"/>
            <w:shd w:val="clear" w:color="auto" w:fill="auto"/>
            <w:noWrap w:val="0"/>
            <w:vAlign w:val="center"/>
          </w:tcPr>
          <w:p w14:paraId="53347A56">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17934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016B3C6A">
            <w:pPr>
              <w:spacing w:line="300" w:lineRule="exact"/>
              <w:jc w:val="center"/>
              <w:rPr>
                <w:rFonts w:hint="eastAsia" w:ascii="Arial" w:hAnsi="Arial" w:cs="Arial"/>
                <w:color w:val="auto"/>
                <w:sz w:val="22"/>
              </w:rPr>
            </w:pPr>
            <w:r>
              <w:rPr>
                <w:rFonts w:hint="eastAsia" w:ascii="Arial" w:hAnsi="Arial" w:cs="Arial"/>
                <w:color w:val="auto"/>
                <w:sz w:val="22"/>
              </w:rPr>
              <w:t>11</w:t>
            </w:r>
          </w:p>
        </w:tc>
        <w:tc>
          <w:tcPr>
            <w:tcW w:w="2483" w:type="dxa"/>
            <w:shd w:val="clear" w:color="auto" w:fill="auto"/>
            <w:noWrap w:val="0"/>
            <w:vAlign w:val="center"/>
          </w:tcPr>
          <w:p w14:paraId="32AC2875">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挥发酚（mg/L）</w:t>
            </w:r>
          </w:p>
        </w:tc>
        <w:tc>
          <w:tcPr>
            <w:tcW w:w="1359" w:type="dxa"/>
            <w:shd w:val="clear" w:color="auto" w:fill="auto"/>
            <w:noWrap w:val="0"/>
            <w:vAlign w:val="center"/>
          </w:tcPr>
          <w:p w14:paraId="1A8A93F8">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0.001</w:t>
            </w:r>
          </w:p>
        </w:tc>
        <w:tc>
          <w:tcPr>
            <w:tcW w:w="1287" w:type="dxa"/>
            <w:shd w:val="clear" w:color="auto" w:fill="auto"/>
            <w:noWrap w:val="0"/>
            <w:vAlign w:val="center"/>
          </w:tcPr>
          <w:p w14:paraId="0267F27D">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rPr>
              <w:t>0.002</w:t>
            </w:r>
          </w:p>
        </w:tc>
        <w:tc>
          <w:tcPr>
            <w:tcW w:w="1170" w:type="dxa"/>
            <w:shd w:val="clear" w:color="auto" w:fill="auto"/>
            <w:noWrap w:val="0"/>
            <w:vAlign w:val="center"/>
          </w:tcPr>
          <w:p w14:paraId="2B263AD8">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0.5</w:t>
            </w:r>
          </w:p>
        </w:tc>
        <w:tc>
          <w:tcPr>
            <w:tcW w:w="1419" w:type="dxa"/>
            <w:shd w:val="clear" w:color="auto" w:fill="auto"/>
            <w:noWrap w:val="0"/>
            <w:vAlign w:val="center"/>
          </w:tcPr>
          <w:p w14:paraId="4EDAB1C0">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eastAsia="zh-CN"/>
              </w:rPr>
              <w:t>否</w:t>
            </w:r>
          </w:p>
        </w:tc>
      </w:tr>
      <w:tr w14:paraId="2E6AD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6D02BBF6">
            <w:pPr>
              <w:spacing w:line="300" w:lineRule="exact"/>
              <w:jc w:val="center"/>
              <w:rPr>
                <w:rFonts w:hint="eastAsia" w:ascii="Arial" w:hAnsi="Arial" w:cs="Arial"/>
                <w:color w:val="auto"/>
                <w:sz w:val="22"/>
              </w:rPr>
            </w:pPr>
            <w:r>
              <w:rPr>
                <w:rFonts w:hint="eastAsia" w:ascii="Arial" w:hAnsi="Arial" w:cs="Arial"/>
                <w:color w:val="auto"/>
                <w:sz w:val="22"/>
              </w:rPr>
              <w:t>12</w:t>
            </w:r>
          </w:p>
        </w:tc>
        <w:tc>
          <w:tcPr>
            <w:tcW w:w="2483" w:type="dxa"/>
            <w:shd w:val="clear" w:color="auto" w:fill="auto"/>
            <w:noWrap w:val="0"/>
            <w:vAlign w:val="center"/>
          </w:tcPr>
          <w:p w14:paraId="4A62C8B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Cu（mg/L）</w:t>
            </w:r>
          </w:p>
        </w:tc>
        <w:tc>
          <w:tcPr>
            <w:tcW w:w="1359" w:type="dxa"/>
            <w:shd w:val="clear" w:color="auto" w:fill="auto"/>
            <w:noWrap w:val="0"/>
            <w:vAlign w:val="center"/>
          </w:tcPr>
          <w:p w14:paraId="3D40ED6D">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0.005</w:t>
            </w:r>
          </w:p>
        </w:tc>
        <w:tc>
          <w:tcPr>
            <w:tcW w:w="1287" w:type="dxa"/>
            <w:shd w:val="clear" w:color="auto" w:fill="auto"/>
            <w:noWrap w:val="0"/>
            <w:vAlign w:val="center"/>
          </w:tcPr>
          <w:p w14:paraId="408E22F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1.0</w:t>
            </w:r>
          </w:p>
        </w:tc>
        <w:tc>
          <w:tcPr>
            <w:tcW w:w="1170" w:type="dxa"/>
            <w:shd w:val="clear" w:color="auto" w:fill="auto"/>
            <w:noWrap w:val="0"/>
            <w:vAlign w:val="center"/>
          </w:tcPr>
          <w:p w14:paraId="3653B7B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4ADA6477">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3147B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7C34BE65">
            <w:pPr>
              <w:spacing w:line="300" w:lineRule="exact"/>
              <w:jc w:val="center"/>
              <w:rPr>
                <w:rFonts w:hint="eastAsia" w:ascii="Arial" w:hAnsi="Arial" w:cs="Arial"/>
                <w:color w:val="auto"/>
                <w:sz w:val="22"/>
              </w:rPr>
            </w:pPr>
            <w:r>
              <w:rPr>
                <w:rFonts w:hint="eastAsia" w:ascii="Arial" w:hAnsi="Arial" w:cs="Arial"/>
                <w:color w:val="auto"/>
                <w:sz w:val="22"/>
              </w:rPr>
              <w:t>13</w:t>
            </w:r>
          </w:p>
        </w:tc>
        <w:tc>
          <w:tcPr>
            <w:tcW w:w="2483" w:type="dxa"/>
            <w:shd w:val="clear" w:color="auto" w:fill="auto"/>
            <w:noWrap w:val="0"/>
            <w:vAlign w:val="center"/>
          </w:tcPr>
          <w:p w14:paraId="2B58D0B4">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Zn（mg/L）</w:t>
            </w:r>
          </w:p>
        </w:tc>
        <w:tc>
          <w:tcPr>
            <w:tcW w:w="1359" w:type="dxa"/>
            <w:shd w:val="clear" w:color="auto" w:fill="auto"/>
            <w:noWrap w:val="0"/>
            <w:vAlign w:val="center"/>
          </w:tcPr>
          <w:p w14:paraId="54596F46">
            <w:pPr>
              <w:spacing w:line="300" w:lineRule="exact"/>
              <w:jc w:val="center"/>
              <w:rPr>
                <w:rFonts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0.005</w:t>
            </w:r>
          </w:p>
        </w:tc>
        <w:tc>
          <w:tcPr>
            <w:tcW w:w="1287" w:type="dxa"/>
            <w:shd w:val="clear" w:color="auto" w:fill="auto"/>
            <w:noWrap w:val="0"/>
            <w:vAlign w:val="center"/>
          </w:tcPr>
          <w:p w14:paraId="3FB4CA0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1.0</w:t>
            </w:r>
          </w:p>
        </w:tc>
        <w:tc>
          <w:tcPr>
            <w:tcW w:w="1170" w:type="dxa"/>
            <w:shd w:val="clear" w:color="auto" w:fill="auto"/>
            <w:noWrap w:val="0"/>
            <w:vAlign w:val="center"/>
          </w:tcPr>
          <w:p w14:paraId="33A35293">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66B6D5DD">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47F77F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0549B9C9">
            <w:pPr>
              <w:spacing w:line="300" w:lineRule="exact"/>
              <w:jc w:val="center"/>
              <w:rPr>
                <w:rFonts w:hint="eastAsia" w:ascii="Arial" w:hAnsi="Arial" w:cs="Arial"/>
                <w:color w:val="auto"/>
                <w:sz w:val="22"/>
              </w:rPr>
            </w:pPr>
            <w:r>
              <w:rPr>
                <w:rFonts w:hint="eastAsia" w:ascii="Arial" w:hAnsi="Arial" w:cs="Arial"/>
                <w:color w:val="auto"/>
                <w:sz w:val="22"/>
              </w:rPr>
              <w:t>14</w:t>
            </w:r>
          </w:p>
        </w:tc>
        <w:tc>
          <w:tcPr>
            <w:tcW w:w="2483" w:type="dxa"/>
            <w:shd w:val="clear" w:color="auto" w:fill="auto"/>
            <w:noWrap w:val="0"/>
            <w:vAlign w:val="center"/>
          </w:tcPr>
          <w:p w14:paraId="6F4DF6F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Cd（mg/L）</w:t>
            </w:r>
          </w:p>
        </w:tc>
        <w:tc>
          <w:tcPr>
            <w:tcW w:w="1359" w:type="dxa"/>
            <w:shd w:val="clear" w:color="auto" w:fill="auto"/>
            <w:noWrap w:val="0"/>
            <w:vAlign w:val="center"/>
          </w:tcPr>
          <w:p w14:paraId="3A40933B">
            <w:pPr>
              <w:spacing w:line="300" w:lineRule="exact"/>
              <w:jc w:val="center"/>
              <w:rPr>
                <w:rFonts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0.005</w:t>
            </w:r>
          </w:p>
        </w:tc>
        <w:tc>
          <w:tcPr>
            <w:tcW w:w="1287" w:type="dxa"/>
            <w:shd w:val="clear" w:color="auto" w:fill="auto"/>
            <w:noWrap w:val="0"/>
            <w:vAlign w:val="center"/>
          </w:tcPr>
          <w:p w14:paraId="4E3D5F64">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0.01</w:t>
            </w:r>
          </w:p>
        </w:tc>
        <w:tc>
          <w:tcPr>
            <w:tcW w:w="1170" w:type="dxa"/>
            <w:shd w:val="clear" w:color="auto" w:fill="auto"/>
            <w:noWrap w:val="0"/>
            <w:vAlign w:val="center"/>
          </w:tcPr>
          <w:p w14:paraId="24A0DCF9">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48301F8D">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0AF34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919" w:type="dxa"/>
            <w:noWrap w:val="0"/>
            <w:vAlign w:val="center"/>
          </w:tcPr>
          <w:p w14:paraId="0FE00DCA">
            <w:pPr>
              <w:spacing w:line="300" w:lineRule="exact"/>
              <w:jc w:val="center"/>
              <w:rPr>
                <w:rFonts w:hint="eastAsia" w:ascii="Arial" w:hAnsi="Arial" w:cs="Arial"/>
                <w:color w:val="auto"/>
                <w:sz w:val="22"/>
              </w:rPr>
            </w:pPr>
            <w:r>
              <w:rPr>
                <w:rFonts w:hint="eastAsia" w:ascii="Arial" w:hAnsi="Arial" w:cs="Arial"/>
                <w:color w:val="auto"/>
                <w:sz w:val="22"/>
              </w:rPr>
              <w:t>15</w:t>
            </w:r>
          </w:p>
        </w:tc>
        <w:tc>
          <w:tcPr>
            <w:tcW w:w="2483" w:type="dxa"/>
            <w:shd w:val="clear" w:color="auto" w:fill="auto"/>
            <w:noWrap w:val="0"/>
            <w:vAlign w:val="center"/>
          </w:tcPr>
          <w:p w14:paraId="635207DC">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Pb（mg/L）</w:t>
            </w:r>
          </w:p>
        </w:tc>
        <w:tc>
          <w:tcPr>
            <w:tcW w:w="1359" w:type="dxa"/>
            <w:shd w:val="clear" w:color="auto" w:fill="auto"/>
            <w:noWrap w:val="0"/>
            <w:vAlign w:val="center"/>
          </w:tcPr>
          <w:p w14:paraId="00DB1D59">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0.01</w:t>
            </w:r>
          </w:p>
        </w:tc>
        <w:tc>
          <w:tcPr>
            <w:tcW w:w="1287" w:type="dxa"/>
            <w:shd w:val="clear" w:color="auto" w:fill="auto"/>
            <w:noWrap w:val="0"/>
            <w:vAlign w:val="center"/>
          </w:tcPr>
          <w:p w14:paraId="1725F0AA">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0.01</w:t>
            </w:r>
          </w:p>
        </w:tc>
        <w:tc>
          <w:tcPr>
            <w:tcW w:w="1170" w:type="dxa"/>
            <w:shd w:val="clear" w:color="auto" w:fill="auto"/>
            <w:noWrap w:val="0"/>
            <w:vAlign w:val="center"/>
          </w:tcPr>
          <w:p w14:paraId="381EADA9">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3F19D064">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3175B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35433D2F">
            <w:pPr>
              <w:spacing w:line="300" w:lineRule="exact"/>
              <w:jc w:val="center"/>
              <w:rPr>
                <w:rFonts w:hint="eastAsia" w:ascii="Arial" w:hAnsi="Arial" w:cs="Arial"/>
                <w:color w:val="auto"/>
                <w:sz w:val="22"/>
              </w:rPr>
            </w:pPr>
            <w:r>
              <w:rPr>
                <w:rFonts w:hint="eastAsia" w:ascii="Arial" w:hAnsi="Arial" w:cs="Arial"/>
                <w:color w:val="auto"/>
                <w:sz w:val="22"/>
              </w:rPr>
              <w:t>16</w:t>
            </w:r>
          </w:p>
        </w:tc>
        <w:tc>
          <w:tcPr>
            <w:tcW w:w="2483" w:type="dxa"/>
            <w:shd w:val="clear" w:color="auto" w:fill="auto"/>
            <w:noWrap w:val="0"/>
            <w:vAlign w:val="center"/>
          </w:tcPr>
          <w:p w14:paraId="373C558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Fe（mg/L）</w:t>
            </w:r>
          </w:p>
        </w:tc>
        <w:tc>
          <w:tcPr>
            <w:tcW w:w="1359" w:type="dxa"/>
            <w:shd w:val="clear" w:color="auto" w:fill="auto"/>
            <w:noWrap w:val="0"/>
            <w:vAlign w:val="center"/>
          </w:tcPr>
          <w:p w14:paraId="13A7FB9F">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0.03</w:t>
            </w:r>
          </w:p>
        </w:tc>
        <w:tc>
          <w:tcPr>
            <w:tcW w:w="1287" w:type="dxa"/>
            <w:shd w:val="clear" w:color="auto" w:fill="auto"/>
            <w:noWrap w:val="0"/>
            <w:vAlign w:val="center"/>
          </w:tcPr>
          <w:p w14:paraId="4B29D7A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0.3</w:t>
            </w:r>
          </w:p>
        </w:tc>
        <w:tc>
          <w:tcPr>
            <w:tcW w:w="1170" w:type="dxa"/>
            <w:shd w:val="clear" w:color="auto" w:fill="auto"/>
            <w:noWrap w:val="0"/>
            <w:vAlign w:val="center"/>
          </w:tcPr>
          <w:p w14:paraId="3F50AE45">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3C47B642">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2639B1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2870BBE1">
            <w:pPr>
              <w:spacing w:line="300" w:lineRule="exact"/>
              <w:jc w:val="center"/>
              <w:rPr>
                <w:rFonts w:hint="eastAsia" w:ascii="Arial" w:hAnsi="Arial" w:cs="Arial"/>
                <w:color w:val="auto"/>
                <w:sz w:val="22"/>
              </w:rPr>
            </w:pPr>
            <w:r>
              <w:rPr>
                <w:rFonts w:hint="eastAsia" w:ascii="Arial" w:hAnsi="Arial" w:cs="Arial"/>
                <w:color w:val="auto"/>
                <w:sz w:val="22"/>
              </w:rPr>
              <w:t>17</w:t>
            </w:r>
          </w:p>
        </w:tc>
        <w:tc>
          <w:tcPr>
            <w:tcW w:w="2483" w:type="dxa"/>
            <w:shd w:val="clear" w:color="auto" w:fill="auto"/>
            <w:noWrap w:val="0"/>
            <w:vAlign w:val="center"/>
          </w:tcPr>
          <w:p w14:paraId="65AA548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Mn（mg/L）</w:t>
            </w:r>
          </w:p>
        </w:tc>
        <w:tc>
          <w:tcPr>
            <w:tcW w:w="1359" w:type="dxa"/>
            <w:shd w:val="clear" w:color="auto" w:fill="auto"/>
            <w:noWrap w:val="0"/>
            <w:vAlign w:val="center"/>
          </w:tcPr>
          <w:p w14:paraId="6C283FD3">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0.01</w:t>
            </w:r>
          </w:p>
        </w:tc>
        <w:tc>
          <w:tcPr>
            <w:tcW w:w="1287" w:type="dxa"/>
            <w:shd w:val="clear" w:color="auto" w:fill="auto"/>
            <w:noWrap w:val="0"/>
            <w:vAlign w:val="center"/>
          </w:tcPr>
          <w:p w14:paraId="1C46E1E9">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0.1</w:t>
            </w:r>
          </w:p>
        </w:tc>
        <w:tc>
          <w:tcPr>
            <w:tcW w:w="1170" w:type="dxa"/>
            <w:shd w:val="clear" w:color="auto" w:fill="auto"/>
            <w:noWrap w:val="0"/>
            <w:vAlign w:val="center"/>
          </w:tcPr>
          <w:p w14:paraId="7820DFD0">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val="en-US" w:eastAsia="zh-CN"/>
              </w:rPr>
              <w:t>/</w:t>
            </w:r>
          </w:p>
        </w:tc>
        <w:tc>
          <w:tcPr>
            <w:tcW w:w="1419" w:type="dxa"/>
            <w:shd w:val="clear" w:color="auto" w:fill="auto"/>
            <w:noWrap w:val="0"/>
            <w:vAlign w:val="center"/>
          </w:tcPr>
          <w:p w14:paraId="660B9045">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val="en-US" w:eastAsia="zh-CN"/>
              </w:rPr>
              <w:t>/</w:t>
            </w:r>
          </w:p>
        </w:tc>
      </w:tr>
      <w:tr w14:paraId="4275C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6627AD89">
            <w:pPr>
              <w:spacing w:line="300" w:lineRule="exact"/>
              <w:jc w:val="center"/>
              <w:rPr>
                <w:rFonts w:hint="eastAsia" w:ascii="Arial" w:hAnsi="Arial" w:cs="Arial"/>
                <w:color w:val="auto"/>
                <w:sz w:val="22"/>
              </w:rPr>
            </w:pPr>
            <w:r>
              <w:rPr>
                <w:rFonts w:hint="eastAsia" w:ascii="Arial" w:hAnsi="Arial" w:cs="Arial"/>
                <w:color w:val="auto"/>
                <w:sz w:val="22"/>
              </w:rPr>
              <w:t>18</w:t>
            </w:r>
          </w:p>
        </w:tc>
        <w:tc>
          <w:tcPr>
            <w:tcW w:w="2483" w:type="dxa"/>
            <w:shd w:val="clear" w:color="auto" w:fill="auto"/>
            <w:noWrap w:val="0"/>
            <w:vAlign w:val="center"/>
          </w:tcPr>
          <w:p w14:paraId="493515B6">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Se（mg/L）</w:t>
            </w:r>
          </w:p>
        </w:tc>
        <w:tc>
          <w:tcPr>
            <w:tcW w:w="1359" w:type="dxa"/>
            <w:shd w:val="clear" w:color="auto" w:fill="auto"/>
            <w:noWrap w:val="0"/>
            <w:vAlign w:val="center"/>
          </w:tcPr>
          <w:p w14:paraId="4EABF20F">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0.0008</w:t>
            </w:r>
          </w:p>
        </w:tc>
        <w:tc>
          <w:tcPr>
            <w:tcW w:w="1287" w:type="dxa"/>
            <w:shd w:val="clear" w:color="auto" w:fill="auto"/>
            <w:noWrap w:val="0"/>
            <w:vAlign w:val="center"/>
          </w:tcPr>
          <w:p w14:paraId="2FF0DDF3">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0.01</w:t>
            </w:r>
          </w:p>
        </w:tc>
        <w:tc>
          <w:tcPr>
            <w:tcW w:w="1170" w:type="dxa"/>
            <w:shd w:val="clear" w:color="auto" w:fill="auto"/>
            <w:noWrap w:val="0"/>
            <w:vAlign w:val="center"/>
          </w:tcPr>
          <w:p w14:paraId="44BF94C9">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0.08</w:t>
            </w:r>
          </w:p>
        </w:tc>
        <w:tc>
          <w:tcPr>
            <w:tcW w:w="1419" w:type="dxa"/>
            <w:shd w:val="clear" w:color="auto" w:fill="auto"/>
            <w:noWrap w:val="0"/>
            <w:vAlign w:val="center"/>
          </w:tcPr>
          <w:p w14:paraId="4751CDC8">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eastAsia="zh-CN"/>
              </w:rPr>
              <w:t>否</w:t>
            </w:r>
          </w:p>
        </w:tc>
      </w:tr>
      <w:tr w14:paraId="4291F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650BE155">
            <w:pPr>
              <w:spacing w:line="300" w:lineRule="exact"/>
              <w:jc w:val="center"/>
              <w:rPr>
                <w:rFonts w:hint="eastAsia" w:ascii="Arial" w:hAnsi="Arial" w:cs="Arial"/>
                <w:color w:val="auto"/>
                <w:sz w:val="22"/>
              </w:rPr>
            </w:pPr>
            <w:r>
              <w:rPr>
                <w:rFonts w:hint="eastAsia" w:ascii="Arial" w:hAnsi="Arial" w:cs="Arial"/>
                <w:color w:val="auto"/>
                <w:sz w:val="22"/>
              </w:rPr>
              <w:t>19</w:t>
            </w:r>
          </w:p>
        </w:tc>
        <w:tc>
          <w:tcPr>
            <w:tcW w:w="2483" w:type="dxa"/>
            <w:shd w:val="clear" w:color="auto" w:fill="auto"/>
            <w:noWrap w:val="0"/>
            <w:vAlign w:val="center"/>
          </w:tcPr>
          <w:p w14:paraId="581D0A9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As（mg/L）</w:t>
            </w:r>
          </w:p>
        </w:tc>
        <w:tc>
          <w:tcPr>
            <w:tcW w:w="1359" w:type="dxa"/>
            <w:shd w:val="clear" w:color="auto" w:fill="auto"/>
            <w:noWrap w:val="0"/>
            <w:vAlign w:val="center"/>
          </w:tcPr>
          <w:p w14:paraId="2DB074AE">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0.0002</w:t>
            </w:r>
          </w:p>
        </w:tc>
        <w:tc>
          <w:tcPr>
            <w:tcW w:w="1287" w:type="dxa"/>
            <w:shd w:val="clear" w:color="auto" w:fill="auto"/>
            <w:noWrap w:val="0"/>
            <w:vAlign w:val="center"/>
          </w:tcPr>
          <w:p w14:paraId="5A060E7B">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0.05</w:t>
            </w:r>
          </w:p>
        </w:tc>
        <w:tc>
          <w:tcPr>
            <w:tcW w:w="1170" w:type="dxa"/>
            <w:shd w:val="clear" w:color="auto" w:fill="auto"/>
            <w:noWrap w:val="0"/>
            <w:vAlign w:val="center"/>
          </w:tcPr>
          <w:p w14:paraId="5883AE05">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67558F1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58A88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1D0FAD99">
            <w:pPr>
              <w:spacing w:line="300" w:lineRule="exact"/>
              <w:jc w:val="center"/>
              <w:rPr>
                <w:rFonts w:hint="eastAsia" w:ascii="Arial" w:hAnsi="Arial" w:cs="Arial"/>
                <w:color w:val="auto"/>
                <w:sz w:val="22"/>
              </w:rPr>
            </w:pPr>
            <w:r>
              <w:rPr>
                <w:rFonts w:hint="eastAsia" w:ascii="Arial" w:hAnsi="Arial" w:cs="Arial"/>
                <w:color w:val="auto"/>
                <w:sz w:val="22"/>
              </w:rPr>
              <w:t>20</w:t>
            </w:r>
          </w:p>
        </w:tc>
        <w:tc>
          <w:tcPr>
            <w:tcW w:w="2483" w:type="dxa"/>
            <w:shd w:val="clear" w:color="auto" w:fill="auto"/>
            <w:noWrap w:val="0"/>
            <w:vAlign w:val="center"/>
          </w:tcPr>
          <w:p w14:paraId="559E79BD">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Hg（mg/L）</w:t>
            </w:r>
          </w:p>
        </w:tc>
        <w:tc>
          <w:tcPr>
            <w:tcW w:w="1359" w:type="dxa"/>
            <w:shd w:val="clear" w:color="auto" w:fill="auto"/>
            <w:noWrap w:val="0"/>
            <w:vAlign w:val="center"/>
          </w:tcPr>
          <w:p w14:paraId="63C1473C">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0.00001</w:t>
            </w:r>
          </w:p>
        </w:tc>
        <w:tc>
          <w:tcPr>
            <w:tcW w:w="1287" w:type="dxa"/>
            <w:shd w:val="clear" w:color="auto" w:fill="auto"/>
            <w:noWrap w:val="0"/>
            <w:vAlign w:val="center"/>
          </w:tcPr>
          <w:p w14:paraId="5A0AC250">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rPr>
              <w:t>0.00005</w:t>
            </w:r>
          </w:p>
        </w:tc>
        <w:tc>
          <w:tcPr>
            <w:tcW w:w="1170" w:type="dxa"/>
            <w:shd w:val="clear" w:color="auto" w:fill="auto"/>
            <w:noWrap w:val="0"/>
            <w:vAlign w:val="center"/>
          </w:tcPr>
          <w:p w14:paraId="491ED39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63FB7DCC">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39E1E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484EFECD">
            <w:pPr>
              <w:spacing w:line="300" w:lineRule="exact"/>
              <w:jc w:val="center"/>
              <w:rPr>
                <w:rFonts w:hint="eastAsia" w:ascii="Arial" w:hAnsi="Arial" w:cs="Arial"/>
                <w:color w:val="auto"/>
                <w:sz w:val="22"/>
              </w:rPr>
            </w:pPr>
            <w:r>
              <w:rPr>
                <w:rFonts w:hint="eastAsia" w:ascii="Arial" w:hAnsi="Arial" w:cs="Arial"/>
                <w:color w:val="auto"/>
                <w:sz w:val="22"/>
              </w:rPr>
              <w:t>21</w:t>
            </w:r>
          </w:p>
        </w:tc>
        <w:tc>
          <w:tcPr>
            <w:tcW w:w="2483" w:type="dxa"/>
            <w:shd w:val="clear" w:color="auto" w:fill="auto"/>
            <w:noWrap w:val="0"/>
            <w:vAlign w:val="center"/>
          </w:tcPr>
          <w:p w14:paraId="7CDE3072">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氟化物（mg/L）</w:t>
            </w:r>
          </w:p>
        </w:tc>
        <w:tc>
          <w:tcPr>
            <w:tcW w:w="1359" w:type="dxa"/>
            <w:shd w:val="clear" w:color="auto" w:fill="auto"/>
            <w:noWrap w:val="0"/>
            <w:vAlign w:val="center"/>
          </w:tcPr>
          <w:p w14:paraId="22FDC616">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0.218</w:t>
            </w:r>
          </w:p>
        </w:tc>
        <w:tc>
          <w:tcPr>
            <w:tcW w:w="1287" w:type="dxa"/>
            <w:shd w:val="clear" w:color="auto" w:fill="auto"/>
            <w:noWrap w:val="0"/>
            <w:vAlign w:val="center"/>
          </w:tcPr>
          <w:p w14:paraId="359FD23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1.0</w:t>
            </w:r>
          </w:p>
        </w:tc>
        <w:tc>
          <w:tcPr>
            <w:tcW w:w="1170" w:type="dxa"/>
            <w:shd w:val="clear" w:color="auto" w:fill="auto"/>
            <w:noWrap w:val="0"/>
            <w:vAlign w:val="center"/>
          </w:tcPr>
          <w:p w14:paraId="27CBF38A">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0.218</w:t>
            </w:r>
          </w:p>
        </w:tc>
        <w:tc>
          <w:tcPr>
            <w:tcW w:w="1419" w:type="dxa"/>
            <w:shd w:val="clear" w:color="auto" w:fill="auto"/>
            <w:noWrap w:val="0"/>
            <w:vAlign w:val="center"/>
          </w:tcPr>
          <w:p w14:paraId="5E082192">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5D372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58" w:hRule="atLeast"/>
          <w:jc w:val="center"/>
        </w:trPr>
        <w:tc>
          <w:tcPr>
            <w:tcW w:w="919" w:type="dxa"/>
            <w:noWrap w:val="0"/>
            <w:vAlign w:val="center"/>
          </w:tcPr>
          <w:p w14:paraId="1EF3C18A">
            <w:pPr>
              <w:spacing w:line="300" w:lineRule="exact"/>
              <w:jc w:val="center"/>
              <w:rPr>
                <w:rFonts w:hint="eastAsia" w:ascii="Arial" w:hAnsi="Arial" w:cs="Arial"/>
                <w:color w:val="auto"/>
                <w:sz w:val="22"/>
              </w:rPr>
            </w:pPr>
            <w:r>
              <w:rPr>
                <w:rFonts w:hint="eastAsia" w:ascii="Arial" w:hAnsi="Arial" w:cs="Arial"/>
                <w:color w:val="auto"/>
                <w:sz w:val="22"/>
              </w:rPr>
              <w:t>22</w:t>
            </w:r>
          </w:p>
        </w:tc>
        <w:tc>
          <w:tcPr>
            <w:tcW w:w="2483" w:type="dxa"/>
            <w:shd w:val="clear" w:color="auto" w:fill="auto"/>
            <w:noWrap w:val="0"/>
            <w:vAlign w:val="center"/>
          </w:tcPr>
          <w:p w14:paraId="3561E86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硫酸盐（mg/L）</w:t>
            </w:r>
          </w:p>
        </w:tc>
        <w:tc>
          <w:tcPr>
            <w:tcW w:w="1359" w:type="dxa"/>
            <w:shd w:val="clear" w:color="auto" w:fill="auto"/>
            <w:noWrap w:val="0"/>
            <w:vAlign w:val="center"/>
          </w:tcPr>
          <w:p w14:paraId="39BE139E">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26.6</w:t>
            </w:r>
          </w:p>
        </w:tc>
        <w:tc>
          <w:tcPr>
            <w:tcW w:w="1287" w:type="dxa"/>
            <w:shd w:val="clear" w:color="auto" w:fill="auto"/>
            <w:noWrap w:val="0"/>
            <w:vAlign w:val="center"/>
          </w:tcPr>
          <w:p w14:paraId="52B86557">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250</w:t>
            </w:r>
          </w:p>
        </w:tc>
        <w:tc>
          <w:tcPr>
            <w:tcW w:w="1170" w:type="dxa"/>
            <w:shd w:val="clear" w:color="auto" w:fill="auto"/>
            <w:noWrap w:val="0"/>
            <w:vAlign w:val="center"/>
          </w:tcPr>
          <w:p w14:paraId="73B8B5B8">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0.106</w:t>
            </w:r>
          </w:p>
        </w:tc>
        <w:tc>
          <w:tcPr>
            <w:tcW w:w="1419" w:type="dxa"/>
            <w:shd w:val="clear" w:color="auto" w:fill="auto"/>
            <w:noWrap w:val="0"/>
            <w:vAlign w:val="center"/>
          </w:tcPr>
          <w:p w14:paraId="47CD83CB">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6FACD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37F829DB">
            <w:pPr>
              <w:spacing w:line="300" w:lineRule="exact"/>
              <w:jc w:val="center"/>
              <w:rPr>
                <w:rFonts w:hint="eastAsia" w:ascii="Arial" w:hAnsi="Arial" w:cs="Arial"/>
                <w:color w:val="auto"/>
                <w:sz w:val="22"/>
              </w:rPr>
            </w:pPr>
            <w:r>
              <w:rPr>
                <w:rFonts w:hint="eastAsia" w:ascii="Arial" w:hAnsi="Arial" w:cs="Arial"/>
                <w:color w:val="auto"/>
                <w:sz w:val="22"/>
              </w:rPr>
              <w:t>23</w:t>
            </w:r>
          </w:p>
        </w:tc>
        <w:tc>
          <w:tcPr>
            <w:tcW w:w="2483" w:type="dxa"/>
            <w:shd w:val="clear" w:color="auto" w:fill="auto"/>
            <w:noWrap w:val="0"/>
            <w:vAlign w:val="center"/>
          </w:tcPr>
          <w:p w14:paraId="3BC2AC56">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氯化物（mg/L）</w:t>
            </w:r>
          </w:p>
        </w:tc>
        <w:tc>
          <w:tcPr>
            <w:tcW w:w="1359" w:type="dxa"/>
            <w:shd w:val="clear" w:color="auto" w:fill="auto"/>
            <w:noWrap w:val="0"/>
            <w:vAlign w:val="center"/>
          </w:tcPr>
          <w:p w14:paraId="760B999E">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6.05</w:t>
            </w:r>
          </w:p>
        </w:tc>
        <w:tc>
          <w:tcPr>
            <w:tcW w:w="1287" w:type="dxa"/>
            <w:shd w:val="clear" w:color="auto" w:fill="auto"/>
            <w:noWrap w:val="0"/>
            <w:vAlign w:val="center"/>
          </w:tcPr>
          <w:p w14:paraId="150FC184">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250</w:t>
            </w:r>
          </w:p>
        </w:tc>
        <w:tc>
          <w:tcPr>
            <w:tcW w:w="1170" w:type="dxa"/>
            <w:shd w:val="clear" w:color="auto" w:fill="auto"/>
            <w:noWrap w:val="0"/>
            <w:vAlign w:val="center"/>
          </w:tcPr>
          <w:p w14:paraId="158BFDB3">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0.024</w:t>
            </w:r>
          </w:p>
        </w:tc>
        <w:tc>
          <w:tcPr>
            <w:tcW w:w="1419" w:type="dxa"/>
            <w:shd w:val="clear" w:color="auto" w:fill="auto"/>
            <w:noWrap w:val="0"/>
            <w:vAlign w:val="center"/>
          </w:tcPr>
          <w:p w14:paraId="256C2B2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5F68A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919" w:type="dxa"/>
            <w:noWrap w:val="0"/>
            <w:vAlign w:val="center"/>
          </w:tcPr>
          <w:p w14:paraId="44CA8529">
            <w:pPr>
              <w:spacing w:line="300" w:lineRule="exact"/>
              <w:jc w:val="center"/>
              <w:rPr>
                <w:rFonts w:hint="eastAsia" w:ascii="Arial" w:hAnsi="Arial" w:cs="Arial"/>
                <w:color w:val="auto"/>
                <w:sz w:val="22"/>
              </w:rPr>
            </w:pPr>
            <w:r>
              <w:rPr>
                <w:rFonts w:hint="eastAsia" w:ascii="Arial" w:hAnsi="Arial" w:cs="Arial"/>
                <w:color w:val="auto"/>
                <w:sz w:val="22"/>
              </w:rPr>
              <w:t>24</w:t>
            </w:r>
          </w:p>
        </w:tc>
        <w:tc>
          <w:tcPr>
            <w:tcW w:w="2483" w:type="dxa"/>
            <w:shd w:val="clear" w:color="auto" w:fill="auto"/>
            <w:noWrap w:val="0"/>
            <w:vAlign w:val="center"/>
          </w:tcPr>
          <w:p w14:paraId="4514050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硝酸盐（mg/L）</w:t>
            </w:r>
          </w:p>
        </w:tc>
        <w:tc>
          <w:tcPr>
            <w:tcW w:w="1359" w:type="dxa"/>
            <w:shd w:val="clear" w:color="auto" w:fill="auto"/>
            <w:noWrap w:val="0"/>
            <w:vAlign w:val="center"/>
          </w:tcPr>
          <w:p w14:paraId="2A9B1180">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0.19</w:t>
            </w:r>
          </w:p>
        </w:tc>
        <w:tc>
          <w:tcPr>
            <w:tcW w:w="1287" w:type="dxa"/>
            <w:shd w:val="clear" w:color="auto" w:fill="auto"/>
            <w:noWrap w:val="0"/>
            <w:vAlign w:val="center"/>
          </w:tcPr>
          <w:p w14:paraId="69C70FA9">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10</w:t>
            </w:r>
          </w:p>
        </w:tc>
        <w:tc>
          <w:tcPr>
            <w:tcW w:w="1170" w:type="dxa"/>
            <w:shd w:val="clear" w:color="auto" w:fill="auto"/>
            <w:noWrap w:val="0"/>
            <w:vAlign w:val="center"/>
          </w:tcPr>
          <w:p w14:paraId="492ECE89">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0.019</w:t>
            </w:r>
          </w:p>
        </w:tc>
        <w:tc>
          <w:tcPr>
            <w:tcW w:w="1419" w:type="dxa"/>
            <w:shd w:val="clear" w:color="auto" w:fill="auto"/>
            <w:noWrap w:val="0"/>
            <w:vAlign w:val="center"/>
          </w:tcPr>
          <w:p w14:paraId="1DAFA818">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bl>
    <w:p w14:paraId="0813F4E1">
      <w:pPr>
        <w:spacing w:line="240" w:lineRule="exact"/>
        <w:ind w:firstLine="522"/>
        <w:rPr>
          <w:rFonts w:hint="eastAsia" w:ascii="Arial" w:cs="Arial"/>
          <w:color w:val="auto"/>
          <w:sz w:val="26"/>
          <w:szCs w:val="26"/>
        </w:rPr>
      </w:pPr>
    </w:p>
    <w:p w14:paraId="4FE0B17B">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cs="Arial"/>
          <w:b w:val="0"/>
          <w:bCs/>
          <w:color w:val="auto"/>
          <w:sz w:val="26"/>
          <w:szCs w:val="26"/>
          <w:lang w:val="en-US" w:eastAsia="zh-CN"/>
        </w:rPr>
      </w:pPr>
      <w:r>
        <w:rPr>
          <w:rFonts w:hint="eastAsia" w:ascii="Arial" w:cs="Arial"/>
          <w:b w:val="0"/>
          <w:bCs/>
          <w:color w:val="auto"/>
          <w:sz w:val="26"/>
          <w:szCs w:val="26"/>
        </w:rPr>
        <w:t>由表4.</w:t>
      </w:r>
      <w:r>
        <w:rPr>
          <w:rFonts w:hint="eastAsia" w:ascii="Arial" w:cs="Arial"/>
          <w:b w:val="0"/>
          <w:bCs/>
          <w:color w:val="auto"/>
          <w:sz w:val="26"/>
          <w:szCs w:val="26"/>
          <w:lang w:val="en-US" w:eastAsia="zh-CN"/>
        </w:rPr>
        <w:t>3</w:t>
      </w:r>
      <w:r>
        <w:rPr>
          <w:rFonts w:hint="eastAsia" w:ascii="Arial" w:cs="Arial"/>
          <w:b w:val="0"/>
          <w:bCs/>
          <w:color w:val="auto"/>
          <w:sz w:val="26"/>
          <w:szCs w:val="26"/>
        </w:rPr>
        <w:t>-</w:t>
      </w:r>
      <w:r>
        <w:rPr>
          <w:rFonts w:hint="eastAsia" w:ascii="Arial" w:cs="Arial"/>
          <w:b w:val="0"/>
          <w:bCs/>
          <w:color w:val="auto"/>
          <w:sz w:val="26"/>
          <w:szCs w:val="26"/>
          <w:lang w:val="en-US" w:eastAsia="zh-CN"/>
        </w:rPr>
        <w:t>7</w:t>
      </w:r>
      <w:r>
        <w:rPr>
          <w:rFonts w:hint="eastAsia" w:ascii="Arial" w:cs="Arial"/>
          <w:b w:val="0"/>
          <w:bCs/>
          <w:color w:val="auto"/>
          <w:sz w:val="26"/>
          <w:szCs w:val="26"/>
        </w:rPr>
        <w:t>可知，</w:t>
      </w:r>
      <w:r>
        <w:rPr>
          <w:rFonts w:hint="eastAsia" w:ascii="Arial" w:cs="Arial"/>
          <w:b w:val="0"/>
          <w:bCs/>
          <w:color w:val="auto"/>
          <w:sz w:val="26"/>
          <w:szCs w:val="26"/>
          <w:lang w:eastAsia="zh-CN"/>
        </w:rPr>
        <w:t>海螺沟水库</w:t>
      </w:r>
      <w:r>
        <w:rPr>
          <w:rFonts w:hint="eastAsia" w:ascii="Arial" w:cs="Arial"/>
          <w:b w:val="0"/>
          <w:bCs/>
          <w:color w:val="auto"/>
          <w:sz w:val="26"/>
          <w:szCs w:val="26"/>
        </w:rPr>
        <w:t>库区内各项水质监测因子</w:t>
      </w:r>
      <w:r>
        <w:rPr>
          <w:rFonts w:hint="eastAsia" w:ascii="Arial" w:cs="Arial"/>
          <w:b w:val="0"/>
          <w:bCs/>
          <w:color w:val="auto"/>
          <w:sz w:val="26"/>
          <w:szCs w:val="26"/>
          <w:lang w:eastAsia="zh-CN"/>
        </w:rPr>
        <w:t>除高锰酸盐指数外，其余各监测因子</w:t>
      </w:r>
      <w:r>
        <w:rPr>
          <w:rFonts w:hint="eastAsia" w:ascii="Arial" w:cs="Arial"/>
          <w:b w:val="0"/>
          <w:bCs/>
          <w:color w:val="auto"/>
          <w:sz w:val="26"/>
          <w:szCs w:val="26"/>
        </w:rPr>
        <w:t>浓度均满足《地表水环境质量标准》（GB3838-2002）中Ⅱ类标准要求</w:t>
      </w:r>
      <w:r>
        <w:rPr>
          <w:rFonts w:hint="eastAsia" w:ascii="Arial" w:cs="Arial"/>
          <w:b w:val="0"/>
          <w:bCs/>
          <w:color w:val="auto"/>
          <w:sz w:val="26"/>
          <w:szCs w:val="26"/>
          <w:lang w:eastAsia="zh-CN"/>
        </w:rPr>
        <w:t>。高锰酸盐指数超标原因主要为枯水期</w:t>
      </w:r>
      <w:r>
        <w:rPr>
          <w:rFonts w:hint="eastAsia" w:ascii="Arial" w:cs="Arial"/>
          <w:b w:val="0"/>
          <w:bCs/>
          <w:color w:val="auto"/>
          <w:sz w:val="26"/>
          <w:szCs w:val="26"/>
        </w:rPr>
        <w:t>农村</w:t>
      </w:r>
      <w:r>
        <w:rPr>
          <w:rFonts w:hint="eastAsia" w:ascii="Arial" w:cs="Arial"/>
          <w:b w:val="0"/>
          <w:bCs/>
          <w:color w:val="auto"/>
          <w:sz w:val="26"/>
          <w:szCs w:val="26"/>
          <w:lang w:eastAsia="zh-CN"/>
        </w:rPr>
        <w:t>居民</w:t>
      </w:r>
      <w:r>
        <w:rPr>
          <w:rFonts w:hint="eastAsia" w:ascii="Arial" w:cs="Arial"/>
          <w:b w:val="0"/>
          <w:bCs/>
          <w:color w:val="auto"/>
          <w:sz w:val="26"/>
          <w:szCs w:val="26"/>
        </w:rPr>
        <w:t>散排污水和</w:t>
      </w:r>
      <w:r>
        <w:rPr>
          <w:rFonts w:hint="eastAsia" w:ascii="Arial" w:cs="Arial"/>
          <w:b w:val="0"/>
          <w:bCs/>
          <w:color w:val="auto"/>
          <w:sz w:val="26"/>
          <w:szCs w:val="26"/>
          <w:lang w:eastAsia="zh-CN"/>
        </w:rPr>
        <w:t>耕地灌溉退水</w:t>
      </w:r>
      <w:r>
        <w:rPr>
          <w:rFonts w:hint="eastAsia" w:ascii="Arial" w:cs="Arial"/>
          <w:b w:val="0"/>
          <w:bCs/>
          <w:color w:val="auto"/>
          <w:sz w:val="26"/>
          <w:szCs w:val="26"/>
        </w:rPr>
        <w:t>等农村面源污染导致</w:t>
      </w:r>
      <w:r>
        <w:rPr>
          <w:rFonts w:hint="eastAsia" w:ascii="Arial" w:cs="Arial"/>
          <w:b w:val="0"/>
          <w:bCs/>
          <w:color w:val="auto"/>
          <w:sz w:val="26"/>
          <w:szCs w:val="26"/>
          <w:lang w:eastAsia="zh-CN"/>
        </w:rPr>
        <w:t>，项目实施后，</w:t>
      </w:r>
      <w:r>
        <w:rPr>
          <w:rFonts w:hint="eastAsia" w:ascii="Arial" w:cs="Arial"/>
          <w:b w:val="0"/>
          <w:bCs/>
          <w:color w:val="auto"/>
          <w:sz w:val="26"/>
          <w:szCs w:val="26"/>
        </w:rPr>
        <w:t>通过</w:t>
      </w:r>
      <w:r>
        <w:rPr>
          <w:rFonts w:hint="eastAsia" w:ascii="Arial" w:cs="Arial"/>
          <w:b w:val="0"/>
          <w:bCs/>
          <w:color w:val="auto"/>
          <w:sz w:val="26"/>
          <w:szCs w:val="26"/>
          <w:lang w:eastAsia="zh-CN"/>
        </w:rPr>
        <w:t>划定饮用水水源保护区，</w:t>
      </w:r>
      <w:r>
        <w:rPr>
          <w:rFonts w:hint="eastAsia" w:ascii="Arial" w:cs="Arial"/>
          <w:b w:val="0"/>
          <w:bCs/>
          <w:color w:val="auto"/>
          <w:sz w:val="26"/>
          <w:szCs w:val="26"/>
        </w:rPr>
        <w:t>加强</w:t>
      </w:r>
      <w:r>
        <w:rPr>
          <w:rFonts w:hint="eastAsia" w:ascii="Arial" w:cs="Arial"/>
          <w:b w:val="0"/>
          <w:bCs/>
          <w:color w:val="auto"/>
          <w:sz w:val="26"/>
          <w:szCs w:val="26"/>
          <w:lang w:eastAsia="zh-CN"/>
        </w:rPr>
        <w:t>水源地</w:t>
      </w:r>
      <w:r>
        <w:rPr>
          <w:rFonts w:hint="eastAsia" w:ascii="Arial" w:cs="Arial"/>
          <w:b w:val="0"/>
          <w:bCs/>
          <w:color w:val="auto"/>
          <w:sz w:val="26"/>
          <w:szCs w:val="26"/>
        </w:rPr>
        <w:t>保护，推进农村生活污水处理，可以有效控制</w:t>
      </w:r>
      <w:r>
        <w:rPr>
          <w:rFonts w:hint="eastAsia" w:ascii="Arial" w:cs="Arial"/>
          <w:b w:val="0"/>
          <w:bCs/>
          <w:color w:val="auto"/>
          <w:sz w:val="26"/>
          <w:szCs w:val="26"/>
          <w:lang w:eastAsia="zh-CN"/>
        </w:rPr>
        <w:t>海螺沟</w:t>
      </w:r>
      <w:r>
        <w:rPr>
          <w:rFonts w:hint="eastAsia" w:ascii="Arial" w:cs="Arial"/>
          <w:b w:val="0"/>
          <w:bCs/>
          <w:color w:val="auto"/>
          <w:sz w:val="26"/>
          <w:szCs w:val="26"/>
        </w:rPr>
        <w:t>流域两岸的农村面源污染情况。</w:t>
      </w:r>
      <w:r>
        <w:rPr>
          <w:rFonts w:hint="eastAsia" w:ascii="Arial" w:cs="Arial"/>
          <w:b w:val="0"/>
          <w:bCs/>
          <w:color w:val="auto"/>
          <w:sz w:val="26"/>
          <w:szCs w:val="26"/>
          <w:lang w:eastAsia="zh-CN"/>
        </w:rPr>
        <w:t>由此可见，本项目</w:t>
      </w:r>
      <w:r>
        <w:rPr>
          <w:rFonts w:hint="eastAsia" w:ascii="Arial" w:cs="Arial"/>
          <w:b w:val="0"/>
          <w:bCs/>
          <w:color w:val="auto"/>
          <w:sz w:val="26"/>
          <w:szCs w:val="26"/>
        </w:rPr>
        <w:t>水源地选择</w:t>
      </w:r>
      <w:r>
        <w:rPr>
          <w:rFonts w:hint="eastAsia" w:ascii="Arial" w:cs="Arial"/>
          <w:b w:val="0"/>
          <w:bCs/>
          <w:color w:val="auto"/>
          <w:sz w:val="26"/>
          <w:szCs w:val="26"/>
          <w:lang w:eastAsia="zh-CN"/>
        </w:rPr>
        <w:t>总体</w:t>
      </w:r>
      <w:r>
        <w:rPr>
          <w:rFonts w:hint="eastAsia" w:ascii="Arial" w:cs="Arial"/>
          <w:b w:val="0"/>
          <w:bCs/>
          <w:color w:val="auto"/>
          <w:sz w:val="26"/>
          <w:szCs w:val="26"/>
        </w:rPr>
        <w:t>可行。</w:t>
      </w:r>
    </w:p>
    <w:p w14:paraId="36C63262">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val="0"/>
          <w:sz w:val="26"/>
          <w:szCs w:val="26"/>
          <w:lang w:val="en-US" w:eastAsia="zh-CN"/>
        </w:rPr>
      </w:pPr>
      <w:r>
        <w:rPr>
          <w:rFonts w:hint="default" w:ascii="Arial" w:hAnsi="Arial" w:cs="Arial"/>
          <w:b/>
          <w:bCs w:val="0"/>
          <w:sz w:val="26"/>
          <w:szCs w:val="26"/>
          <w:lang w:val="en-US" w:eastAsia="zh-CN"/>
        </w:rPr>
        <w:t>4.</w:t>
      </w:r>
      <w:r>
        <w:rPr>
          <w:rFonts w:hint="eastAsia" w:ascii="Arial" w:hAnsi="Arial" w:cs="Arial"/>
          <w:b/>
          <w:bCs w:val="0"/>
          <w:sz w:val="26"/>
          <w:szCs w:val="26"/>
          <w:lang w:val="en-US" w:eastAsia="zh-CN"/>
        </w:rPr>
        <w:t>3.3</w:t>
      </w:r>
      <w:r>
        <w:rPr>
          <w:rFonts w:hint="default" w:ascii="Arial" w:hAnsi="Arial" w:cs="Arial"/>
          <w:b/>
          <w:bCs w:val="0"/>
          <w:sz w:val="26"/>
          <w:szCs w:val="26"/>
          <w:lang w:val="en-US" w:eastAsia="zh-CN"/>
        </w:rPr>
        <w:t>声环境质量现状与评价</w:t>
      </w:r>
      <w:bookmarkEnd w:id="94"/>
      <w:bookmarkEnd w:id="95"/>
    </w:p>
    <w:p w14:paraId="55CDF525">
      <w:pPr>
        <w:keepNext w:val="0"/>
        <w:keepLines w:val="0"/>
        <w:pageBreakBefore w:val="0"/>
        <w:widowControl w:val="0"/>
        <w:kinsoku/>
        <w:wordWrap/>
        <w:overflowPunct/>
        <w:topLinePunct w:val="0"/>
        <w:autoSpaceDE/>
        <w:autoSpaceDN/>
        <w:bidi w:val="0"/>
        <w:spacing w:line="460" w:lineRule="exact"/>
        <w:ind w:firstLine="480"/>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本项目枢纽工程选址位于双龙镇田家山村，为农村地区，</w:t>
      </w:r>
      <w:r>
        <w:rPr>
          <w:rFonts w:hint="eastAsia" w:ascii="Arial" w:cs="Arial"/>
          <w:sz w:val="26"/>
          <w:szCs w:val="26"/>
        </w:rPr>
        <w:t>执行《声环境质量标准》（</w:t>
      </w:r>
      <w:r>
        <w:rPr>
          <w:rFonts w:ascii="Arial" w:cs="Arial"/>
          <w:sz w:val="26"/>
          <w:szCs w:val="26"/>
        </w:rPr>
        <w:t>GB3096-2008</w:t>
      </w:r>
      <w:r>
        <w:rPr>
          <w:rFonts w:hint="eastAsia" w:ascii="Arial" w:cs="Arial"/>
          <w:sz w:val="26"/>
          <w:szCs w:val="26"/>
        </w:rPr>
        <w:t>）中的</w:t>
      </w:r>
      <w:r>
        <w:rPr>
          <w:rFonts w:hint="eastAsia" w:ascii="Arial" w:cs="Arial"/>
          <w:sz w:val="26"/>
          <w:szCs w:val="26"/>
          <w:lang w:val="en-US" w:eastAsia="zh-CN"/>
        </w:rPr>
        <w:t>1</w:t>
      </w:r>
      <w:r>
        <w:rPr>
          <w:rFonts w:hint="eastAsia" w:ascii="Arial" w:cs="Arial"/>
          <w:sz w:val="26"/>
          <w:szCs w:val="26"/>
        </w:rPr>
        <w:t>类标准</w:t>
      </w:r>
      <w:r>
        <w:rPr>
          <w:rFonts w:hint="eastAsia" w:ascii="Arial" w:cs="Arial"/>
          <w:sz w:val="26"/>
          <w:szCs w:val="26"/>
          <w:lang w:eastAsia="zh-CN"/>
        </w:rPr>
        <w:t>；输水管线沿线多有交通干线分布，</w:t>
      </w:r>
      <w:r>
        <w:rPr>
          <w:rFonts w:hint="eastAsia" w:ascii="Arial" w:cs="Arial"/>
          <w:sz w:val="26"/>
          <w:szCs w:val="26"/>
        </w:rPr>
        <w:t>执行《声环境质量标准》（</w:t>
      </w:r>
      <w:r>
        <w:rPr>
          <w:rFonts w:ascii="Arial" w:cs="Arial"/>
          <w:sz w:val="26"/>
          <w:szCs w:val="26"/>
        </w:rPr>
        <w:t>GB3096-2008</w:t>
      </w:r>
      <w:r>
        <w:rPr>
          <w:rFonts w:hint="eastAsia" w:ascii="Arial" w:cs="Arial"/>
          <w:sz w:val="26"/>
          <w:szCs w:val="26"/>
        </w:rPr>
        <w:t>）中的</w:t>
      </w:r>
      <w:r>
        <w:rPr>
          <w:rFonts w:hint="eastAsia" w:ascii="Arial" w:cs="Arial"/>
          <w:sz w:val="26"/>
          <w:szCs w:val="26"/>
          <w:lang w:val="en-US" w:eastAsia="zh-CN"/>
        </w:rPr>
        <w:t>2</w:t>
      </w:r>
      <w:r>
        <w:rPr>
          <w:rFonts w:hint="eastAsia" w:ascii="Arial" w:cs="Arial"/>
          <w:sz w:val="26"/>
          <w:szCs w:val="26"/>
        </w:rPr>
        <w:t>类标准</w:t>
      </w:r>
      <w:r>
        <w:rPr>
          <w:rFonts w:hint="eastAsia" w:ascii="Arial" w:cs="Arial"/>
          <w:sz w:val="26"/>
          <w:szCs w:val="26"/>
          <w:lang w:eastAsia="zh-CN"/>
        </w:rPr>
        <w:t>。</w:t>
      </w:r>
      <w:r>
        <w:rPr>
          <w:rFonts w:hint="eastAsia" w:ascii="Arial" w:hAnsi="Arial" w:cs="Arial"/>
          <w:b w:val="0"/>
          <w:color w:val="auto"/>
          <w:kern w:val="2"/>
          <w:sz w:val="26"/>
          <w:szCs w:val="26"/>
          <w:lang w:val="en-US" w:eastAsia="zh-CN" w:bidi="ar-SA"/>
        </w:rPr>
        <w:t>为了解项目区域声环境质量现状，本次评价委托重庆国环环境监测有限公司对枢纽工程所在地及输水管线沿线进行了声环境质量现状监测，监测情况如下：</w:t>
      </w:r>
    </w:p>
    <w:p w14:paraId="3A5F402B">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（1）监测布点</w:t>
      </w:r>
    </w:p>
    <w:p w14:paraId="66805744">
      <w:pPr>
        <w:spacing w:line="460" w:lineRule="exact"/>
        <w:ind w:firstLine="520"/>
        <w:rPr>
          <w:rFonts w:hint="eastAsia" w:ascii="Arial" w:hAnsi="宋体" w:cs="Arial"/>
          <w:sz w:val="26"/>
          <w:szCs w:val="26"/>
        </w:rPr>
      </w:pPr>
      <w:r>
        <w:rPr>
          <w:rFonts w:hint="eastAsia" w:ascii="Arial" w:hAnsi="宋体" w:cs="Arial"/>
          <w:b/>
          <w:sz w:val="26"/>
          <w:szCs w:val="26"/>
        </w:rPr>
        <w:t>监测项目：</w:t>
      </w:r>
      <w:r>
        <w:rPr>
          <w:rFonts w:hint="eastAsia" w:ascii="Arial" w:hAnsi="宋体" w:cs="Arial"/>
          <w:sz w:val="26"/>
          <w:szCs w:val="26"/>
        </w:rPr>
        <w:t>等效连续A声级。</w:t>
      </w:r>
    </w:p>
    <w:p w14:paraId="28147F91">
      <w:pPr>
        <w:spacing w:line="460" w:lineRule="exact"/>
        <w:ind w:firstLine="520"/>
        <w:rPr>
          <w:rFonts w:hint="eastAsia" w:ascii="Arial" w:hAnsi="宋体" w:cs="Arial"/>
          <w:sz w:val="26"/>
          <w:szCs w:val="26"/>
        </w:rPr>
      </w:pPr>
      <w:r>
        <w:rPr>
          <w:rFonts w:hint="eastAsia" w:ascii="Arial" w:hAnsi="宋体" w:cs="Arial"/>
          <w:b/>
          <w:sz w:val="26"/>
          <w:szCs w:val="26"/>
        </w:rPr>
        <w:t>监测布点：</w:t>
      </w:r>
      <w:r>
        <w:rPr>
          <w:rFonts w:hint="eastAsia" w:ascii="Arial" w:hAnsi="宋体" w:cs="Arial"/>
          <w:sz w:val="26"/>
          <w:szCs w:val="26"/>
        </w:rPr>
        <w:t>共设</w:t>
      </w:r>
      <w:r>
        <w:rPr>
          <w:rFonts w:ascii="Arial" w:hAnsi="Arial" w:cs="Arial"/>
          <w:sz w:val="26"/>
          <w:szCs w:val="26"/>
        </w:rPr>
        <w:t>4</w:t>
      </w:r>
      <w:r>
        <w:rPr>
          <w:rFonts w:hint="eastAsia" w:ascii="Arial" w:hAnsi="宋体" w:cs="Arial"/>
          <w:sz w:val="26"/>
          <w:szCs w:val="26"/>
        </w:rPr>
        <w:t>个点，</w:t>
      </w:r>
      <w:r>
        <w:rPr>
          <w:rFonts w:ascii="Arial" w:hAnsi="宋体" w:cs="Arial"/>
          <w:sz w:val="26"/>
          <w:szCs w:val="26"/>
        </w:rPr>
        <w:t>1#</w:t>
      </w:r>
      <w:r>
        <w:rPr>
          <w:rFonts w:hint="eastAsia" w:ascii="Arial" w:hAnsi="宋体" w:cs="Arial"/>
          <w:sz w:val="26"/>
          <w:szCs w:val="26"/>
        </w:rPr>
        <w:t>监测点布置在拟建</w:t>
      </w:r>
      <w:r>
        <w:rPr>
          <w:rFonts w:hint="eastAsia" w:ascii="Arial" w:hAnsi="宋体" w:cs="Arial"/>
          <w:sz w:val="26"/>
          <w:szCs w:val="26"/>
          <w:lang w:eastAsia="zh-CN"/>
        </w:rPr>
        <w:t>海螺沟水库坝址处</w:t>
      </w:r>
      <w:r>
        <w:rPr>
          <w:rFonts w:hint="eastAsia" w:ascii="Arial" w:hAnsi="宋体" w:cs="Arial"/>
          <w:sz w:val="26"/>
          <w:szCs w:val="26"/>
        </w:rPr>
        <w:t>，</w:t>
      </w:r>
      <w:r>
        <w:rPr>
          <w:rFonts w:ascii="Arial" w:hAnsi="宋体" w:cs="Arial"/>
          <w:sz w:val="26"/>
          <w:szCs w:val="26"/>
        </w:rPr>
        <w:t>2#</w:t>
      </w:r>
      <w:r>
        <w:rPr>
          <w:rFonts w:hint="eastAsia" w:ascii="Arial" w:hAnsi="宋体" w:cs="Arial"/>
          <w:sz w:val="26"/>
          <w:szCs w:val="26"/>
        </w:rPr>
        <w:t>监测点布置在</w:t>
      </w:r>
      <w:r>
        <w:rPr>
          <w:rFonts w:hint="eastAsia" w:ascii="Arial" w:hAnsi="宋体" w:cs="Arial"/>
          <w:sz w:val="26"/>
          <w:szCs w:val="26"/>
          <w:lang w:eastAsia="zh-CN"/>
        </w:rPr>
        <w:t>范家湾支管右侧最近居民点处</w:t>
      </w:r>
      <w:r>
        <w:rPr>
          <w:rFonts w:hint="eastAsia" w:ascii="Arial" w:hAnsi="宋体" w:cs="Arial"/>
          <w:sz w:val="26"/>
          <w:szCs w:val="26"/>
        </w:rPr>
        <w:t>，</w:t>
      </w:r>
      <w:r>
        <w:rPr>
          <w:rFonts w:ascii="Arial" w:hAnsi="宋体" w:cs="Arial"/>
          <w:sz w:val="26"/>
          <w:szCs w:val="26"/>
        </w:rPr>
        <w:t>3#</w:t>
      </w:r>
      <w:r>
        <w:rPr>
          <w:rFonts w:hint="eastAsia" w:ascii="Arial" w:hAnsi="宋体" w:cs="Arial"/>
          <w:sz w:val="26"/>
          <w:szCs w:val="26"/>
        </w:rPr>
        <w:t>监测点布置在</w:t>
      </w:r>
      <w:r>
        <w:rPr>
          <w:rFonts w:hint="eastAsia" w:ascii="Arial" w:hAnsi="宋体" w:cs="Arial"/>
          <w:sz w:val="26"/>
          <w:szCs w:val="26"/>
          <w:lang w:eastAsia="zh-CN"/>
        </w:rPr>
        <w:t>樊家湾支管右侧最</w:t>
      </w:r>
      <w:r>
        <w:rPr>
          <w:rFonts w:hint="eastAsia" w:ascii="Arial" w:hAnsi="宋体" w:cs="Arial"/>
          <w:sz w:val="26"/>
          <w:szCs w:val="26"/>
        </w:rPr>
        <w:t>近居民点处，</w:t>
      </w:r>
      <w:r>
        <w:rPr>
          <w:rFonts w:ascii="Arial" w:hAnsi="宋体" w:cs="Arial"/>
          <w:sz w:val="26"/>
          <w:szCs w:val="26"/>
        </w:rPr>
        <w:t>4#</w:t>
      </w:r>
      <w:r>
        <w:rPr>
          <w:rFonts w:hint="eastAsia" w:ascii="Arial" w:hAnsi="宋体" w:cs="Arial"/>
          <w:sz w:val="26"/>
          <w:szCs w:val="26"/>
        </w:rPr>
        <w:t>监测点布置在</w:t>
      </w:r>
      <w:r>
        <w:rPr>
          <w:rFonts w:hint="eastAsia" w:ascii="Arial" w:hAnsi="宋体" w:cs="Arial"/>
          <w:sz w:val="26"/>
          <w:szCs w:val="26"/>
          <w:lang w:eastAsia="zh-CN"/>
        </w:rPr>
        <w:t>双龙干管与鸦雀湾支管右侧最近居民点处</w:t>
      </w:r>
      <w:r>
        <w:rPr>
          <w:rFonts w:hint="eastAsia" w:ascii="Arial" w:hAnsi="宋体" w:cs="Arial"/>
          <w:sz w:val="26"/>
          <w:szCs w:val="26"/>
        </w:rPr>
        <w:t>。</w:t>
      </w:r>
    </w:p>
    <w:p w14:paraId="1F1960B2">
      <w:pPr>
        <w:spacing w:line="460" w:lineRule="exact"/>
        <w:ind w:firstLine="520"/>
        <w:rPr>
          <w:rFonts w:hint="eastAsia" w:ascii="Arial" w:hAnsi="宋体" w:cs="Arial"/>
          <w:sz w:val="26"/>
          <w:szCs w:val="26"/>
        </w:rPr>
      </w:pPr>
      <w:r>
        <w:rPr>
          <w:rFonts w:hint="eastAsia" w:ascii="Arial" w:hAnsi="宋体" w:cs="Arial"/>
          <w:b/>
          <w:sz w:val="26"/>
          <w:szCs w:val="26"/>
        </w:rPr>
        <w:t>监测时间：</w:t>
      </w:r>
      <w:r>
        <w:rPr>
          <w:rFonts w:ascii="Arial" w:hAnsi="宋体" w:cs="Arial"/>
          <w:sz w:val="26"/>
          <w:szCs w:val="26"/>
        </w:rPr>
        <w:t>20</w:t>
      </w:r>
      <w:r>
        <w:rPr>
          <w:rFonts w:hint="eastAsia" w:ascii="Arial" w:hAnsi="宋体" w:cs="Arial"/>
          <w:sz w:val="26"/>
          <w:szCs w:val="26"/>
          <w:lang w:val="en-US" w:eastAsia="zh-CN"/>
        </w:rPr>
        <w:t>24</w:t>
      </w:r>
      <w:r>
        <w:rPr>
          <w:rFonts w:hint="eastAsia" w:ascii="Arial" w:hAnsi="宋体" w:cs="Arial"/>
          <w:sz w:val="26"/>
          <w:szCs w:val="26"/>
        </w:rPr>
        <w:t>年</w:t>
      </w:r>
      <w:r>
        <w:rPr>
          <w:rFonts w:hint="eastAsia" w:ascii="Arial" w:hAnsi="宋体" w:cs="Arial"/>
          <w:sz w:val="26"/>
          <w:szCs w:val="26"/>
          <w:lang w:val="en-US" w:eastAsia="zh-CN"/>
        </w:rPr>
        <w:t>8</w:t>
      </w:r>
      <w:r>
        <w:rPr>
          <w:rFonts w:hint="eastAsia" w:ascii="Arial" w:hAnsi="宋体" w:cs="Arial"/>
          <w:sz w:val="26"/>
          <w:szCs w:val="26"/>
        </w:rPr>
        <w:t>月</w:t>
      </w:r>
      <w:r>
        <w:rPr>
          <w:rFonts w:hint="eastAsia" w:ascii="Arial" w:hAnsi="宋体" w:cs="Arial"/>
          <w:sz w:val="26"/>
          <w:szCs w:val="26"/>
          <w:lang w:val="en-US" w:eastAsia="zh-CN"/>
        </w:rPr>
        <w:t>26</w:t>
      </w:r>
      <w:r>
        <w:rPr>
          <w:rFonts w:hint="eastAsia" w:ascii="Arial" w:hAnsi="宋体" w:cs="Arial"/>
          <w:sz w:val="26"/>
          <w:szCs w:val="26"/>
        </w:rPr>
        <w:t>日</w:t>
      </w:r>
      <w:r>
        <w:rPr>
          <w:rFonts w:ascii="Arial" w:hAnsi="宋体" w:cs="Arial"/>
          <w:sz w:val="26"/>
          <w:szCs w:val="26"/>
        </w:rPr>
        <w:t>~</w:t>
      </w:r>
      <w:r>
        <w:rPr>
          <w:rFonts w:hint="eastAsia" w:ascii="Arial" w:hAnsi="宋体" w:cs="Arial"/>
          <w:sz w:val="26"/>
          <w:szCs w:val="26"/>
          <w:lang w:val="en-US" w:eastAsia="zh-CN"/>
        </w:rPr>
        <w:t>27</w:t>
      </w:r>
      <w:r>
        <w:rPr>
          <w:rFonts w:hint="eastAsia" w:ascii="Arial" w:hAnsi="宋体" w:cs="Arial"/>
          <w:sz w:val="26"/>
          <w:szCs w:val="26"/>
        </w:rPr>
        <w:t>日，连续监测</w:t>
      </w:r>
      <w:r>
        <w:rPr>
          <w:rFonts w:ascii="Arial" w:hAnsi="宋体" w:cs="Arial"/>
          <w:sz w:val="26"/>
          <w:szCs w:val="26"/>
        </w:rPr>
        <w:t>2d</w:t>
      </w:r>
      <w:r>
        <w:rPr>
          <w:rFonts w:hint="eastAsia" w:ascii="Arial" w:hAnsi="宋体" w:cs="Arial"/>
          <w:sz w:val="26"/>
          <w:szCs w:val="26"/>
        </w:rPr>
        <w:t>，昼、夜各</w:t>
      </w:r>
      <w:r>
        <w:rPr>
          <w:rFonts w:ascii="Arial" w:hAnsi="宋体" w:cs="Arial"/>
          <w:sz w:val="26"/>
          <w:szCs w:val="26"/>
        </w:rPr>
        <w:t>1</w:t>
      </w:r>
      <w:r>
        <w:rPr>
          <w:rFonts w:hint="eastAsia" w:ascii="Arial" w:hAnsi="宋体" w:cs="Arial"/>
          <w:sz w:val="26"/>
          <w:szCs w:val="26"/>
        </w:rPr>
        <w:t>次</w:t>
      </w:r>
      <w:r>
        <w:rPr>
          <w:rFonts w:ascii="Arial" w:hAnsi="宋体" w:cs="Arial"/>
          <w:sz w:val="26"/>
          <w:szCs w:val="26"/>
        </w:rPr>
        <w:t>/d</w:t>
      </w:r>
      <w:r>
        <w:rPr>
          <w:rFonts w:hint="eastAsia" w:ascii="Arial" w:hAnsi="宋体" w:cs="Arial"/>
          <w:sz w:val="26"/>
          <w:szCs w:val="26"/>
        </w:rPr>
        <w:t>。</w:t>
      </w:r>
    </w:p>
    <w:p w14:paraId="388EDB69">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（2）评价标准</w:t>
      </w:r>
    </w:p>
    <w:p w14:paraId="11EC61A6">
      <w:pPr>
        <w:spacing w:line="460" w:lineRule="exact"/>
        <w:ind w:firstLine="520"/>
        <w:rPr>
          <w:rFonts w:hint="eastAsia" w:ascii="Arial" w:eastAsia="宋体" w:cs="Arial"/>
          <w:sz w:val="26"/>
          <w:szCs w:val="26"/>
          <w:lang w:val="en-US" w:eastAsia="zh-CN"/>
        </w:rPr>
      </w:pPr>
      <w:r>
        <w:rPr>
          <w:rFonts w:hint="eastAsia" w:ascii="Arial" w:cs="Arial"/>
          <w:sz w:val="26"/>
          <w:szCs w:val="26"/>
          <w:lang w:val="en-US" w:eastAsia="zh-CN"/>
        </w:rPr>
        <w:t>1#监测点</w:t>
      </w:r>
      <w:r>
        <w:rPr>
          <w:rFonts w:ascii="Arial" w:cs="Arial"/>
          <w:sz w:val="26"/>
          <w:szCs w:val="26"/>
          <w:lang w:val="ru-RU"/>
        </w:rPr>
        <w:t>执行《声环境质量标准》（</w:t>
      </w:r>
      <w:r>
        <w:rPr>
          <w:rFonts w:ascii="Arial" w:hAnsi="Arial" w:cs="Arial"/>
          <w:sz w:val="26"/>
          <w:szCs w:val="26"/>
          <w:lang w:val="ru-RU"/>
        </w:rPr>
        <w:t>GB3096-2008</w:t>
      </w:r>
      <w:r>
        <w:rPr>
          <w:rFonts w:ascii="Arial" w:cs="Arial"/>
          <w:sz w:val="26"/>
          <w:szCs w:val="26"/>
          <w:lang w:val="ru-RU"/>
        </w:rPr>
        <w:t>）中的</w:t>
      </w:r>
      <w:r>
        <w:rPr>
          <w:rFonts w:hint="eastAsia" w:ascii="Arial" w:hAnsi="Arial" w:cs="Arial"/>
          <w:sz w:val="26"/>
          <w:szCs w:val="26"/>
          <w:lang w:val="en-US" w:eastAsia="zh-CN"/>
        </w:rPr>
        <w:t>1</w:t>
      </w:r>
      <w:r>
        <w:rPr>
          <w:rFonts w:ascii="Arial" w:cs="Arial"/>
          <w:sz w:val="26"/>
          <w:szCs w:val="26"/>
          <w:lang w:val="ru-RU"/>
        </w:rPr>
        <w:t>类声环境功能区标准，标准值均为昼间</w:t>
      </w:r>
      <w:r>
        <w:rPr>
          <w:rFonts w:hint="eastAsia" w:ascii="Arial" w:hAnsi="Arial" w:cs="Arial"/>
          <w:sz w:val="26"/>
          <w:szCs w:val="26"/>
          <w:lang w:val="en-US" w:eastAsia="zh-CN"/>
        </w:rPr>
        <w:t>55</w:t>
      </w:r>
      <w:r>
        <w:rPr>
          <w:rFonts w:ascii="Arial" w:hAnsi="Arial" w:cs="Arial"/>
          <w:sz w:val="26"/>
          <w:szCs w:val="26"/>
          <w:lang w:val="ru-RU"/>
        </w:rPr>
        <w:t>dB</w:t>
      </w:r>
      <w:r>
        <w:rPr>
          <w:rFonts w:hint="eastAsia" w:ascii="Arial" w:hAnsi="Arial" w:cs="Arial"/>
          <w:sz w:val="26"/>
          <w:szCs w:val="26"/>
          <w:lang w:val="ru-RU"/>
        </w:rPr>
        <w:t>（A）</w:t>
      </w:r>
      <w:r>
        <w:rPr>
          <w:rFonts w:ascii="Arial" w:cs="Arial"/>
          <w:sz w:val="26"/>
          <w:szCs w:val="26"/>
          <w:lang w:val="ru-RU"/>
        </w:rPr>
        <w:t>，夜间</w:t>
      </w:r>
      <w:r>
        <w:rPr>
          <w:rFonts w:hint="eastAsia" w:ascii="Arial" w:hAnsi="Arial" w:cs="Arial"/>
          <w:sz w:val="26"/>
          <w:szCs w:val="26"/>
          <w:lang w:val="en-US" w:eastAsia="zh-CN"/>
        </w:rPr>
        <w:t>45</w:t>
      </w:r>
      <w:r>
        <w:rPr>
          <w:rFonts w:ascii="Arial" w:hAnsi="Arial" w:cs="Arial"/>
          <w:sz w:val="26"/>
          <w:szCs w:val="26"/>
          <w:lang w:val="ru-RU"/>
        </w:rPr>
        <w:t>dB</w:t>
      </w:r>
      <w:r>
        <w:rPr>
          <w:rFonts w:hint="eastAsia" w:ascii="Arial" w:hAnsi="Arial" w:cs="Arial"/>
          <w:sz w:val="26"/>
          <w:szCs w:val="26"/>
          <w:lang w:val="ru-RU"/>
        </w:rPr>
        <w:t>（A）</w:t>
      </w:r>
      <w:r>
        <w:rPr>
          <w:rFonts w:hint="eastAsia" w:ascii="Arial" w:cs="Arial"/>
          <w:sz w:val="26"/>
          <w:szCs w:val="26"/>
          <w:lang w:val="ru-RU" w:eastAsia="zh-CN"/>
        </w:rPr>
        <w:t>；其余各监测点</w:t>
      </w:r>
      <w:r>
        <w:rPr>
          <w:rFonts w:ascii="Arial" w:cs="Arial"/>
          <w:sz w:val="26"/>
          <w:szCs w:val="26"/>
          <w:lang w:val="ru-RU"/>
        </w:rPr>
        <w:t>执行《声环境质量标准》（</w:t>
      </w:r>
      <w:r>
        <w:rPr>
          <w:rFonts w:ascii="Arial" w:hAnsi="Arial" w:cs="Arial"/>
          <w:sz w:val="26"/>
          <w:szCs w:val="26"/>
          <w:lang w:val="ru-RU"/>
        </w:rPr>
        <w:t>GB3096-2008</w:t>
      </w:r>
      <w:r>
        <w:rPr>
          <w:rFonts w:ascii="Arial" w:cs="Arial"/>
          <w:sz w:val="26"/>
          <w:szCs w:val="26"/>
          <w:lang w:val="ru-RU"/>
        </w:rPr>
        <w:t>）中的</w:t>
      </w:r>
      <w:r>
        <w:rPr>
          <w:rFonts w:hint="eastAsia" w:ascii="Arial" w:hAnsi="Arial" w:cs="Arial"/>
          <w:sz w:val="26"/>
          <w:szCs w:val="26"/>
          <w:lang w:val="en-US" w:eastAsia="zh-CN"/>
        </w:rPr>
        <w:t>2</w:t>
      </w:r>
      <w:r>
        <w:rPr>
          <w:rFonts w:ascii="Arial" w:cs="Arial"/>
          <w:sz w:val="26"/>
          <w:szCs w:val="26"/>
          <w:lang w:val="ru-RU"/>
        </w:rPr>
        <w:t>类声环境功能区标准，标准值均为昼间</w:t>
      </w:r>
      <w:r>
        <w:rPr>
          <w:rFonts w:hint="eastAsia" w:ascii="Arial" w:hAnsi="Arial" w:cs="Arial"/>
          <w:sz w:val="26"/>
          <w:szCs w:val="26"/>
          <w:lang w:val="en-US" w:eastAsia="zh-CN"/>
        </w:rPr>
        <w:t>60</w:t>
      </w:r>
      <w:r>
        <w:rPr>
          <w:rFonts w:ascii="Arial" w:hAnsi="Arial" w:cs="Arial"/>
          <w:sz w:val="26"/>
          <w:szCs w:val="26"/>
          <w:lang w:val="ru-RU"/>
        </w:rPr>
        <w:t>dB</w:t>
      </w:r>
      <w:r>
        <w:rPr>
          <w:rFonts w:hint="eastAsia" w:ascii="Arial" w:hAnsi="Arial" w:cs="Arial"/>
          <w:sz w:val="26"/>
          <w:szCs w:val="26"/>
          <w:lang w:val="ru-RU"/>
        </w:rPr>
        <w:t>（A）</w:t>
      </w:r>
      <w:r>
        <w:rPr>
          <w:rFonts w:ascii="Arial" w:cs="Arial"/>
          <w:sz w:val="26"/>
          <w:szCs w:val="26"/>
          <w:lang w:val="ru-RU"/>
        </w:rPr>
        <w:t>，夜间</w:t>
      </w:r>
      <w:r>
        <w:rPr>
          <w:rFonts w:hint="eastAsia" w:ascii="Arial" w:hAnsi="Arial" w:cs="Arial"/>
          <w:sz w:val="26"/>
          <w:szCs w:val="26"/>
          <w:lang w:val="en-US" w:eastAsia="zh-CN"/>
        </w:rPr>
        <w:t>50</w:t>
      </w:r>
      <w:r>
        <w:rPr>
          <w:rFonts w:ascii="Arial" w:hAnsi="Arial" w:cs="Arial"/>
          <w:sz w:val="26"/>
          <w:szCs w:val="26"/>
          <w:lang w:val="ru-RU"/>
        </w:rPr>
        <w:t>dB</w:t>
      </w:r>
      <w:r>
        <w:rPr>
          <w:rFonts w:hint="eastAsia" w:ascii="Arial" w:hAnsi="Arial" w:cs="Arial"/>
          <w:sz w:val="26"/>
          <w:szCs w:val="26"/>
          <w:lang w:val="ru-RU"/>
        </w:rPr>
        <w:t>（A）</w:t>
      </w:r>
      <w:r>
        <w:rPr>
          <w:rFonts w:hint="eastAsia" w:ascii="Arial" w:hAnsi="Arial" w:cs="Arial"/>
          <w:sz w:val="26"/>
          <w:szCs w:val="26"/>
          <w:lang w:val="ru-RU" w:eastAsia="zh-CN"/>
        </w:rPr>
        <w:t>。</w:t>
      </w:r>
    </w:p>
    <w:p w14:paraId="6AF9B1BE">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cs="Arial"/>
          <w:b/>
          <w:bCs w:val="0"/>
          <w:sz w:val="26"/>
          <w:szCs w:val="26"/>
          <w:lang w:val="en-US" w:eastAsia="zh-CN"/>
        </w:rPr>
      </w:pPr>
      <w:r>
        <w:rPr>
          <w:rFonts w:hint="eastAsia" w:ascii="Arial" w:hAnsi="Arial" w:cs="Arial"/>
          <w:b/>
          <w:bCs w:val="0"/>
          <w:sz w:val="26"/>
          <w:szCs w:val="26"/>
          <w:lang w:val="en-US" w:eastAsia="zh-CN"/>
        </w:rPr>
        <w:t>（3）监测结果</w:t>
      </w:r>
    </w:p>
    <w:p w14:paraId="5606A05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环境噪声监测统计结果见表4.3-8所示。</w:t>
      </w:r>
    </w:p>
    <w:p w14:paraId="388AF8CF">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sz w:val="26"/>
          <w:szCs w:val="26"/>
          <w:lang w:eastAsia="zh-CN"/>
        </w:rPr>
      </w:pPr>
      <w:r>
        <w:rPr>
          <w:rFonts w:hint="eastAsia" w:ascii="Arial" w:hAnsi="Arial" w:cs="Arial"/>
          <w:b/>
          <w:sz w:val="26"/>
          <w:szCs w:val="26"/>
        </w:rPr>
        <w:t>表4.</w:t>
      </w:r>
      <w:r>
        <w:rPr>
          <w:rFonts w:hint="eastAsia" w:ascii="Arial" w:hAnsi="Arial" w:cs="Arial"/>
          <w:b/>
          <w:sz w:val="26"/>
          <w:szCs w:val="26"/>
          <w:lang w:val="en-US" w:eastAsia="zh-CN"/>
        </w:rPr>
        <w:t>3-8</w:t>
      </w:r>
      <w:r>
        <w:rPr>
          <w:rFonts w:hint="eastAsia" w:ascii="Arial" w:hAnsi="Arial" w:cs="Arial"/>
          <w:b/>
          <w:sz w:val="26"/>
          <w:szCs w:val="26"/>
        </w:rPr>
        <w:t xml:space="preserve">  环境噪声监测结果 </w:t>
      </w:r>
      <w:r>
        <w:rPr>
          <w:rFonts w:hint="eastAsia" w:ascii="Arial" w:hAnsi="Arial" w:cs="Arial"/>
          <w:b/>
          <w:sz w:val="26"/>
          <w:szCs w:val="26"/>
          <w:lang w:val="en-US" w:eastAsia="zh-CN"/>
        </w:rPr>
        <w:t xml:space="preserve"> </w:t>
      </w:r>
      <w:r>
        <w:rPr>
          <w:rFonts w:hint="eastAsia" w:ascii="Arial" w:hAnsi="Arial" w:cs="Arial"/>
          <w:b/>
          <w:sz w:val="26"/>
          <w:szCs w:val="26"/>
        </w:rPr>
        <w:t>单位：dB</w:t>
      </w:r>
      <w:r>
        <w:rPr>
          <w:rFonts w:hint="eastAsia" w:ascii="Arial" w:hAnsi="Arial" w:cs="Arial"/>
          <w:b/>
          <w:sz w:val="26"/>
          <w:szCs w:val="26"/>
          <w:lang w:eastAsia="zh-CN"/>
        </w:rPr>
        <w:t>（</w:t>
      </w:r>
      <w:r>
        <w:rPr>
          <w:rFonts w:hint="eastAsia" w:ascii="Arial" w:hAnsi="Arial" w:cs="Arial"/>
          <w:b/>
          <w:sz w:val="26"/>
          <w:szCs w:val="26"/>
        </w:rPr>
        <w:t>A</w:t>
      </w:r>
      <w:r>
        <w:rPr>
          <w:rFonts w:hint="eastAsia" w:ascii="Arial" w:hAnsi="Arial" w:cs="Arial"/>
          <w:b/>
          <w:sz w:val="26"/>
          <w:szCs w:val="26"/>
          <w:lang w:eastAsia="zh-CN"/>
        </w:rPr>
        <w:t>）</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1451"/>
        <w:gridCol w:w="848"/>
        <w:gridCol w:w="2063"/>
        <w:gridCol w:w="2150"/>
        <w:gridCol w:w="897"/>
        <w:gridCol w:w="897"/>
      </w:tblGrid>
      <w:tr w14:paraId="10F64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bottom w:val="single" w:color="auto" w:sz="4" w:space="0"/>
              <w:right w:val="single" w:color="auto" w:sz="4" w:space="0"/>
            </w:tcBorders>
            <w:tcMar>
              <w:top w:w="15" w:type="dxa"/>
              <w:left w:w="108" w:type="dxa"/>
              <w:bottom w:w="15" w:type="dxa"/>
              <w:right w:w="108" w:type="dxa"/>
            </w:tcMar>
            <w:vAlign w:val="center"/>
          </w:tcPr>
          <w:p w14:paraId="1CDCEB9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序号</w:t>
            </w:r>
          </w:p>
        </w:tc>
        <w:tc>
          <w:tcPr>
            <w:tcW w:w="801" w:type="pct"/>
            <w:vMerge w:val="restart"/>
            <w:tcBorders>
              <w:left w:val="single" w:color="auto" w:sz="4" w:space="0"/>
              <w:bottom w:val="single" w:color="auto" w:sz="4" w:space="0"/>
              <w:right w:val="single" w:color="auto" w:sz="4" w:space="0"/>
            </w:tcBorders>
            <w:tcMar>
              <w:top w:w="15" w:type="dxa"/>
              <w:left w:w="108" w:type="dxa"/>
              <w:bottom w:w="15" w:type="dxa"/>
              <w:right w:w="108" w:type="dxa"/>
            </w:tcMar>
            <w:vAlign w:val="center"/>
          </w:tcPr>
          <w:p w14:paraId="7E325854">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监测点位</w:t>
            </w:r>
          </w:p>
        </w:tc>
        <w:tc>
          <w:tcPr>
            <w:tcW w:w="468" w:type="pct"/>
            <w:vMerge w:val="restart"/>
            <w:tcBorders>
              <w:left w:val="single" w:color="auto" w:sz="4" w:space="0"/>
              <w:bottom w:val="single" w:color="auto" w:sz="4" w:space="0"/>
              <w:right w:val="single" w:color="auto" w:sz="4" w:space="0"/>
            </w:tcBorders>
            <w:tcMar>
              <w:top w:w="15" w:type="dxa"/>
              <w:left w:w="108" w:type="dxa"/>
              <w:bottom w:w="15" w:type="dxa"/>
              <w:right w:w="108" w:type="dxa"/>
            </w:tcMar>
            <w:vAlign w:val="center"/>
          </w:tcPr>
          <w:p w14:paraId="09909464">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时段</w:t>
            </w:r>
          </w:p>
        </w:tc>
        <w:tc>
          <w:tcPr>
            <w:tcW w:w="2326" w:type="pct"/>
            <w:gridSpan w:val="2"/>
            <w:tcBorders>
              <w:left w:val="single" w:color="auto" w:sz="4" w:space="0"/>
              <w:bottom w:val="single" w:color="auto" w:sz="4" w:space="0"/>
              <w:right w:val="single" w:color="auto" w:sz="4" w:space="0"/>
            </w:tcBorders>
            <w:tcMar>
              <w:top w:w="15" w:type="dxa"/>
              <w:left w:w="108" w:type="dxa"/>
              <w:bottom w:w="15" w:type="dxa"/>
              <w:right w:w="108" w:type="dxa"/>
            </w:tcMar>
            <w:vAlign w:val="center"/>
          </w:tcPr>
          <w:p w14:paraId="5EEB30B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监测值</w:t>
            </w:r>
          </w:p>
        </w:tc>
        <w:tc>
          <w:tcPr>
            <w:tcW w:w="495" w:type="pct"/>
            <w:vMerge w:val="restart"/>
            <w:tcBorders>
              <w:left w:val="single" w:color="auto" w:sz="4" w:space="0"/>
              <w:bottom w:val="single" w:color="auto" w:sz="4" w:space="0"/>
              <w:right w:val="single" w:color="auto" w:sz="4" w:space="0"/>
            </w:tcBorders>
            <w:tcMar>
              <w:top w:w="15" w:type="dxa"/>
              <w:left w:w="108" w:type="dxa"/>
              <w:bottom w:w="15" w:type="dxa"/>
              <w:right w:w="108" w:type="dxa"/>
            </w:tcMar>
            <w:vAlign w:val="center"/>
          </w:tcPr>
          <w:p w14:paraId="2A64B8B7">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标准值</w:t>
            </w:r>
          </w:p>
        </w:tc>
        <w:tc>
          <w:tcPr>
            <w:tcW w:w="495" w:type="pct"/>
            <w:vMerge w:val="restart"/>
            <w:tcBorders>
              <w:left w:val="single" w:color="auto" w:sz="4" w:space="0"/>
              <w:bottom w:val="single" w:color="auto" w:sz="4" w:space="0"/>
            </w:tcBorders>
            <w:tcMar>
              <w:top w:w="15" w:type="dxa"/>
              <w:left w:w="108" w:type="dxa"/>
              <w:bottom w:w="15" w:type="dxa"/>
              <w:right w:w="108" w:type="dxa"/>
            </w:tcMar>
            <w:vAlign w:val="center"/>
          </w:tcPr>
          <w:p w14:paraId="196865D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p w14:paraId="5BBE58D7">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情况</w:t>
            </w:r>
          </w:p>
        </w:tc>
      </w:tr>
      <w:tr w14:paraId="152DE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tcMar>
              <w:top w:w="15" w:type="dxa"/>
              <w:left w:w="108" w:type="dxa"/>
              <w:bottom w:w="15" w:type="dxa"/>
              <w:right w:w="108" w:type="dxa"/>
            </w:tcMar>
            <w:vAlign w:val="center"/>
          </w:tcPr>
          <w:p w14:paraId="5A3AFC81">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102D9A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68" w:type="pct"/>
            <w:vMerge w:val="continue"/>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64C5E9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08D6BF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202</w:t>
            </w:r>
            <w:r>
              <w:rPr>
                <w:rFonts w:hint="eastAsia" w:ascii="Arial" w:hAnsi="Arial" w:cs="Arial"/>
                <w:sz w:val="22"/>
                <w:szCs w:val="22"/>
                <w:lang w:val="en-US" w:eastAsia="zh-CN"/>
              </w:rPr>
              <w:t>4</w:t>
            </w:r>
            <w:r>
              <w:rPr>
                <w:rFonts w:hint="default" w:ascii="Arial" w:hAnsi="Arial" w:cs="Arial"/>
                <w:sz w:val="22"/>
                <w:szCs w:val="22"/>
                <w:lang w:val="en-US" w:eastAsia="zh-CN"/>
              </w:rPr>
              <w:t>.</w:t>
            </w:r>
            <w:r>
              <w:rPr>
                <w:rFonts w:hint="eastAsia" w:ascii="Arial" w:hAnsi="Arial" w:cs="Arial"/>
                <w:sz w:val="22"/>
                <w:szCs w:val="22"/>
                <w:lang w:val="en-US" w:eastAsia="zh-CN"/>
              </w:rPr>
              <w:t>8</w:t>
            </w:r>
            <w:r>
              <w:rPr>
                <w:rFonts w:hint="default" w:ascii="Arial" w:hAnsi="Arial" w:cs="Arial"/>
                <w:sz w:val="22"/>
                <w:szCs w:val="22"/>
                <w:lang w:val="en-US" w:eastAsia="zh-CN"/>
              </w:rPr>
              <w:t>.2</w:t>
            </w:r>
            <w:r>
              <w:rPr>
                <w:rFonts w:hint="eastAsia" w:ascii="Arial" w:hAnsi="Arial" w:cs="Arial"/>
                <w:sz w:val="22"/>
                <w:szCs w:val="22"/>
                <w:lang w:val="en-US" w:eastAsia="zh-CN"/>
              </w:rPr>
              <w:t>6</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EA1E89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2024.8.27</w:t>
            </w:r>
          </w:p>
        </w:tc>
        <w:tc>
          <w:tcPr>
            <w:tcW w:w="495" w:type="pct"/>
            <w:vMerge w:val="continue"/>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25B33D0">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95" w:type="pct"/>
            <w:vMerge w:val="continue"/>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5E671B8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r>
      <w:tr w14:paraId="57A2C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top w:val="single" w:color="auto" w:sz="4" w:space="0"/>
              <w:bottom w:val="single" w:color="auto" w:sz="4" w:space="0"/>
              <w:right w:val="single" w:color="auto" w:sz="4" w:space="0"/>
            </w:tcBorders>
            <w:tcMar>
              <w:top w:w="15" w:type="dxa"/>
              <w:left w:w="108" w:type="dxa"/>
              <w:bottom w:w="15" w:type="dxa"/>
              <w:right w:w="108" w:type="dxa"/>
            </w:tcMar>
            <w:vAlign w:val="center"/>
          </w:tcPr>
          <w:p w14:paraId="071A7447">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1</w:t>
            </w:r>
          </w:p>
        </w:tc>
        <w:tc>
          <w:tcPr>
            <w:tcW w:w="801" w:type="pct"/>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EC75778">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napToGrid w:val="0"/>
                <w:sz w:val="22"/>
                <w:szCs w:val="22"/>
              </w:rPr>
            </w:pPr>
            <w:r>
              <w:rPr>
                <w:rFonts w:hint="default" w:ascii="Arial" w:hAnsi="Arial" w:cs="Arial"/>
                <w:kern w:val="2"/>
                <w:sz w:val="22"/>
                <w:szCs w:val="22"/>
                <w:lang w:val="en-US" w:eastAsia="zh-CN" w:bidi="ar-SA"/>
              </w:rPr>
              <w:t>1#</w:t>
            </w: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EA2799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昼间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B2B541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3A3271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c>
          <w:tcPr>
            <w:tcW w:w="49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953D54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55</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6ED2ECE2">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5BA19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vAlign w:val="center"/>
          </w:tcPr>
          <w:p w14:paraId="665FE7D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vAlign w:val="center"/>
          </w:tcPr>
          <w:p w14:paraId="1E7E005B">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83C9E45">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夜间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BE59285">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40</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0F88758">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41</w:t>
            </w:r>
          </w:p>
        </w:tc>
        <w:tc>
          <w:tcPr>
            <w:tcW w:w="49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FA13807">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45</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5B69FDC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0BE8D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top w:val="single" w:color="auto" w:sz="4" w:space="0"/>
              <w:bottom w:val="single" w:color="auto" w:sz="4" w:space="0"/>
              <w:right w:val="single" w:color="auto" w:sz="4" w:space="0"/>
            </w:tcBorders>
            <w:tcMar>
              <w:top w:w="15" w:type="dxa"/>
              <w:left w:w="108" w:type="dxa"/>
              <w:bottom w:w="15" w:type="dxa"/>
              <w:right w:w="108" w:type="dxa"/>
            </w:tcMar>
            <w:vAlign w:val="center"/>
          </w:tcPr>
          <w:p w14:paraId="4216ED1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2</w:t>
            </w:r>
          </w:p>
        </w:tc>
        <w:tc>
          <w:tcPr>
            <w:tcW w:w="801" w:type="pct"/>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1BDD4E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kern w:val="2"/>
                <w:sz w:val="22"/>
                <w:szCs w:val="22"/>
                <w:lang w:val="en-US" w:eastAsia="zh-CN" w:bidi="ar-SA"/>
              </w:rPr>
              <w:t>2#</w:t>
            </w: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B737E7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昼间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0DE969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51</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962C85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52</w:t>
            </w:r>
          </w:p>
        </w:tc>
        <w:tc>
          <w:tcPr>
            <w:tcW w:w="49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7E3813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2220BC5B">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6B9F6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vAlign w:val="center"/>
          </w:tcPr>
          <w:p w14:paraId="35AB2D3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vAlign w:val="center"/>
          </w:tcPr>
          <w:p w14:paraId="45C3489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B44D0F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夜间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93CA62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42</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4225AB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41</w:t>
            </w:r>
          </w:p>
        </w:tc>
        <w:tc>
          <w:tcPr>
            <w:tcW w:w="49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391989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44082A8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4655C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top w:val="single" w:color="auto" w:sz="4" w:space="0"/>
              <w:bottom w:val="single" w:color="auto" w:sz="4" w:space="0"/>
              <w:right w:val="single" w:color="auto" w:sz="4" w:space="0"/>
            </w:tcBorders>
            <w:tcMar>
              <w:top w:w="15" w:type="dxa"/>
              <w:left w:w="108" w:type="dxa"/>
              <w:bottom w:w="15" w:type="dxa"/>
              <w:right w:w="108" w:type="dxa"/>
            </w:tcMar>
            <w:vAlign w:val="center"/>
          </w:tcPr>
          <w:p w14:paraId="48BDFFD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3</w:t>
            </w:r>
          </w:p>
        </w:tc>
        <w:tc>
          <w:tcPr>
            <w:tcW w:w="801" w:type="pct"/>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67C45D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napToGrid w:val="0"/>
                <w:sz w:val="22"/>
                <w:szCs w:val="22"/>
                <w:lang w:val="en-US" w:eastAsia="zh-CN"/>
              </w:rPr>
            </w:pPr>
            <w:r>
              <w:rPr>
                <w:rFonts w:hint="eastAsia" w:ascii="Arial" w:hAnsi="Arial" w:cs="Arial"/>
                <w:kern w:val="2"/>
                <w:sz w:val="22"/>
                <w:szCs w:val="22"/>
                <w:lang w:val="en-US" w:eastAsia="zh-CN" w:bidi="ar-SA"/>
              </w:rPr>
              <w:t>3#</w:t>
            </w: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9DA44A2">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昼间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101C44B">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F0275B5">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53</w:t>
            </w:r>
          </w:p>
        </w:tc>
        <w:tc>
          <w:tcPr>
            <w:tcW w:w="495" w:type="pc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15" w:type="dxa"/>
              <w:right w:w="108" w:type="dxa"/>
            </w:tcMar>
            <w:vAlign w:val="center"/>
          </w:tcPr>
          <w:p w14:paraId="3658C082">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sz w:val="22"/>
                <w:szCs w:val="22"/>
                <w:lang w:val="en-US" w:eastAsia="zh-CN"/>
              </w:rPr>
              <w:t>60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40D95DE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262BD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vAlign w:val="center"/>
          </w:tcPr>
          <w:p w14:paraId="417BCFF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vAlign w:val="center"/>
          </w:tcPr>
          <w:p w14:paraId="1A7666C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napToGrid w:val="0"/>
                <w:sz w:val="22"/>
                <w:szCs w:val="22"/>
              </w:rPr>
            </w:pP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92B5158">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夜间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382173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43</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C1B7A0B">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43</w:t>
            </w:r>
          </w:p>
        </w:tc>
        <w:tc>
          <w:tcPr>
            <w:tcW w:w="495" w:type="pc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15" w:type="dxa"/>
              <w:right w:w="108" w:type="dxa"/>
            </w:tcMar>
            <w:vAlign w:val="center"/>
          </w:tcPr>
          <w:p w14:paraId="194287A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sz w:val="22"/>
                <w:szCs w:val="22"/>
                <w:lang w:val="en-US" w:eastAsia="zh-CN"/>
              </w:rPr>
              <w:t>50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19C2097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799AB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top w:val="single" w:color="auto" w:sz="4" w:space="0"/>
              <w:bottom w:val="single" w:color="auto" w:sz="4" w:space="0"/>
              <w:right w:val="single" w:color="auto" w:sz="4" w:space="0"/>
            </w:tcBorders>
            <w:vAlign w:val="center"/>
          </w:tcPr>
          <w:p w14:paraId="03FD8CA8">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4</w:t>
            </w:r>
          </w:p>
        </w:tc>
        <w:tc>
          <w:tcPr>
            <w:tcW w:w="801" w:type="pct"/>
            <w:vMerge w:val="restart"/>
            <w:tcBorders>
              <w:top w:val="single" w:color="auto" w:sz="4" w:space="0"/>
              <w:left w:val="single" w:color="auto" w:sz="4" w:space="0"/>
              <w:bottom w:val="single" w:color="auto" w:sz="4" w:space="0"/>
              <w:right w:val="single" w:color="auto" w:sz="4" w:space="0"/>
            </w:tcBorders>
            <w:vAlign w:val="center"/>
          </w:tcPr>
          <w:p w14:paraId="01F23000">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napToGrid w:val="0"/>
                <w:sz w:val="22"/>
                <w:szCs w:val="22"/>
                <w:lang w:val="en-US" w:eastAsia="zh-CN"/>
              </w:rPr>
            </w:pPr>
            <w:r>
              <w:rPr>
                <w:rFonts w:hint="eastAsia" w:ascii="Arial" w:hAnsi="Arial" w:cs="Arial"/>
                <w:kern w:val="2"/>
                <w:sz w:val="22"/>
                <w:szCs w:val="22"/>
                <w:lang w:val="en-US" w:eastAsia="zh-CN" w:bidi="ar-SA"/>
              </w:rPr>
              <w:t>4#</w:t>
            </w: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807080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昼间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395B1C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kern w:val="0"/>
                <w:sz w:val="22"/>
                <w:szCs w:val="22"/>
                <w:lang w:val="en-US" w:eastAsia="zh-CN" w:bidi="ar-SA"/>
              </w:rPr>
              <w:t>50</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F9F505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53</w:t>
            </w:r>
          </w:p>
        </w:tc>
        <w:tc>
          <w:tcPr>
            <w:tcW w:w="495" w:type="pc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15" w:type="dxa"/>
              <w:right w:w="108" w:type="dxa"/>
            </w:tcMar>
            <w:vAlign w:val="center"/>
          </w:tcPr>
          <w:p w14:paraId="0CE6A8D1">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sz w:val="22"/>
                <w:szCs w:val="22"/>
                <w:lang w:val="en-US" w:eastAsia="zh-CN"/>
              </w:rPr>
              <w:t>60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153820A4">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613D8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vAlign w:val="center"/>
          </w:tcPr>
          <w:p w14:paraId="69A5C660">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vAlign w:val="center"/>
          </w:tcPr>
          <w:p w14:paraId="38BEED1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18E75B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夜间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9362E7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kern w:val="0"/>
                <w:sz w:val="22"/>
                <w:szCs w:val="22"/>
                <w:lang w:val="en-US" w:eastAsia="zh-CN" w:bidi="ar-SA"/>
              </w:rPr>
              <w:t>43</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972382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43</w:t>
            </w:r>
          </w:p>
        </w:tc>
        <w:tc>
          <w:tcPr>
            <w:tcW w:w="495" w:type="pc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15" w:type="dxa"/>
              <w:right w:w="108" w:type="dxa"/>
            </w:tcMar>
            <w:vAlign w:val="center"/>
          </w:tcPr>
          <w:p w14:paraId="390657A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sz w:val="22"/>
                <w:szCs w:val="22"/>
                <w:lang w:val="en-US" w:eastAsia="zh-CN"/>
              </w:rPr>
              <w:t>50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55D9CF1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bl>
    <w:p w14:paraId="6E895B65">
      <w:pPr>
        <w:pStyle w:val="1085"/>
        <w:keepNext w:val="0"/>
        <w:keepLines w:val="0"/>
        <w:pageBreakBefore w:val="0"/>
        <w:widowControl w:val="0"/>
        <w:kinsoku/>
        <w:wordWrap/>
        <w:overflowPunct/>
        <w:topLinePunct w:val="0"/>
        <w:autoSpaceDE/>
        <w:autoSpaceDN/>
        <w:bidi w:val="0"/>
        <w:adjustRightInd/>
        <w:snapToGrid w:val="0"/>
        <w:spacing w:line="240" w:lineRule="exact"/>
        <w:textAlignment w:val="auto"/>
      </w:pPr>
    </w:p>
    <w:p w14:paraId="439EC3E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由表4.4-3，本项目设置的1#监测点的昼</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夜监测值均可满足《声环境质量标准》（GB3096-2008）中的</w:t>
      </w:r>
      <w:r>
        <w:rPr>
          <w:rFonts w:hint="eastAsia" w:ascii="Arial" w:hAnsi="Arial" w:cs="Arial"/>
          <w:b w:val="0"/>
          <w:color w:val="auto"/>
          <w:kern w:val="2"/>
          <w:sz w:val="26"/>
          <w:szCs w:val="26"/>
          <w:lang w:val="en-US" w:eastAsia="zh-CN" w:bidi="ar-SA"/>
        </w:rPr>
        <w:t>1</w:t>
      </w:r>
      <w:r>
        <w:rPr>
          <w:rFonts w:hint="eastAsia" w:ascii="Arial" w:hAnsi="Arial" w:eastAsia="宋体" w:cs="Arial"/>
          <w:b w:val="0"/>
          <w:color w:val="auto"/>
          <w:kern w:val="2"/>
          <w:sz w:val="26"/>
          <w:szCs w:val="26"/>
          <w:lang w:val="en-US" w:eastAsia="zh-CN" w:bidi="ar-SA"/>
        </w:rPr>
        <w:t>类区标准限值</w:t>
      </w:r>
      <w:r>
        <w:rPr>
          <w:rFonts w:hint="eastAsia" w:ascii="Arial" w:hAnsi="Arial" w:cs="Arial"/>
          <w:b w:val="0"/>
          <w:color w:val="auto"/>
          <w:kern w:val="2"/>
          <w:sz w:val="26"/>
          <w:szCs w:val="26"/>
          <w:lang w:val="en-US" w:eastAsia="zh-CN" w:bidi="ar-SA"/>
        </w:rPr>
        <w:t>，2~3#</w:t>
      </w:r>
      <w:r>
        <w:rPr>
          <w:rFonts w:hint="eastAsia" w:ascii="Arial" w:hAnsi="Arial" w:eastAsia="宋体" w:cs="Arial"/>
          <w:b w:val="0"/>
          <w:color w:val="auto"/>
          <w:kern w:val="2"/>
          <w:sz w:val="26"/>
          <w:szCs w:val="26"/>
          <w:lang w:val="en-US" w:eastAsia="zh-CN" w:bidi="ar-SA"/>
        </w:rPr>
        <w:t>监测点的昼</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夜监测值均可满足《声环境质量标准》（GB3096-2008）中的</w:t>
      </w:r>
      <w:r>
        <w:rPr>
          <w:rFonts w:hint="eastAsia" w:ascii="Arial" w:hAnsi="Arial" w:cs="Arial"/>
          <w:b w:val="0"/>
          <w:color w:val="auto"/>
          <w:kern w:val="2"/>
          <w:sz w:val="26"/>
          <w:szCs w:val="26"/>
          <w:lang w:val="en-US" w:eastAsia="zh-CN" w:bidi="ar-SA"/>
        </w:rPr>
        <w:t>2</w:t>
      </w:r>
      <w:r>
        <w:rPr>
          <w:rFonts w:hint="eastAsia" w:ascii="Arial" w:hAnsi="Arial" w:eastAsia="宋体" w:cs="Arial"/>
          <w:b w:val="0"/>
          <w:color w:val="auto"/>
          <w:kern w:val="2"/>
          <w:sz w:val="26"/>
          <w:szCs w:val="26"/>
          <w:lang w:val="en-US" w:eastAsia="zh-CN" w:bidi="ar-SA"/>
        </w:rPr>
        <w:t>类区标准限值。由此可见，项目</w:t>
      </w:r>
      <w:r>
        <w:rPr>
          <w:rFonts w:hint="eastAsia" w:ascii="Arial" w:hAnsi="Arial" w:cs="Arial"/>
          <w:b w:val="0"/>
          <w:color w:val="auto"/>
          <w:kern w:val="2"/>
          <w:sz w:val="26"/>
          <w:szCs w:val="26"/>
          <w:lang w:val="en-US" w:eastAsia="zh-CN" w:bidi="ar-SA"/>
        </w:rPr>
        <w:t>所在</w:t>
      </w:r>
      <w:r>
        <w:rPr>
          <w:rFonts w:hint="eastAsia" w:ascii="Arial" w:hAnsi="Arial" w:eastAsia="宋体" w:cs="Arial"/>
          <w:b w:val="0"/>
          <w:color w:val="auto"/>
          <w:kern w:val="2"/>
          <w:sz w:val="26"/>
          <w:szCs w:val="26"/>
          <w:lang w:val="en-US" w:eastAsia="zh-CN" w:bidi="ar-SA"/>
        </w:rPr>
        <w:t>区域</w:t>
      </w:r>
      <w:r>
        <w:rPr>
          <w:rFonts w:hint="eastAsia" w:ascii="Arial" w:hAnsi="Arial" w:cs="Arial"/>
          <w:b w:val="0"/>
          <w:color w:val="auto"/>
          <w:kern w:val="2"/>
          <w:sz w:val="26"/>
          <w:szCs w:val="26"/>
          <w:lang w:val="en-US" w:eastAsia="zh-CN" w:bidi="ar-SA"/>
        </w:rPr>
        <w:t>未出现噪声超标现象，声环境质量现状较好。</w:t>
      </w:r>
    </w:p>
    <w:p w14:paraId="4BCC2524">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bookmarkStart w:id="96" w:name="_Toc34987881"/>
      <w:bookmarkStart w:id="97" w:name="_Toc36041082"/>
      <w:bookmarkStart w:id="98" w:name="_Toc36041083"/>
      <w:bookmarkStart w:id="99" w:name="_Toc34987882"/>
      <w:r>
        <w:rPr>
          <w:rFonts w:hint="eastAsia" w:ascii="Arial" w:hAnsi="Arial" w:cs="Arial"/>
          <w:b/>
          <w:bCs w:val="0"/>
          <w:kern w:val="0"/>
          <w:sz w:val="26"/>
          <w:szCs w:val="26"/>
          <w:lang w:val="en-US" w:eastAsia="zh-CN" w:bidi="ar-SA"/>
        </w:rPr>
        <w:t>4.3.4</w:t>
      </w:r>
      <w:r>
        <w:rPr>
          <w:rFonts w:hint="eastAsia" w:ascii="Arial" w:hAnsi="Arial" w:eastAsia="宋体" w:cs="Arial"/>
          <w:b/>
          <w:bCs w:val="0"/>
          <w:kern w:val="0"/>
          <w:sz w:val="26"/>
          <w:szCs w:val="26"/>
          <w:lang w:val="en-US" w:eastAsia="zh-CN" w:bidi="ar-SA"/>
        </w:rPr>
        <w:t>地</w:t>
      </w:r>
      <w:r>
        <w:rPr>
          <w:rFonts w:hint="eastAsia" w:ascii="Arial" w:hAnsi="Arial" w:cs="Arial"/>
          <w:b/>
          <w:bCs w:val="0"/>
          <w:kern w:val="0"/>
          <w:sz w:val="26"/>
          <w:szCs w:val="26"/>
          <w:lang w:val="en-US" w:eastAsia="zh-CN" w:bidi="ar-SA"/>
        </w:rPr>
        <w:t>下</w:t>
      </w:r>
      <w:r>
        <w:rPr>
          <w:rFonts w:hint="eastAsia" w:ascii="Arial" w:hAnsi="Arial" w:eastAsia="宋体" w:cs="Arial"/>
          <w:b/>
          <w:bCs w:val="0"/>
          <w:kern w:val="0"/>
          <w:sz w:val="26"/>
          <w:szCs w:val="26"/>
          <w:lang w:val="en-US" w:eastAsia="zh-CN" w:bidi="ar-SA"/>
        </w:rPr>
        <w:t>水环境质量现状与评价</w:t>
      </w:r>
      <w:bookmarkEnd w:id="96"/>
      <w:bookmarkEnd w:id="97"/>
    </w:p>
    <w:p w14:paraId="107045E8">
      <w:pPr>
        <w:spacing w:line="460" w:lineRule="exact"/>
        <w:ind w:firstLine="392" w:firstLineChars="150"/>
        <w:rPr>
          <w:rFonts w:hint="eastAsia" w:ascii="Arial" w:cs="Arial"/>
          <w:b/>
          <w:sz w:val="26"/>
          <w:szCs w:val="26"/>
        </w:rPr>
      </w:pPr>
      <w:r>
        <w:rPr>
          <w:rFonts w:hint="eastAsia" w:ascii="Arial" w:cs="Arial"/>
          <w:b/>
          <w:sz w:val="26"/>
          <w:szCs w:val="26"/>
        </w:rPr>
        <w:t>（</w:t>
      </w:r>
      <w:r>
        <w:rPr>
          <w:rFonts w:ascii="Arial" w:cs="Arial"/>
          <w:b/>
          <w:sz w:val="26"/>
          <w:szCs w:val="26"/>
        </w:rPr>
        <w:t>1</w:t>
      </w:r>
      <w:r>
        <w:rPr>
          <w:rFonts w:hint="eastAsia" w:ascii="Arial" w:cs="Arial"/>
          <w:b/>
          <w:sz w:val="26"/>
          <w:szCs w:val="26"/>
        </w:rPr>
        <w:t>）现状监测</w:t>
      </w:r>
    </w:p>
    <w:p w14:paraId="62D19DA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sz w:val="26"/>
          <w:szCs w:val="26"/>
          <w:lang w:val="en-US" w:eastAsia="zh-CN"/>
        </w:rPr>
      </w:pPr>
      <w:r>
        <w:rPr>
          <w:rFonts w:hint="eastAsia" w:ascii="Arial" w:hAnsi="宋体" w:cs="Arial"/>
          <w:b/>
          <w:sz w:val="26"/>
          <w:szCs w:val="26"/>
        </w:rPr>
        <w:t>监测布点：</w:t>
      </w:r>
      <w:r>
        <w:rPr>
          <w:rFonts w:hint="eastAsia" w:ascii="Arial" w:hAnsi="宋体" w:cs="Arial"/>
          <w:sz w:val="26"/>
          <w:szCs w:val="26"/>
        </w:rPr>
        <w:t>根据《环境影响评价技术导则</w:t>
      </w:r>
      <w:r>
        <w:rPr>
          <w:rFonts w:ascii="Arial" w:hAnsi="宋体" w:cs="Arial"/>
          <w:sz w:val="26"/>
          <w:szCs w:val="26"/>
        </w:rPr>
        <w:t xml:space="preserve"> </w:t>
      </w:r>
      <w:r>
        <w:rPr>
          <w:rFonts w:hint="eastAsia" w:ascii="Arial" w:hAnsi="宋体" w:cs="Arial"/>
          <w:sz w:val="26"/>
          <w:szCs w:val="26"/>
        </w:rPr>
        <w:t>地下水》（</w:t>
      </w:r>
      <w:r>
        <w:rPr>
          <w:rFonts w:ascii="Arial" w:hAnsi="宋体" w:cs="Arial"/>
          <w:sz w:val="26"/>
          <w:szCs w:val="26"/>
        </w:rPr>
        <w:t>HJ610 2016</w:t>
      </w:r>
      <w:r>
        <w:rPr>
          <w:rFonts w:hint="eastAsia" w:ascii="Arial" w:hAnsi="宋体" w:cs="Arial"/>
          <w:sz w:val="26"/>
          <w:szCs w:val="26"/>
        </w:rPr>
        <w:t>）</w:t>
      </w:r>
      <w:r>
        <w:rPr>
          <w:rFonts w:hint="eastAsia" w:ascii="Arial" w:hAnsi="宋体" w:cs="Arial"/>
          <w:sz w:val="26"/>
          <w:szCs w:val="26"/>
          <w:lang w:eastAsia="zh-CN"/>
        </w:rPr>
        <w:t>，本项目地下水环境影响评价工作等级为三级，需</w:t>
      </w:r>
      <w:r>
        <w:rPr>
          <w:rFonts w:hint="eastAsia" w:ascii="Arial" w:hAnsi="宋体" w:cs="Arial"/>
          <w:sz w:val="26"/>
          <w:szCs w:val="26"/>
        </w:rPr>
        <w:t>在项目</w:t>
      </w:r>
      <w:r>
        <w:rPr>
          <w:rFonts w:hint="eastAsia" w:ascii="Arial" w:hAnsi="宋体" w:cs="Arial"/>
          <w:sz w:val="26"/>
          <w:szCs w:val="26"/>
          <w:lang w:eastAsia="zh-CN"/>
        </w:rPr>
        <w:t>评价范围内</w:t>
      </w:r>
      <w:r>
        <w:rPr>
          <w:rFonts w:hint="eastAsia" w:ascii="Arial" w:hAnsi="宋体" w:cs="Arial"/>
          <w:sz w:val="26"/>
          <w:szCs w:val="26"/>
        </w:rPr>
        <w:t>设置3个监测点。</w:t>
      </w:r>
      <w:r>
        <w:rPr>
          <w:rFonts w:hint="eastAsia" w:ascii="Arial" w:hAnsi="宋体" w:cs="Arial"/>
          <w:sz w:val="26"/>
          <w:szCs w:val="26"/>
          <w:lang w:val="en-US" w:eastAsia="zh-CN"/>
        </w:rPr>
        <w:t>1#监测点位于海螺沟水库上游、2#监测点位于海螺沟水库下游、3#监测点位于海螺沟水库周边，1~2#监测点为委托重庆国环环境监测有限公司进行实测，3#监测点为引用</w:t>
      </w:r>
      <w:r>
        <w:rPr>
          <w:rFonts w:hint="eastAsia" w:ascii="Arial" w:hAnsi="Arial" w:cs="Arial"/>
          <w:b w:val="0"/>
          <w:bCs/>
          <w:sz w:val="26"/>
          <w:szCs w:val="26"/>
          <w:lang w:val="en-US" w:eastAsia="zh-CN"/>
        </w:rPr>
        <w:t>《重庆市渠溪河流域综合规划环境影响报告书》中监测数据。</w:t>
      </w:r>
    </w:p>
    <w:p w14:paraId="36C92E23">
      <w:pPr>
        <w:spacing w:line="460" w:lineRule="exact"/>
        <w:ind w:firstLine="522" w:firstLineChars="200"/>
        <w:rPr>
          <w:rFonts w:ascii="Arial" w:hAnsi="Arial" w:eastAsia="Times New Roman" w:cs="Arial"/>
          <w:sz w:val="26"/>
          <w:szCs w:val="26"/>
        </w:rPr>
      </w:pPr>
      <w:r>
        <w:rPr>
          <w:rFonts w:hint="eastAsia" w:ascii="Arial" w:hAnsi="Arial" w:cs="Arial"/>
          <w:b/>
          <w:bCs w:val="0"/>
          <w:sz w:val="26"/>
          <w:szCs w:val="26"/>
          <w:lang w:val="en-US" w:eastAsia="zh-CN"/>
        </w:rPr>
        <w:t>监测时间及频率：</w:t>
      </w:r>
      <w:r>
        <w:rPr>
          <w:rFonts w:hint="eastAsia" w:ascii="Arial" w:hAnsi="宋体" w:cs="Arial"/>
          <w:sz w:val="26"/>
          <w:szCs w:val="26"/>
          <w:lang w:val="en-US" w:eastAsia="zh-CN"/>
        </w:rPr>
        <w:t>1~2#监测点为</w:t>
      </w:r>
      <w:r>
        <w:rPr>
          <w:rFonts w:ascii="Arial" w:hAnsi="Arial" w:eastAsia="Times New Roman" w:cs="Arial"/>
          <w:sz w:val="26"/>
          <w:szCs w:val="26"/>
        </w:rPr>
        <w:t>20</w:t>
      </w:r>
      <w:r>
        <w:rPr>
          <w:rFonts w:hint="eastAsia" w:ascii="Arial" w:hAnsi="Arial" w:eastAsia="宋体" w:cs="Arial"/>
          <w:sz w:val="26"/>
          <w:szCs w:val="26"/>
          <w:lang w:val="en-US" w:eastAsia="zh-CN"/>
        </w:rPr>
        <w:t>24</w:t>
      </w:r>
      <w:r>
        <w:rPr>
          <w:rFonts w:ascii="Arial" w:eastAsia="Times New Roman" w:cs="Arial"/>
          <w:sz w:val="26"/>
          <w:szCs w:val="26"/>
        </w:rPr>
        <w:t>年</w:t>
      </w:r>
      <w:r>
        <w:rPr>
          <w:rFonts w:hint="eastAsia" w:ascii="Arial" w:hAnsi="Arial" w:eastAsia="宋体" w:cs="Arial"/>
          <w:sz w:val="26"/>
          <w:szCs w:val="26"/>
          <w:lang w:val="en-US" w:eastAsia="zh-CN"/>
        </w:rPr>
        <w:t>8</w:t>
      </w:r>
      <w:r>
        <w:rPr>
          <w:rFonts w:ascii="Arial" w:eastAsia="Times New Roman" w:cs="Arial"/>
          <w:sz w:val="26"/>
          <w:szCs w:val="26"/>
        </w:rPr>
        <w:t>月</w:t>
      </w:r>
      <w:r>
        <w:rPr>
          <w:rFonts w:hint="eastAsia" w:ascii="Arial" w:hAnsi="Arial" w:eastAsia="宋体" w:cs="Arial"/>
          <w:sz w:val="26"/>
          <w:szCs w:val="26"/>
          <w:lang w:val="en-US" w:eastAsia="zh-CN"/>
        </w:rPr>
        <w:t>26</w:t>
      </w:r>
      <w:r>
        <w:rPr>
          <w:rFonts w:ascii="Arial" w:eastAsia="Times New Roman" w:cs="Arial"/>
          <w:sz w:val="26"/>
          <w:szCs w:val="26"/>
        </w:rPr>
        <w:t>日取样</w:t>
      </w:r>
      <w:r>
        <w:rPr>
          <w:rFonts w:hint="eastAsia" w:ascii="Arial" w:eastAsia="宋体" w:cs="Arial"/>
          <w:sz w:val="26"/>
          <w:szCs w:val="26"/>
          <w:lang w:eastAsia="zh-CN"/>
        </w:rPr>
        <w:t>监测</w:t>
      </w:r>
      <w:r>
        <w:rPr>
          <w:rFonts w:ascii="Arial" w:hAnsi="Arial" w:eastAsia="Times New Roman" w:cs="Arial"/>
          <w:sz w:val="26"/>
          <w:szCs w:val="26"/>
        </w:rPr>
        <w:t>1</w:t>
      </w:r>
      <w:r>
        <w:rPr>
          <w:rFonts w:ascii="Arial" w:eastAsia="Times New Roman" w:cs="Arial"/>
          <w:sz w:val="26"/>
          <w:szCs w:val="26"/>
        </w:rPr>
        <w:t>次</w:t>
      </w:r>
      <w:r>
        <w:rPr>
          <w:rFonts w:hint="eastAsia" w:ascii="Arial" w:eastAsia="宋体" w:cs="Arial"/>
          <w:sz w:val="26"/>
          <w:szCs w:val="26"/>
          <w:lang w:eastAsia="zh-CN"/>
        </w:rPr>
        <w:t>，</w:t>
      </w:r>
      <w:r>
        <w:rPr>
          <w:rFonts w:hint="eastAsia" w:ascii="Arial" w:eastAsia="宋体" w:cs="Arial"/>
          <w:sz w:val="26"/>
          <w:szCs w:val="26"/>
          <w:lang w:val="en-US" w:eastAsia="zh-CN"/>
        </w:rPr>
        <w:t>3#监测点为</w:t>
      </w:r>
      <w:r>
        <w:rPr>
          <w:rFonts w:ascii="Arial" w:hAnsi="Arial" w:eastAsia="Times New Roman" w:cs="Arial"/>
          <w:sz w:val="26"/>
          <w:szCs w:val="26"/>
        </w:rPr>
        <w:t>20</w:t>
      </w:r>
      <w:r>
        <w:rPr>
          <w:rFonts w:hint="eastAsia" w:ascii="Arial" w:hAnsi="Arial" w:eastAsia="宋体" w:cs="Arial"/>
          <w:sz w:val="26"/>
          <w:szCs w:val="26"/>
          <w:lang w:val="en-US" w:eastAsia="zh-CN"/>
        </w:rPr>
        <w:t>24</w:t>
      </w:r>
      <w:r>
        <w:rPr>
          <w:rFonts w:ascii="Arial" w:eastAsia="Times New Roman" w:cs="Arial"/>
          <w:sz w:val="26"/>
          <w:szCs w:val="26"/>
        </w:rPr>
        <w:t>年</w:t>
      </w:r>
      <w:r>
        <w:rPr>
          <w:rFonts w:hint="eastAsia" w:ascii="Arial" w:hAnsi="Arial" w:cs="Arial"/>
          <w:sz w:val="26"/>
          <w:szCs w:val="26"/>
          <w:lang w:val="en-US" w:eastAsia="zh-CN"/>
        </w:rPr>
        <w:t>1</w:t>
      </w:r>
      <w:r>
        <w:rPr>
          <w:rFonts w:ascii="Arial" w:eastAsia="Times New Roman" w:cs="Arial"/>
          <w:sz w:val="26"/>
          <w:szCs w:val="26"/>
        </w:rPr>
        <w:t>月</w:t>
      </w:r>
      <w:r>
        <w:rPr>
          <w:rFonts w:hint="eastAsia" w:ascii="Arial" w:hAnsi="Arial" w:eastAsia="宋体" w:cs="Arial"/>
          <w:sz w:val="26"/>
          <w:szCs w:val="26"/>
          <w:lang w:val="en-US" w:eastAsia="zh-CN"/>
        </w:rPr>
        <w:t>2</w:t>
      </w:r>
      <w:r>
        <w:rPr>
          <w:rFonts w:hint="eastAsia" w:ascii="Arial" w:hAnsi="Arial" w:cs="Arial"/>
          <w:sz w:val="26"/>
          <w:szCs w:val="26"/>
          <w:lang w:val="en-US" w:eastAsia="zh-CN"/>
        </w:rPr>
        <w:t>4</w:t>
      </w:r>
      <w:r>
        <w:rPr>
          <w:rFonts w:ascii="Arial" w:eastAsia="Times New Roman" w:cs="Arial"/>
          <w:sz w:val="26"/>
          <w:szCs w:val="26"/>
        </w:rPr>
        <w:t>日取样</w:t>
      </w:r>
      <w:r>
        <w:rPr>
          <w:rFonts w:hint="eastAsia" w:ascii="Arial" w:eastAsia="宋体" w:cs="Arial"/>
          <w:sz w:val="26"/>
          <w:szCs w:val="26"/>
          <w:lang w:eastAsia="zh-CN"/>
        </w:rPr>
        <w:t>监测</w:t>
      </w:r>
      <w:r>
        <w:rPr>
          <w:rFonts w:ascii="Arial" w:hAnsi="Arial" w:eastAsia="Times New Roman" w:cs="Arial"/>
          <w:sz w:val="26"/>
          <w:szCs w:val="26"/>
        </w:rPr>
        <w:t>1</w:t>
      </w:r>
      <w:r>
        <w:rPr>
          <w:rFonts w:ascii="Arial" w:eastAsia="Times New Roman" w:cs="Arial"/>
          <w:sz w:val="26"/>
          <w:szCs w:val="26"/>
        </w:rPr>
        <w:t>次。</w:t>
      </w:r>
    </w:p>
    <w:p w14:paraId="74399F30">
      <w:pPr>
        <w:spacing w:line="460" w:lineRule="exact"/>
        <w:ind w:firstLine="522" w:firstLineChars="200"/>
        <w:rPr>
          <w:rFonts w:hint="eastAsia" w:ascii="Arial" w:hAnsi="宋体" w:eastAsia="宋体" w:cs="Arial"/>
          <w:b/>
          <w:sz w:val="26"/>
          <w:szCs w:val="26"/>
          <w:lang w:val="en-US" w:eastAsia="zh-CN"/>
        </w:rPr>
      </w:pPr>
      <w:bookmarkStart w:id="100" w:name="_Toc525159249"/>
      <w:bookmarkStart w:id="101" w:name="_Toc522695922"/>
      <w:bookmarkStart w:id="102" w:name="_Toc520274071"/>
      <w:bookmarkStart w:id="103" w:name="_Toc522695772"/>
      <w:r>
        <w:rPr>
          <w:rFonts w:hint="eastAsia" w:ascii="Arial" w:hAnsi="宋体" w:cs="Arial"/>
          <w:b/>
          <w:sz w:val="26"/>
          <w:szCs w:val="26"/>
        </w:rPr>
        <w:t>监测因子：</w:t>
      </w:r>
      <w:r>
        <w:rPr>
          <w:rFonts w:hint="eastAsia" w:ascii="Arial" w:hAnsi="Arial" w:cs="Arial"/>
          <w:sz w:val="26"/>
          <w:szCs w:val="26"/>
          <w:lang w:val="en-US" w:eastAsia="zh-CN"/>
        </w:rPr>
        <w:t>1~2#监测点：</w:t>
      </w:r>
      <w:r>
        <w:rPr>
          <w:rFonts w:hint="default" w:ascii="Arial" w:hAnsi="Arial" w:cs="Arial"/>
          <w:sz w:val="26"/>
          <w:szCs w:val="26"/>
        </w:rPr>
        <w:t>水位、pH、溶解性总固体、耗氧量、氨氮、硝酸盐、亚硝酸盐、挥发性酚类、氰化物、氟化物、砷、汞、六价铬、总硬度、铅、镉、铁、锰、硫酸盐、总大肠菌群、细菌总数、氯化物、石油类</w:t>
      </w:r>
      <w:r>
        <w:rPr>
          <w:rFonts w:hint="eastAsia" w:ascii="Arial" w:hAnsi="Arial" w:cs="Arial"/>
          <w:sz w:val="26"/>
          <w:szCs w:val="26"/>
          <w:lang w:eastAsia="zh-CN"/>
        </w:rPr>
        <w:t>、</w:t>
      </w:r>
      <w:r>
        <w:rPr>
          <w:rFonts w:hint="eastAsia" w:ascii="Arial" w:hAnsi="Arial" w:cs="Arial"/>
          <w:sz w:val="26"/>
          <w:szCs w:val="26"/>
          <w:lang w:val="en-US" w:eastAsia="zh-CN"/>
        </w:rPr>
        <w:t>COD</w:t>
      </w:r>
      <w:r>
        <w:rPr>
          <w:rFonts w:hint="default" w:ascii="Arial" w:hAnsi="Arial" w:cs="Arial"/>
          <w:sz w:val="26"/>
          <w:szCs w:val="26"/>
        </w:rPr>
        <w:t>；</w:t>
      </w:r>
      <w:r>
        <w:rPr>
          <w:rFonts w:hint="eastAsia" w:ascii="Arial" w:hAnsi="Arial" w:cs="Arial"/>
          <w:sz w:val="26"/>
          <w:szCs w:val="26"/>
          <w:lang w:val="en-US" w:eastAsia="zh-CN"/>
        </w:rPr>
        <w:t>3#监测点：</w:t>
      </w:r>
      <w:r>
        <w:rPr>
          <w:rFonts w:ascii="Arial" w:hAnsi="Arial" w:cs="Arial"/>
          <w:sz w:val="26"/>
          <w:szCs w:val="26"/>
        </w:rPr>
        <w:t>pH、总硬度（以CaCO</w:t>
      </w:r>
      <w:r>
        <w:rPr>
          <w:rFonts w:ascii="Arial" w:hAnsi="Arial" w:cs="Arial"/>
          <w:sz w:val="26"/>
          <w:szCs w:val="26"/>
          <w:vertAlign w:val="subscript"/>
        </w:rPr>
        <w:t>3</w:t>
      </w:r>
      <w:r>
        <w:rPr>
          <w:rFonts w:ascii="Arial" w:hAnsi="Arial" w:cs="Arial"/>
          <w:sz w:val="26"/>
          <w:szCs w:val="26"/>
        </w:rPr>
        <w:t>计）、溶解性总固体、硫酸盐、氯化物、铁、锰、挥发性酚类、耗氧量（COD</w:t>
      </w:r>
      <w:r>
        <w:rPr>
          <w:rFonts w:ascii="Arial" w:hAnsi="Arial" w:cs="Arial"/>
          <w:sz w:val="26"/>
          <w:szCs w:val="26"/>
          <w:vertAlign w:val="subscript"/>
        </w:rPr>
        <w:t>Mn</w:t>
      </w:r>
      <w:r>
        <w:rPr>
          <w:rFonts w:ascii="Arial" w:hAnsi="Arial" w:cs="Arial"/>
          <w:sz w:val="26"/>
          <w:szCs w:val="26"/>
        </w:rPr>
        <w:t>法，以O</w:t>
      </w:r>
      <w:r>
        <w:rPr>
          <w:rFonts w:ascii="Arial" w:hAnsi="Arial" w:cs="Arial"/>
          <w:sz w:val="26"/>
          <w:szCs w:val="26"/>
          <w:vertAlign w:val="subscript"/>
        </w:rPr>
        <w:t>2</w:t>
      </w:r>
      <w:r>
        <w:rPr>
          <w:rFonts w:ascii="Arial" w:hAnsi="Arial" w:cs="Arial"/>
          <w:sz w:val="26"/>
          <w:szCs w:val="26"/>
        </w:rPr>
        <w:t>计）、氨氮、总大肠菌群、菌落总数、亚硝酸盐、硝酸盐、氰化物、氟化物、汞、砷、镉、铬（六价）、铅、铜、锌、铝、阴离子表面活性剂、K</w:t>
      </w:r>
      <w:r>
        <w:rPr>
          <w:rFonts w:ascii="Arial" w:hAnsi="Arial" w:cs="Arial"/>
          <w:sz w:val="26"/>
          <w:szCs w:val="26"/>
          <w:vertAlign w:val="superscript"/>
        </w:rPr>
        <w:t>+</w:t>
      </w:r>
      <w:r>
        <w:rPr>
          <w:rFonts w:hint="eastAsia" w:ascii="Arial" w:hAnsi="Arial" w:cs="Arial"/>
          <w:sz w:val="26"/>
          <w:szCs w:val="26"/>
        </w:rPr>
        <w:t>、</w:t>
      </w:r>
      <w:r>
        <w:rPr>
          <w:rFonts w:ascii="Arial" w:hAnsi="Arial" w:cs="Arial"/>
          <w:sz w:val="26"/>
          <w:szCs w:val="26"/>
        </w:rPr>
        <w:t>Na</w:t>
      </w:r>
      <w:r>
        <w:rPr>
          <w:rFonts w:ascii="Arial" w:hAnsi="Arial" w:cs="Arial"/>
          <w:sz w:val="26"/>
          <w:szCs w:val="26"/>
          <w:vertAlign w:val="superscript"/>
        </w:rPr>
        <w:t>+</w:t>
      </w:r>
      <w:r>
        <w:rPr>
          <w:rFonts w:hint="eastAsia" w:ascii="Arial" w:hAnsi="Arial" w:cs="Arial"/>
          <w:sz w:val="26"/>
          <w:szCs w:val="26"/>
        </w:rPr>
        <w:t>、</w:t>
      </w:r>
      <w:r>
        <w:rPr>
          <w:rFonts w:ascii="Arial" w:hAnsi="Arial" w:cs="Arial"/>
          <w:sz w:val="26"/>
          <w:szCs w:val="26"/>
        </w:rPr>
        <w:t>Ca</w:t>
      </w:r>
      <w:r>
        <w:rPr>
          <w:rFonts w:ascii="Arial" w:hAnsi="Arial" w:cs="Arial"/>
          <w:sz w:val="26"/>
          <w:szCs w:val="26"/>
          <w:vertAlign w:val="superscript"/>
        </w:rPr>
        <w:t>2+</w:t>
      </w:r>
      <w:r>
        <w:rPr>
          <w:rFonts w:hint="eastAsia" w:ascii="Arial" w:hAnsi="Arial" w:cs="Arial"/>
          <w:sz w:val="26"/>
          <w:szCs w:val="26"/>
        </w:rPr>
        <w:t>、</w:t>
      </w:r>
      <w:r>
        <w:rPr>
          <w:rFonts w:ascii="Arial" w:hAnsi="Arial" w:cs="Arial"/>
          <w:sz w:val="26"/>
          <w:szCs w:val="26"/>
        </w:rPr>
        <w:t>Mg</w:t>
      </w:r>
      <w:r>
        <w:rPr>
          <w:rFonts w:ascii="Arial" w:hAnsi="Arial" w:cs="Arial"/>
          <w:sz w:val="26"/>
          <w:szCs w:val="26"/>
          <w:vertAlign w:val="superscript"/>
        </w:rPr>
        <w:t>2+</w:t>
      </w:r>
      <w:r>
        <w:rPr>
          <w:rFonts w:hint="eastAsia" w:ascii="Arial" w:hAnsi="Arial" w:cs="Arial"/>
          <w:sz w:val="26"/>
          <w:szCs w:val="26"/>
        </w:rPr>
        <w:t>、</w:t>
      </w:r>
      <w:r>
        <w:rPr>
          <w:rFonts w:ascii="Arial" w:hAnsi="Arial" w:cs="Arial"/>
          <w:sz w:val="26"/>
          <w:szCs w:val="26"/>
        </w:rPr>
        <w:t>CO</w:t>
      </w:r>
      <w:r>
        <w:rPr>
          <w:rFonts w:ascii="Arial" w:hAnsi="Arial" w:cs="Arial"/>
          <w:sz w:val="26"/>
          <w:szCs w:val="26"/>
          <w:vertAlign w:val="subscript"/>
        </w:rPr>
        <w:t>3</w:t>
      </w:r>
      <w:r>
        <w:rPr>
          <w:rFonts w:ascii="Arial" w:hAnsi="Arial" w:cs="Arial"/>
          <w:sz w:val="26"/>
          <w:szCs w:val="26"/>
          <w:vertAlign w:val="superscript"/>
        </w:rPr>
        <w:t>2-</w:t>
      </w:r>
      <w:r>
        <w:rPr>
          <w:rFonts w:hint="eastAsia" w:ascii="Arial" w:hAnsi="Arial" w:cs="Arial"/>
          <w:sz w:val="26"/>
          <w:szCs w:val="26"/>
        </w:rPr>
        <w:t>、</w:t>
      </w:r>
      <w:r>
        <w:rPr>
          <w:rFonts w:ascii="Arial" w:hAnsi="Arial" w:cs="Arial"/>
          <w:sz w:val="26"/>
          <w:szCs w:val="26"/>
        </w:rPr>
        <w:t>HCO</w:t>
      </w:r>
      <w:r>
        <w:rPr>
          <w:rFonts w:ascii="Arial" w:hAnsi="Arial" w:cs="Arial"/>
          <w:sz w:val="26"/>
          <w:szCs w:val="26"/>
          <w:vertAlign w:val="subscript"/>
        </w:rPr>
        <w:t>3</w:t>
      </w:r>
      <w:r>
        <w:rPr>
          <w:rFonts w:ascii="Arial" w:hAnsi="Arial" w:cs="Arial"/>
          <w:sz w:val="26"/>
          <w:szCs w:val="26"/>
          <w:vertAlign w:val="superscript"/>
        </w:rPr>
        <w:t>-</w:t>
      </w:r>
      <w:r>
        <w:rPr>
          <w:rFonts w:hint="eastAsia" w:ascii="Arial" w:hAnsi="Arial" w:cs="Arial"/>
          <w:sz w:val="26"/>
          <w:szCs w:val="26"/>
        </w:rPr>
        <w:t>、</w:t>
      </w:r>
      <w:r>
        <w:rPr>
          <w:rFonts w:ascii="Arial" w:hAnsi="Arial" w:cs="Arial"/>
          <w:sz w:val="26"/>
          <w:szCs w:val="26"/>
        </w:rPr>
        <w:t>Cl</w:t>
      </w:r>
      <w:r>
        <w:rPr>
          <w:rFonts w:ascii="Arial" w:hAnsi="Arial" w:cs="Arial"/>
          <w:sz w:val="26"/>
          <w:szCs w:val="26"/>
          <w:vertAlign w:val="superscript"/>
        </w:rPr>
        <w:t>-</w:t>
      </w:r>
      <w:r>
        <w:rPr>
          <w:rFonts w:hint="eastAsia" w:ascii="Arial" w:hAnsi="Arial" w:cs="Arial"/>
          <w:sz w:val="26"/>
          <w:szCs w:val="26"/>
        </w:rPr>
        <w:t>、</w:t>
      </w:r>
      <w:r>
        <w:rPr>
          <w:rFonts w:ascii="Arial" w:hAnsi="Arial" w:cs="Arial"/>
          <w:sz w:val="26"/>
          <w:szCs w:val="26"/>
        </w:rPr>
        <w:t>SO</w:t>
      </w:r>
      <w:r>
        <w:rPr>
          <w:rFonts w:ascii="Arial" w:hAnsi="Arial" w:cs="Arial"/>
          <w:sz w:val="26"/>
          <w:szCs w:val="26"/>
          <w:vertAlign w:val="subscript"/>
        </w:rPr>
        <w:t>4</w:t>
      </w:r>
      <w:r>
        <w:rPr>
          <w:rFonts w:ascii="Arial" w:hAnsi="Arial" w:cs="Arial"/>
          <w:sz w:val="26"/>
          <w:szCs w:val="26"/>
          <w:vertAlign w:val="superscript"/>
        </w:rPr>
        <w:t>2-</w:t>
      </w:r>
      <w:r>
        <w:rPr>
          <w:rFonts w:hint="eastAsia" w:ascii="Arial" w:hAnsi="Arial" w:cs="Arial"/>
          <w:sz w:val="26"/>
          <w:szCs w:val="26"/>
        </w:rPr>
        <w:t>、</w:t>
      </w:r>
      <w:r>
        <w:rPr>
          <w:rFonts w:ascii="Arial" w:hAnsi="Arial" w:cs="Arial"/>
          <w:sz w:val="26"/>
          <w:szCs w:val="26"/>
        </w:rPr>
        <w:t>石油类、水位</w:t>
      </w:r>
      <w:r>
        <w:rPr>
          <w:rFonts w:hint="eastAsia" w:ascii="Arial" w:hAnsi="Arial" w:cs="Arial"/>
          <w:sz w:val="26"/>
          <w:szCs w:val="26"/>
          <w:lang w:eastAsia="zh-CN"/>
        </w:rPr>
        <w:t>。</w:t>
      </w:r>
    </w:p>
    <w:bookmarkEnd w:id="100"/>
    <w:bookmarkEnd w:id="101"/>
    <w:bookmarkEnd w:id="102"/>
    <w:bookmarkEnd w:id="103"/>
    <w:p w14:paraId="24E47C16">
      <w:pPr>
        <w:spacing w:line="460" w:lineRule="exact"/>
        <w:ind w:firstLine="392" w:firstLineChars="150"/>
        <w:outlineLvl w:val="3"/>
        <w:rPr>
          <w:rFonts w:ascii="Arial" w:cs="Arial"/>
          <w:b/>
          <w:sz w:val="26"/>
          <w:szCs w:val="26"/>
        </w:rPr>
      </w:pPr>
      <w:r>
        <w:rPr>
          <w:rFonts w:hint="eastAsia" w:ascii="Arial" w:cs="Arial"/>
          <w:b/>
          <w:sz w:val="26"/>
          <w:szCs w:val="26"/>
        </w:rPr>
        <w:t>（</w:t>
      </w:r>
      <w:r>
        <w:rPr>
          <w:rFonts w:ascii="Arial" w:cs="Arial"/>
          <w:b/>
          <w:sz w:val="26"/>
          <w:szCs w:val="26"/>
        </w:rPr>
        <w:t>2</w:t>
      </w:r>
      <w:r>
        <w:rPr>
          <w:rFonts w:hint="eastAsia" w:ascii="Arial" w:cs="Arial"/>
          <w:b/>
          <w:sz w:val="26"/>
          <w:szCs w:val="26"/>
        </w:rPr>
        <w:t>）评价方法</w:t>
      </w:r>
    </w:p>
    <w:p w14:paraId="3328BF96">
      <w:pPr>
        <w:spacing w:line="460" w:lineRule="exact"/>
        <w:ind w:firstLine="520" w:firstLineChars="200"/>
        <w:rPr>
          <w:rFonts w:hint="eastAsia" w:ascii="Arial" w:hAnsi="Arial" w:cs="Arial"/>
          <w:sz w:val="26"/>
          <w:szCs w:val="26"/>
        </w:rPr>
      </w:pPr>
      <w:bookmarkStart w:id="104" w:name="_Toc520274072"/>
      <w:bookmarkStart w:id="105" w:name="_Toc525159250"/>
      <w:bookmarkStart w:id="106" w:name="_Toc522695923"/>
      <w:bookmarkStart w:id="107" w:name="_Toc522695773"/>
      <w:r>
        <w:rPr>
          <w:rFonts w:hint="eastAsia" w:ascii="Arial" w:hAnsi="Arial" w:cs="Arial"/>
          <w:sz w:val="26"/>
          <w:szCs w:val="26"/>
        </w:rPr>
        <w:t>同地表水环境质量现状评价方法，采取标准指数法进行评价。</w:t>
      </w:r>
      <w:bookmarkEnd w:id="104"/>
      <w:bookmarkEnd w:id="105"/>
      <w:bookmarkEnd w:id="106"/>
      <w:bookmarkEnd w:id="107"/>
    </w:p>
    <w:p w14:paraId="7959D8C5">
      <w:pPr>
        <w:spacing w:line="480" w:lineRule="exact"/>
        <w:ind w:firstLine="392" w:firstLineChars="150"/>
        <w:outlineLvl w:val="3"/>
        <w:rPr>
          <w:rFonts w:hint="eastAsia" w:ascii="Arial" w:eastAsia="宋体" w:cs="Arial"/>
          <w:b/>
          <w:sz w:val="26"/>
          <w:szCs w:val="26"/>
          <w:lang w:eastAsia="zh-CN"/>
        </w:rPr>
      </w:pPr>
      <w:r>
        <w:rPr>
          <w:rFonts w:hint="eastAsia" w:ascii="Arial" w:cs="Arial"/>
          <w:b/>
          <w:sz w:val="26"/>
          <w:szCs w:val="26"/>
        </w:rPr>
        <w:t>（</w:t>
      </w:r>
      <w:r>
        <w:rPr>
          <w:rFonts w:ascii="Arial" w:cs="Arial"/>
          <w:b/>
          <w:sz w:val="26"/>
          <w:szCs w:val="26"/>
        </w:rPr>
        <w:t>3</w:t>
      </w:r>
      <w:r>
        <w:rPr>
          <w:rFonts w:hint="eastAsia" w:ascii="Arial" w:cs="Arial"/>
          <w:b/>
          <w:sz w:val="26"/>
          <w:szCs w:val="26"/>
        </w:rPr>
        <w:t>）评价</w:t>
      </w:r>
      <w:r>
        <w:rPr>
          <w:rFonts w:hint="eastAsia" w:ascii="Arial" w:cs="Arial"/>
          <w:b/>
          <w:sz w:val="26"/>
          <w:szCs w:val="26"/>
          <w:lang w:eastAsia="zh-CN"/>
        </w:rPr>
        <w:t>标准</w:t>
      </w:r>
    </w:p>
    <w:p w14:paraId="3E585056">
      <w:pPr>
        <w:spacing w:line="460" w:lineRule="exact"/>
        <w:ind w:firstLine="504" w:firstLineChars="200"/>
        <w:rPr>
          <w:rFonts w:hint="eastAsia" w:ascii="Arial" w:eastAsia="宋体" w:cs="Arial"/>
          <w:spacing w:val="-4"/>
          <w:sz w:val="26"/>
          <w:szCs w:val="26"/>
          <w:lang w:eastAsia="zh-CN"/>
        </w:rPr>
      </w:pPr>
      <w:bookmarkStart w:id="108" w:name="_Toc520274073"/>
      <w:bookmarkStart w:id="109" w:name="_Toc522695774"/>
      <w:bookmarkStart w:id="110" w:name="_Toc525159251"/>
      <w:bookmarkStart w:id="111" w:name="_Toc522695924"/>
      <w:r>
        <w:rPr>
          <w:rFonts w:hint="eastAsia" w:ascii="Arial" w:cs="Arial"/>
          <w:spacing w:val="-4"/>
          <w:sz w:val="26"/>
          <w:szCs w:val="26"/>
        </w:rPr>
        <w:t>区域地下水环境质量执行《地下水质量标准》（</w:t>
      </w:r>
      <w:r>
        <w:rPr>
          <w:rFonts w:ascii="Arial" w:cs="Arial"/>
          <w:spacing w:val="-4"/>
          <w:sz w:val="26"/>
          <w:szCs w:val="26"/>
        </w:rPr>
        <w:t>GB/T14848-2017</w:t>
      </w:r>
      <w:r>
        <w:rPr>
          <w:rFonts w:hint="eastAsia" w:ascii="Arial" w:cs="Arial"/>
          <w:spacing w:val="-4"/>
          <w:sz w:val="26"/>
          <w:szCs w:val="26"/>
        </w:rPr>
        <w:t>）中</w:t>
      </w:r>
      <w:r>
        <w:rPr>
          <w:rFonts w:ascii="Arial" w:cs="Arial"/>
          <w:spacing w:val="-4"/>
          <w:sz w:val="26"/>
          <w:szCs w:val="26"/>
        </w:rPr>
        <w:t>III</w:t>
      </w:r>
      <w:r>
        <w:rPr>
          <w:rFonts w:hint="eastAsia" w:ascii="Arial" w:cs="Arial"/>
          <w:spacing w:val="-4"/>
          <w:sz w:val="26"/>
          <w:szCs w:val="26"/>
        </w:rPr>
        <w:t>类标准</w:t>
      </w:r>
      <w:r>
        <w:rPr>
          <w:rFonts w:hint="eastAsia" w:ascii="Arial" w:cs="Arial"/>
          <w:spacing w:val="-4"/>
          <w:sz w:val="26"/>
          <w:szCs w:val="26"/>
          <w:lang w:eastAsia="zh-CN"/>
        </w:rPr>
        <w:t>。</w:t>
      </w:r>
    </w:p>
    <w:p w14:paraId="68B58BA1">
      <w:pPr>
        <w:spacing w:line="480" w:lineRule="exact"/>
        <w:ind w:firstLine="392" w:firstLineChars="150"/>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4</w:t>
      </w:r>
      <w:r>
        <w:rPr>
          <w:rFonts w:hint="eastAsia" w:ascii="Arial" w:cs="Arial"/>
          <w:b/>
          <w:sz w:val="26"/>
          <w:szCs w:val="26"/>
        </w:rPr>
        <w:t>）评价</w:t>
      </w:r>
      <w:r>
        <w:rPr>
          <w:rFonts w:hint="eastAsia" w:ascii="Arial" w:cs="Arial"/>
          <w:b/>
          <w:sz w:val="26"/>
          <w:szCs w:val="26"/>
          <w:lang w:eastAsia="zh-CN"/>
        </w:rPr>
        <w:t>结果</w:t>
      </w:r>
    </w:p>
    <w:p w14:paraId="753926F3">
      <w:pPr>
        <w:spacing w:line="460" w:lineRule="exact"/>
        <w:ind w:firstLine="504" w:firstLineChars="200"/>
        <w:rPr>
          <w:rFonts w:hint="eastAsia" w:ascii="Arial" w:cs="Arial"/>
          <w:spacing w:val="-4"/>
          <w:sz w:val="26"/>
          <w:szCs w:val="26"/>
        </w:rPr>
      </w:pPr>
      <w:r>
        <w:rPr>
          <w:rFonts w:hint="eastAsia" w:ascii="Arial" w:cs="Arial"/>
          <w:spacing w:val="-4"/>
          <w:sz w:val="26"/>
          <w:szCs w:val="26"/>
        </w:rPr>
        <w:t>监测数据及评价结果见表</w:t>
      </w:r>
      <w:r>
        <w:rPr>
          <w:rFonts w:ascii="Arial" w:cs="Arial"/>
          <w:spacing w:val="-4"/>
          <w:sz w:val="26"/>
          <w:szCs w:val="26"/>
        </w:rPr>
        <w:t>4.</w:t>
      </w:r>
      <w:r>
        <w:rPr>
          <w:rFonts w:hint="eastAsia" w:ascii="Arial" w:cs="Arial"/>
          <w:spacing w:val="-4"/>
          <w:sz w:val="26"/>
          <w:szCs w:val="26"/>
          <w:lang w:val="en-US" w:eastAsia="zh-CN"/>
        </w:rPr>
        <w:t>3</w:t>
      </w:r>
      <w:r>
        <w:rPr>
          <w:rFonts w:ascii="Arial" w:cs="Arial"/>
          <w:spacing w:val="-4"/>
          <w:sz w:val="26"/>
          <w:szCs w:val="26"/>
        </w:rPr>
        <w:t>-</w:t>
      </w:r>
      <w:r>
        <w:rPr>
          <w:rFonts w:hint="eastAsia" w:ascii="Arial" w:cs="Arial"/>
          <w:spacing w:val="-4"/>
          <w:sz w:val="26"/>
          <w:szCs w:val="26"/>
          <w:lang w:val="en-US" w:eastAsia="zh-CN"/>
        </w:rPr>
        <w:t>9</w:t>
      </w:r>
      <w:r>
        <w:rPr>
          <w:rFonts w:hint="eastAsia" w:ascii="Arial" w:cs="Arial"/>
          <w:spacing w:val="-4"/>
          <w:sz w:val="26"/>
          <w:szCs w:val="26"/>
        </w:rPr>
        <w:t>、</w:t>
      </w:r>
      <w:r>
        <w:rPr>
          <w:rFonts w:ascii="Arial" w:cs="Arial"/>
          <w:spacing w:val="-4"/>
          <w:sz w:val="26"/>
          <w:szCs w:val="26"/>
        </w:rPr>
        <w:t>4.</w:t>
      </w:r>
      <w:r>
        <w:rPr>
          <w:rFonts w:hint="eastAsia" w:ascii="Arial" w:cs="Arial"/>
          <w:spacing w:val="-4"/>
          <w:sz w:val="26"/>
          <w:szCs w:val="26"/>
          <w:lang w:val="en-US" w:eastAsia="zh-CN"/>
        </w:rPr>
        <w:t>3</w:t>
      </w:r>
      <w:r>
        <w:rPr>
          <w:rFonts w:ascii="Arial" w:cs="Arial"/>
          <w:spacing w:val="-4"/>
          <w:sz w:val="26"/>
          <w:szCs w:val="26"/>
        </w:rPr>
        <w:t>-</w:t>
      </w:r>
      <w:r>
        <w:rPr>
          <w:rFonts w:hint="eastAsia" w:ascii="Arial" w:cs="Arial"/>
          <w:spacing w:val="-4"/>
          <w:sz w:val="26"/>
          <w:szCs w:val="26"/>
          <w:lang w:val="en-US" w:eastAsia="zh-CN"/>
        </w:rPr>
        <w:t>10</w:t>
      </w:r>
      <w:r>
        <w:rPr>
          <w:rFonts w:hint="eastAsia" w:ascii="Arial" w:cs="Arial"/>
          <w:spacing w:val="-4"/>
          <w:sz w:val="26"/>
          <w:szCs w:val="26"/>
        </w:rPr>
        <w:t>所示。</w:t>
      </w:r>
      <w:bookmarkEnd w:id="108"/>
      <w:bookmarkEnd w:id="109"/>
      <w:bookmarkEnd w:id="110"/>
      <w:bookmarkEnd w:id="111"/>
    </w:p>
    <w:p w14:paraId="2A1EC4C9">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cs="Arial"/>
          <w:b/>
          <w:sz w:val="26"/>
          <w:szCs w:val="26"/>
          <w:lang w:val="en-US" w:eastAsia="zh-CN"/>
        </w:rPr>
      </w:pPr>
      <w:r>
        <w:rPr>
          <w:rFonts w:hint="eastAsia" w:ascii="Arial" w:hAnsi="Arial" w:cs="Arial"/>
          <w:b/>
          <w:sz w:val="26"/>
          <w:szCs w:val="26"/>
        </w:rPr>
        <w:t>表4.</w:t>
      </w:r>
      <w:r>
        <w:rPr>
          <w:rFonts w:hint="eastAsia" w:ascii="Arial" w:hAnsi="Arial" w:cs="Arial"/>
          <w:b/>
          <w:sz w:val="26"/>
          <w:szCs w:val="26"/>
          <w:lang w:val="en-US" w:eastAsia="zh-CN"/>
        </w:rPr>
        <w:t>3-9</w:t>
      </w:r>
      <w:r>
        <w:rPr>
          <w:rFonts w:hint="eastAsia" w:ascii="Arial" w:hAnsi="Arial" w:cs="Arial"/>
          <w:b/>
          <w:sz w:val="26"/>
          <w:szCs w:val="26"/>
        </w:rPr>
        <w:t xml:space="preserve">  </w:t>
      </w:r>
      <w:r>
        <w:rPr>
          <w:rFonts w:hint="eastAsia" w:ascii="Arial" w:hAnsi="Arial" w:cs="Arial"/>
          <w:b/>
          <w:sz w:val="26"/>
          <w:szCs w:val="26"/>
          <w:lang w:eastAsia="zh-CN"/>
        </w:rPr>
        <w:t>地下水八大离子监测结果一览表</w:t>
      </w:r>
      <w:r>
        <w:rPr>
          <w:rFonts w:hint="eastAsia" w:ascii="Arial" w:hAnsi="Arial" w:cs="Arial"/>
          <w:b/>
          <w:sz w:val="26"/>
          <w:szCs w:val="26"/>
          <w:lang w:val="en-US" w:eastAsia="zh-CN"/>
        </w:rPr>
        <w:t xml:space="preserve"> 单位：mg/L</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7"/>
        <w:gridCol w:w="1037"/>
        <w:gridCol w:w="1038"/>
        <w:gridCol w:w="1038"/>
        <w:gridCol w:w="1038"/>
        <w:gridCol w:w="1038"/>
        <w:gridCol w:w="1038"/>
        <w:gridCol w:w="1038"/>
        <w:gridCol w:w="1038"/>
      </w:tblGrid>
      <w:tr w14:paraId="439AA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1037" w:type="dxa"/>
            <w:tcBorders>
              <w:top w:val="single" w:color="auto" w:sz="12" w:space="0"/>
              <w:left w:val="single" w:color="auto" w:sz="12" w:space="0"/>
              <w:bottom w:val="single" w:color="auto" w:sz="6" w:space="0"/>
              <w:right w:val="single" w:color="auto" w:sz="6" w:space="0"/>
            </w:tcBorders>
            <w:noWrap w:val="0"/>
            <w:vAlign w:val="center"/>
          </w:tcPr>
          <w:p w14:paraId="45907393">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right"/>
              <w:textAlignment w:val="auto"/>
              <w:rPr>
                <w:rFonts w:ascii="Arial" w:hAnsi="Arial" w:cs="Arial"/>
                <w:sz w:val="22"/>
                <w:szCs w:val="22"/>
              </w:rPr>
            </w:pPr>
            <w:r>
              <w:rPr>
                <w:rFonts w:ascii="Arial" w:cs="Arial"/>
                <w:sz w:val="22"/>
                <w:szCs w:val="22"/>
              </w:rPr>
              <w:t>因子</w:t>
            </w:r>
          </w:p>
          <w:p w14:paraId="00B4D44B">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Arial" w:hAnsi="Arial" w:cs="Arial"/>
                <w:sz w:val="22"/>
                <w:szCs w:val="22"/>
              </w:rPr>
            </w:pPr>
            <w:r>
              <w:rPr>
                <w:rFonts w:ascii="Arial" w:cs="Arial"/>
                <w:sz w:val="22"/>
                <w:szCs w:val="22"/>
              </w:rPr>
              <w:t>点位</w:t>
            </w:r>
          </w:p>
        </w:tc>
        <w:tc>
          <w:tcPr>
            <w:tcW w:w="1037" w:type="dxa"/>
            <w:tcBorders>
              <w:top w:val="single" w:color="auto" w:sz="12" w:space="0"/>
              <w:left w:val="single" w:color="auto" w:sz="6" w:space="0"/>
              <w:bottom w:val="single" w:color="auto" w:sz="6" w:space="0"/>
              <w:right w:val="single" w:color="auto" w:sz="6" w:space="0"/>
            </w:tcBorders>
            <w:noWrap w:val="0"/>
            <w:vAlign w:val="center"/>
          </w:tcPr>
          <w:p w14:paraId="7D6D1D4B">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K</w:t>
            </w:r>
            <w:r>
              <w:rPr>
                <w:rFonts w:ascii="Arial" w:hAnsi="Arial" w:cs="Arial"/>
                <w:sz w:val="22"/>
                <w:szCs w:val="22"/>
                <w:vertAlign w:val="superscript"/>
              </w:rPr>
              <w:t>+</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365BFD36">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Na</w:t>
            </w:r>
            <w:r>
              <w:rPr>
                <w:rFonts w:ascii="Arial" w:hAnsi="Arial" w:cs="Arial"/>
                <w:sz w:val="22"/>
                <w:szCs w:val="22"/>
                <w:vertAlign w:val="superscript"/>
              </w:rPr>
              <w:t>+</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677F01B5">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Ca</w:t>
            </w:r>
            <w:r>
              <w:rPr>
                <w:rFonts w:ascii="Arial" w:hAnsi="Arial" w:cs="Arial"/>
                <w:sz w:val="22"/>
                <w:szCs w:val="22"/>
                <w:vertAlign w:val="superscript"/>
              </w:rPr>
              <w:t>2+</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5EEC9B89">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Mg</w:t>
            </w:r>
            <w:r>
              <w:rPr>
                <w:rFonts w:ascii="Arial" w:hAnsi="Arial" w:cs="Arial"/>
                <w:sz w:val="22"/>
                <w:szCs w:val="22"/>
                <w:vertAlign w:val="superscript"/>
              </w:rPr>
              <w:t>2+</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5C783FCC">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Cl</w:t>
            </w:r>
            <w:r>
              <w:rPr>
                <w:rFonts w:ascii="Arial" w:hAnsi="Arial" w:cs="Arial"/>
                <w:sz w:val="22"/>
                <w:szCs w:val="22"/>
                <w:vertAlign w:val="superscript"/>
              </w:rPr>
              <w:t>-</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13FE36B6">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SO</w:t>
            </w:r>
            <w:r>
              <w:rPr>
                <w:rFonts w:ascii="Arial" w:hAnsi="Arial" w:cs="Arial"/>
                <w:sz w:val="22"/>
                <w:szCs w:val="22"/>
                <w:vertAlign w:val="subscript"/>
              </w:rPr>
              <w:t>4</w:t>
            </w:r>
            <w:r>
              <w:rPr>
                <w:rFonts w:ascii="Arial" w:hAnsi="Arial" w:cs="Arial"/>
                <w:sz w:val="22"/>
                <w:szCs w:val="22"/>
                <w:vertAlign w:val="superscript"/>
              </w:rPr>
              <w:t>2-</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0AFDCF2F">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HCO</w:t>
            </w:r>
            <w:r>
              <w:rPr>
                <w:rFonts w:ascii="Arial" w:hAnsi="Arial" w:cs="Arial"/>
                <w:sz w:val="22"/>
                <w:szCs w:val="22"/>
                <w:vertAlign w:val="subscript"/>
              </w:rPr>
              <w:t>3</w:t>
            </w:r>
            <w:r>
              <w:rPr>
                <w:rFonts w:ascii="Arial" w:hAnsi="Arial" w:cs="Arial"/>
                <w:sz w:val="22"/>
                <w:szCs w:val="22"/>
                <w:vertAlign w:val="superscript"/>
              </w:rPr>
              <w:t>-</w:t>
            </w:r>
          </w:p>
        </w:tc>
        <w:tc>
          <w:tcPr>
            <w:tcW w:w="1038" w:type="dxa"/>
            <w:tcBorders>
              <w:top w:val="single" w:color="auto" w:sz="12" w:space="0"/>
              <w:left w:val="single" w:color="auto" w:sz="6" w:space="0"/>
              <w:bottom w:val="single" w:color="auto" w:sz="6" w:space="0"/>
              <w:right w:val="single" w:color="auto" w:sz="12" w:space="0"/>
            </w:tcBorders>
            <w:noWrap w:val="0"/>
            <w:vAlign w:val="center"/>
          </w:tcPr>
          <w:p w14:paraId="726E3ED9">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CO</w:t>
            </w:r>
            <w:r>
              <w:rPr>
                <w:rFonts w:ascii="Arial" w:hAnsi="Arial" w:cs="Arial"/>
                <w:sz w:val="22"/>
                <w:szCs w:val="22"/>
                <w:vertAlign w:val="subscript"/>
              </w:rPr>
              <w:t>3</w:t>
            </w:r>
            <w:r>
              <w:rPr>
                <w:rFonts w:ascii="Arial" w:hAnsi="Arial" w:cs="Arial"/>
                <w:sz w:val="22"/>
                <w:szCs w:val="22"/>
                <w:vertAlign w:val="superscript"/>
              </w:rPr>
              <w:t>2-</w:t>
            </w:r>
          </w:p>
        </w:tc>
      </w:tr>
      <w:tr w14:paraId="007A51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037" w:type="dxa"/>
            <w:tcBorders>
              <w:top w:val="single" w:color="auto" w:sz="6" w:space="0"/>
              <w:left w:val="single" w:color="auto" w:sz="12" w:space="0"/>
              <w:bottom w:val="single" w:color="auto" w:sz="12" w:space="0"/>
              <w:right w:val="single" w:color="auto" w:sz="6" w:space="0"/>
            </w:tcBorders>
            <w:noWrap w:val="0"/>
            <w:vAlign w:val="center"/>
          </w:tcPr>
          <w:p w14:paraId="5100548F">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hint="eastAsia" w:ascii="Arial" w:hAnsi="Arial" w:cs="Arial"/>
                <w:sz w:val="22"/>
                <w:szCs w:val="22"/>
                <w:lang w:val="en-US" w:eastAsia="zh-CN"/>
              </w:rPr>
              <w:t>3</w:t>
            </w:r>
            <w:r>
              <w:rPr>
                <w:rFonts w:ascii="Arial" w:hAnsi="Arial" w:cs="Arial"/>
                <w:sz w:val="22"/>
                <w:szCs w:val="22"/>
              </w:rPr>
              <w:t>#</w:t>
            </w:r>
          </w:p>
        </w:tc>
        <w:tc>
          <w:tcPr>
            <w:tcW w:w="1037" w:type="dxa"/>
            <w:tcBorders>
              <w:top w:val="single" w:color="auto" w:sz="6" w:space="0"/>
              <w:left w:val="single" w:color="auto" w:sz="6" w:space="0"/>
              <w:bottom w:val="single" w:color="auto" w:sz="12" w:space="0"/>
              <w:right w:val="single" w:color="auto" w:sz="6" w:space="0"/>
            </w:tcBorders>
            <w:noWrap w:val="0"/>
            <w:vAlign w:val="center"/>
          </w:tcPr>
          <w:p w14:paraId="04AAC175">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6.32</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5956EF9D">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15.6</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1E28802B">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22.2</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0CF26AC2">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6.43</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2AF39A77">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8.8</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488FDAC0">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36.9</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05BAEED3">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80.5</w:t>
            </w:r>
          </w:p>
        </w:tc>
        <w:tc>
          <w:tcPr>
            <w:tcW w:w="1038" w:type="dxa"/>
            <w:tcBorders>
              <w:top w:val="single" w:color="auto" w:sz="6" w:space="0"/>
              <w:left w:val="single" w:color="auto" w:sz="6" w:space="0"/>
              <w:bottom w:val="single" w:color="auto" w:sz="12" w:space="0"/>
              <w:right w:val="single" w:color="auto" w:sz="12" w:space="0"/>
            </w:tcBorders>
            <w:noWrap w:val="0"/>
            <w:vAlign w:val="center"/>
          </w:tcPr>
          <w:p w14:paraId="7C36FCF6">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1.25L</w:t>
            </w:r>
          </w:p>
        </w:tc>
      </w:tr>
    </w:tbl>
    <w:p w14:paraId="0277BE68">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Arial" w:hAnsi="Arial" w:cs="Arial"/>
          <w:b/>
          <w:sz w:val="26"/>
          <w:szCs w:val="26"/>
          <w:lang w:eastAsia="zh-CN"/>
        </w:rPr>
      </w:pPr>
    </w:p>
    <w:p w14:paraId="06A437B3">
      <w:pPr>
        <w:pStyle w:val="440"/>
        <w:spacing w:line="460" w:lineRule="exact"/>
        <w:ind w:firstLine="504"/>
        <w:rPr>
          <w:rFonts w:hint="eastAsia" w:ascii="Arial" w:cs="Arial"/>
          <w:spacing w:val="-4"/>
          <w:sz w:val="26"/>
          <w:szCs w:val="26"/>
          <w:lang w:eastAsia="zh-CN"/>
        </w:rPr>
      </w:pPr>
      <w:r>
        <w:rPr>
          <w:rFonts w:hint="eastAsia" w:ascii="Arial" w:cs="Arial"/>
          <w:spacing w:val="-4"/>
          <w:sz w:val="26"/>
          <w:szCs w:val="26"/>
          <w:lang w:val="en-US"/>
        </w:rPr>
        <w:t>由表</w:t>
      </w:r>
      <w:r>
        <w:rPr>
          <w:rFonts w:ascii="Arial" w:cs="Arial"/>
          <w:spacing w:val="-4"/>
          <w:sz w:val="26"/>
          <w:szCs w:val="26"/>
          <w:lang w:val="en-US"/>
        </w:rPr>
        <w:t>4.</w:t>
      </w:r>
      <w:r>
        <w:rPr>
          <w:rFonts w:hint="eastAsia" w:ascii="Arial" w:cs="Arial"/>
          <w:spacing w:val="-4"/>
          <w:sz w:val="26"/>
          <w:szCs w:val="26"/>
          <w:lang w:val="en-US" w:eastAsia="zh-CN"/>
        </w:rPr>
        <w:t>3</w:t>
      </w:r>
      <w:r>
        <w:rPr>
          <w:rFonts w:ascii="Arial" w:cs="Arial"/>
          <w:spacing w:val="-4"/>
          <w:sz w:val="26"/>
          <w:szCs w:val="26"/>
          <w:lang w:val="en-US"/>
        </w:rPr>
        <w:t>-</w:t>
      </w:r>
      <w:r>
        <w:rPr>
          <w:rFonts w:hint="eastAsia" w:ascii="Arial" w:cs="Arial"/>
          <w:spacing w:val="-4"/>
          <w:sz w:val="26"/>
          <w:szCs w:val="26"/>
          <w:lang w:val="en-US" w:eastAsia="zh-CN"/>
        </w:rPr>
        <w:t>9</w:t>
      </w:r>
      <w:r>
        <w:rPr>
          <w:rFonts w:hint="eastAsia" w:ascii="Arial" w:cs="Arial"/>
          <w:spacing w:val="-4"/>
          <w:sz w:val="26"/>
          <w:szCs w:val="26"/>
          <w:lang w:val="en-US"/>
        </w:rPr>
        <w:t>可知，区域地下</w:t>
      </w:r>
      <w:r>
        <w:rPr>
          <w:rFonts w:hint="default" w:ascii="Arial" w:hAnsi="Arial" w:cs="Arial"/>
          <w:spacing w:val="-4"/>
          <w:sz w:val="26"/>
          <w:szCs w:val="26"/>
          <w:lang w:val="en-US"/>
        </w:rPr>
        <w:t>水类型为</w:t>
      </w:r>
      <w:r>
        <w:rPr>
          <w:rFonts w:hint="default" w:ascii="Arial" w:hAnsi="Arial" w:eastAsia="宋体" w:cs="Arial"/>
          <w:color w:val="auto"/>
          <w:kern w:val="0"/>
          <w:sz w:val="26"/>
          <w:szCs w:val="26"/>
          <w:highlight w:val="none"/>
          <w:lang w:bidi="ar"/>
        </w:rPr>
        <w:t>HCO</w:t>
      </w:r>
      <w:r>
        <w:rPr>
          <w:rFonts w:hint="default" w:ascii="Arial" w:hAnsi="Arial" w:eastAsia="宋体" w:cs="Arial"/>
          <w:color w:val="auto"/>
          <w:kern w:val="0"/>
          <w:sz w:val="26"/>
          <w:szCs w:val="26"/>
          <w:highlight w:val="none"/>
          <w:vertAlign w:val="subscript"/>
          <w:lang w:bidi="ar"/>
        </w:rPr>
        <w:t>3</w:t>
      </w:r>
      <w:r>
        <w:rPr>
          <w:rFonts w:hint="default" w:ascii="Arial" w:hAnsi="Arial" w:eastAsia="宋体" w:cs="Arial"/>
          <w:color w:val="auto"/>
          <w:kern w:val="0"/>
          <w:sz w:val="26"/>
          <w:szCs w:val="26"/>
          <w:highlight w:val="none"/>
          <w:vertAlign w:val="superscript"/>
          <w:lang w:bidi="ar"/>
        </w:rPr>
        <w:t>-</w:t>
      </w:r>
      <w:r>
        <w:rPr>
          <w:rFonts w:hint="default" w:ascii="Arial" w:hAnsi="Arial" w:eastAsia="宋体" w:cs="Arial"/>
          <w:color w:val="auto"/>
          <w:kern w:val="0"/>
          <w:sz w:val="26"/>
          <w:szCs w:val="26"/>
          <w:highlight w:val="none"/>
          <w:lang w:bidi="ar"/>
        </w:rPr>
        <w:t>+SO</w:t>
      </w:r>
      <w:r>
        <w:rPr>
          <w:rStyle w:val="2110"/>
          <w:rFonts w:hint="default" w:ascii="Arial" w:hAnsi="Arial" w:cs="Arial"/>
          <w:color w:val="auto"/>
          <w:sz w:val="26"/>
          <w:szCs w:val="26"/>
          <w:highlight w:val="none"/>
          <w:vertAlign w:val="subscript"/>
          <w:lang w:bidi="ar"/>
        </w:rPr>
        <w:t>4</w:t>
      </w:r>
      <w:r>
        <w:rPr>
          <w:rStyle w:val="2111"/>
          <w:rFonts w:hint="default" w:ascii="Arial" w:hAnsi="Arial" w:eastAsia="宋体" w:cs="Arial"/>
          <w:b w:val="0"/>
          <w:bCs w:val="0"/>
          <w:color w:val="auto"/>
          <w:sz w:val="26"/>
          <w:szCs w:val="26"/>
          <w:highlight w:val="none"/>
          <w:vertAlign w:val="superscript"/>
          <w:lang w:bidi="ar"/>
        </w:rPr>
        <w:t>2-</w:t>
      </w:r>
      <w:r>
        <w:rPr>
          <w:rFonts w:hint="default" w:ascii="Arial" w:hAnsi="Arial" w:eastAsia="宋体" w:cs="Arial"/>
          <w:color w:val="auto"/>
          <w:kern w:val="0"/>
          <w:sz w:val="26"/>
          <w:szCs w:val="26"/>
          <w:highlight w:val="none"/>
          <w:lang w:bidi="ar"/>
        </w:rPr>
        <w:t>-Na</w:t>
      </w:r>
      <w:r>
        <w:rPr>
          <w:rFonts w:hint="default" w:ascii="Arial" w:hAnsi="Arial" w:eastAsia="宋体" w:cs="Arial"/>
          <w:color w:val="auto"/>
          <w:kern w:val="0"/>
          <w:sz w:val="26"/>
          <w:szCs w:val="26"/>
          <w:highlight w:val="none"/>
          <w:vertAlign w:val="superscript"/>
          <w:lang w:bidi="ar"/>
        </w:rPr>
        <w:t>+</w:t>
      </w:r>
      <w:r>
        <w:rPr>
          <w:rFonts w:hint="default" w:ascii="Arial" w:hAnsi="Arial" w:eastAsia="宋体" w:cs="Arial"/>
          <w:color w:val="auto"/>
          <w:kern w:val="0"/>
          <w:sz w:val="26"/>
          <w:szCs w:val="26"/>
          <w:highlight w:val="none"/>
          <w:lang w:bidi="ar"/>
        </w:rPr>
        <w:t>+Ca</w:t>
      </w:r>
      <w:r>
        <w:rPr>
          <w:rFonts w:hint="default" w:ascii="Arial" w:hAnsi="Arial" w:eastAsia="宋体" w:cs="Arial"/>
          <w:color w:val="auto"/>
          <w:kern w:val="0"/>
          <w:sz w:val="26"/>
          <w:szCs w:val="26"/>
          <w:highlight w:val="none"/>
          <w:vertAlign w:val="superscript"/>
          <w:lang w:bidi="ar"/>
        </w:rPr>
        <w:t>+</w:t>
      </w:r>
      <w:r>
        <w:rPr>
          <w:rFonts w:hint="eastAsia" w:ascii="Arial" w:cs="Arial"/>
          <w:spacing w:val="-4"/>
          <w:sz w:val="26"/>
          <w:szCs w:val="26"/>
        </w:rPr>
        <w:t>。</w:t>
      </w:r>
    </w:p>
    <w:p w14:paraId="6918D513">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cs="Arial"/>
          <w:b/>
          <w:sz w:val="26"/>
          <w:szCs w:val="26"/>
          <w:lang w:val="en-US" w:eastAsia="zh-CN"/>
        </w:rPr>
      </w:pPr>
      <w:r>
        <w:rPr>
          <w:rFonts w:hint="eastAsia" w:ascii="Arial" w:hAnsi="Arial" w:cs="Arial"/>
          <w:b/>
          <w:sz w:val="26"/>
          <w:szCs w:val="26"/>
        </w:rPr>
        <w:t>表4.</w:t>
      </w:r>
      <w:r>
        <w:rPr>
          <w:rFonts w:hint="eastAsia" w:ascii="Arial" w:hAnsi="Arial" w:cs="Arial"/>
          <w:b/>
          <w:sz w:val="26"/>
          <w:szCs w:val="26"/>
          <w:lang w:val="en-US" w:eastAsia="zh-CN"/>
        </w:rPr>
        <w:t>3-10</w:t>
      </w:r>
      <w:r>
        <w:rPr>
          <w:rFonts w:hint="eastAsia" w:ascii="Arial" w:hAnsi="Arial" w:cs="Arial"/>
          <w:b/>
          <w:sz w:val="26"/>
          <w:szCs w:val="26"/>
        </w:rPr>
        <w:t xml:space="preserve">  </w:t>
      </w:r>
      <w:r>
        <w:rPr>
          <w:rFonts w:hint="eastAsia" w:ascii="Arial" w:hAnsi="Arial" w:cs="Arial"/>
          <w:b/>
          <w:sz w:val="26"/>
          <w:szCs w:val="26"/>
          <w:lang w:eastAsia="zh-CN"/>
        </w:rPr>
        <w:t>地下水环境质量监测结果一览表</w:t>
      </w:r>
      <w:r>
        <w:rPr>
          <w:rFonts w:hint="eastAsia" w:ascii="Arial" w:hAnsi="Arial" w:cs="Arial"/>
          <w:b/>
          <w:sz w:val="26"/>
          <w:szCs w:val="26"/>
          <w:lang w:val="en-US" w:eastAsia="zh-CN"/>
        </w:rPr>
        <w:t xml:space="preserve">   单位：mg/L</w:t>
      </w:r>
    </w:p>
    <w:tbl>
      <w:tblPr>
        <w:tblStyle w:val="77"/>
        <w:tblW w:w="53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119"/>
        <w:gridCol w:w="1211"/>
        <w:gridCol w:w="849"/>
        <w:gridCol w:w="1049"/>
        <w:gridCol w:w="885"/>
        <w:gridCol w:w="1175"/>
        <w:gridCol w:w="1070"/>
        <w:gridCol w:w="999"/>
      </w:tblGrid>
      <w:tr w14:paraId="6164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vMerge w:val="restart"/>
            <w:shd w:val="clear" w:color="auto" w:fill="auto"/>
            <w:vAlign w:val="center"/>
          </w:tcPr>
          <w:p w14:paraId="2B92E3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检测项目</w:t>
            </w:r>
          </w:p>
        </w:tc>
        <w:tc>
          <w:tcPr>
            <w:tcW w:w="1120" w:type="dxa"/>
            <w:shd w:val="clear" w:color="auto" w:fill="auto"/>
            <w:vAlign w:val="center"/>
          </w:tcPr>
          <w:p w14:paraId="20DCB9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点位</w:t>
            </w:r>
          </w:p>
        </w:tc>
        <w:tc>
          <w:tcPr>
            <w:tcW w:w="2060" w:type="dxa"/>
            <w:gridSpan w:val="2"/>
            <w:shd w:val="clear" w:color="auto" w:fill="auto"/>
            <w:vAlign w:val="center"/>
          </w:tcPr>
          <w:p w14:paraId="184B24D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bidi="ar"/>
              </w:rPr>
              <w:t>1#</w:t>
            </w:r>
          </w:p>
        </w:tc>
        <w:tc>
          <w:tcPr>
            <w:tcW w:w="1934" w:type="dxa"/>
            <w:gridSpan w:val="2"/>
            <w:shd w:val="clear" w:color="auto" w:fill="auto"/>
            <w:vAlign w:val="center"/>
          </w:tcPr>
          <w:p w14:paraId="648B11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bidi="ar"/>
              </w:rPr>
              <w:t>2#</w:t>
            </w:r>
          </w:p>
        </w:tc>
        <w:tc>
          <w:tcPr>
            <w:tcW w:w="2245" w:type="dxa"/>
            <w:gridSpan w:val="2"/>
            <w:shd w:val="clear" w:color="auto" w:fill="auto"/>
            <w:vAlign w:val="center"/>
          </w:tcPr>
          <w:p w14:paraId="012874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bidi="ar"/>
              </w:rPr>
              <w:t>3#</w:t>
            </w:r>
          </w:p>
        </w:tc>
        <w:tc>
          <w:tcPr>
            <w:tcW w:w="1000" w:type="dxa"/>
            <w:shd w:val="clear" w:color="auto" w:fill="auto"/>
            <w:noWrap/>
            <w:vAlign w:val="center"/>
          </w:tcPr>
          <w:p w14:paraId="1A00CA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标准</w:t>
            </w:r>
          </w:p>
          <w:p w14:paraId="5A0B09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限值</w:t>
            </w:r>
          </w:p>
        </w:tc>
      </w:tr>
      <w:tr w14:paraId="7F5D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vMerge w:val="continue"/>
            <w:shd w:val="clear" w:color="auto" w:fill="auto"/>
            <w:vAlign w:val="center"/>
          </w:tcPr>
          <w:p w14:paraId="3CCF98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c>
          <w:tcPr>
            <w:tcW w:w="1120" w:type="dxa"/>
            <w:shd w:val="clear" w:color="auto" w:fill="auto"/>
            <w:vAlign w:val="center"/>
          </w:tcPr>
          <w:p w14:paraId="59D1FE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单位</w:t>
            </w:r>
          </w:p>
        </w:tc>
        <w:tc>
          <w:tcPr>
            <w:tcW w:w="1211" w:type="dxa"/>
            <w:shd w:val="clear" w:color="auto" w:fill="auto"/>
            <w:vAlign w:val="center"/>
          </w:tcPr>
          <w:p w14:paraId="7A579CEB">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检测值</w:t>
            </w:r>
          </w:p>
        </w:tc>
        <w:tc>
          <w:tcPr>
            <w:tcW w:w="849" w:type="dxa"/>
            <w:shd w:val="clear" w:color="auto" w:fill="auto"/>
            <w:vAlign w:val="center"/>
          </w:tcPr>
          <w:p w14:paraId="5F85C12F">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Pi值</w:t>
            </w:r>
          </w:p>
        </w:tc>
        <w:tc>
          <w:tcPr>
            <w:tcW w:w="1049" w:type="dxa"/>
            <w:shd w:val="clear" w:color="auto" w:fill="auto"/>
            <w:vAlign w:val="center"/>
          </w:tcPr>
          <w:p w14:paraId="6181D85B">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检测值</w:t>
            </w:r>
          </w:p>
        </w:tc>
        <w:tc>
          <w:tcPr>
            <w:tcW w:w="885" w:type="dxa"/>
            <w:shd w:val="clear" w:color="auto" w:fill="auto"/>
            <w:vAlign w:val="center"/>
          </w:tcPr>
          <w:p w14:paraId="48755097">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Pi值</w:t>
            </w:r>
          </w:p>
        </w:tc>
        <w:tc>
          <w:tcPr>
            <w:tcW w:w="1175" w:type="dxa"/>
            <w:shd w:val="clear" w:color="auto" w:fill="auto"/>
            <w:vAlign w:val="center"/>
          </w:tcPr>
          <w:p w14:paraId="289F0AC5">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检测值</w:t>
            </w:r>
          </w:p>
        </w:tc>
        <w:tc>
          <w:tcPr>
            <w:tcW w:w="1070" w:type="dxa"/>
            <w:shd w:val="clear" w:color="auto" w:fill="auto"/>
            <w:noWrap/>
            <w:vAlign w:val="center"/>
          </w:tcPr>
          <w:p w14:paraId="148B19FC">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Pi值</w:t>
            </w:r>
          </w:p>
        </w:tc>
        <w:tc>
          <w:tcPr>
            <w:tcW w:w="1000" w:type="dxa"/>
            <w:shd w:val="clear" w:color="auto" w:fill="auto"/>
            <w:noWrap/>
            <w:vAlign w:val="center"/>
          </w:tcPr>
          <w:p w14:paraId="028831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p>
        </w:tc>
      </w:tr>
      <w:tr w14:paraId="1772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50B841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pH值</w:t>
            </w:r>
          </w:p>
        </w:tc>
        <w:tc>
          <w:tcPr>
            <w:tcW w:w="1120" w:type="dxa"/>
            <w:shd w:val="clear" w:color="auto" w:fill="auto"/>
            <w:vAlign w:val="center"/>
          </w:tcPr>
          <w:p w14:paraId="5B64CF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无量纲</w:t>
            </w:r>
          </w:p>
        </w:tc>
        <w:tc>
          <w:tcPr>
            <w:tcW w:w="1211" w:type="dxa"/>
            <w:shd w:val="clear" w:color="auto" w:fill="auto"/>
            <w:vAlign w:val="center"/>
          </w:tcPr>
          <w:p w14:paraId="3EFC51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7.8</w:t>
            </w:r>
          </w:p>
        </w:tc>
        <w:tc>
          <w:tcPr>
            <w:tcW w:w="849" w:type="dxa"/>
            <w:shd w:val="clear" w:color="auto" w:fill="auto"/>
            <w:vAlign w:val="center"/>
          </w:tcPr>
          <w:p w14:paraId="3AA8BD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0.65</w:t>
            </w:r>
          </w:p>
        </w:tc>
        <w:tc>
          <w:tcPr>
            <w:tcW w:w="1049" w:type="dxa"/>
            <w:shd w:val="clear" w:color="auto" w:fill="auto"/>
            <w:vAlign w:val="center"/>
          </w:tcPr>
          <w:p w14:paraId="1DE686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7.7</w:t>
            </w:r>
          </w:p>
        </w:tc>
        <w:tc>
          <w:tcPr>
            <w:tcW w:w="885" w:type="dxa"/>
            <w:shd w:val="clear" w:color="auto" w:fill="auto"/>
            <w:vAlign w:val="center"/>
          </w:tcPr>
          <w:p w14:paraId="7D8031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0.6</w:t>
            </w:r>
          </w:p>
        </w:tc>
        <w:tc>
          <w:tcPr>
            <w:tcW w:w="1175" w:type="dxa"/>
            <w:shd w:val="clear" w:color="auto" w:fill="auto"/>
            <w:vAlign w:val="center"/>
          </w:tcPr>
          <w:p w14:paraId="0236F17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7.2</w:t>
            </w:r>
          </w:p>
        </w:tc>
        <w:tc>
          <w:tcPr>
            <w:tcW w:w="1070" w:type="dxa"/>
            <w:shd w:val="clear" w:color="auto" w:fill="auto"/>
            <w:vAlign w:val="center"/>
          </w:tcPr>
          <w:p w14:paraId="1AF291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0.27</w:t>
            </w:r>
          </w:p>
        </w:tc>
        <w:tc>
          <w:tcPr>
            <w:tcW w:w="1000" w:type="dxa"/>
            <w:shd w:val="clear" w:color="auto" w:fill="auto"/>
            <w:vAlign w:val="center"/>
          </w:tcPr>
          <w:p w14:paraId="06BC30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6.5~8.5</w:t>
            </w:r>
          </w:p>
        </w:tc>
      </w:tr>
      <w:tr w14:paraId="7476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4B0045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总硬度</w:t>
            </w:r>
          </w:p>
        </w:tc>
        <w:tc>
          <w:tcPr>
            <w:tcW w:w="1120" w:type="dxa"/>
            <w:shd w:val="clear" w:color="auto" w:fill="auto"/>
            <w:vAlign w:val="center"/>
          </w:tcPr>
          <w:p w14:paraId="48DC04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196918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189</w:t>
            </w:r>
          </w:p>
        </w:tc>
        <w:tc>
          <w:tcPr>
            <w:tcW w:w="849" w:type="dxa"/>
            <w:shd w:val="clear" w:color="auto" w:fill="auto"/>
            <w:vAlign w:val="center"/>
          </w:tcPr>
          <w:p w14:paraId="40A8BF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0.42</w:t>
            </w:r>
          </w:p>
        </w:tc>
        <w:tc>
          <w:tcPr>
            <w:tcW w:w="1049" w:type="dxa"/>
            <w:shd w:val="clear" w:color="auto" w:fill="auto"/>
            <w:vAlign w:val="center"/>
          </w:tcPr>
          <w:p w14:paraId="5BF3865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244</w:t>
            </w:r>
          </w:p>
        </w:tc>
        <w:tc>
          <w:tcPr>
            <w:tcW w:w="885" w:type="dxa"/>
            <w:shd w:val="clear" w:color="auto" w:fill="auto"/>
            <w:vAlign w:val="center"/>
          </w:tcPr>
          <w:p w14:paraId="652739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0.542</w:t>
            </w:r>
          </w:p>
        </w:tc>
        <w:tc>
          <w:tcPr>
            <w:tcW w:w="1175" w:type="dxa"/>
            <w:shd w:val="clear" w:color="auto" w:fill="auto"/>
            <w:vAlign w:val="center"/>
          </w:tcPr>
          <w:p w14:paraId="34376A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98.4</w:t>
            </w:r>
          </w:p>
        </w:tc>
        <w:tc>
          <w:tcPr>
            <w:tcW w:w="1070" w:type="dxa"/>
            <w:shd w:val="clear" w:color="auto" w:fill="auto"/>
            <w:vAlign w:val="center"/>
          </w:tcPr>
          <w:p w14:paraId="353FFC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0.22</w:t>
            </w:r>
          </w:p>
        </w:tc>
        <w:tc>
          <w:tcPr>
            <w:tcW w:w="1000" w:type="dxa"/>
            <w:shd w:val="clear" w:color="auto" w:fill="auto"/>
            <w:vAlign w:val="center"/>
          </w:tcPr>
          <w:p w14:paraId="3D8487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450</w:t>
            </w:r>
          </w:p>
        </w:tc>
      </w:tr>
      <w:tr w14:paraId="5D25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12F23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亚硝酸盐氮</w:t>
            </w:r>
          </w:p>
        </w:tc>
        <w:tc>
          <w:tcPr>
            <w:tcW w:w="1120" w:type="dxa"/>
            <w:shd w:val="clear" w:color="auto" w:fill="auto"/>
            <w:vAlign w:val="center"/>
          </w:tcPr>
          <w:p w14:paraId="010EA6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2DA9C7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0.005L</w:t>
            </w:r>
          </w:p>
        </w:tc>
        <w:tc>
          <w:tcPr>
            <w:tcW w:w="849" w:type="dxa"/>
            <w:shd w:val="clear" w:color="auto" w:fill="auto"/>
            <w:vAlign w:val="center"/>
          </w:tcPr>
          <w:p w14:paraId="71973C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30EC56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0.342</w:t>
            </w:r>
          </w:p>
        </w:tc>
        <w:tc>
          <w:tcPr>
            <w:tcW w:w="885" w:type="dxa"/>
            <w:shd w:val="clear" w:color="auto" w:fill="auto"/>
            <w:vAlign w:val="center"/>
          </w:tcPr>
          <w:p w14:paraId="2C2213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0.342</w:t>
            </w:r>
          </w:p>
        </w:tc>
        <w:tc>
          <w:tcPr>
            <w:tcW w:w="1175" w:type="dxa"/>
            <w:shd w:val="clear" w:color="auto" w:fill="auto"/>
            <w:vAlign w:val="center"/>
          </w:tcPr>
          <w:p w14:paraId="0CEB9C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0.105</w:t>
            </w:r>
          </w:p>
        </w:tc>
        <w:tc>
          <w:tcPr>
            <w:tcW w:w="1070" w:type="dxa"/>
            <w:shd w:val="clear" w:color="auto" w:fill="auto"/>
            <w:vAlign w:val="center"/>
          </w:tcPr>
          <w:p w14:paraId="35604D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0.105</w:t>
            </w:r>
          </w:p>
        </w:tc>
        <w:tc>
          <w:tcPr>
            <w:tcW w:w="1000" w:type="dxa"/>
            <w:shd w:val="clear" w:color="auto" w:fill="auto"/>
            <w:vAlign w:val="center"/>
          </w:tcPr>
          <w:p w14:paraId="155EEB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w:t>
            </w:r>
          </w:p>
        </w:tc>
      </w:tr>
      <w:tr w14:paraId="09FE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D9D02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硝酸盐氮</w:t>
            </w:r>
          </w:p>
        </w:tc>
        <w:tc>
          <w:tcPr>
            <w:tcW w:w="1120" w:type="dxa"/>
            <w:shd w:val="clear" w:color="auto" w:fill="auto"/>
            <w:vAlign w:val="center"/>
          </w:tcPr>
          <w:p w14:paraId="1FDF43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1009E8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4.72</w:t>
            </w:r>
          </w:p>
        </w:tc>
        <w:tc>
          <w:tcPr>
            <w:tcW w:w="849" w:type="dxa"/>
            <w:shd w:val="clear" w:color="auto" w:fill="auto"/>
            <w:vAlign w:val="center"/>
          </w:tcPr>
          <w:p w14:paraId="0C11079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0.236</w:t>
            </w:r>
          </w:p>
        </w:tc>
        <w:tc>
          <w:tcPr>
            <w:tcW w:w="1049" w:type="dxa"/>
            <w:shd w:val="clear" w:color="auto" w:fill="auto"/>
            <w:vAlign w:val="center"/>
          </w:tcPr>
          <w:p w14:paraId="03EF99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3.81</w:t>
            </w:r>
          </w:p>
        </w:tc>
        <w:tc>
          <w:tcPr>
            <w:tcW w:w="885" w:type="dxa"/>
            <w:shd w:val="clear" w:color="auto" w:fill="auto"/>
            <w:vAlign w:val="center"/>
          </w:tcPr>
          <w:p w14:paraId="01F8A7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0.191</w:t>
            </w:r>
          </w:p>
        </w:tc>
        <w:tc>
          <w:tcPr>
            <w:tcW w:w="1175" w:type="dxa"/>
            <w:shd w:val="clear" w:color="auto" w:fill="auto"/>
            <w:vAlign w:val="center"/>
          </w:tcPr>
          <w:p w14:paraId="77FA20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2.06</w:t>
            </w:r>
          </w:p>
        </w:tc>
        <w:tc>
          <w:tcPr>
            <w:tcW w:w="1070" w:type="dxa"/>
            <w:shd w:val="clear" w:color="auto" w:fill="auto"/>
            <w:vAlign w:val="center"/>
          </w:tcPr>
          <w:p w14:paraId="16BE329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0.103</w:t>
            </w:r>
          </w:p>
        </w:tc>
        <w:tc>
          <w:tcPr>
            <w:tcW w:w="1000" w:type="dxa"/>
            <w:shd w:val="clear" w:color="auto" w:fill="auto"/>
            <w:vAlign w:val="center"/>
          </w:tcPr>
          <w:p w14:paraId="7DEBD3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20</w:t>
            </w:r>
          </w:p>
        </w:tc>
      </w:tr>
      <w:tr w14:paraId="1E4B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7B288F1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硫酸盐</w:t>
            </w:r>
          </w:p>
        </w:tc>
        <w:tc>
          <w:tcPr>
            <w:tcW w:w="1120" w:type="dxa"/>
            <w:shd w:val="clear" w:color="auto" w:fill="auto"/>
            <w:vAlign w:val="center"/>
          </w:tcPr>
          <w:p w14:paraId="3AF7AC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75F8C3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50</w:t>
            </w:r>
          </w:p>
        </w:tc>
        <w:tc>
          <w:tcPr>
            <w:tcW w:w="849" w:type="dxa"/>
            <w:shd w:val="clear" w:color="auto" w:fill="auto"/>
            <w:vAlign w:val="center"/>
          </w:tcPr>
          <w:p w14:paraId="137048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0.2</w:t>
            </w:r>
          </w:p>
        </w:tc>
        <w:tc>
          <w:tcPr>
            <w:tcW w:w="1049" w:type="dxa"/>
            <w:shd w:val="clear" w:color="auto" w:fill="auto"/>
            <w:vAlign w:val="center"/>
          </w:tcPr>
          <w:p w14:paraId="55683B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55.8</w:t>
            </w:r>
          </w:p>
        </w:tc>
        <w:tc>
          <w:tcPr>
            <w:tcW w:w="885" w:type="dxa"/>
            <w:shd w:val="clear" w:color="auto" w:fill="auto"/>
            <w:vAlign w:val="center"/>
          </w:tcPr>
          <w:p w14:paraId="15B908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0.223</w:t>
            </w:r>
          </w:p>
        </w:tc>
        <w:tc>
          <w:tcPr>
            <w:tcW w:w="1175" w:type="dxa"/>
            <w:shd w:val="clear" w:color="auto" w:fill="auto"/>
            <w:vAlign w:val="center"/>
          </w:tcPr>
          <w:p w14:paraId="39EF8F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36.9</w:t>
            </w:r>
          </w:p>
        </w:tc>
        <w:tc>
          <w:tcPr>
            <w:tcW w:w="1070" w:type="dxa"/>
            <w:shd w:val="clear" w:color="auto" w:fill="auto"/>
            <w:vAlign w:val="center"/>
          </w:tcPr>
          <w:p w14:paraId="19A913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0.1476</w:t>
            </w:r>
          </w:p>
        </w:tc>
        <w:tc>
          <w:tcPr>
            <w:tcW w:w="1000" w:type="dxa"/>
            <w:shd w:val="clear" w:color="auto" w:fill="auto"/>
            <w:vAlign w:val="center"/>
          </w:tcPr>
          <w:p w14:paraId="6AF7CB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250</w:t>
            </w:r>
          </w:p>
        </w:tc>
      </w:tr>
      <w:tr w14:paraId="22CC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1917E6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氯化物</w:t>
            </w:r>
          </w:p>
        </w:tc>
        <w:tc>
          <w:tcPr>
            <w:tcW w:w="1120" w:type="dxa"/>
            <w:shd w:val="clear" w:color="auto" w:fill="auto"/>
            <w:vAlign w:val="center"/>
          </w:tcPr>
          <w:p w14:paraId="72188E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6750EE4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24.1</w:t>
            </w:r>
          </w:p>
        </w:tc>
        <w:tc>
          <w:tcPr>
            <w:tcW w:w="849" w:type="dxa"/>
            <w:shd w:val="clear" w:color="auto" w:fill="auto"/>
            <w:vAlign w:val="center"/>
          </w:tcPr>
          <w:p w14:paraId="787056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0.096</w:t>
            </w:r>
          </w:p>
        </w:tc>
        <w:tc>
          <w:tcPr>
            <w:tcW w:w="1049" w:type="dxa"/>
            <w:shd w:val="clear" w:color="auto" w:fill="auto"/>
            <w:vAlign w:val="center"/>
          </w:tcPr>
          <w:p w14:paraId="5D9B017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29.5</w:t>
            </w:r>
          </w:p>
        </w:tc>
        <w:tc>
          <w:tcPr>
            <w:tcW w:w="885" w:type="dxa"/>
            <w:shd w:val="clear" w:color="auto" w:fill="auto"/>
            <w:vAlign w:val="center"/>
          </w:tcPr>
          <w:p w14:paraId="35F4F0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0.118</w:t>
            </w:r>
          </w:p>
        </w:tc>
        <w:tc>
          <w:tcPr>
            <w:tcW w:w="1175" w:type="dxa"/>
            <w:shd w:val="clear" w:color="auto" w:fill="auto"/>
            <w:vAlign w:val="center"/>
          </w:tcPr>
          <w:p w14:paraId="3ED32B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8.8</w:t>
            </w:r>
          </w:p>
        </w:tc>
        <w:tc>
          <w:tcPr>
            <w:tcW w:w="1070" w:type="dxa"/>
            <w:shd w:val="clear" w:color="auto" w:fill="auto"/>
            <w:vAlign w:val="center"/>
          </w:tcPr>
          <w:p w14:paraId="1328B2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0.0352</w:t>
            </w:r>
          </w:p>
        </w:tc>
        <w:tc>
          <w:tcPr>
            <w:tcW w:w="1000" w:type="dxa"/>
            <w:shd w:val="clear" w:color="auto" w:fill="auto"/>
            <w:vAlign w:val="center"/>
          </w:tcPr>
          <w:p w14:paraId="4D1C70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250</w:t>
            </w:r>
          </w:p>
        </w:tc>
      </w:tr>
      <w:tr w14:paraId="398A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7C7D8F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氰化物</w:t>
            </w:r>
          </w:p>
        </w:tc>
        <w:tc>
          <w:tcPr>
            <w:tcW w:w="1120" w:type="dxa"/>
            <w:shd w:val="clear" w:color="auto" w:fill="auto"/>
            <w:vAlign w:val="center"/>
          </w:tcPr>
          <w:p w14:paraId="7703F5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71228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0.002L</w:t>
            </w:r>
          </w:p>
        </w:tc>
        <w:tc>
          <w:tcPr>
            <w:tcW w:w="849" w:type="dxa"/>
            <w:shd w:val="clear" w:color="auto" w:fill="auto"/>
            <w:vAlign w:val="center"/>
          </w:tcPr>
          <w:p w14:paraId="55BD9B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58B78B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0.002L</w:t>
            </w:r>
          </w:p>
        </w:tc>
        <w:tc>
          <w:tcPr>
            <w:tcW w:w="885" w:type="dxa"/>
            <w:shd w:val="clear" w:color="auto" w:fill="auto"/>
            <w:vAlign w:val="center"/>
          </w:tcPr>
          <w:p w14:paraId="05C338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5F1F2C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0.002L</w:t>
            </w:r>
          </w:p>
        </w:tc>
        <w:tc>
          <w:tcPr>
            <w:tcW w:w="1070" w:type="dxa"/>
            <w:shd w:val="clear" w:color="auto" w:fill="auto"/>
            <w:vAlign w:val="center"/>
          </w:tcPr>
          <w:p w14:paraId="4FA581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0207C5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0.05</w:t>
            </w:r>
          </w:p>
        </w:tc>
      </w:tr>
      <w:tr w14:paraId="661A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3923BB5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氟化物</w:t>
            </w:r>
          </w:p>
        </w:tc>
        <w:tc>
          <w:tcPr>
            <w:tcW w:w="1120" w:type="dxa"/>
            <w:shd w:val="clear" w:color="auto" w:fill="auto"/>
            <w:vAlign w:val="center"/>
          </w:tcPr>
          <w:p w14:paraId="06F7EA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71175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0.135</w:t>
            </w:r>
          </w:p>
        </w:tc>
        <w:tc>
          <w:tcPr>
            <w:tcW w:w="849" w:type="dxa"/>
            <w:shd w:val="clear" w:color="auto" w:fill="auto"/>
            <w:vAlign w:val="center"/>
          </w:tcPr>
          <w:p w14:paraId="4F7794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0.135</w:t>
            </w:r>
          </w:p>
        </w:tc>
        <w:tc>
          <w:tcPr>
            <w:tcW w:w="1049" w:type="dxa"/>
            <w:shd w:val="clear" w:color="auto" w:fill="auto"/>
            <w:vAlign w:val="center"/>
          </w:tcPr>
          <w:p w14:paraId="717F85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0.162</w:t>
            </w:r>
          </w:p>
        </w:tc>
        <w:tc>
          <w:tcPr>
            <w:tcW w:w="885" w:type="dxa"/>
            <w:shd w:val="clear" w:color="auto" w:fill="auto"/>
            <w:vAlign w:val="center"/>
          </w:tcPr>
          <w:p w14:paraId="30868C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0.162</w:t>
            </w:r>
          </w:p>
        </w:tc>
        <w:tc>
          <w:tcPr>
            <w:tcW w:w="1175" w:type="dxa"/>
            <w:shd w:val="clear" w:color="auto" w:fill="auto"/>
            <w:vAlign w:val="center"/>
          </w:tcPr>
          <w:p w14:paraId="2D3A18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0.04</w:t>
            </w:r>
          </w:p>
        </w:tc>
        <w:tc>
          <w:tcPr>
            <w:tcW w:w="1070" w:type="dxa"/>
            <w:shd w:val="clear" w:color="auto" w:fill="auto"/>
            <w:vAlign w:val="center"/>
          </w:tcPr>
          <w:p w14:paraId="305B5B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0.04</w:t>
            </w:r>
          </w:p>
        </w:tc>
        <w:tc>
          <w:tcPr>
            <w:tcW w:w="1000" w:type="dxa"/>
            <w:shd w:val="clear" w:color="auto" w:fill="auto"/>
            <w:vAlign w:val="center"/>
          </w:tcPr>
          <w:p w14:paraId="4C685F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w:t>
            </w:r>
          </w:p>
        </w:tc>
      </w:tr>
      <w:tr w14:paraId="6509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76A3E3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砷</w:t>
            </w:r>
          </w:p>
        </w:tc>
        <w:tc>
          <w:tcPr>
            <w:tcW w:w="1120" w:type="dxa"/>
            <w:shd w:val="clear" w:color="auto" w:fill="auto"/>
            <w:vAlign w:val="center"/>
          </w:tcPr>
          <w:p w14:paraId="0EB5F7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eastAsia" w:ascii="Arial" w:hAnsi="Arial" w:cs="Arial"/>
                <w:snapToGrid w:val="0"/>
                <w:color w:val="auto"/>
                <w:kern w:val="0"/>
                <w:sz w:val="22"/>
                <w:szCs w:val="22"/>
                <w:highlight w:val="none"/>
                <w:lang w:val="en-US" w:eastAsia="zh-CN" w:bidi="ar"/>
              </w:rPr>
              <w:t>m</w:t>
            </w:r>
            <w:r>
              <w:rPr>
                <w:rFonts w:hint="default" w:ascii="Arial" w:hAnsi="Arial" w:eastAsia="宋体" w:cs="Arial"/>
                <w:snapToGrid w:val="0"/>
                <w:color w:val="auto"/>
                <w:kern w:val="0"/>
                <w:sz w:val="22"/>
                <w:szCs w:val="22"/>
                <w:highlight w:val="none"/>
                <w:lang w:bidi="ar"/>
              </w:rPr>
              <w:t>g/L</w:t>
            </w:r>
          </w:p>
        </w:tc>
        <w:tc>
          <w:tcPr>
            <w:tcW w:w="1211" w:type="dxa"/>
            <w:shd w:val="clear" w:color="auto" w:fill="auto"/>
            <w:vAlign w:val="center"/>
          </w:tcPr>
          <w:p w14:paraId="438E07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0.0003L</w:t>
            </w:r>
          </w:p>
        </w:tc>
        <w:tc>
          <w:tcPr>
            <w:tcW w:w="849" w:type="dxa"/>
            <w:shd w:val="clear" w:color="auto" w:fill="auto"/>
            <w:vAlign w:val="center"/>
          </w:tcPr>
          <w:p w14:paraId="5F296F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4C43AC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0.0003L</w:t>
            </w:r>
          </w:p>
        </w:tc>
        <w:tc>
          <w:tcPr>
            <w:tcW w:w="885" w:type="dxa"/>
            <w:shd w:val="clear" w:color="auto" w:fill="auto"/>
            <w:vAlign w:val="center"/>
          </w:tcPr>
          <w:p w14:paraId="6643CD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0E30BB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1.0×10</w:t>
            </w:r>
            <w:r>
              <w:rPr>
                <w:rFonts w:hint="eastAsia" w:ascii="Arial" w:hAnsi="Arial"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1070" w:type="dxa"/>
            <w:shd w:val="clear" w:color="auto" w:fill="auto"/>
            <w:vAlign w:val="center"/>
          </w:tcPr>
          <w:p w14:paraId="771778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33F66E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0.01</w:t>
            </w:r>
          </w:p>
        </w:tc>
      </w:tr>
      <w:tr w14:paraId="789E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5E3821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汞</w:t>
            </w:r>
          </w:p>
        </w:tc>
        <w:tc>
          <w:tcPr>
            <w:tcW w:w="1120" w:type="dxa"/>
            <w:shd w:val="clear" w:color="auto" w:fill="auto"/>
            <w:vAlign w:val="center"/>
          </w:tcPr>
          <w:p w14:paraId="2E35A4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eastAsia" w:ascii="Arial" w:hAnsi="Arial" w:cs="Arial"/>
                <w:snapToGrid w:val="0"/>
                <w:color w:val="auto"/>
                <w:kern w:val="0"/>
                <w:sz w:val="22"/>
                <w:szCs w:val="22"/>
                <w:highlight w:val="none"/>
                <w:lang w:val="en-US" w:eastAsia="zh-CN" w:bidi="ar"/>
              </w:rPr>
              <w:t>m</w:t>
            </w:r>
            <w:r>
              <w:rPr>
                <w:rFonts w:hint="default" w:ascii="Arial" w:hAnsi="Arial" w:eastAsia="宋体" w:cs="Arial"/>
                <w:snapToGrid w:val="0"/>
                <w:color w:val="auto"/>
                <w:kern w:val="0"/>
                <w:sz w:val="22"/>
                <w:szCs w:val="22"/>
                <w:highlight w:val="none"/>
                <w:lang w:bidi="ar"/>
              </w:rPr>
              <w:t>g/L</w:t>
            </w:r>
          </w:p>
        </w:tc>
        <w:tc>
          <w:tcPr>
            <w:tcW w:w="1211" w:type="dxa"/>
            <w:shd w:val="clear" w:color="auto" w:fill="auto"/>
            <w:vAlign w:val="center"/>
          </w:tcPr>
          <w:p w14:paraId="704EA94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0.00004L</w:t>
            </w:r>
          </w:p>
        </w:tc>
        <w:tc>
          <w:tcPr>
            <w:tcW w:w="849" w:type="dxa"/>
            <w:shd w:val="clear" w:color="auto" w:fill="auto"/>
            <w:vAlign w:val="center"/>
          </w:tcPr>
          <w:p w14:paraId="79F0A5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03F749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0.00006</w:t>
            </w:r>
          </w:p>
        </w:tc>
        <w:tc>
          <w:tcPr>
            <w:tcW w:w="885" w:type="dxa"/>
            <w:shd w:val="clear" w:color="auto" w:fill="auto"/>
            <w:vAlign w:val="center"/>
          </w:tcPr>
          <w:p w14:paraId="781F0F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0.06</w:t>
            </w:r>
          </w:p>
        </w:tc>
        <w:tc>
          <w:tcPr>
            <w:tcW w:w="1175" w:type="dxa"/>
            <w:shd w:val="clear" w:color="auto" w:fill="auto"/>
            <w:vAlign w:val="center"/>
          </w:tcPr>
          <w:p w14:paraId="3120CC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bidi="ar"/>
              </w:rPr>
              <w:t>-4</w:t>
            </w:r>
          </w:p>
        </w:tc>
        <w:tc>
          <w:tcPr>
            <w:tcW w:w="1070" w:type="dxa"/>
            <w:shd w:val="clear" w:color="auto" w:fill="auto"/>
            <w:vAlign w:val="center"/>
          </w:tcPr>
          <w:p w14:paraId="5B20CD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0.4</w:t>
            </w:r>
          </w:p>
        </w:tc>
        <w:tc>
          <w:tcPr>
            <w:tcW w:w="1000" w:type="dxa"/>
            <w:shd w:val="clear" w:color="auto" w:fill="auto"/>
            <w:vAlign w:val="center"/>
          </w:tcPr>
          <w:p w14:paraId="68834A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0.001</w:t>
            </w:r>
          </w:p>
        </w:tc>
      </w:tr>
      <w:tr w14:paraId="0FCB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E6432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镉</w:t>
            </w:r>
          </w:p>
        </w:tc>
        <w:tc>
          <w:tcPr>
            <w:tcW w:w="1120" w:type="dxa"/>
            <w:shd w:val="clear" w:color="auto" w:fill="auto"/>
            <w:vAlign w:val="center"/>
          </w:tcPr>
          <w:p w14:paraId="13DF98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eastAsia" w:ascii="Arial" w:hAnsi="Arial" w:cs="Arial"/>
                <w:snapToGrid w:val="0"/>
                <w:color w:val="auto"/>
                <w:kern w:val="0"/>
                <w:sz w:val="22"/>
                <w:szCs w:val="22"/>
                <w:highlight w:val="none"/>
                <w:lang w:val="en-US" w:eastAsia="zh-CN" w:bidi="ar"/>
              </w:rPr>
              <w:t>m</w:t>
            </w:r>
            <w:r>
              <w:rPr>
                <w:rFonts w:hint="default" w:ascii="Arial" w:hAnsi="Arial" w:eastAsia="宋体" w:cs="Arial"/>
                <w:snapToGrid w:val="0"/>
                <w:color w:val="auto"/>
                <w:kern w:val="0"/>
                <w:sz w:val="22"/>
                <w:szCs w:val="22"/>
                <w:highlight w:val="none"/>
                <w:lang w:bidi="ar"/>
              </w:rPr>
              <w:t>g/L</w:t>
            </w:r>
          </w:p>
        </w:tc>
        <w:tc>
          <w:tcPr>
            <w:tcW w:w="1211" w:type="dxa"/>
            <w:shd w:val="clear" w:color="auto" w:fill="auto"/>
            <w:vAlign w:val="center"/>
          </w:tcPr>
          <w:p w14:paraId="6814E7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0.0004</w:t>
            </w:r>
          </w:p>
        </w:tc>
        <w:tc>
          <w:tcPr>
            <w:tcW w:w="849" w:type="dxa"/>
            <w:shd w:val="clear" w:color="auto" w:fill="auto"/>
            <w:vAlign w:val="center"/>
          </w:tcPr>
          <w:p w14:paraId="0A4696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0.08</w:t>
            </w:r>
          </w:p>
        </w:tc>
        <w:tc>
          <w:tcPr>
            <w:tcW w:w="1049" w:type="dxa"/>
            <w:shd w:val="clear" w:color="auto" w:fill="auto"/>
            <w:vAlign w:val="center"/>
          </w:tcPr>
          <w:p w14:paraId="1B22A2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w:t>
            </w:r>
          </w:p>
        </w:tc>
        <w:tc>
          <w:tcPr>
            <w:tcW w:w="885" w:type="dxa"/>
            <w:shd w:val="clear" w:color="auto" w:fill="auto"/>
            <w:vAlign w:val="center"/>
          </w:tcPr>
          <w:p w14:paraId="36678D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0.06</w:t>
            </w:r>
          </w:p>
        </w:tc>
        <w:tc>
          <w:tcPr>
            <w:tcW w:w="1175" w:type="dxa"/>
            <w:shd w:val="clear" w:color="auto" w:fill="auto"/>
            <w:vAlign w:val="center"/>
          </w:tcPr>
          <w:p w14:paraId="536E01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1070" w:type="dxa"/>
            <w:shd w:val="clear" w:color="auto" w:fill="auto"/>
            <w:vAlign w:val="center"/>
          </w:tcPr>
          <w:p w14:paraId="70414D1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00592CB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0.005</w:t>
            </w:r>
          </w:p>
        </w:tc>
      </w:tr>
      <w:tr w14:paraId="32A8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366" w:type="dxa"/>
            <w:shd w:val="clear" w:color="auto" w:fill="auto"/>
            <w:vAlign w:val="center"/>
          </w:tcPr>
          <w:p w14:paraId="14B932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铅</w:t>
            </w:r>
          </w:p>
        </w:tc>
        <w:tc>
          <w:tcPr>
            <w:tcW w:w="1120" w:type="dxa"/>
            <w:shd w:val="clear" w:color="auto" w:fill="auto"/>
            <w:vAlign w:val="center"/>
          </w:tcPr>
          <w:p w14:paraId="26960D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eastAsia" w:ascii="Arial" w:hAnsi="Arial" w:cs="Arial"/>
                <w:snapToGrid w:val="0"/>
                <w:color w:val="auto"/>
                <w:kern w:val="0"/>
                <w:sz w:val="22"/>
                <w:szCs w:val="22"/>
                <w:highlight w:val="none"/>
                <w:lang w:val="en-US" w:eastAsia="zh-CN" w:bidi="ar"/>
              </w:rPr>
              <w:t>m</w:t>
            </w:r>
            <w:r>
              <w:rPr>
                <w:rFonts w:hint="default" w:ascii="Arial" w:hAnsi="Arial" w:eastAsia="宋体" w:cs="Arial"/>
                <w:snapToGrid w:val="0"/>
                <w:color w:val="auto"/>
                <w:kern w:val="0"/>
                <w:sz w:val="22"/>
                <w:szCs w:val="22"/>
                <w:highlight w:val="none"/>
                <w:lang w:bidi="ar"/>
              </w:rPr>
              <w:t>g/L</w:t>
            </w:r>
          </w:p>
        </w:tc>
        <w:tc>
          <w:tcPr>
            <w:tcW w:w="1211" w:type="dxa"/>
            <w:shd w:val="clear" w:color="auto" w:fill="auto"/>
            <w:vAlign w:val="center"/>
          </w:tcPr>
          <w:p w14:paraId="09A992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0.001L</w:t>
            </w:r>
          </w:p>
        </w:tc>
        <w:tc>
          <w:tcPr>
            <w:tcW w:w="849" w:type="dxa"/>
            <w:shd w:val="clear" w:color="auto" w:fill="auto"/>
            <w:vAlign w:val="center"/>
          </w:tcPr>
          <w:p w14:paraId="57B008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0CA47D9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0.001L</w:t>
            </w:r>
          </w:p>
        </w:tc>
        <w:tc>
          <w:tcPr>
            <w:tcW w:w="885" w:type="dxa"/>
            <w:shd w:val="clear" w:color="auto" w:fill="auto"/>
            <w:vAlign w:val="center"/>
          </w:tcPr>
          <w:p w14:paraId="0C0E50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138086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1070" w:type="dxa"/>
            <w:shd w:val="clear" w:color="auto" w:fill="auto"/>
            <w:vAlign w:val="center"/>
          </w:tcPr>
          <w:p w14:paraId="45571D0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334D8C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0.01</w:t>
            </w:r>
          </w:p>
        </w:tc>
      </w:tr>
      <w:tr w14:paraId="0A04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182BA2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铜</w:t>
            </w:r>
          </w:p>
        </w:tc>
        <w:tc>
          <w:tcPr>
            <w:tcW w:w="1120" w:type="dxa"/>
            <w:shd w:val="clear" w:color="auto" w:fill="auto"/>
            <w:vAlign w:val="center"/>
          </w:tcPr>
          <w:p w14:paraId="5099C3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D11E9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49" w:type="dxa"/>
            <w:shd w:val="clear" w:color="auto" w:fill="auto"/>
            <w:vAlign w:val="center"/>
          </w:tcPr>
          <w:p w14:paraId="2340A6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154B73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85" w:type="dxa"/>
            <w:shd w:val="clear" w:color="auto" w:fill="auto"/>
            <w:vAlign w:val="center"/>
          </w:tcPr>
          <w:p w14:paraId="1E24F7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6C35E80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1070" w:type="dxa"/>
            <w:shd w:val="clear" w:color="auto" w:fill="auto"/>
            <w:vAlign w:val="center"/>
          </w:tcPr>
          <w:p w14:paraId="06309C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64962C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w:t>
            </w:r>
          </w:p>
        </w:tc>
      </w:tr>
      <w:tr w14:paraId="7722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AE62E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锌</w:t>
            </w:r>
          </w:p>
        </w:tc>
        <w:tc>
          <w:tcPr>
            <w:tcW w:w="1120" w:type="dxa"/>
            <w:shd w:val="clear" w:color="auto" w:fill="auto"/>
            <w:vAlign w:val="center"/>
          </w:tcPr>
          <w:p w14:paraId="6D5CAD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7314884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49" w:type="dxa"/>
            <w:shd w:val="clear" w:color="auto" w:fill="auto"/>
            <w:vAlign w:val="center"/>
          </w:tcPr>
          <w:p w14:paraId="3760FB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478E0D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85" w:type="dxa"/>
            <w:shd w:val="clear" w:color="auto" w:fill="auto"/>
            <w:vAlign w:val="center"/>
          </w:tcPr>
          <w:p w14:paraId="0BA36F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127D12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0.01L</w:t>
            </w:r>
          </w:p>
        </w:tc>
        <w:tc>
          <w:tcPr>
            <w:tcW w:w="1070" w:type="dxa"/>
            <w:shd w:val="clear" w:color="auto" w:fill="auto"/>
            <w:vAlign w:val="center"/>
          </w:tcPr>
          <w:p w14:paraId="156610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4AC52B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w:t>
            </w:r>
          </w:p>
        </w:tc>
      </w:tr>
      <w:tr w14:paraId="4B07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15415C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铝</w:t>
            </w:r>
          </w:p>
        </w:tc>
        <w:tc>
          <w:tcPr>
            <w:tcW w:w="1120" w:type="dxa"/>
            <w:shd w:val="clear" w:color="auto" w:fill="auto"/>
            <w:vAlign w:val="center"/>
          </w:tcPr>
          <w:p w14:paraId="3DA0DF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678B86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49" w:type="dxa"/>
            <w:shd w:val="clear" w:color="auto" w:fill="auto"/>
            <w:vAlign w:val="center"/>
          </w:tcPr>
          <w:p w14:paraId="2EE7B7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49A1333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85" w:type="dxa"/>
            <w:shd w:val="clear" w:color="auto" w:fill="auto"/>
            <w:vAlign w:val="center"/>
          </w:tcPr>
          <w:p w14:paraId="644564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60670F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0.008L</w:t>
            </w:r>
          </w:p>
        </w:tc>
        <w:tc>
          <w:tcPr>
            <w:tcW w:w="1070" w:type="dxa"/>
            <w:shd w:val="clear" w:color="auto" w:fill="auto"/>
            <w:vAlign w:val="center"/>
          </w:tcPr>
          <w:p w14:paraId="475FE6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481FB8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0.2</w:t>
            </w:r>
          </w:p>
        </w:tc>
      </w:tr>
      <w:tr w14:paraId="5CD4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21F49B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六价铬</w:t>
            </w:r>
          </w:p>
        </w:tc>
        <w:tc>
          <w:tcPr>
            <w:tcW w:w="1120" w:type="dxa"/>
            <w:shd w:val="clear" w:color="auto" w:fill="auto"/>
            <w:vAlign w:val="center"/>
          </w:tcPr>
          <w:p w14:paraId="02F858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6D4FC7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0.004L</w:t>
            </w:r>
          </w:p>
        </w:tc>
        <w:tc>
          <w:tcPr>
            <w:tcW w:w="849" w:type="dxa"/>
            <w:shd w:val="clear" w:color="auto" w:fill="auto"/>
            <w:vAlign w:val="center"/>
          </w:tcPr>
          <w:p w14:paraId="6201F1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02FB12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0.004L</w:t>
            </w:r>
          </w:p>
        </w:tc>
        <w:tc>
          <w:tcPr>
            <w:tcW w:w="885" w:type="dxa"/>
            <w:shd w:val="clear" w:color="auto" w:fill="auto"/>
            <w:vAlign w:val="center"/>
          </w:tcPr>
          <w:p w14:paraId="6C991B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31745F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0.004L</w:t>
            </w:r>
          </w:p>
        </w:tc>
        <w:tc>
          <w:tcPr>
            <w:tcW w:w="1070" w:type="dxa"/>
            <w:shd w:val="clear" w:color="auto" w:fill="auto"/>
            <w:vAlign w:val="center"/>
          </w:tcPr>
          <w:p w14:paraId="53DC98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085444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0.05</w:t>
            </w:r>
          </w:p>
        </w:tc>
      </w:tr>
      <w:tr w14:paraId="680C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306290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挥发酚</w:t>
            </w:r>
          </w:p>
        </w:tc>
        <w:tc>
          <w:tcPr>
            <w:tcW w:w="1120" w:type="dxa"/>
            <w:shd w:val="clear" w:color="auto" w:fill="auto"/>
            <w:vAlign w:val="center"/>
          </w:tcPr>
          <w:p w14:paraId="5C2288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7A8683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0.0003L</w:t>
            </w:r>
          </w:p>
        </w:tc>
        <w:tc>
          <w:tcPr>
            <w:tcW w:w="849" w:type="dxa"/>
            <w:shd w:val="clear" w:color="auto" w:fill="auto"/>
            <w:vAlign w:val="center"/>
          </w:tcPr>
          <w:p w14:paraId="0F8A57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2D61B0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0.0003L</w:t>
            </w:r>
          </w:p>
        </w:tc>
        <w:tc>
          <w:tcPr>
            <w:tcW w:w="885" w:type="dxa"/>
            <w:shd w:val="clear" w:color="auto" w:fill="auto"/>
            <w:vAlign w:val="center"/>
          </w:tcPr>
          <w:p w14:paraId="7ED0DA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6DE9D58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0.0003L</w:t>
            </w:r>
          </w:p>
        </w:tc>
        <w:tc>
          <w:tcPr>
            <w:tcW w:w="1070" w:type="dxa"/>
            <w:shd w:val="clear" w:color="auto" w:fill="auto"/>
            <w:vAlign w:val="center"/>
          </w:tcPr>
          <w:p w14:paraId="60DECD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noWrap/>
            <w:vAlign w:val="center"/>
          </w:tcPr>
          <w:p w14:paraId="5F06F8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0.002</w:t>
            </w:r>
          </w:p>
        </w:tc>
      </w:tr>
      <w:tr w14:paraId="1207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4DC6E9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溶解性总</w:t>
            </w:r>
          </w:p>
          <w:p w14:paraId="68B770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固体</w:t>
            </w:r>
          </w:p>
        </w:tc>
        <w:tc>
          <w:tcPr>
            <w:tcW w:w="1120" w:type="dxa"/>
            <w:shd w:val="clear" w:color="auto" w:fill="auto"/>
            <w:vAlign w:val="center"/>
          </w:tcPr>
          <w:p w14:paraId="43E282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DFE2C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318</w:t>
            </w:r>
          </w:p>
        </w:tc>
        <w:tc>
          <w:tcPr>
            <w:tcW w:w="849" w:type="dxa"/>
            <w:shd w:val="clear" w:color="auto" w:fill="auto"/>
            <w:vAlign w:val="center"/>
          </w:tcPr>
          <w:p w14:paraId="577EE2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0.318</w:t>
            </w:r>
          </w:p>
        </w:tc>
        <w:tc>
          <w:tcPr>
            <w:tcW w:w="1049" w:type="dxa"/>
            <w:shd w:val="clear" w:color="auto" w:fill="auto"/>
            <w:vAlign w:val="center"/>
          </w:tcPr>
          <w:p w14:paraId="7748AC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357</w:t>
            </w:r>
          </w:p>
        </w:tc>
        <w:tc>
          <w:tcPr>
            <w:tcW w:w="885" w:type="dxa"/>
            <w:shd w:val="clear" w:color="auto" w:fill="auto"/>
            <w:vAlign w:val="center"/>
          </w:tcPr>
          <w:p w14:paraId="41710C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0.357</w:t>
            </w:r>
          </w:p>
        </w:tc>
        <w:tc>
          <w:tcPr>
            <w:tcW w:w="1175" w:type="dxa"/>
            <w:shd w:val="clear" w:color="auto" w:fill="auto"/>
            <w:vAlign w:val="center"/>
          </w:tcPr>
          <w:p w14:paraId="0D7DFE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1.02×10</w:t>
            </w:r>
            <w:r>
              <w:rPr>
                <w:rFonts w:hint="default" w:ascii="Arial" w:hAnsi="Arial" w:eastAsia="宋体" w:cs="Arial"/>
                <w:snapToGrid w:val="0"/>
                <w:color w:val="auto"/>
                <w:kern w:val="0"/>
                <w:sz w:val="22"/>
                <w:szCs w:val="22"/>
                <w:highlight w:val="none"/>
                <w:vertAlign w:val="superscript"/>
                <w:lang w:bidi="ar"/>
              </w:rPr>
              <w:t>2</w:t>
            </w:r>
          </w:p>
        </w:tc>
        <w:tc>
          <w:tcPr>
            <w:tcW w:w="1070" w:type="dxa"/>
            <w:shd w:val="clear" w:color="auto" w:fill="auto"/>
            <w:vAlign w:val="center"/>
          </w:tcPr>
          <w:p w14:paraId="7A317C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0.102</w:t>
            </w:r>
          </w:p>
        </w:tc>
        <w:tc>
          <w:tcPr>
            <w:tcW w:w="1000" w:type="dxa"/>
            <w:shd w:val="clear" w:color="auto" w:fill="auto"/>
            <w:noWrap/>
            <w:vAlign w:val="center"/>
          </w:tcPr>
          <w:p w14:paraId="7EA86A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1000</w:t>
            </w:r>
          </w:p>
        </w:tc>
      </w:tr>
      <w:tr w14:paraId="2F12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4D0C47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default" w:ascii="Arial" w:hAnsi="Arial" w:eastAsia="宋体" w:cs="Arial"/>
                <w:snapToGrid w:val="0"/>
                <w:color w:val="auto"/>
                <w:kern w:val="0"/>
                <w:sz w:val="22"/>
                <w:szCs w:val="22"/>
                <w:highlight w:val="none"/>
                <w:lang w:bidi="ar"/>
              </w:rPr>
              <w:t>高锰酸盐指数</w:t>
            </w:r>
            <w:r>
              <w:rPr>
                <w:rFonts w:hint="eastAsia" w:ascii="Arial" w:hAnsi="Arial" w:cs="Arial"/>
                <w:snapToGrid w:val="0"/>
                <w:color w:val="auto"/>
                <w:kern w:val="0"/>
                <w:sz w:val="22"/>
                <w:szCs w:val="22"/>
                <w:highlight w:val="none"/>
                <w:lang w:val="en-US" w:eastAsia="zh-CN" w:bidi="ar"/>
              </w:rPr>
              <w:t>/耗氧量</w:t>
            </w:r>
          </w:p>
        </w:tc>
        <w:tc>
          <w:tcPr>
            <w:tcW w:w="1120" w:type="dxa"/>
            <w:shd w:val="clear" w:color="auto" w:fill="auto"/>
            <w:vAlign w:val="center"/>
          </w:tcPr>
          <w:p w14:paraId="070A7C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026312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0.9</w:t>
            </w:r>
          </w:p>
        </w:tc>
        <w:tc>
          <w:tcPr>
            <w:tcW w:w="849" w:type="dxa"/>
            <w:shd w:val="clear" w:color="auto" w:fill="auto"/>
            <w:vAlign w:val="center"/>
          </w:tcPr>
          <w:p w14:paraId="4994D9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w:t>
            </w:r>
          </w:p>
        </w:tc>
        <w:tc>
          <w:tcPr>
            <w:tcW w:w="1049" w:type="dxa"/>
            <w:shd w:val="clear" w:color="auto" w:fill="auto"/>
            <w:vAlign w:val="center"/>
          </w:tcPr>
          <w:p w14:paraId="2586DE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1.49</w:t>
            </w:r>
          </w:p>
        </w:tc>
        <w:tc>
          <w:tcPr>
            <w:tcW w:w="885" w:type="dxa"/>
            <w:shd w:val="clear" w:color="auto" w:fill="auto"/>
            <w:vAlign w:val="center"/>
          </w:tcPr>
          <w:p w14:paraId="6D3712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0.497</w:t>
            </w:r>
          </w:p>
        </w:tc>
        <w:tc>
          <w:tcPr>
            <w:tcW w:w="1175" w:type="dxa"/>
            <w:shd w:val="clear" w:color="auto" w:fill="auto"/>
            <w:vAlign w:val="center"/>
          </w:tcPr>
          <w:p w14:paraId="53799B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0.7</w:t>
            </w:r>
          </w:p>
        </w:tc>
        <w:tc>
          <w:tcPr>
            <w:tcW w:w="1070" w:type="dxa"/>
            <w:shd w:val="clear" w:color="auto" w:fill="auto"/>
            <w:vAlign w:val="center"/>
          </w:tcPr>
          <w:p w14:paraId="4BC588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0.23</w:t>
            </w:r>
          </w:p>
        </w:tc>
        <w:tc>
          <w:tcPr>
            <w:tcW w:w="1000" w:type="dxa"/>
            <w:shd w:val="clear" w:color="auto" w:fill="auto"/>
            <w:noWrap/>
            <w:vAlign w:val="center"/>
          </w:tcPr>
          <w:p w14:paraId="0FB3F9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3</w:t>
            </w:r>
          </w:p>
        </w:tc>
      </w:tr>
      <w:tr w14:paraId="7F88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7BB85A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总大肠菌群</w:t>
            </w:r>
          </w:p>
        </w:tc>
        <w:tc>
          <w:tcPr>
            <w:tcW w:w="1120" w:type="dxa"/>
            <w:shd w:val="clear" w:color="auto" w:fill="auto"/>
            <w:vAlign w:val="center"/>
          </w:tcPr>
          <w:p w14:paraId="7CE734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MPN/100mL</w:t>
            </w:r>
          </w:p>
        </w:tc>
        <w:tc>
          <w:tcPr>
            <w:tcW w:w="1211" w:type="dxa"/>
            <w:shd w:val="clear" w:color="auto" w:fill="auto"/>
            <w:vAlign w:val="center"/>
          </w:tcPr>
          <w:p w14:paraId="65981F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default" w:ascii="Arial" w:hAnsi="Arial" w:eastAsia="宋体" w:cs="Arial"/>
                <w:snapToGrid w:val="0"/>
                <w:color w:val="auto"/>
                <w:kern w:val="0"/>
                <w:sz w:val="22"/>
                <w:szCs w:val="22"/>
                <w:highlight w:val="none"/>
              </w:rPr>
              <w:t>&lt;</w:t>
            </w:r>
            <w:r>
              <w:rPr>
                <w:rFonts w:hint="eastAsia" w:ascii="Arial" w:hAnsi="Arial" w:cs="Arial"/>
                <w:snapToGrid w:val="0"/>
                <w:color w:val="auto"/>
                <w:kern w:val="0"/>
                <w:sz w:val="22"/>
                <w:szCs w:val="22"/>
                <w:highlight w:val="none"/>
                <w:lang w:val="en-US" w:eastAsia="zh-CN"/>
              </w:rPr>
              <w:t>2</w:t>
            </w:r>
          </w:p>
        </w:tc>
        <w:tc>
          <w:tcPr>
            <w:tcW w:w="849" w:type="dxa"/>
            <w:shd w:val="clear" w:color="auto" w:fill="auto"/>
            <w:vAlign w:val="center"/>
          </w:tcPr>
          <w:p w14:paraId="14A830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0C7C5A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&lt;</w:t>
            </w:r>
            <w:r>
              <w:rPr>
                <w:rFonts w:hint="eastAsia" w:ascii="Arial" w:hAnsi="Arial" w:cs="Arial"/>
                <w:snapToGrid w:val="0"/>
                <w:color w:val="auto"/>
                <w:kern w:val="0"/>
                <w:sz w:val="22"/>
                <w:szCs w:val="22"/>
                <w:highlight w:val="none"/>
                <w:lang w:val="en-US" w:eastAsia="zh-CN"/>
              </w:rPr>
              <w:t>2</w:t>
            </w:r>
          </w:p>
        </w:tc>
        <w:tc>
          <w:tcPr>
            <w:tcW w:w="885" w:type="dxa"/>
            <w:shd w:val="clear" w:color="auto" w:fill="auto"/>
            <w:vAlign w:val="center"/>
          </w:tcPr>
          <w:p w14:paraId="7DB024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457A93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未检出</w:t>
            </w:r>
          </w:p>
        </w:tc>
        <w:tc>
          <w:tcPr>
            <w:tcW w:w="1070" w:type="dxa"/>
            <w:shd w:val="clear" w:color="auto" w:fill="auto"/>
            <w:vAlign w:val="center"/>
          </w:tcPr>
          <w:p w14:paraId="6F01C9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noWrap/>
            <w:vAlign w:val="center"/>
          </w:tcPr>
          <w:p w14:paraId="0580F3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3</w:t>
            </w:r>
          </w:p>
        </w:tc>
      </w:tr>
      <w:tr w14:paraId="7E61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5C98B4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菌落总数</w:t>
            </w:r>
          </w:p>
        </w:tc>
        <w:tc>
          <w:tcPr>
            <w:tcW w:w="1120" w:type="dxa"/>
            <w:shd w:val="clear" w:color="auto" w:fill="auto"/>
            <w:vAlign w:val="center"/>
          </w:tcPr>
          <w:p w14:paraId="1EC7919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CFU/mL</w:t>
            </w:r>
          </w:p>
        </w:tc>
        <w:tc>
          <w:tcPr>
            <w:tcW w:w="1211" w:type="dxa"/>
            <w:shd w:val="clear" w:color="auto" w:fill="auto"/>
            <w:vAlign w:val="center"/>
          </w:tcPr>
          <w:p w14:paraId="262403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75</w:t>
            </w:r>
          </w:p>
        </w:tc>
        <w:tc>
          <w:tcPr>
            <w:tcW w:w="849" w:type="dxa"/>
            <w:shd w:val="clear" w:color="auto" w:fill="auto"/>
            <w:vAlign w:val="center"/>
          </w:tcPr>
          <w:p w14:paraId="22B8FB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0.75</w:t>
            </w:r>
          </w:p>
        </w:tc>
        <w:tc>
          <w:tcPr>
            <w:tcW w:w="1049" w:type="dxa"/>
            <w:shd w:val="clear" w:color="auto" w:fill="auto"/>
            <w:vAlign w:val="center"/>
          </w:tcPr>
          <w:p w14:paraId="7A0395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84</w:t>
            </w:r>
          </w:p>
        </w:tc>
        <w:tc>
          <w:tcPr>
            <w:tcW w:w="885" w:type="dxa"/>
            <w:shd w:val="clear" w:color="auto" w:fill="auto"/>
            <w:vAlign w:val="center"/>
          </w:tcPr>
          <w:p w14:paraId="425CCE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0.084</w:t>
            </w:r>
          </w:p>
        </w:tc>
        <w:tc>
          <w:tcPr>
            <w:tcW w:w="1175" w:type="dxa"/>
            <w:shd w:val="clear" w:color="auto" w:fill="auto"/>
            <w:vAlign w:val="center"/>
          </w:tcPr>
          <w:p w14:paraId="15CE55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8</w:t>
            </w:r>
          </w:p>
        </w:tc>
        <w:tc>
          <w:tcPr>
            <w:tcW w:w="1070" w:type="dxa"/>
            <w:shd w:val="clear" w:color="auto" w:fill="auto"/>
            <w:vAlign w:val="center"/>
          </w:tcPr>
          <w:p w14:paraId="502AC3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0.8</w:t>
            </w:r>
          </w:p>
        </w:tc>
        <w:tc>
          <w:tcPr>
            <w:tcW w:w="1000" w:type="dxa"/>
            <w:shd w:val="clear" w:color="auto" w:fill="auto"/>
            <w:vAlign w:val="center"/>
          </w:tcPr>
          <w:p w14:paraId="76C342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100</w:t>
            </w:r>
          </w:p>
        </w:tc>
      </w:tr>
      <w:tr w14:paraId="2C69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13C071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阴离子表面活性剂</w:t>
            </w:r>
          </w:p>
        </w:tc>
        <w:tc>
          <w:tcPr>
            <w:tcW w:w="1120" w:type="dxa"/>
            <w:shd w:val="clear" w:color="auto" w:fill="auto"/>
            <w:vAlign w:val="center"/>
          </w:tcPr>
          <w:p w14:paraId="124574F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32DAA22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49" w:type="dxa"/>
            <w:shd w:val="clear" w:color="auto" w:fill="auto"/>
            <w:vAlign w:val="center"/>
          </w:tcPr>
          <w:p w14:paraId="444899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512F13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85" w:type="dxa"/>
            <w:shd w:val="clear" w:color="auto" w:fill="auto"/>
            <w:vAlign w:val="center"/>
          </w:tcPr>
          <w:p w14:paraId="2709BAA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7DB1BD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0.05L</w:t>
            </w:r>
          </w:p>
        </w:tc>
        <w:tc>
          <w:tcPr>
            <w:tcW w:w="1070" w:type="dxa"/>
            <w:shd w:val="clear" w:color="auto" w:fill="auto"/>
            <w:vAlign w:val="center"/>
          </w:tcPr>
          <w:p w14:paraId="052DCA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17DC6B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0.3</w:t>
            </w:r>
          </w:p>
        </w:tc>
      </w:tr>
      <w:tr w14:paraId="77B6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33B3C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氨氮</w:t>
            </w:r>
          </w:p>
        </w:tc>
        <w:tc>
          <w:tcPr>
            <w:tcW w:w="1120" w:type="dxa"/>
            <w:shd w:val="clear" w:color="auto" w:fill="auto"/>
            <w:vAlign w:val="center"/>
          </w:tcPr>
          <w:p w14:paraId="5CB1B0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92435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0.13</w:t>
            </w:r>
          </w:p>
        </w:tc>
        <w:tc>
          <w:tcPr>
            <w:tcW w:w="849" w:type="dxa"/>
            <w:shd w:val="clear" w:color="auto" w:fill="auto"/>
            <w:vAlign w:val="center"/>
          </w:tcPr>
          <w:p w14:paraId="29D69F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0.26</w:t>
            </w:r>
          </w:p>
        </w:tc>
        <w:tc>
          <w:tcPr>
            <w:tcW w:w="1049" w:type="dxa"/>
            <w:shd w:val="clear" w:color="auto" w:fill="auto"/>
            <w:vAlign w:val="center"/>
          </w:tcPr>
          <w:p w14:paraId="71D475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0.08</w:t>
            </w:r>
          </w:p>
        </w:tc>
        <w:tc>
          <w:tcPr>
            <w:tcW w:w="885" w:type="dxa"/>
            <w:shd w:val="clear" w:color="auto" w:fill="auto"/>
            <w:vAlign w:val="center"/>
          </w:tcPr>
          <w:p w14:paraId="649AEF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0.16</w:t>
            </w:r>
          </w:p>
        </w:tc>
        <w:tc>
          <w:tcPr>
            <w:tcW w:w="1175" w:type="dxa"/>
            <w:shd w:val="clear" w:color="auto" w:fill="auto"/>
            <w:vAlign w:val="center"/>
          </w:tcPr>
          <w:p w14:paraId="780570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0.143</w:t>
            </w:r>
          </w:p>
        </w:tc>
        <w:tc>
          <w:tcPr>
            <w:tcW w:w="1070" w:type="dxa"/>
            <w:shd w:val="clear" w:color="auto" w:fill="auto"/>
            <w:vAlign w:val="center"/>
          </w:tcPr>
          <w:p w14:paraId="5166A6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0.286</w:t>
            </w:r>
          </w:p>
        </w:tc>
        <w:tc>
          <w:tcPr>
            <w:tcW w:w="1000" w:type="dxa"/>
            <w:shd w:val="clear" w:color="auto" w:fill="auto"/>
            <w:vAlign w:val="center"/>
          </w:tcPr>
          <w:p w14:paraId="57A5DD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0.5</w:t>
            </w:r>
          </w:p>
        </w:tc>
      </w:tr>
      <w:tr w14:paraId="2FA5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30CBA76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石油类</w:t>
            </w:r>
          </w:p>
        </w:tc>
        <w:tc>
          <w:tcPr>
            <w:tcW w:w="1120" w:type="dxa"/>
            <w:shd w:val="clear" w:color="auto" w:fill="auto"/>
            <w:vAlign w:val="center"/>
          </w:tcPr>
          <w:p w14:paraId="5CB657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04E177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0.03</w:t>
            </w:r>
          </w:p>
        </w:tc>
        <w:tc>
          <w:tcPr>
            <w:tcW w:w="849" w:type="dxa"/>
            <w:shd w:val="clear" w:color="auto" w:fill="auto"/>
            <w:vAlign w:val="center"/>
          </w:tcPr>
          <w:p w14:paraId="04539B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626270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0.04</w:t>
            </w:r>
          </w:p>
        </w:tc>
        <w:tc>
          <w:tcPr>
            <w:tcW w:w="885" w:type="dxa"/>
            <w:shd w:val="clear" w:color="auto" w:fill="auto"/>
            <w:vAlign w:val="center"/>
          </w:tcPr>
          <w:p w14:paraId="09A4F1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570F16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0.01L</w:t>
            </w:r>
          </w:p>
        </w:tc>
        <w:tc>
          <w:tcPr>
            <w:tcW w:w="1070" w:type="dxa"/>
            <w:shd w:val="clear" w:color="auto" w:fill="auto"/>
            <w:vAlign w:val="center"/>
          </w:tcPr>
          <w:p w14:paraId="3813A5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w:t>
            </w:r>
          </w:p>
        </w:tc>
        <w:tc>
          <w:tcPr>
            <w:tcW w:w="1000" w:type="dxa"/>
            <w:shd w:val="clear" w:color="auto" w:fill="auto"/>
            <w:vAlign w:val="center"/>
          </w:tcPr>
          <w:p w14:paraId="5A4C5B2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w:t>
            </w:r>
          </w:p>
        </w:tc>
      </w:tr>
      <w:tr w14:paraId="4DDD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4189C6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铁</w:t>
            </w:r>
          </w:p>
        </w:tc>
        <w:tc>
          <w:tcPr>
            <w:tcW w:w="1120" w:type="dxa"/>
            <w:shd w:val="clear" w:color="auto" w:fill="auto"/>
            <w:vAlign w:val="center"/>
          </w:tcPr>
          <w:p w14:paraId="60A670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046248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0.01L</w:t>
            </w:r>
          </w:p>
        </w:tc>
        <w:tc>
          <w:tcPr>
            <w:tcW w:w="849" w:type="dxa"/>
            <w:shd w:val="clear" w:color="auto" w:fill="auto"/>
            <w:vAlign w:val="center"/>
          </w:tcPr>
          <w:p w14:paraId="78C637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22D163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0.01L</w:t>
            </w:r>
          </w:p>
        </w:tc>
        <w:tc>
          <w:tcPr>
            <w:tcW w:w="885" w:type="dxa"/>
            <w:shd w:val="clear" w:color="auto" w:fill="auto"/>
            <w:vAlign w:val="center"/>
          </w:tcPr>
          <w:p w14:paraId="3DE6F6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60D4FE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0.03L</w:t>
            </w:r>
          </w:p>
        </w:tc>
        <w:tc>
          <w:tcPr>
            <w:tcW w:w="1070" w:type="dxa"/>
            <w:shd w:val="clear" w:color="auto" w:fill="auto"/>
            <w:vAlign w:val="center"/>
          </w:tcPr>
          <w:p w14:paraId="4BD7A7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w:t>
            </w:r>
          </w:p>
        </w:tc>
        <w:tc>
          <w:tcPr>
            <w:tcW w:w="1000" w:type="dxa"/>
            <w:shd w:val="clear" w:color="auto" w:fill="auto"/>
            <w:vAlign w:val="center"/>
          </w:tcPr>
          <w:p w14:paraId="684DA3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0.3</w:t>
            </w:r>
          </w:p>
        </w:tc>
      </w:tr>
      <w:tr w14:paraId="3FAB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34D5D0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锰</w:t>
            </w:r>
          </w:p>
        </w:tc>
        <w:tc>
          <w:tcPr>
            <w:tcW w:w="1120" w:type="dxa"/>
            <w:shd w:val="clear" w:color="auto" w:fill="auto"/>
            <w:vAlign w:val="center"/>
          </w:tcPr>
          <w:p w14:paraId="6552E7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40E381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0.01L</w:t>
            </w:r>
          </w:p>
        </w:tc>
        <w:tc>
          <w:tcPr>
            <w:tcW w:w="849" w:type="dxa"/>
            <w:shd w:val="clear" w:color="auto" w:fill="auto"/>
            <w:vAlign w:val="center"/>
          </w:tcPr>
          <w:p w14:paraId="4937EB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24E6D6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0.01L</w:t>
            </w:r>
          </w:p>
        </w:tc>
        <w:tc>
          <w:tcPr>
            <w:tcW w:w="885" w:type="dxa"/>
            <w:shd w:val="clear" w:color="auto" w:fill="auto"/>
            <w:vAlign w:val="center"/>
          </w:tcPr>
          <w:p w14:paraId="3B78AA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7CA0C8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0.01L</w:t>
            </w:r>
          </w:p>
        </w:tc>
        <w:tc>
          <w:tcPr>
            <w:tcW w:w="1070" w:type="dxa"/>
            <w:shd w:val="clear" w:color="auto" w:fill="auto"/>
            <w:vAlign w:val="center"/>
          </w:tcPr>
          <w:p w14:paraId="58D46F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w:t>
            </w:r>
          </w:p>
        </w:tc>
        <w:tc>
          <w:tcPr>
            <w:tcW w:w="1000" w:type="dxa"/>
            <w:shd w:val="clear" w:color="auto" w:fill="auto"/>
            <w:vAlign w:val="center"/>
          </w:tcPr>
          <w:p w14:paraId="17323E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0.1</w:t>
            </w:r>
          </w:p>
        </w:tc>
      </w:tr>
    </w:tbl>
    <w:p w14:paraId="68B7A20D">
      <w:pPr>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jc w:val="both"/>
        <w:textAlignment w:val="auto"/>
        <w:rPr>
          <w:rFonts w:hint="eastAsia" w:ascii="Arial" w:hAnsi="Arial" w:eastAsia="宋体" w:cs="Arial"/>
          <w:b w:val="0"/>
          <w:bCs/>
          <w:kern w:val="0"/>
          <w:sz w:val="26"/>
          <w:szCs w:val="26"/>
          <w:lang w:val="en-US" w:eastAsia="zh-CN" w:bidi="ar-SA"/>
        </w:rPr>
      </w:pPr>
    </w:p>
    <w:p w14:paraId="467C75C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Arial" w:hAnsi="Arial" w:eastAsia="宋体" w:cs="Arial"/>
          <w:b w:val="0"/>
          <w:bCs/>
          <w:kern w:val="0"/>
          <w:sz w:val="26"/>
          <w:szCs w:val="26"/>
          <w:lang w:val="en-US" w:eastAsia="zh-CN" w:bidi="ar-SA"/>
        </w:rPr>
      </w:pPr>
      <w:r>
        <w:rPr>
          <w:rFonts w:hint="eastAsia" w:ascii="Arial" w:hAnsi="Arial" w:eastAsia="宋体" w:cs="Arial"/>
          <w:b w:val="0"/>
          <w:bCs/>
          <w:kern w:val="0"/>
          <w:sz w:val="26"/>
          <w:szCs w:val="26"/>
          <w:lang w:val="en-US" w:eastAsia="zh-CN" w:bidi="ar-SA"/>
        </w:rPr>
        <w:t>由表4.3-10可知，</w:t>
      </w:r>
      <w:r>
        <w:rPr>
          <w:rFonts w:hint="eastAsia" w:ascii="Arial" w:cs="Arial"/>
          <w:spacing w:val="-4"/>
          <w:sz w:val="26"/>
          <w:szCs w:val="26"/>
          <w:lang w:val="en-US"/>
        </w:rPr>
        <w:t>本项目设置的</w:t>
      </w:r>
      <w:r>
        <w:rPr>
          <w:rFonts w:hint="eastAsia" w:ascii="Arial" w:cs="Arial"/>
          <w:spacing w:val="-4"/>
          <w:sz w:val="26"/>
          <w:szCs w:val="26"/>
          <w:lang w:val="en-US" w:eastAsia="zh-CN"/>
        </w:rPr>
        <w:t>3</w:t>
      </w:r>
      <w:r>
        <w:rPr>
          <w:rFonts w:hint="eastAsia" w:ascii="Arial" w:cs="Arial"/>
          <w:spacing w:val="-4"/>
          <w:sz w:val="26"/>
          <w:szCs w:val="26"/>
          <w:lang w:val="en-US"/>
        </w:rPr>
        <w:t>处</w:t>
      </w:r>
      <w:r>
        <w:rPr>
          <w:rFonts w:hint="eastAsia" w:ascii="Arial" w:cs="Arial"/>
          <w:spacing w:val="-4"/>
          <w:sz w:val="26"/>
          <w:szCs w:val="26"/>
          <w:lang w:val="en-US" w:eastAsia="zh-CN"/>
        </w:rPr>
        <w:t>地下水监测点</w:t>
      </w:r>
      <w:r>
        <w:rPr>
          <w:rFonts w:hint="eastAsia" w:ascii="Arial" w:cs="Arial"/>
          <w:spacing w:val="-4"/>
          <w:sz w:val="26"/>
          <w:szCs w:val="26"/>
          <w:lang w:val="en-US"/>
        </w:rPr>
        <w:t>各项监测因子均能够达到《地下水质量标准》（</w:t>
      </w:r>
      <w:r>
        <w:rPr>
          <w:rFonts w:ascii="Arial" w:cs="Arial"/>
          <w:spacing w:val="-4"/>
          <w:sz w:val="26"/>
          <w:szCs w:val="26"/>
          <w:lang w:val="en-US"/>
        </w:rPr>
        <w:t>GB/T14848-2017</w:t>
      </w:r>
      <w:r>
        <w:rPr>
          <w:rFonts w:hint="eastAsia" w:ascii="Arial" w:cs="Arial"/>
          <w:spacing w:val="-4"/>
          <w:sz w:val="26"/>
          <w:szCs w:val="26"/>
          <w:lang w:val="en-US"/>
        </w:rPr>
        <w:t>）中</w:t>
      </w:r>
      <w:r>
        <w:rPr>
          <w:rFonts w:ascii="Arial" w:cs="Arial"/>
          <w:spacing w:val="-4"/>
          <w:sz w:val="26"/>
          <w:szCs w:val="26"/>
          <w:lang w:val="en-US"/>
        </w:rPr>
        <w:fldChar w:fldCharType="begin"/>
      </w:r>
      <w:r>
        <w:rPr>
          <w:rFonts w:ascii="Arial" w:cs="Arial"/>
          <w:spacing w:val="-4"/>
          <w:sz w:val="26"/>
          <w:szCs w:val="26"/>
          <w:lang w:val="en-US"/>
        </w:rPr>
        <w:instrText xml:space="preserve"> = 3 \* ROMAN </w:instrText>
      </w:r>
      <w:r>
        <w:rPr>
          <w:rFonts w:ascii="Arial" w:cs="Arial"/>
          <w:spacing w:val="-4"/>
          <w:sz w:val="26"/>
          <w:szCs w:val="26"/>
          <w:lang w:val="en-US"/>
        </w:rPr>
        <w:fldChar w:fldCharType="separate"/>
      </w:r>
      <w:r>
        <w:rPr>
          <w:rFonts w:ascii="Arial" w:cs="Arial"/>
          <w:spacing w:val="-4"/>
          <w:sz w:val="26"/>
          <w:szCs w:val="26"/>
          <w:lang w:val="en-US"/>
        </w:rPr>
        <w:t>III</w:t>
      </w:r>
      <w:r>
        <w:rPr>
          <w:rFonts w:ascii="Arial" w:cs="Arial"/>
          <w:spacing w:val="-4"/>
          <w:sz w:val="26"/>
          <w:szCs w:val="26"/>
          <w:lang w:val="en-US"/>
        </w:rPr>
        <w:fldChar w:fldCharType="end"/>
      </w:r>
      <w:r>
        <w:rPr>
          <w:rFonts w:hint="eastAsia" w:ascii="Arial" w:cs="Arial"/>
          <w:spacing w:val="-4"/>
          <w:sz w:val="26"/>
          <w:szCs w:val="26"/>
          <w:lang w:val="en-US"/>
        </w:rPr>
        <w:t>类水质标准。</w:t>
      </w:r>
    </w:p>
    <w:p w14:paraId="1F8A72D8">
      <w:pPr>
        <w:spacing w:line="480" w:lineRule="exact"/>
        <w:ind w:firstLine="392" w:firstLineChars="150"/>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5</w:t>
      </w:r>
      <w:r>
        <w:rPr>
          <w:rFonts w:hint="eastAsia" w:ascii="Arial" w:cs="Arial"/>
          <w:b/>
          <w:sz w:val="26"/>
          <w:szCs w:val="26"/>
        </w:rPr>
        <w:t>）</w:t>
      </w:r>
      <w:r>
        <w:rPr>
          <w:rFonts w:hint="eastAsia" w:ascii="Arial" w:cs="Arial"/>
          <w:b/>
          <w:sz w:val="26"/>
          <w:szCs w:val="26"/>
          <w:lang w:eastAsia="zh-CN"/>
        </w:rPr>
        <w:t>地下水水位调查</w:t>
      </w:r>
    </w:p>
    <w:p w14:paraId="040342AD">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eastAsia="宋体" w:cs="Arial"/>
          <w:b w:val="0"/>
          <w:bCs/>
          <w:kern w:val="0"/>
          <w:sz w:val="26"/>
          <w:szCs w:val="26"/>
          <w:lang w:val="en-US" w:eastAsia="zh-CN" w:bidi="ar-SA"/>
        </w:rPr>
      </w:pPr>
      <w:r>
        <w:rPr>
          <w:rFonts w:hint="eastAsia" w:ascii="Arial" w:hAnsi="Arial" w:eastAsia="宋体" w:cs="Arial"/>
          <w:b w:val="0"/>
          <w:bCs/>
          <w:kern w:val="0"/>
          <w:sz w:val="26"/>
          <w:szCs w:val="26"/>
          <w:lang w:val="en-US" w:eastAsia="zh-CN" w:bidi="ar-SA"/>
        </w:rPr>
        <w:t>结果见下表。</w:t>
      </w:r>
    </w:p>
    <w:p w14:paraId="602CA5E2">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sz w:val="26"/>
          <w:szCs w:val="26"/>
          <w:highlight w:val="none"/>
        </w:rPr>
      </w:pPr>
      <w:r>
        <w:rPr>
          <w:rFonts w:hint="eastAsia" w:ascii="Arial" w:hAnsi="Arial" w:cs="Arial"/>
          <w:b/>
          <w:sz w:val="26"/>
          <w:szCs w:val="26"/>
          <w:highlight w:val="none"/>
        </w:rPr>
        <w:t>表</w:t>
      </w:r>
      <w:r>
        <w:rPr>
          <w:rFonts w:hint="eastAsia" w:ascii="Arial" w:hAnsi="Arial" w:cs="Arial"/>
          <w:b/>
          <w:sz w:val="26"/>
          <w:szCs w:val="26"/>
          <w:highlight w:val="none"/>
          <w:lang w:val="en-US" w:eastAsia="zh-CN"/>
        </w:rPr>
        <w:t xml:space="preserve">4.3-11 </w:t>
      </w:r>
      <w:r>
        <w:rPr>
          <w:rFonts w:hint="eastAsia" w:ascii="Arial" w:hAnsi="Arial" w:cs="Arial"/>
          <w:b/>
          <w:sz w:val="26"/>
          <w:szCs w:val="26"/>
          <w:highlight w:val="none"/>
        </w:rPr>
        <w:t>地下水水位调查结果一览表</w:t>
      </w:r>
    </w:p>
    <w:p w14:paraId="11B1B991">
      <w:pPr>
        <w:spacing w:line="104" w:lineRule="auto"/>
        <w:rPr>
          <w:rFonts w:ascii="Arial"/>
          <w:sz w:val="2"/>
        </w:rPr>
      </w:pPr>
    </w:p>
    <w:tbl>
      <w:tblPr>
        <w:tblStyle w:val="1893"/>
        <w:tblW w:w="90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01"/>
        <w:gridCol w:w="2997"/>
        <w:gridCol w:w="3012"/>
      </w:tblGrid>
      <w:tr w14:paraId="147B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3" w:hRule="atLeast"/>
          <w:jc w:val="center"/>
        </w:trPr>
        <w:tc>
          <w:tcPr>
            <w:tcW w:w="3001" w:type="dxa"/>
            <w:tcBorders>
              <w:top w:val="single" w:color="000000" w:sz="12" w:space="0"/>
              <w:left w:val="single" w:color="000000" w:sz="12" w:space="0"/>
            </w:tcBorders>
            <w:vAlign w:val="center"/>
          </w:tcPr>
          <w:p w14:paraId="06589696">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检测时间</w:t>
            </w:r>
          </w:p>
        </w:tc>
        <w:tc>
          <w:tcPr>
            <w:tcW w:w="2997" w:type="dxa"/>
            <w:tcBorders>
              <w:top w:val="single" w:color="000000" w:sz="12" w:space="0"/>
            </w:tcBorders>
            <w:vAlign w:val="center"/>
          </w:tcPr>
          <w:p w14:paraId="1DD1411F">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检测点位及频次</w:t>
            </w:r>
          </w:p>
        </w:tc>
        <w:tc>
          <w:tcPr>
            <w:tcW w:w="3012" w:type="dxa"/>
            <w:tcBorders>
              <w:top w:val="single" w:color="000000" w:sz="12" w:space="0"/>
              <w:right w:val="single" w:color="000000" w:sz="12" w:space="0"/>
            </w:tcBorders>
            <w:vAlign w:val="center"/>
          </w:tcPr>
          <w:p w14:paraId="2B4C5782">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水位/m</w:t>
            </w:r>
          </w:p>
        </w:tc>
      </w:tr>
      <w:tr w14:paraId="498BB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3001" w:type="dxa"/>
            <w:vMerge w:val="restart"/>
            <w:tcBorders>
              <w:left w:val="single" w:color="000000" w:sz="12" w:space="0"/>
            </w:tcBorders>
            <w:vAlign w:val="center"/>
          </w:tcPr>
          <w:p w14:paraId="404256B5">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pacing w:val="3"/>
                <w:sz w:val="22"/>
                <w:szCs w:val="22"/>
                <w:lang w:val="en-US" w:eastAsia="zh-CN"/>
              </w:rPr>
              <w:t>2024.8.26</w:t>
            </w:r>
          </w:p>
        </w:tc>
        <w:tc>
          <w:tcPr>
            <w:tcW w:w="2997" w:type="dxa"/>
            <w:vAlign w:val="center"/>
          </w:tcPr>
          <w:p w14:paraId="10AFE532">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1#海螺沟水库上游</w:t>
            </w:r>
          </w:p>
        </w:tc>
        <w:tc>
          <w:tcPr>
            <w:tcW w:w="3012" w:type="dxa"/>
            <w:tcBorders>
              <w:right w:val="single" w:color="000000" w:sz="12" w:space="0"/>
            </w:tcBorders>
            <w:vAlign w:val="center"/>
          </w:tcPr>
          <w:p w14:paraId="0FC9DE13">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434.6</w:t>
            </w:r>
          </w:p>
        </w:tc>
      </w:tr>
      <w:tr w14:paraId="38C4D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001" w:type="dxa"/>
            <w:vMerge w:val="continue"/>
            <w:tcBorders>
              <w:left w:val="single" w:color="000000" w:sz="12" w:space="0"/>
            </w:tcBorders>
            <w:vAlign w:val="center"/>
          </w:tcPr>
          <w:p w14:paraId="30D10BFD">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p>
        </w:tc>
        <w:tc>
          <w:tcPr>
            <w:tcW w:w="2997" w:type="dxa"/>
            <w:vAlign w:val="center"/>
          </w:tcPr>
          <w:p w14:paraId="3457FE5F">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2#海螺沟水库下游</w:t>
            </w:r>
          </w:p>
        </w:tc>
        <w:tc>
          <w:tcPr>
            <w:tcW w:w="3012" w:type="dxa"/>
            <w:tcBorders>
              <w:right w:val="single" w:color="000000" w:sz="12" w:space="0"/>
            </w:tcBorders>
            <w:vAlign w:val="center"/>
          </w:tcPr>
          <w:p w14:paraId="08DA9708">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412.3</w:t>
            </w:r>
          </w:p>
        </w:tc>
      </w:tr>
      <w:tr w14:paraId="2E5FC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001" w:type="dxa"/>
            <w:tcBorders>
              <w:left w:val="single" w:color="000000" w:sz="12" w:space="0"/>
            </w:tcBorders>
            <w:vAlign w:val="center"/>
          </w:tcPr>
          <w:p w14:paraId="4DC97BDE">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2024.1.24</w:t>
            </w:r>
          </w:p>
        </w:tc>
        <w:tc>
          <w:tcPr>
            <w:tcW w:w="2997" w:type="dxa"/>
            <w:vAlign w:val="center"/>
          </w:tcPr>
          <w:p w14:paraId="1CDA5C3C">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3#海螺沟水库周边</w:t>
            </w:r>
          </w:p>
        </w:tc>
        <w:tc>
          <w:tcPr>
            <w:tcW w:w="3012" w:type="dxa"/>
            <w:tcBorders>
              <w:right w:val="single" w:color="000000" w:sz="12" w:space="0"/>
            </w:tcBorders>
            <w:vAlign w:val="center"/>
          </w:tcPr>
          <w:p w14:paraId="73393504">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r>
              <w:rPr>
                <w:rFonts w:hint="default" w:ascii="Arial" w:hAnsi="Arial" w:eastAsia="宋体" w:cs="Arial"/>
                <w:snapToGrid w:val="0"/>
                <w:color w:val="auto"/>
                <w:kern w:val="0"/>
                <w:sz w:val="22"/>
                <w:szCs w:val="22"/>
                <w:highlight w:val="none"/>
                <w:lang w:bidi="ar"/>
              </w:rPr>
              <w:t>454.6</w:t>
            </w:r>
          </w:p>
        </w:tc>
      </w:tr>
      <w:tr w14:paraId="0FA6C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3001" w:type="dxa"/>
            <w:vMerge w:val="restart"/>
            <w:tcBorders>
              <w:left w:val="single" w:color="000000" w:sz="12" w:space="0"/>
            </w:tcBorders>
            <w:vAlign w:val="center"/>
          </w:tcPr>
          <w:p w14:paraId="3FBBEBC5">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2024.8.27</w:t>
            </w:r>
          </w:p>
        </w:tc>
        <w:tc>
          <w:tcPr>
            <w:tcW w:w="2997" w:type="dxa"/>
            <w:vAlign w:val="center"/>
          </w:tcPr>
          <w:p w14:paraId="59BC4F0F">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4#海螺沟水库周边居民水井</w:t>
            </w:r>
          </w:p>
        </w:tc>
        <w:tc>
          <w:tcPr>
            <w:tcW w:w="3012" w:type="dxa"/>
            <w:tcBorders>
              <w:right w:val="single" w:color="000000" w:sz="12" w:space="0"/>
            </w:tcBorders>
            <w:vAlign w:val="center"/>
          </w:tcPr>
          <w:p w14:paraId="7E1C1906">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527.1</w:t>
            </w:r>
          </w:p>
        </w:tc>
      </w:tr>
      <w:tr w14:paraId="3B472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001" w:type="dxa"/>
            <w:vMerge w:val="continue"/>
            <w:tcBorders>
              <w:left w:val="single" w:color="000000" w:sz="12" w:space="0"/>
            </w:tcBorders>
            <w:vAlign w:val="center"/>
          </w:tcPr>
          <w:p w14:paraId="6B06615A">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p>
        </w:tc>
        <w:tc>
          <w:tcPr>
            <w:tcW w:w="2997" w:type="dxa"/>
            <w:vAlign w:val="center"/>
          </w:tcPr>
          <w:p w14:paraId="6C78445E">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5#海螺沟水库周边居民水井</w:t>
            </w:r>
          </w:p>
        </w:tc>
        <w:tc>
          <w:tcPr>
            <w:tcW w:w="3012" w:type="dxa"/>
            <w:tcBorders>
              <w:right w:val="single" w:color="000000" w:sz="12" w:space="0"/>
            </w:tcBorders>
            <w:vAlign w:val="center"/>
          </w:tcPr>
          <w:p w14:paraId="4E7DB17B">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531.4</w:t>
            </w:r>
          </w:p>
        </w:tc>
      </w:tr>
      <w:tr w14:paraId="4B000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3001" w:type="dxa"/>
            <w:vMerge w:val="continue"/>
            <w:tcBorders>
              <w:left w:val="single" w:color="000000" w:sz="12" w:space="0"/>
              <w:bottom w:val="single" w:color="000000" w:sz="12" w:space="0"/>
            </w:tcBorders>
            <w:vAlign w:val="center"/>
          </w:tcPr>
          <w:p w14:paraId="63566460">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p>
        </w:tc>
        <w:tc>
          <w:tcPr>
            <w:tcW w:w="2997" w:type="dxa"/>
            <w:tcBorders>
              <w:bottom w:val="single" w:color="000000" w:sz="12" w:space="0"/>
            </w:tcBorders>
            <w:vAlign w:val="center"/>
          </w:tcPr>
          <w:p w14:paraId="65362EB8">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6#海螺沟水库周边居民水井</w:t>
            </w:r>
          </w:p>
        </w:tc>
        <w:tc>
          <w:tcPr>
            <w:tcW w:w="3012" w:type="dxa"/>
            <w:tcBorders>
              <w:bottom w:val="single" w:color="000000" w:sz="12" w:space="0"/>
              <w:right w:val="single" w:color="000000" w:sz="12" w:space="0"/>
            </w:tcBorders>
            <w:vAlign w:val="center"/>
          </w:tcPr>
          <w:p w14:paraId="6BB8201F">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562.3</w:t>
            </w:r>
          </w:p>
        </w:tc>
      </w:tr>
    </w:tbl>
    <w:p w14:paraId="5A2AEDBA">
      <w:pPr>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jc w:val="both"/>
        <w:textAlignment w:val="auto"/>
        <w:rPr>
          <w:rFonts w:hint="eastAsia" w:ascii="Arial" w:hAnsi="Arial" w:eastAsia="宋体" w:cs="Arial"/>
          <w:b w:val="0"/>
          <w:bCs/>
          <w:kern w:val="0"/>
          <w:sz w:val="26"/>
          <w:szCs w:val="26"/>
          <w:lang w:val="en-US" w:eastAsia="zh-CN" w:bidi="ar-SA"/>
        </w:rPr>
      </w:pPr>
    </w:p>
    <w:p w14:paraId="6B8F35A1">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4.3.4土壤</w:t>
      </w:r>
      <w:r>
        <w:rPr>
          <w:rFonts w:hint="eastAsia" w:ascii="Arial" w:hAnsi="Arial" w:eastAsia="宋体" w:cs="Arial"/>
          <w:b/>
          <w:bCs w:val="0"/>
          <w:kern w:val="0"/>
          <w:sz w:val="26"/>
          <w:szCs w:val="26"/>
          <w:lang w:val="en-US" w:eastAsia="zh-CN" w:bidi="ar-SA"/>
        </w:rPr>
        <w:t>环境质量现状与评价</w:t>
      </w:r>
    </w:p>
    <w:p w14:paraId="3B26B800">
      <w:pPr>
        <w:keepNext w:val="0"/>
        <w:keepLines w:val="0"/>
        <w:pageBreakBefore w:val="0"/>
        <w:widowControl w:val="0"/>
        <w:kinsoku/>
        <w:wordWrap/>
        <w:overflowPunct/>
        <w:topLinePunct w:val="0"/>
        <w:autoSpaceDE/>
        <w:autoSpaceDN/>
        <w:bidi w:val="0"/>
        <w:spacing w:line="460" w:lineRule="exact"/>
        <w:ind w:firstLine="392" w:firstLineChars="150"/>
        <w:textAlignment w:val="auto"/>
        <w:rPr>
          <w:rFonts w:hint="eastAsia" w:ascii="Arial" w:cs="Arial"/>
          <w:b/>
          <w:sz w:val="26"/>
          <w:szCs w:val="26"/>
        </w:rPr>
      </w:pPr>
      <w:r>
        <w:rPr>
          <w:rFonts w:hint="eastAsia" w:ascii="Arial" w:cs="Arial"/>
          <w:b/>
          <w:sz w:val="26"/>
          <w:szCs w:val="26"/>
        </w:rPr>
        <w:t>（</w:t>
      </w:r>
      <w:r>
        <w:rPr>
          <w:rFonts w:ascii="Arial" w:cs="Arial"/>
          <w:b/>
          <w:sz w:val="26"/>
          <w:szCs w:val="26"/>
        </w:rPr>
        <w:t>1</w:t>
      </w:r>
      <w:r>
        <w:rPr>
          <w:rFonts w:hint="eastAsia" w:ascii="Arial" w:cs="Arial"/>
          <w:b/>
          <w:sz w:val="26"/>
          <w:szCs w:val="26"/>
        </w:rPr>
        <w:t>）现状监测</w:t>
      </w:r>
    </w:p>
    <w:p w14:paraId="3A3874FD">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sz w:val="26"/>
          <w:szCs w:val="26"/>
          <w:lang w:val="en-US" w:eastAsia="zh-CN"/>
        </w:rPr>
      </w:pPr>
      <w:r>
        <w:rPr>
          <w:rFonts w:hint="eastAsia" w:ascii="Arial" w:hAnsi="宋体" w:cs="Arial"/>
          <w:b/>
          <w:sz w:val="26"/>
          <w:szCs w:val="26"/>
        </w:rPr>
        <w:t>监测布点：</w:t>
      </w:r>
      <w:r>
        <w:rPr>
          <w:rFonts w:hint="eastAsia" w:ascii="Arial" w:hAnsi="Arial" w:cs="Arial"/>
          <w:sz w:val="26"/>
          <w:szCs w:val="26"/>
          <w:lang w:val="en-US" w:eastAsia="zh-CN"/>
        </w:rPr>
        <w:t>根据《环境影响评价技术导则 土壤环境（试行）》（HJ964-2018），本项目可不进行土壤环境影响评价。但为了解项目所在区域土壤环境背景质量情况，本报告引用</w:t>
      </w:r>
      <w:r>
        <w:rPr>
          <w:rFonts w:hint="eastAsia" w:ascii="Arial" w:hAnsi="Arial" w:cs="Arial"/>
          <w:b w:val="0"/>
          <w:bCs/>
          <w:sz w:val="26"/>
          <w:szCs w:val="26"/>
          <w:lang w:val="en-US" w:eastAsia="zh-CN"/>
        </w:rPr>
        <w:t>《重庆市渠溪河流域综合规划环境影响报告书》于海螺沟水库周边农用地进行实测得出的数据，来进行评价。</w:t>
      </w:r>
    </w:p>
    <w:p w14:paraId="184D99EE">
      <w:pPr>
        <w:spacing w:line="460" w:lineRule="exact"/>
        <w:ind w:firstLine="522" w:firstLineChars="200"/>
        <w:rPr>
          <w:rFonts w:ascii="Arial" w:hAnsi="Arial" w:eastAsia="Times New Roman" w:cs="Arial"/>
          <w:sz w:val="26"/>
          <w:szCs w:val="26"/>
        </w:rPr>
      </w:pPr>
      <w:r>
        <w:rPr>
          <w:rFonts w:hint="eastAsia" w:ascii="Arial" w:hAnsi="Arial" w:cs="Arial"/>
          <w:b/>
          <w:bCs w:val="0"/>
          <w:sz w:val="26"/>
          <w:szCs w:val="26"/>
          <w:lang w:val="en-US" w:eastAsia="zh-CN"/>
        </w:rPr>
        <w:t>监测时间及频率：</w:t>
      </w:r>
      <w:r>
        <w:rPr>
          <w:rFonts w:ascii="Arial" w:hAnsi="Arial" w:eastAsia="Times New Roman" w:cs="Arial"/>
          <w:sz w:val="26"/>
          <w:szCs w:val="26"/>
        </w:rPr>
        <w:t>20</w:t>
      </w:r>
      <w:r>
        <w:rPr>
          <w:rFonts w:hint="eastAsia" w:ascii="Arial" w:hAnsi="Arial" w:eastAsia="宋体" w:cs="Arial"/>
          <w:sz w:val="26"/>
          <w:szCs w:val="26"/>
          <w:lang w:val="en-US" w:eastAsia="zh-CN"/>
        </w:rPr>
        <w:t>24</w:t>
      </w:r>
      <w:r>
        <w:rPr>
          <w:rFonts w:ascii="Arial" w:eastAsia="Times New Roman" w:cs="Arial"/>
          <w:sz w:val="26"/>
          <w:szCs w:val="26"/>
        </w:rPr>
        <w:t>年</w:t>
      </w:r>
      <w:r>
        <w:rPr>
          <w:rFonts w:hint="eastAsia" w:ascii="Arial" w:hAnsi="Arial" w:cs="Arial"/>
          <w:sz w:val="26"/>
          <w:szCs w:val="26"/>
          <w:lang w:val="en-US" w:eastAsia="zh-CN"/>
        </w:rPr>
        <w:t>1</w:t>
      </w:r>
      <w:r>
        <w:rPr>
          <w:rFonts w:ascii="Arial" w:eastAsia="Times New Roman" w:cs="Arial"/>
          <w:sz w:val="26"/>
          <w:szCs w:val="26"/>
        </w:rPr>
        <w:t>月</w:t>
      </w:r>
      <w:r>
        <w:rPr>
          <w:rFonts w:hint="eastAsia" w:ascii="Arial" w:hAnsi="Arial" w:eastAsia="宋体" w:cs="Arial"/>
          <w:sz w:val="26"/>
          <w:szCs w:val="26"/>
          <w:lang w:val="en-US" w:eastAsia="zh-CN"/>
        </w:rPr>
        <w:t>2</w:t>
      </w:r>
      <w:r>
        <w:rPr>
          <w:rFonts w:hint="eastAsia" w:ascii="Arial" w:hAnsi="Arial" w:cs="Arial"/>
          <w:sz w:val="26"/>
          <w:szCs w:val="26"/>
          <w:lang w:val="en-US" w:eastAsia="zh-CN"/>
        </w:rPr>
        <w:t>4</w:t>
      </w:r>
      <w:r>
        <w:rPr>
          <w:rFonts w:ascii="Arial" w:eastAsia="Times New Roman" w:cs="Arial"/>
          <w:sz w:val="26"/>
          <w:szCs w:val="26"/>
        </w:rPr>
        <w:t>日</w:t>
      </w:r>
      <w:r>
        <w:rPr>
          <w:rFonts w:hint="eastAsia" w:ascii="Arial" w:eastAsia="宋体" w:cs="Arial"/>
          <w:sz w:val="26"/>
          <w:szCs w:val="26"/>
          <w:lang w:eastAsia="zh-CN"/>
        </w:rPr>
        <w:t>，</w:t>
      </w:r>
      <w:r>
        <w:rPr>
          <w:rFonts w:ascii="Arial" w:eastAsia="Times New Roman" w:cs="Arial"/>
          <w:sz w:val="26"/>
          <w:szCs w:val="26"/>
        </w:rPr>
        <w:t>取样</w:t>
      </w:r>
      <w:r>
        <w:rPr>
          <w:rFonts w:hint="eastAsia" w:ascii="Arial" w:eastAsia="宋体" w:cs="Arial"/>
          <w:sz w:val="26"/>
          <w:szCs w:val="26"/>
          <w:lang w:eastAsia="zh-CN"/>
        </w:rPr>
        <w:t>监测</w:t>
      </w:r>
      <w:r>
        <w:rPr>
          <w:rFonts w:ascii="Arial" w:hAnsi="Arial" w:eastAsia="Times New Roman" w:cs="Arial"/>
          <w:sz w:val="26"/>
          <w:szCs w:val="26"/>
        </w:rPr>
        <w:t>1</w:t>
      </w:r>
      <w:r>
        <w:rPr>
          <w:rFonts w:ascii="Arial" w:eastAsia="Times New Roman" w:cs="Arial"/>
          <w:sz w:val="26"/>
          <w:szCs w:val="26"/>
        </w:rPr>
        <w:t>次。</w:t>
      </w:r>
    </w:p>
    <w:p w14:paraId="3198B512">
      <w:pPr>
        <w:spacing w:line="460" w:lineRule="exact"/>
        <w:ind w:firstLine="522" w:firstLineChars="200"/>
        <w:rPr>
          <w:rFonts w:hint="eastAsia" w:ascii="Arial" w:hAnsi="宋体" w:eastAsia="宋体" w:cs="Arial"/>
          <w:b w:val="0"/>
          <w:bCs/>
          <w:sz w:val="26"/>
          <w:szCs w:val="26"/>
          <w:lang w:val="en-US" w:eastAsia="zh-CN"/>
        </w:rPr>
      </w:pPr>
      <w:r>
        <w:rPr>
          <w:rFonts w:hint="eastAsia" w:ascii="Arial" w:hAnsi="宋体" w:cs="Arial"/>
          <w:b/>
          <w:sz w:val="26"/>
          <w:szCs w:val="26"/>
        </w:rPr>
        <w:t>监测因子：</w:t>
      </w:r>
      <w:r>
        <w:rPr>
          <w:rFonts w:hint="eastAsia" w:ascii="Arial" w:hAnsi="宋体" w:cs="Arial"/>
          <w:b w:val="0"/>
          <w:bCs/>
          <w:sz w:val="26"/>
          <w:szCs w:val="26"/>
        </w:rPr>
        <w:t>pH、含盐量、镉、汞、砷、铅、铬、铜、镍、锌</w:t>
      </w:r>
      <w:r>
        <w:rPr>
          <w:rFonts w:hint="eastAsia" w:ascii="Arial" w:hAnsi="Arial" w:cs="Arial"/>
          <w:b w:val="0"/>
          <w:bCs/>
          <w:sz w:val="26"/>
          <w:szCs w:val="26"/>
          <w:lang w:eastAsia="zh-CN"/>
        </w:rPr>
        <w:t>。</w:t>
      </w:r>
    </w:p>
    <w:p w14:paraId="7C1C6E07">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2</w:t>
      </w:r>
      <w:r>
        <w:rPr>
          <w:rFonts w:hint="eastAsia" w:ascii="Arial" w:cs="Arial"/>
          <w:b/>
          <w:sz w:val="26"/>
          <w:szCs w:val="26"/>
        </w:rPr>
        <w:t>）评价</w:t>
      </w:r>
      <w:r>
        <w:rPr>
          <w:rFonts w:hint="eastAsia" w:ascii="Arial" w:cs="Arial"/>
          <w:b/>
          <w:sz w:val="26"/>
          <w:szCs w:val="26"/>
          <w:lang w:eastAsia="zh-CN"/>
        </w:rPr>
        <w:t>标准</w:t>
      </w:r>
    </w:p>
    <w:p w14:paraId="254A919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eastAsia="宋体" w:cs="Arial"/>
          <w:spacing w:val="-4"/>
          <w:sz w:val="26"/>
          <w:szCs w:val="26"/>
          <w:lang w:eastAsia="zh-CN"/>
        </w:rPr>
      </w:pPr>
      <w:r>
        <w:rPr>
          <w:rFonts w:ascii="Arial" w:hAnsi="Arial" w:cs="Arial"/>
          <w:sz w:val="26"/>
          <w:szCs w:val="26"/>
        </w:rPr>
        <w:t>执行《土壤环境质量农用地土壤污染风险管控标准（试行）》</w:t>
      </w:r>
      <w:r>
        <w:rPr>
          <w:rFonts w:hint="eastAsia" w:ascii="Arial" w:hAnsi="Arial" w:cs="Arial"/>
          <w:sz w:val="26"/>
          <w:szCs w:val="26"/>
        </w:rPr>
        <w:t>（</w:t>
      </w:r>
      <w:r>
        <w:rPr>
          <w:rFonts w:ascii="Arial" w:hAnsi="Arial" w:cs="Arial"/>
          <w:sz w:val="26"/>
          <w:szCs w:val="26"/>
        </w:rPr>
        <w:t>GB15618-2018</w:t>
      </w:r>
      <w:r>
        <w:rPr>
          <w:rFonts w:hint="eastAsia" w:ascii="Arial" w:hAnsi="Arial" w:cs="Arial"/>
          <w:sz w:val="26"/>
          <w:szCs w:val="26"/>
        </w:rPr>
        <w:t>）</w:t>
      </w:r>
      <w:r>
        <w:rPr>
          <w:rFonts w:ascii="Arial" w:hAnsi="Arial" w:cs="Arial"/>
          <w:sz w:val="26"/>
          <w:szCs w:val="26"/>
        </w:rPr>
        <w:t>表1农用地土壤污染风险筛选值（基本项目）</w:t>
      </w:r>
      <w:r>
        <w:rPr>
          <w:rFonts w:hint="eastAsia" w:ascii="Arial" w:cs="Arial"/>
          <w:spacing w:val="-4"/>
          <w:sz w:val="26"/>
          <w:szCs w:val="26"/>
          <w:lang w:eastAsia="zh-CN"/>
        </w:rPr>
        <w:t>。</w:t>
      </w:r>
    </w:p>
    <w:p w14:paraId="24810482">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3</w:t>
      </w:r>
      <w:r>
        <w:rPr>
          <w:rFonts w:hint="eastAsia" w:ascii="Arial" w:cs="Arial"/>
          <w:b/>
          <w:sz w:val="26"/>
          <w:szCs w:val="26"/>
        </w:rPr>
        <w:t>）评价</w:t>
      </w:r>
      <w:r>
        <w:rPr>
          <w:rFonts w:hint="eastAsia" w:ascii="Arial" w:cs="Arial"/>
          <w:b/>
          <w:sz w:val="26"/>
          <w:szCs w:val="26"/>
          <w:lang w:eastAsia="zh-CN"/>
        </w:rPr>
        <w:t>结果</w:t>
      </w:r>
    </w:p>
    <w:p w14:paraId="3B4EB92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t>监测数据及评价结果见表4</w:t>
      </w:r>
      <w:r>
        <w:rPr>
          <w:rFonts w:hint="eastAsia" w:ascii="Arial" w:hAnsi="Arial" w:cs="Arial"/>
          <w:sz w:val="26"/>
          <w:szCs w:val="26"/>
          <w:lang w:val="en-US" w:eastAsia="zh-CN"/>
        </w:rPr>
        <w:t>.3-12</w:t>
      </w:r>
      <w:r>
        <w:rPr>
          <w:rFonts w:ascii="Arial" w:hAnsi="Arial" w:cs="Arial"/>
          <w:sz w:val="26"/>
          <w:szCs w:val="26"/>
        </w:rPr>
        <w:t>所示。</w:t>
      </w:r>
    </w:p>
    <w:p w14:paraId="1F36A00E">
      <w:pPr>
        <w:keepNext w:val="0"/>
        <w:keepLines w:val="0"/>
        <w:pageBreakBefore w:val="0"/>
        <w:widowControl w:val="0"/>
        <w:kinsoku/>
        <w:wordWrap/>
        <w:overflowPunct/>
        <w:topLinePunct w:val="0"/>
        <w:autoSpaceDE/>
        <w:autoSpaceDN/>
        <w:bidi w:val="0"/>
        <w:adjustRightInd/>
        <w:snapToGrid/>
        <w:spacing w:line="460" w:lineRule="exact"/>
        <w:ind w:firstLine="522"/>
        <w:jc w:val="center"/>
        <w:textAlignment w:val="auto"/>
        <w:rPr>
          <w:rFonts w:ascii="Arial" w:hAnsi="Arial" w:cs="Arial"/>
          <w:spacing w:val="-4"/>
          <w:sz w:val="26"/>
          <w:szCs w:val="26"/>
        </w:rPr>
      </w:pPr>
      <w:r>
        <w:rPr>
          <w:rFonts w:ascii="Arial" w:hAnsi="宋体" w:cs="Arial"/>
          <w:b/>
          <w:snapToGrid w:val="0"/>
          <w:kern w:val="0"/>
          <w:sz w:val="26"/>
          <w:szCs w:val="26"/>
        </w:rPr>
        <w:t>表</w:t>
      </w:r>
      <w:r>
        <w:rPr>
          <w:rFonts w:ascii="Arial" w:hAnsi="Arial" w:cs="Arial"/>
          <w:b/>
          <w:snapToGrid w:val="0"/>
          <w:kern w:val="0"/>
          <w:sz w:val="26"/>
          <w:szCs w:val="26"/>
        </w:rPr>
        <w:t>4.</w:t>
      </w:r>
      <w:r>
        <w:rPr>
          <w:rFonts w:hint="eastAsia" w:ascii="Arial" w:hAnsi="Arial" w:cs="Arial"/>
          <w:b/>
          <w:snapToGrid w:val="0"/>
          <w:kern w:val="0"/>
          <w:sz w:val="26"/>
          <w:szCs w:val="26"/>
          <w:lang w:val="en-US" w:eastAsia="zh-CN"/>
        </w:rPr>
        <w:t>3-12</w:t>
      </w:r>
      <w:r>
        <w:rPr>
          <w:rFonts w:ascii="Arial" w:hAnsi="Arial" w:cs="Arial"/>
          <w:b/>
          <w:snapToGrid w:val="0"/>
          <w:kern w:val="0"/>
          <w:sz w:val="26"/>
          <w:szCs w:val="26"/>
        </w:rPr>
        <w:t xml:space="preserve"> </w:t>
      </w:r>
      <w:r>
        <w:rPr>
          <w:rFonts w:ascii="Arial" w:hAnsi="宋体" w:cs="Arial"/>
          <w:b/>
          <w:snapToGrid w:val="0"/>
          <w:kern w:val="0"/>
          <w:sz w:val="26"/>
          <w:szCs w:val="26"/>
        </w:rPr>
        <w:t>土壤环境监测结果一览表</w:t>
      </w:r>
      <w:r>
        <w:rPr>
          <w:rFonts w:ascii="Arial" w:hAnsi="Arial" w:cs="Arial"/>
          <w:b/>
          <w:snapToGrid w:val="0"/>
          <w:kern w:val="0"/>
          <w:sz w:val="26"/>
          <w:szCs w:val="26"/>
        </w:rPr>
        <w:t xml:space="preserve">  </w:t>
      </w:r>
    </w:p>
    <w:tbl>
      <w:tblPr>
        <w:tblStyle w:val="77"/>
        <w:tblW w:w="51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659"/>
        <w:gridCol w:w="979"/>
        <w:gridCol w:w="955"/>
        <w:gridCol w:w="651"/>
        <w:gridCol w:w="795"/>
        <w:gridCol w:w="777"/>
        <w:gridCol w:w="671"/>
        <w:gridCol w:w="806"/>
        <w:gridCol w:w="623"/>
        <w:gridCol w:w="690"/>
        <w:gridCol w:w="780"/>
      </w:tblGrid>
      <w:tr w14:paraId="6C4D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2" w:type="dxa"/>
            <w:gridSpan w:val="2"/>
            <w:vMerge w:val="restart"/>
            <w:shd w:val="clear" w:color="auto" w:fill="auto"/>
            <w:vAlign w:val="center"/>
          </w:tcPr>
          <w:p w14:paraId="6A6A9161">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编号</w:t>
            </w:r>
          </w:p>
        </w:tc>
        <w:tc>
          <w:tcPr>
            <w:tcW w:w="979" w:type="dxa"/>
            <w:shd w:val="clear" w:color="auto" w:fill="auto"/>
            <w:vAlign w:val="center"/>
          </w:tcPr>
          <w:p w14:paraId="74E4C41D">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pH值</w:t>
            </w:r>
          </w:p>
        </w:tc>
        <w:tc>
          <w:tcPr>
            <w:tcW w:w="955" w:type="dxa"/>
            <w:shd w:val="clear" w:color="auto" w:fill="auto"/>
            <w:vAlign w:val="center"/>
          </w:tcPr>
          <w:p w14:paraId="67E7C77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含盐量</w:t>
            </w:r>
          </w:p>
        </w:tc>
        <w:tc>
          <w:tcPr>
            <w:tcW w:w="651" w:type="dxa"/>
            <w:shd w:val="clear" w:color="auto" w:fill="auto"/>
            <w:vAlign w:val="center"/>
          </w:tcPr>
          <w:p w14:paraId="5A3C4724">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镉</w:t>
            </w:r>
          </w:p>
        </w:tc>
        <w:tc>
          <w:tcPr>
            <w:tcW w:w="795" w:type="dxa"/>
            <w:shd w:val="clear" w:color="auto" w:fill="auto"/>
            <w:vAlign w:val="center"/>
          </w:tcPr>
          <w:p w14:paraId="0F42A895">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汞</w:t>
            </w:r>
          </w:p>
        </w:tc>
        <w:tc>
          <w:tcPr>
            <w:tcW w:w="777" w:type="dxa"/>
            <w:shd w:val="clear" w:color="auto" w:fill="auto"/>
            <w:vAlign w:val="center"/>
          </w:tcPr>
          <w:p w14:paraId="20902DD1">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砷</w:t>
            </w:r>
          </w:p>
        </w:tc>
        <w:tc>
          <w:tcPr>
            <w:tcW w:w="671" w:type="dxa"/>
            <w:shd w:val="clear" w:color="auto" w:fill="auto"/>
            <w:vAlign w:val="center"/>
          </w:tcPr>
          <w:p w14:paraId="41144FE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铅</w:t>
            </w:r>
          </w:p>
        </w:tc>
        <w:tc>
          <w:tcPr>
            <w:tcW w:w="806" w:type="dxa"/>
            <w:shd w:val="clear" w:color="auto" w:fill="auto"/>
            <w:vAlign w:val="center"/>
          </w:tcPr>
          <w:p w14:paraId="111F0E9E">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铬</w:t>
            </w:r>
          </w:p>
        </w:tc>
        <w:tc>
          <w:tcPr>
            <w:tcW w:w="623" w:type="dxa"/>
            <w:shd w:val="clear" w:color="auto" w:fill="auto"/>
            <w:vAlign w:val="center"/>
          </w:tcPr>
          <w:p w14:paraId="041CC2E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铜</w:t>
            </w:r>
          </w:p>
        </w:tc>
        <w:tc>
          <w:tcPr>
            <w:tcW w:w="690" w:type="dxa"/>
            <w:shd w:val="clear" w:color="auto" w:fill="auto"/>
            <w:vAlign w:val="center"/>
          </w:tcPr>
          <w:p w14:paraId="0933350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镍</w:t>
            </w:r>
          </w:p>
        </w:tc>
        <w:tc>
          <w:tcPr>
            <w:tcW w:w="780" w:type="dxa"/>
            <w:shd w:val="clear" w:color="auto" w:fill="auto"/>
            <w:vAlign w:val="center"/>
          </w:tcPr>
          <w:p w14:paraId="1CC94DBC">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锌</w:t>
            </w:r>
          </w:p>
        </w:tc>
      </w:tr>
      <w:tr w14:paraId="2547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2" w:type="dxa"/>
            <w:gridSpan w:val="2"/>
            <w:vMerge w:val="continue"/>
            <w:shd w:val="clear" w:color="auto" w:fill="auto"/>
            <w:vAlign w:val="center"/>
          </w:tcPr>
          <w:p w14:paraId="1742E09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p>
        </w:tc>
        <w:tc>
          <w:tcPr>
            <w:tcW w:w="979" w:type="dxa"/>
            <w:shd w:val="clear" w:color="auto" w:fill="auto"/>
            <w:vAlign w:val="center"/>
          </w:tcPr>
          <w:p w14:paraId="2DD0AFB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无量纲</w:t>
            </w:r>
          </w:p>
        </w:tc>
        <w:tc>
          <w:tcPr>
            <w:tcW w:w="955" w:type="dxa"/>
            <w:shd w:val="clear" w:color="auto" w:fill="auto"/>
            <w:vAlign w:val="center"/>
          </w:tcPr>
          <w:p w14:paraId="6310894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g/kg</w:t>
            </w:r>
          </w:p>
        </w:tc>
        <w:tc>
          <w:tcPr>
            <w:tcW w:w="5793" w:type="dxa"/>
            <w:gridSpan w:val="8"/>
            <w:shd w:val="clear" w:color="auto" w:fill="auto"/>
            <w:vAlign w:val="center"/>
          </w:tcPr>
          <w:p w14:paraId="4C6A7FD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mg/kg</w:t>
            </w:r>
          </w:p>
        </w:tc>
      </w:tr>
      <w:tr w14:paraId="5FBB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3" w:type="dxa"/>
            <w:vMerge w:val="restart"/>
            <w:shd w:val="clear" w:color="auto" w:fill="auto"/>
            <w:vAlign w:val="center"/>
          </w:tcPr>
          <w:p w14:paraId="476CBD0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color w:val="auto"/>
                <w:kern w:val="0"/>
                <w:sz w:val="22"/>
                <w:szCs w:val="22"/>
                <w:highlight w:val="none"/>
                <w:lang w:eastAsia="zh-CN"/>
              </w:rPr>
            </w:pPr>
            <w:r>
              <w:rPr>
                <w:rFonts w:hint="eastAsia" w:ascii="Arial" w:hAnsi="Arial" w:cs="Arial"/>
                <w:snapToGrid w:val="0"/>
                <w:color w:val="auto"/>
                <w:kern w:val="0"/>
                <w:sz w:val="22"/>
                <w:szCs w:val="22"/>
                <w:highlight w:val="none"/>
                <w:lang w:eastAsia="zh-CN"/>
              </w:rPr>
              <w:t>海螺沟水库周边农用地</w:t>
            </w:r>
          </w:p>
        </w:tc>
        <w:tc>
          <w:tcPr>
            <w:tcW w:w="659" w:type="dxa"/>
            <w:shd w:val="clear" w:color="auto" w:fill="auto"/>
            <w:vAlign w:val="center"/>
          </w:tcPr>
          <w:p w14:paraId="68E427D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监测结果</w:t>
            </w:r>
          </w:p>
        </w:tc>
        <w:tc>
          <w:tcPr>
            <w:tcW w:w="979" w:type="dxa"/>
            <w:shd w:val="clear" w:color="auto" w:fill="auto"/>
            <w:vAlign w:val="center"/>
          </w:tcPr>
          <w:p w14:paraId="2F6AE73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7.44</w:t>
            </w:r>
          </w:p>
        </w:tc>
        <w:tc>
          <w:tcPr>
            <w:tcW w:w="955" w:type="dxa"/>
            <w:shd w:val="clear" w:color="auto" w:fill="auto"/>
            <w:vAlign w:val="center"/>
          </w:tcPr>
          <w:p w14:paraId="0CD77300">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0.8</w:t>
            </w:r>
          </w:p>
        </w:tc>
        <w:tc>
          <w:tcPr>
            <w:tcW w:w="651" w:type="dxa"/>
            <w:shd w:val="clear" w:color="auto" w:fill="auto"/>
            <w:vAlign w:val="center"/>
          </w:tcPr>
          <w:p w14:paraId="07E17956">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0.08</w:t>
            </w:r>
          </w:p>
        </w:tc>
        <w:tc>
          <w:tcPr>
            <w:tcW w:w="795" w:type="dxa"/>
            <w:shd w:val="clear" w:color="auto" w:fill="auto"/>
            <w:vAlign w:val="center"/>
          </w:tcPr>
          <w:p w14:paraId="3C5D5D45">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0.112</w:t>
            </w:r>
          </w:p>
        </w:tc>
        <w:tc>
          <w:tcPr>
            <w:tcW w:w="777" w:type="dxa"/>
            <w:shd w:val="clear" w:color="auto" w:fill="auto"/>
            <w:vAlign w:val="center"/>
          </w:tcPr>
          <w:p w14:paraId="5666D206">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2.36</w:t>
            </w:r>
          </w:p>
        </w:tc>
        <w:tc>
          <w:tcPr>
            <w:tcW w:w="671" w:type="dxa"/>
            <w:shd w:val="clear" w:color="auto" w:fill="auto"/>
            <w:vAlign w:val="center"/>
          </w:tcPr>
          <w:p w14:paraId="143B60D0">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12.7</w:t>
            </w:r>
          </w:p>
        </w:tc>
        <w:tc>
          <w:tcPr>
            <w:tcW w:w="806" w:type="dxa"/>
            <w:shd w:val="clear" w:color="auto" w:fill="auto"/>
            <w:vAlign w:val="center"/>
          </w:tcPr>
          <w:p w14:paraId="61C148A8">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30</w:t>
            </w:r>
          </w:p>
        </w:tc>
        <w:tc>
          <w:tcPr>
            <w:tcW w:w="623" w:type="dxa"/>
            <w:shd w:val="clear" w:color="auto" w:fill="auto"/>
            <w:vAlign w:val="center"/>
          </w:tcPr>
          <w:p w14:paraId="73E7101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21</w:t>
            </w:r>
          </w:p>
        </w:tc>
        <w:tc>
          <w:tcPr>
            <w:tcW w:w="690" w:type="dxa"/>
            <w:shd w:val="clear" w:color="auto" w:fill="auto"/>
            <w:vAlign w:val="center"/>
          </w:tcPr>
          <w:p w14:paraId="5304BB35">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27</w:t>
            </w:r>
          </w:p>
        </w:tc>
        <w:tc>
          <w:tcPr>
            <w:tcW w:w="780" w:type="dxa"/>
            <w:shd w:val="clear" w:color="auto" w:fill="auto"/>
            <w:vAlign w:val="center"/>
          </w:tcPr>
          <w:p w14:paraId="70BC5D2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96</w:t>
            </w:r>
          </w:p>
        </w:tc>
      </w:tr>
      <w:tr w14:paraId="08DD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3" w:type="dxa"/>
            <w:vMerge w:val="continue"/>
            <w:shd w:val="clear" w:color="auto" w:fill="auto"/>
            <w:noWrap/>
            <w:vAlign w:val="center"/>
          </w:tcPr>
          <w:p w14:paraId="2D5980D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p>
        </w:tc>
        <w:tc>
          <w:tcPr>
            <w:tcW w:w="659" w:type="dxa"/>
            <w:shd w:val="clear" w:color="auto" w:fill="auto"/>
            <w:vAlign w:val="center"/>
          </w:tcPr>
          <w:p w14:paraId="0294DD28">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标准指数</w:t>
            </w:r>
          </w:p>
        </w:tc>
        <w:tc>
          <w:tcPr>
            <w:tcW w:w="979" w:type="dxa"/>
            <w:shd w:val="clear" w:color="auto" w:fill="auto"/>
            <w:vAlign w:val="center"/>
          </w:tcPr>
          <w:p w14:paraId="47C2A38C">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无酸化或碱化</w:t>
            </w:r>
          </w:p>
        </w:tc>
        <w:tc>
          <w:tcPr>
            <w:tcW w:w="955" w:type="dxa"/>
            <w:shd w:val="clear" w:color="auto" w:fill="auto"/>
            <w:vAlign w:val="center"/>
          </w:tcPr>
          <w:p w14:paraId="2B75CF2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未盐化</w:t>
            </w:r>
          </w:p>
        </w:tc>
        <w:tc>
          <w:tcPr>
            <w:tcW w:w="651" w:type="dxa"/>
            <w:shd w:val="clear" w:color="auto" w:fill="auto"/>
            <w:vAlign w:val="center"/>
          </w:tcPr>
          <w:p w14:paraId="41D20AC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 xml:space="preserve">0.27 </w:t>
            </w:r>
          </w:p>
        </w:tc>
        <w:tc>
          <w:tcPr>
            <w:tcW w:w="795" w:type="dxa"/>
            <w:shd w:val="clear" w:color="auto" w:fill="auto"/>
            <w:vAlign w:val="center"/>
          </w:tcPr>
          <w:p w14:paraId="58CAE85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 xml:space="preserve">0.05 </w:t>
            </w:r>
          </w:p>
        </w:tc>
        <w:tc>
          <w:tcPr>
            <w:tcW w:w="777" w:type="dxa"/>
            <w:shd w:val="clear" w:color="auto" w:fill="auto"/>
            <w:vAlign w:val="center"/>
          </w:tcPr>
          <w:p w14:paraId="52040D8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 xml:space="preserve">0.08 </w:t>
            </w:r>
          </w:p>
        </w:tc>
        <w:tc>
          <w:tcPr>
            <w:tcW w:w="671" w:type="dxa"/>
            <w:shd w:val="clear" w:color="auto" w:fill="auto"/>
            <w:vAlign w:val="center"/>
          </w:tcPr>
          <w:p w14:paraId="20348E7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 xml:space="preserve">0.11 </w:t>
            </w:r>
          </w:p>
        </w:tc>
        <w:tc>
          <w:tcPr>
            <w:tcW w:w="806" w:type="dxa"/>
            <w:shd w:val="clear" w:color="auto" w:fill="auto"/>
            <w:vAlign w:val="center"/>
          </w:tcPr>
          <w:p w14:paraId="09B2902D">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0.15</w:t>
            </w:r>
          </w:p>
        </w:tc>
        <w:tc>
          <w:tcPr>
            <w:tcW w:w="623" w:type="dxa"/>
            <w:shd w:val="clear" w:color="auto" w:fill="auto"/>
            <w:vAlign w:val="center"/>
          </w:tcPr>
          <w:p w14:paraId="1025CCBA">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0.21</w:t>
            </w:r>
          </w:p>
        </w:tc>
        <w:tc>
          <w:tcPr>
            <w:tcW w:w="690" w:type="dxa"/>
            <w:shd w:val="clear" w:color="auto" w:fill="auto"/>
            <w:vAlign w:val="center"/>
          </w:tcPr>
          <w:p w14:paraId="74B76CD1">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0.27</w:t>
            </w:r>
          </w:p>
        </w:tc>
        <w:tc>
          <w:tcPr>
            <w:tcW w:w="780" w:type="dxa"/>
            <w:shd w:val="clear" w:color="auto" w:fill="auto"/>
            <w:vAlign w:val="center"/>
          </w:tcPr>
          <w:p w14:paraId="221EEF6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0.384</w:t>
            </w:r>
          </w:p>
        </w:tc>
      </w:tr>
      <w:tr w14:paraId="3705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2" w:type="dxa"/>
            <w:gridSpan w:val="2"/>
            <w:shd w:val="clear" w:color="auto" w:fill="auto"/>
            <w:vAlign w:val="center"/>
          </w:tcPr>
          <w:p w14:paraId="320ED79D">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标准限值</w:t>
            </w:r>
          </w:p>
        </w:tc>
        <w:tc>
          <w:tcPr>
            <w:tcW w:w="979" w:type="dxa"/>
            <w:shd w:val="clear" w:color="auto" w:fill="auto"/>
            <w:vAlign w:val="center"/>
          </w:tcPr>
          <w:p w14:paraId="6BA3A02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lang w:bidi="ar"/>
              </w:rPr>
              <w:t>6.5&lt;pH≤7.5</w:t>
            </w:r>
          </w:p>
        </w:tc>
        <w:tc>
          <w:tcPr>
            <w:tcW w:w="955" w:type="dxa"/>
            <w:shd w:val="clear" w:color="auto" w:fill="auto"/>
            <w:vAlign w:val="center"/>
          </w:tcPr>
          <w:p w14:paraId="76021B0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w:t>
            </w:r>
          </w:p>
        </w:tc>
        <w:tc>
          <w:tcPr>
            <w:tcW w:w="651" w:type="dxa"/>
            <w:shd w:val="clear" w:color="auto" w:fill="auto"/>
            <w:vAlign w:val="center"/>
          </w:tcPr>
          <w:p w14:paraId="42EED7A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0.3</w:t>
            </w:r>
          </w:p>
        </w:tc>
        <w:tc>
          <w:tcPr>
            <w:tcW w:w="795" w:type="dxa"/>
            <w:shd w:val="clear" w:color="auto" w:fill="auto"/>
            <w:vAlign w:val="center"/>
          </w:tcPr>
          <w:p w14:paraId="73D498A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2.4</w:t>
            </w:r>
          </w:p>
        </w:tc>
        <w:tc>
          <w:tcPr>
            <w:tcW w:w="777" w:type="dxa"/>
            <w:shd w:val="clear" w:color="auto" w:fill="auto"/>
            <w:vAlign w:val="center"/>
          </w:tcPr>
          <w:p w14:paraId="335FD8F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30</w:t>
            </w:r>
          </w:p>
        </w:tc>
        <w:tc>
          <w:tcPr>
            <w:tcW w:w="671" w:type="dxa"/>
            <w:shd w:val="clear" w:color="auto" w:fill="auto"/>
            <w:vAlign w:val="center"/>
          </w:tcPr>
          <w:p w14:paraId="2D85E07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120</w:t>
            </w:r>
          </w:p>
        </w:tc>
        <w:tc>
          <w:tcPr>
            <w:tcW w:w="806" w:type="dxa"/>
            <w:shd w:val="clear" w:color="auto" w:fill="auto"/>
            <w:vAlign w:val="center"/>
          </w:tcPr>
          <w:p w14:paraId="675859FC">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200</w:t>
            </w:r>
          </w:p>
        </w:tc>
        <w:tc>
          <w:tcPr>
            <w:tcW w:w="623" w:type="dxa"/>
            <w:shd w:val="clear" w:color="auto" w:fill="auto"/>
            <w:vAlign w:val="center"/>
          </w:tcPr>
          <w:p w14:paraId="51E40405">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100</w:t>
            </w:r>
          </w:p>
        </w:tc>
        <w:tc>
          <w:tcPr>
            <w:tcW w:w="690" w:type="dxa"/>
            <w:shd w:val="clear" w:color="auto" w:fill="auto"/>
            <w:vAlign w:val="center"/>
          </w:tcPr>
          <w:p w14:paraId="5A4A2F0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100</w:t>
            </w:r>
          </w:p>
        </w:tc>
        <w:tc>
          <w:tcPr>
            <w:tcW w:w="780" w:type="dxa"/>
            <w:shd w:val="clear" w:color="auto" w:fill="auto"/>
            <w:vAlign w:val="center"/>
          </w:tcPr>
          <w:p w14:paraId="7582AED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250</w:t>
            </w:r>
          </w:p>
        </w:tc>
      </w:tr>
    </w:tbl>
    <w:p w14:paraId="63C56898">
      <w:pPr>
        <w:spacing w:line="240" w:lineRule="exact"/>
        <w:ind w:firstLine="504"/>
        <w:rPr>
          <w:rFonts w:hint="eastAsia" w:ascii="Arial" w:cs="Arial"/>
          <w:spacing w:val="-4"/>
          <w:szCs w:val="26"/>
        </w:rPr>
      </w:pPr>
    </w:p>
    <w:p w14:paraId="2AC7BB7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bCs/>
          <w:sz w:val="26"/>
          <w:szCs w:val="26"/>
        </w:rPr>
        <w:t>由表</w:t>
      </w:r>
      <w:r>
        <w:rPr>
          <w:rFonts w:hint="eastAsia" w:ascii="Arial" w:hAnsi="Arial" w:cs="Arial"/>
          <w:bCs/>
          <w:sz w:val="26"/>
          <w:szCs w:val="26"/>
          <w:lang w:val="en-US" w:eastAsia="zh-CN"/>
        </w:rPr>
        <w:t>4.3-12</w:t>
      </w:r>
      <w:r>
        <w:rPr>
          <w:rFonts w:hint="eastAsia" w:ascii="Arial" w:hAnsi="Arial" w:cs="Arial"/>
          <w:bCs/>
          <w:sz w:val="26"/>
          <w:szCs w:val="26"/>
        </w:rPr>
        <w:t>监测结果可知，</w:t>
      </w:r>
      <w:r>
        <w:rPr>
          <w:rFonts w:hint="eastAsia" w:ascii="Arial" w:hAnsi="Arial" w:cs="Arial"/>
          <w:bCs/>
          <w:sz w:val="26"/>
          <w:szCs w:val="26"/>
          <w:lang w:eastAsia="zh-CN"/>
        </w:rPr>
        <w:t>海螺沟水库周边农用地内</w:t>
      </w:r>
      <w:r>
        <w:rPr>
          <w:rFonts w:ascii="Arial" w:hAnsi="Arial" w:cs="Arial"/>
          <w:bCs/>
          <w:sz w:val="26"/>
          <w:szCs w:val="26"/>
        </w:rPr>
        <w:t>各监测因子浓度均可满足</w:t>
      </w:r>
      <w:r>
        <w:rPr>
          <w:rFonts w:ascii="Arial" w:hAnsi="Arial" w:cs="Arial"/>
          <w:sz w:val="26"/>
          <w:szCs w:val="26"/>
        </w:rPr>
        <w:t>《土壤环境质量农用地土壤污染风险管控标准（试行）》</w:t>
      </w:r>
      <w:r>
        <w:rPr>
          <w:rFonts w:hint="eastAsia" w:ascii="Arial" w:hAnsi="Arial" w:cs="Arial"/>
          <w:sz w:val="26"/>
          <w:szCs w:val="26"/>
        </w:rPr>
        <w:t>（</w:t>
      </w:r>
      <w:r>
        <w:rPr>
          <w:rFonts w:ascii="Arial" w:hAnsi="Arial" w:cs="Arial"/>
          <w:sz w:val="26"/>
          <w:szCs w:val="26"/>
        </w:rPr>
        <w:t>GB15618-2018</w:t>
      </w:r>
      <w:r>
        <w:rPr>
          <w:rFonts w:hint="eastAsia" w:ascii="Arial" w:hAnsi="Arial" w:cs="Arial"/>
          <w:sz w:val="26"/>
          <w:szCs w:val="26"/>
        </w:rPr>
        <w:t>）</w:t>
      </w:r>
      <w:r>
        <w:rPr>
          <w:rFonts w:ascii="Arial" w:hAnsi="Arial" w:cs="Arial"/>
          <w:sz w:val="26"/>
          <w:szCs w:val="26"/>
        </w:rPr>
        <w:t>表1</w:t>
      </w:r>
      <w:r>
        <w:rPr>
          <w:rFonts w:hint="eastAsia" w:ascii="Arial" w:hAnsi="Arial" w:cs="Arial"/>
          <w:sz w:val="26"/>
          <w:szCs w:val="26"/>
        </w:rPr>
        <w:t>中</w:t>
      </w:r>
      <w:r>
        <w:rPr>
          <w:rFonts w:ascii="Arial" w:hAnsi="Arial" w:cs="Arial"/>
          <w:sz w:val="26"/>
          <w:szCs w:val="26"/>
        </w:rPr>
        <w:t>农用地土壤污染风险筛选值</w:t>
      </w:r>
      <w:r>
        <w:rPr>
          <w:rFonts w:hint="eastAsia" w:ascii="Arial" w:hAnsi="Arial" w:cs="Arial"/>
          <w:sz w:val="26"/>
          <w:szCs w:val="26"/>
          <w:lang w:eastAsia="zh-CN"/>
        </w:rPr>
        <w:t>，未出现盐化、酸化、碱化现象</w:t>
      </w:r>
      <w:r>
        <w:rPr>
          <w:rFonts w:hint="eastAsia" w:ascii="Arial" w:hAnsi="Arial" w:cs="Arial"/>
          <w:sz w:val="26"/>
          <w:szCs w:val="26"/>
        </w:rPr>
        <w:t>。</w:t>
      </w:r>
    </w:p>
    <w:p w14:paraId="6D704D96">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4.3.5底泥</w:t>
      </w:r>
      <w:r>
        <w:rPr>
          <w:rFonts w:hint="eastAsia" w:ascii="Arial" w:hAnsi="Arial" w:eastAsia="宋体" w:cs="Arial"/>
          <w:b/>
          <w:bCs w:val="0"/>
          <w:kern w:val="0"/>
          <w:sz w:val="26"/>
          <w:szCs w:val="26"/>
          <w:lang w:val="en-US" w:eastAsia="zh-CN" w:bidi="ar-SA"/>
        </w:rPr>
        <w:t>环境质量现状</w:t>
      </w:r>
    </w:p>
    <w:p w14:paraId="10C8BABB">
      <w:pPr>
        <w:keepNext w:val="0"/>
        <w:keepLines w:val="0"/>
        <w:pageBreakBefore w:val="0"/>
        <w:widowControl w:val="0"/>
        <w:kinsoku/>
        <w:wordWrap/>
        <w:overflowPunct/>
        <w:topLinePunct w:val="0"/>
        <w:autoSpaceDE/>
        <w:autoSpaceDN/>
        <w:bidi w:val="0"/>
        <w:spacing w:line="460" w:lineRule="exact"/>
        <w:ind w:firstLine="392" w:firstLineChars="150"/>
        <w:textAlignment w:val="auto"/>
        <w:rPr>
          <w:rFonts w:hint="eastAsia" w:ascii="Arial" w:cs="Arial"/>
          <w:b/>
          <w:sz w:val="26"/>
          <w:szCs w:val="26"/>
        </w:rPr>
      </w:pPr>
      <w:r>
        <w:rPr>
          <w:rFonts w:hint="eastAsia" w:ascii="Arial" w:cs="Arial"/>
          <w:b/>
          <w:sz w:val="26"/>
          <w:szCs w:val="26"/>
        </w:rPr>
        <w:t>（</w:t>
      </w:r>
      <w:r>
        <w:rPr>
          <w:rFonts w:ascii="Arial" w:cs="Arial"/>
          <w:b/>
          <w:sz w:val="26"/>
          <w:szCs w:val="26"/>
        </w:rPr>
        <w:t>1</w:t>
      </w:r>
      <w:r>
        <w:rPr>
          <w:rFonts w:hint="eastAsia" w:ascii="Arial" w:cs="Arial"/>
          <w:b/>
          <w:sz w:val="26"/>
          <w:szCs w:val="26"/>
        </w:rPr>
        <w:t>）现状监测</w:t>
      </w:r>
    </w:p>
    <w:p w14:paraId="787D044B">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本次评价引用《重庆市渠溪河流域综合规划环境影响报告书》对海螺沟水库拟建大坝处底泥进行实测得出的数据。</w:t>
      </w:r>
    </w:p>
    <w:p w14:paraId="3B25EF1C">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宋体" w:eastAsia="宋体" w:cs="Arial"/>
          <w:b w:val="0"/>
          <w:bCs/>
          <w:kern w:val="2"/>
          <w:sz w:val="26"/>
          <w:szCs w:val="26"/>
          <w:lang w:val="en-US" w:eastAsia="zh-CN" w:bidi="ar-SA"/>
        </w:rPr>
      </w:pPr>
      <w:r>
        <w:rPr>
          <w:rFonts w:hint="eastAsia" w:ascii="Arial" w:hAnsi="宋体" w:cs="Arial"/>
          <w:b/>
          <w:sz w:val="26"/>
          <w:szCs w:val="26"/>
        </w:rPr>
        <w:t>监测布点：</w:t>
      </w:r>
      <w:r>
        <w:rPr>
          <w:rFonts w:hint="eastAsia" w:ascii="Arial" w:hAnsi="宋体" w:eastAsia="宋体" w:cs="Arial"/>
          <w:b w:val="0"/>
          <w:bCs/>
          <w:kern w:val="2"/>
          <w:sz w:val="26"/>
          <w:szCs w:val="26"/>
          <w:lang w:val="en-US" w:eastAsia="zh-CN" w:bidi="ar-SA"/>
        </w:rPr>
        <w:t>共设1个取样点，位于海螺沟水库拟建</w:t>
      </w:r>
      <w:r>
        <w:rPr>
          <w:rFonts w:hint="eastAsia" w:ascii="Arial" w:hAnsi="宋体" w:cs="Arial"/>
          <w:b w:val="0"/>
          <w:bCs/>
          <w:kern w:val="2"/>
          <w:sz w:val="26"/>
          <w:szCs w:val="26"/>
          <w:lang w:val="en-US" w:eastAsia="zh-CN" w:bidi="ar-SA"/>
        </w:rPr>
        <w:t>大坝</w:t>
      </w:r>
      <w:r>
        <w:rPr>
          <w:rFonts w:hint="eastAsia" w:ascii="Arial" w:hAnsi="宋体" w:eastAsia="宋体" w:cs="Arial"/>
          <w:b w:val="0"/>
          <w:bCs/>
          <w:kern w:val="2"/>
          <w:sz w:val="26"/>
          <w:szCs w:val="26"/>
          <w:lang w:val="en-US" w:eastAsia="zh-CN" w:bidi="ar-SA"/>
        </w:rPr>
        <w:t>处</w:t>
      </w:r>
    </w:p>
    <w:p w14:paraId="690C96E0">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宋体" w:eastAsia="宋体" w:cs="Arial"/>
          <w:b w:val="0"/>
          <w:bCs/>
          <w:kern w:val="2"/>
          <w:sz w:val="26"/>
          <w:szCs w:val="26"/>
          <w:lang w:val="en-US" w:eastAsia="zh-CN" w:bidi="ar-SA"/>
        </w:rPr>
      </w:pPr>
      <w:r>
        <w:rPr>
          <w:rFonts w:hint="eastAsia" w:ascii="Arial" w:hAnsi="宋体" w:eastAsia="宋体" w:cs="Arial"/>
          <w:b/>
          <w:bCs w:val="0"/>
          <w:kern w:val="2"/>
          <w:sz w:val="26"/>
          <w:szCs w:val="26"/>
          <w:lang w:val="en-US" w:eastAsia="zh-CN" w:bidi="ar-SA"/>
        </w:rPr>
        <w:t>监测时间及频率：</w:t>
      </w:r>
      <w:r>
        <w:rPr>
          <w:rFonts w:ascii="Arial" w:hAnsi="Arial" w:eastAsia="Times New Roman" w:cs="Arial"/>
          <w:b w:val="0"/>
          <w:bCs/>
          <w:sz w:val="26"/>
          <w:szCs w:val="26"/>
        </w:rPr>
        <w:t>20</w:t>
      </w:r>
      <w:r>
        <w:rPr>
          <w:rFonts w:hint="eastAsia" w:ascii="Arial" w:hAnsi="Arial" w:eastAsia="宋体" w:cs="Arial"/>
          <w:b w:val="0"/>
          <w:bCs/>
          <w:sz w:val="26"/>
          <w:szCs w:val="26"/>
          <w:lang w:val="en-US" w:eastAsia="zh-CN"/>
        </w:rPr>
        <w:t>24</w:t>
      </w:r>
      <w:r>
        <w:rPr>
          <w:rFonts w:ascii="Arial" w:eastAsia="Times New Roman" w:cs="Arial"/>
          <w:b w:val="0"/>
          <w:bCs/>
          <w:sz w:val="26"/>
          <w:szCs w:val="26"/>
        </w:rPr>
        <w:t>年</w:t>
      </w:r>
      <w:r>
        <w:rPr>
          <w:rFonts w:hint="eastAsia" w:ascii="Arial" w:hAnsi="Arial" w:cs="Arial"/>
          <w:b w:val="0"/>
          <w:bCs/>
          <w:sz w:val="26"/>
          <w:szCs w:val="26"/>
          <w:lang w:val="en-US" w:eastAsia="zh-CN"/>
        </w:rPr>
        <w:t>1</w:t>
      </w:r>
      <w:r>
        <w:rPr>
          <w:rFonts w:ascii="Arial" w:eastAsia="Times New Roman" w:cs="Arial"/>
          <w:b w:val="0"/>
          <w:bCs/>
          <w:sz w:val="26"/>
          <w:szCs w:val="26"/>
        </w:rPr>
        <w:t>月</w:t>
      </w:r>
      <w:r>
        <w:rPr>
          <w:rFonts w:hint="eastAsia" w:ascii="Arial" w:hAnsi="Arial" w:eastAsia="宋体" w:cs="Arial"/>
          <w:b w:val="0"/>
          <w:bCs/>
          <w:sz w:val="26"/>
          <w:szCs w:val="26"/>
          <w:lang w:val="en-US" w:eastAsia="zh-CN"/>
        </w:rPr>
        <w:t>2</w:t>
      </w:r>
      <w:r>
        <w:rPr>
          <w:rFonts w:hint="eastAsia" w:ascii="Arial" w:hAnsi="Arial" w:cs="Arial"/>
          <w:b w:val="0"/>
          <w:bCs/>
          <w:sz w:val="26"/>
          <w:szCs w:val="26"/>
          <w:lang w:val="en-US" w:eastAsia="zh-CN"/>
        </w:rPr>
        <w:t>4</w:t>
      </w:r>
      <w:r>
        <w:rPr>
          <w:rFonts w:ascii="Arial" w:eastAsia="Times New Roman" w:cs="Arial"/>
          <w:b w:val="0"/>
          <w:bCs/>
          <w:sz w:val="26"/>
          <w:szCs w:val="26"/>
        </w:rPr>
        <w:t>日</w:t>
      </w:r>
      <w:r>
        <w:rPr>
          <w:rFonts w:hint="eastAsia" w:ascii="Arial" w:eastAsia="宋体" w:cs="Arial"/>
          <w:b w:val="0"/>
          <w:bCs/>
          <w:sz w:val="26"/>
          <w:szCs w:val="26"/>
          <w:lang w:eastAsia="zh-CN"/>
        </w:rPr>
        <w:t>，</w:t>
      </w:r>
      <w:r>
        <w:rPr>
          <w:rFonts w:ascii="Arial" w:eastAsia="Times New Roman" w:cs="Arial"/>
          <w:b w:val="0"/>
          <w:bCs/>
          <w:sz w:val="26"/>
          <w:szCs w:val="26"/>
        </w:rPr>
        <w:t>取样</w:t>
      </w:r>
      <w:r>
        <w:rPr>
          <w:rFonts w:hint="eastAsia" w:ascii="Arial" w:eastAsia="宋体" w:cs="Arial"/>
          <w:b w:val="0"/>
          <w:bCs/>
          <w:sz w:val="26"/>
          <w:szCs w:val="26"/>
          <w:lang w:eastAsia="zh-CN"/>
        </w:rPr>
        <w:t>监测</w:t>
      </w:r>
      <w:r>
        <w:rPr>
          <w:rFonts w:ascii="Arial" w:hAnsi="Arial" w:eastAsia="Times New Roman" w:cs="Arial"/>
          <w:b w:val="0"/>
          <w:bCs/>
          <w:sz w:val="26"/>
          <w:szCs w:val="26"/>
        </w:rPr>
        <w:t>1</w:t>
      </w:r>
      <w:r>
        <w:rPr>
          <w:rFonts w:ascii="Arial" w:eastAsia="Times New Roman" w:cs="Arial"/>
          <w:b w:val="0"/>
          <w:bCs/>
          <w:sz w:val="26"/>
          <w:szCs w:val="26"/>
        </w:rPr>
        <w:t>次。</w:t>
      </w:r>
    </w:p>
    <w:p w14:paraId="5A2C2B76">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3"/>
        <w:rPr>
          <w:rFonts w:hint="eastAsia" w:ascii="Arial" w:hAnsi="宋体" w:eastAsia="宋体" w:cs="Arial"/>
          <w:b w:val="0"/>
          <w:bCs/>
          <w:kern w:val="2"/>
          <w:sz w:val="26"/>
          <w:szCs w:val="26"/>
          <w:lang w:val="en-US" w:eastAsia="zh-CN" w:bidi="ar-SA"/>
        </w:rPr>
      </w:pPr>
      <w:r>
        <w:rPr>
          <w:rFonts w:hint="eastAsia" w:ascii="Arial" w:hAnsi="Arial" w:cs="Arial"/>
          <w:b/>
          <w:bCs w:val="0"/>
          <w:sz w:val="26"/>
          <w:szCs w:val="26"/>
          <w:lang w:val="en-US" w:eastAsia="zh-CN"/>
        </w:rPr>
        <w:t>监测因子：</w:t>
      </w:r>
      <w:r>
        <w:rPr>
          <w:rFonts w:hint="eastAsia" w:ascii="Arial" w:hAnsi="宋体" w:eastAsia="宋体" w:cs="Arial"/>
          <w:b w:val="0"/>
          <w:bCs/>
          <w:kern w:val="2"/>
          <w:sz w:val="26"/>
          <w:szCs w:val="26"/>
          <w:lang w:val="en-US" w:eastAsia="zh-CN" w:bidi="ar-SA"/>
        </w:rPr>
        <w:t>pH、含盐量、砷、镉、铬、汞、铅、铜、镍、锌</w:t>
      </w:r>
    </w:p>
    <w:p w14:paraId="1E936935">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2</w:t>
      </w:r>
      <w:r>
        <w:rPr>
          <w:rFonts w:hint="eastAsia" w:ascii="Arial" w:cs="Arial"/>
          <w:b/>
          <w:sz w:val="26"/>
          <w:szCs w:val="26"/>
        </w:rPr>
        <w:t>）评价</w:t>
      </w:r>
      <w:r>
        <w:rPr>
          <w:rFonts w:hint="eastAsia" w:ascii="Arial" w:cs="Arial"/>
          <w:b/>
          <w:sz w:val="26"/>
          <w:szCs w:val="26"/>
          <w:lang w:eastAsia="zh-CN"/>
        </w:rPr>
        <w:t>标准</w:t>
      </w:r>
    </w:p>
    <w:p w14:paraId="51FFB32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eastAsia="宋体" w:cs="Arial"/>
          <w:spacing w:val="-4"/>
          <w:sz w:val="26"/>
          <w:szCs w:val="26"/>
          <w:lang w:eastAsia="zh-CN"/>
        </w:rPr>
      </w:pPr>
      <w:r>
        <w:rPr>
          <w:rFonts w:hint="eastAsia" w:ascii="Arial" w:hAnsi="Arial" w:cs="Arial"/>
          <w:sz w:val="26"/>
          <w:szCs w:val="26"/>
          <w:lang w:eastAsia="zh-CN"/>
        </w:rPr>
        <w:t>参照</w:t>
      </w:r>
      <w:r>
        <w:rPr>
          <w:rFonts w:ascii="Arial" w:hAnsi="Arial" w:cs="Arial"/>
          <w:sz w:val="26"/>
          <w:szCs w:val="26"/>
        </w:rPr>
        <w:t>《土壤环境质量农用地土壤污染风险管控标准（试行）》</w:t>
      </w:r>
      <w:r>
        <w:rPr>
          <w:rFonts w:hint="eastAsia" w:ascii="Arial" w:hAnsi="Arial" w:cs="Arial"/>
          <w:sz w:val="26"/>
          <w:szCs w:val="26"/>
        </w:rPr>
        <w:t>（</w:t>
      </w:r>
      <w:r>
        <w:rPr>
          <w:rFonts w:ascii="Arial" w:hAnsi="Arial" w:cs="Arial"/>
          <w:sz w:val="26"/>
          <w:szCs w:val="26"/>
        </w:rPr>
        <w:t>GB15618-2018</w:t>
      </w:r>
      <w:r>
        <w:rPr>
          <w:rFonts w:hint="eastAsia" w:ascii="Arial" w:hAnsi="Arial" w:cs="Arial"/>
          <w:sz w:val="26"/>
          <w:szCs w:val="26"/>
        </w:rPr>
        <w:t>）</w:t>
      </w:r>
      <w:r>
        <w:rPr>
          <w:rFonts w:ascii="Arial" w:hAnsi="Arial" w:cs="Arial"/>
          <w:sz w:val="26"/>
          <w:szCs w:val="26"/>
        </w:rPr>
        <w:t>表1农用地土壤污染风险筛选值（基本项目）</w:t>
      </w:r>
      <w:r>
        <w:rPr>
          <w:rFonts w:hint="eastAsia" w:ascii="Arial" w:cs="Arial"/>
          <w:spacing w:val="-4"/>
          <w:sz w:val="26"/>
          <w:szCs w:val="26"/>
          <w:lang w:eastAsia="zh-CN"/>
        </w:rPr>
        <w:t>。</w:t>
      </w:r>
    </w:p>
    <w:p w14:paraId="41A4650D">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3</w:t>
      </w:r>
      <w:r>
        <w:rPr>
          <w:rFonts w:hint="eastAsia" w:ascii="Arial" w:cs="Arial"/>
          <w:b/>
          <w:sz w:val="26"/>
          <w:szCs w:val="26"/>
        </w:rPr>
        <w:t>）评价</w:t>
      </w:r>
      <w:r>
        <w:rPr>
          <w:rFonts w:hint="eastAsia" w:ascii="Arial" w:cs="Arial"/>
          <w:b/>
          <w:sz w:val="26"/>
          <w:szCs w:val="26"/>
          <w:lang w:eastAsia="zh-CN"/>
        </w:rPr>
        <w:t>结果</w:t>
      </w:r>
    </w:p>
    <w:p w14:paraId="3E55487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t>监测数据及评价结果见表4</w:t>
      </w:r>
      <w:r>
        <w:rPr>
          <w:rFonts w:hint="eastAsia" w:ascii="Arial" w:hAnsi="Arial" w:cs="Arial"/>
          <w:sz w:val="26"/>
          <w:szCs w:val="26"/>
          <w:lang w:val="en-US" w:eastAsia="zh-CN"/>
        </w:rPr>
        <w:t>.3-13</w:t>
      </w:r>
      <w:r>
        <w:rPr>
          <w:rFonts w:ascii="Arial" w:hAnsi="Arial" w:cs="Arial"/>
          <w:sz w:val="26"/>
          <w:szCs w:val="26"/>
        </w:rPr>
        <w:t>所示。</w:t>
      </w:r>
    </w:p>
    <w:p w14:paraId="3F554AEE">
      <w:pPr>
        <w:keepNext w:val="0"/>
        <w:keepLines w:val="0"/>
        <w:pageBreakBefore w:val="0"/>
        <w:widowControl w:val="0"/>
        <w:kinsoku/>
        <w:wordWrap/>
        <w:overflowPunct/>
        <w:topLinePunct w:val="0"/>
        <w:autoSpaceDE/>
        <w:autoSpaceDN/>
        <w:bidi w:val="0"/>
        <w:adjustRightInd/>
        <w:snapToGrid/>
        <w:spacing w:line="460" w:lineRule="exact"/>
        <w:ind w:firstLine="522"/>
        <w:jc w:val="center"/>
        <w:textAlignment w:val="auto"/>
        <w:rPr>
          <w:rFonts w:ascii="Arial" w:hAnsi="Arial" w:cs="Arial"/>
          <w:spacing w:val="-4"/>
          <w:sz w:val="26"/>
          <w:szCs w:val="26"/>
        </w:rPr>
      </w:pPr>
      <w:r>
        <w:rPr>
          <w:rFonts w:ascii="Arial" w:hAnsi="宋体" w:cs="Arial"/>
          <w:b/>
          <w:snapToGrid w:val="0"/>
          <w:kern w:val="0"/>
          <w:sz w:val="26"/>
          <w:szCs w:val="26"/>
        </w:rPr>
        <w:t>表</w:t>
      </w:r>
      <w:r>
        <w:rPr>
          <w:rFonts w:ascii="Arial" w:hAnsi="Arial" w:cs="Arial"/>
          <w:b/>
          <w:snapToGrid w:val="0"/>
          <w:kern w:val="0"/>
          <w:sz w:val="26"/>
          <w:szCs w:val="26"/>
        </w:rPr>
        <w:t>4.</w:t>
      </w:r>
      <w:r>
        <w:rPr>
          <w:rFonts w:hint="eastAsia" w:ascii="Arial" w:hAnsi="Arial" w:cs="Arial"/>
          <w:b/>
          <w:snapToGrid w:val="0"/>
          <w:kern w:val="0"/>
          <w:sz w:val="26"/>
          <w:szCs w:val="26"/>
          <w:lang w:val="en-US" w:eastAsia="zh-CN"/>
        </w:rPr>
        <w:t>3-13</w:t>
      </w:r>
      <w:r>
        <w:rPr>
          <w:rFonts w:ascii="Arial" w:hAnsi="Arial" w:cs="Arial"/>
          <w:b/>
          <w:snapToGrid w:val="0"/>
          <w:kern w:val="0"/>
          <w:sz w:val="26"/>
          <w:szCs w:val="26"/>
        </w:rPr>
        <w:t xml:space="preserve"> </w:t>
      </w:r>
      <w:r>
        <w:rPr>
          <w:rFonts w:hint="eastAsia" w:ascii="Arial" w:hAnsi="Arial" w:cs="Arial"/>
          <w:b/>
          <w:snapToGrid w:val="0"/>
          <w:kern w:val="0"/>
          <w:sz w:val="26"/>
          <w:szCs w:val="26"/>
          <w:lang w:eastAsia="zh-CN"/>
        </w:rPr>
        <w:t>底泥</w:t>
      </w:r>
      <w:r>
        <w:rPr>
          <w:rFonts w:ascii="Arial" w:hAnsi="宋体" w:cs="Arial"/>
          <w:b/>
          <w:snapToGrid w:val="0"/>
          <w:kern w:val="0"/>
          <w:sz w:val="26"/>
          <w:szCs w:val="26"/>
        </w:rPr>
        <w:t>环境监测结果一览表</w:t>
      </w:r>
      <w:r>
        <w:rPr>
          <w:rFonts w:ascii="Arial" w:hAnsi="Arial" w:cs="Arial"/>
          <w:b/>
          <w:snapToGrid w:val="0"/>
          <w:kern w:val="0"/>
          <w:sz w:val="26"/>
          <w:szCs w:val="26"/>
        </w:rPr>
        <w:t xml:space="preserve">  </w:t>
      </w:r>
    </w:p>
    <w:tbl>
      <w:tblPr>
        <w:tblStyle w:val="78"/>
        <w:tblW w:w="51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634"/>
        <w:gridCol w:w="936"/>
        <w:gridCol w:w="655"/>
        <w:gridCol w:w="655"/>
        <w:gridCol w:w="655"/>
        <w:gridCol w:w="655"/>
        <w:gridCol w:w="655"/>
        <w:gridCol w:w="776"/>
        <w:gridCol w:w="704"/>
        <w:gridCol w:w="722"/>
      </w:tblGrid>
      <w:tr w14:paraId="3C72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61" w:type="pct"/>
            <w:vMerge w:val="restart"/>
            <w:vAlign w:val="center"/>
          </w:tcPr>
          <w:p w14:paraId="629C87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检测点位</w:t>
            </w:r>
          </w:p>
        </w:tc>
        <w:tc>
          <w:tcPr>
            <w:tcW w:w="880" w:type="pct"/>
            <w:vAlign w:val="center"/>
          </w:tcPr>
          <w:p w14:paraId="73A815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pH值</w:t>
            </w:r>
          </w:p>
        </w:tc>
        <w:tc>
          <w:tcPr>
            <w:tcW w:w="504" w:type="pct"/>
            <w:vAlign w:val="center"/>
          </w:tcPr>
          <w:p w14:paraId="3ED7EE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含盐量</w:t>
            </w:r>
          </w:p>
        </w:tc>
        <w:tc>
          <w:tcPr>
            <w:tcW w:w="353" w:type="pct"/>
            <w:vAlign w:val="center"/>
          </w:tcPr>
          <w:p w14:paraId="04D5C80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砷</w:t>
            </w:r>
          </w:p>
        </w:tc>
        <w:tc>
          <w:tcPr>
            <w:tcW w:w="353" w:type="pct"/>
            <w:vAlign w:val="center"/>
          </w:tcPr>
          <w:p w14:paraId="2E40A0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镉</w:t>
            </w:r>
          </w:p>
        </w:tc>
        <w:tc>
          <w:tcPr>
            <w:tcW w:w="353" w:type="pct"/>
            <w:vAlign w:val="center"/>
          </w:tcPr>
          <w:p w14:paraId="0DAA76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铬</w:t>
            </w:r>
          </w:p>
        </w:tc>
        <w:tc>
          <w:tcPr>
            <w:tcW w:w="353" w:type="pct"/>
            <w:vAlign w:val="center"/>
          </w:tcPr>
          <w:p w14:paraId="4D7B02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铜</w:t>
            </w:r>
          </w:p>
        </w:tc>
        <w:tc>
          <w:tcPr>
            <w:tcW w:w="353" w:type="pct"/>
            <w:vAlign w:val="center"/>
          </w:tcPr>
          <w:p w14:paraId="63BCFD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铅</w:t>
            </w:r>
          </w:p>
        </w:tc>
        <w:tc>
          <w:tcPr>
            <w:tcW w:w="418" w:type="pct"/>
            <w:vAlign w:val="center"/>
          </w:tcPr>
          <w:p w14:paraId="1B809E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汞</w:t>
            </w:r>
          </w:p>
        </w:tc>
        <w:tc>
          <w:tcPr>
            <w:tcW w:w="379" w:type="pct"/>
            <w:vAlign w:val="center"/>
          </w:tcPr>
          <w:p w14:paraId="3F9F3E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镍</w:t>
            </w:r>
          </w:p>
        </w:tc>
        <w:tc>
          <w:tcPr>
            <w:tcW w:w="389" w:type="pct"/>
            <w:vAlign w:val="center"/>
          </w:tcPr>
          <w:p w14:paraId="41776DF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锌</w:t>
            </w:r>
          </w:p>
        </w:tc>
      </w:tr>
      <w:tr w14:paraId="53B9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61" w:type="pct"/>
            <w:vMerge w:val="continue"/>
            <w:vAlign w:val="center"/>
          </w:tcPr>
          <w:p w14:paraId="1BC9A7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p>
        </w:tc>
        <w:tc>
          <w:tcPr>
            <w:tcW w:w="880" w:type="pct"/>
            <w:vAlign w:val="center"/>
          </w:tcPr>
          <w:p w14:paraId="7CCF36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无量纲</w:t>
            </w:r>
          </w:p>
        </w:tc>
        <w:tc>
          <w:tcPr>
            <w:tcW w:w="504" w:type="pct"/>
            <w:vAlign w:val="center"/>
          </w:tcPr>
          <w:p w14:paraId="3E9174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g/kg</w:t>
            </w:r>
          </w:p>
        </w:tc>
        <w:tc>
          <w:tcPr>
            <w:tcW w:w="2952" w:type="pct"/>
            <w:gridSpan w:val="8"/>
            <w:vAlign w:val="center"/>
          </w:tcPr>
          <w:p w14:paraId="19C63B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mg/kg</w:t>
            </w:r>
          </w:p>
        </w:tc>
      </w:tr>
      <w:tr w14:paraId="09B3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61" w:type="pct"/>
            <w:vAlign w:val="center"/>
          </w:tcPr>
          <w:p w14:paraId="6AEBAF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eastAsia="zh-CN" w:bidi="ar"/>
              </w:rPr>
            </w:pPr>
            <w:r>
              <w:rPr>
                <w:rFonts w:hint="default" w:ascii="Arial" w:hAnsi="Arial" w:eastAsia="宋体" w:cs="Arial"/>
                <w:snapToGrid w:val="0"/>
                <w:color w:val="auto"/>
                <w:kern w:val="0"/>
                <w:sz w:val="22"/>
                <w:szCs w:val="22"/>
                <w:highlight w:val="none"/>
                <w:lang w:bidi="ar"/>
              </w:rPr>
              <w:t>海螺沟水库</w:t>
            </w:r>
            <w:r>
              <w:rPr>
                <w:rFonts w:hint="eastAsia" w:ascii="Arial" w:hAnsi="Arial" w:cs="Arial"/>
                <w:snapToGrid w:val="0"/>
                <w:color w:val="auto"/>
                <w:kern w:val="0"/>
                <w:sz w:val="22"/>
                <w:szCs w:val="22"/>
                <w:highlight w:val="none"/>
                <w:lang w:eastAsia="zh-CN" w:bidi="ar"/>
              </w:rPr>
              <w:t>拟建大坝处</w:t>
            </w:r>
          </w:p>
        </w:tc>
        <w:tc>
          <w:tcPr>
            <w:tcW w:w="880" w:type="pct"/>
            <w:vAlign w:val="center"/>
          </w:tcPr>
          <w:p w14:paraId="01A766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7.4</w:t>
            </w:r>
          </w:p>
        </w:tc>
        <w:tc>
          <w:tcPr>
            <w:tcW w:w="504" w:type="pct"/>
            <w:vAlign w:val="center"/>
          </w:tcPr>
          <w:p w14:paraId="6BAC13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0.8</w:t>
            </w:r>
          </w:p>
        </w:tc>
        <w:tc>
          <w:tcPr>
            <w:tcW w:w="353" w:type="pct"/>
            <w:vAlign w:val="center"/>
          </w:tcPr>
          <w:p w14:paraId="18F17D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2.82</w:t>
            </w:r>
          </w:p>
        </w:tc>
        <w:tc>
          <w:tcPr>
            <w:tcW w:w="353" w:type="pct"/>
            <w:vAlign w:val="center"/>
          </w:tcPr>
          <w:p w14:paraId="2B6933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w:t>
            </w:r>
          </w:p>
        </w:tc>
        <w:tc>
          <w:tcPr>
            <w:tcW w:w="353" w:type="pct"/>
            <w:vAlign w:val="center"/>
          </w:tcPr>
          <w:p w14:paraId="30751D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34</w:t>
            </w:r>
          </w:p>
        </w:tc>
        <w:tc>
          <w:tcPr>
            <w:tcW w:w="353" w:type="pct"/>
            <w:vAlign w:val="center"/>
          </w:tcPr>
          <w:p w14:paraId="284237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16</w:t>
            </w:r>
          </w:p>
        </w:tc>
        <w:tc>
          <w:tcPr>
            <w:tcW w:w="353" w:type="pct"/>
            <w:vAlign w:val="center"/>
          </w:tcPr>
          <w:p w14:paraId="1F3EA9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8.6</w:t>
            </w:r>
          </w:p>
        </w:tc>
        <w:tc>
          <w:tcPr>
            <w:tcW w:w="418" w:type="pct"/>
            <w:vAlign w:val="center"/>
          </w:tcPr>
          <w:p w14:paraId="7C99346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0.093</w:t>
            </w:r>
          </w:p>
        </w:tc>
        <w:tc>
          <w:tcPr>
            <w:tcW w:w="379" w:type="pct"/>
            <w:vAlign w:val="center"/>
          </w:tcPr>
          <w:p w14:paraId="3D7924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w:t>
            </w:r>
          </w:p>
        </w:tc>
        <w:tc>
          <w:tcPr>
            <w:tcW w:w="389" w:type="pct"/>
            <w:vAlign w:val="center"/>
          </w:tcPr>
          <w:p w14:paraId="06CEB0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63</w:t>
            </w:r>
          </w:p>
        </w:tc>
      </w:tr>
      <w:tr w14:paraId="4397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61" w:type="pct"/>
            <w:vAlign w:val="center"/>
          </w:tcPr>
          <w:p w14:paraId="1D1468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标准指数</w:t>
            </w:r>
          </w:p>
        </w:tc>
        <w:tc>
          <w:tcPr>
            <w:tcW w:w="880" w:type="pct"/>
            <w:vAlign w:val="center"/>
          </w:tcPr>
          <w:p w14:paraId="4B95592F">
            <w:pPr>
              <w:pStyle w:val="2109"/>
              <w:keepNext w:val="0"/>
              <w:keepLines w:val="0"/>
              <w:pageBreakBefore w:val="0"/>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无酸化或碱化</w:t>
            </w:r>
          </w:p>
        </w:tc>
        <w:tc>
          <w:tcPr>
            <w:tcW w:w="504" w:type="pct"/>
            <w:vAlign w:val="center"/>
          </w:tcPr>
          <w:p w14:paraId="1538099A">
            <w:pPr>
              <w:pStyle w:val="2109"/>
              <w:keepNext w:val="0"/>
              <w:keepLines w:val="0"/>
              <w:pageBreakBefore w:val="0"/>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未盐化</w:t>
            </w:r>
          </w:p>
        </w:tc>
        <w:tc>
          <w:tcPr>
            <w:tcW w:w="353" w:type="pct"/>
            <w:vAlign w:val="center"/>
          </w:tcPr>
          <w:p w14:paraId="177B91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0.09 </w:t>
            </w:r>
          </w:p>
        </w:tc>
        <w:tc>
          <w:tcPr>
            <w:tcW w:w="353" w:type="pct"/>
            <w:vAlign w:val="center"/>
          </w:tcPr>
          <w:p w14:paraId="0E10AD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0.10 </w:t>
            </w:r>
          </w:p>
        </w:tc>
        <w:tc>
          <w:tcPr>
            <w:tcW w:w="353" w:type="pct"/>
            <w:vAlign w:val="center"/>
          </w:tcPr>
          <w:p w14:paraId="29181F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0.17 </w:t>
            </w:r>
          </w:p>
        </w:tc>
        <w:tc>
          <w:tcPr>
            <w:tcW w:w="353" w:type="pct"/>
            <w:vAlign w:val="center"/>
          </w:tcPr>
          <w:p w14:paraId="7FDC0E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0.16 </w:t>
            </w:r>
          </w:p>
        </w:tc>
        <w:tc>
          <w:tcPr>
            <w:tcW w:w="353" w:type="pct"/>
            <w:vAlign w:val="center"/>
          </w:tcPr>
          <w:p w14:paraId="060D36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0.07 </w:t>
            </w:r>
          </w:p>
        </w:tc>
        <w:tc>
          <w:tcPr>
            <w:tcW w:w="418" w:type="pct"/>
            <w:vAlign w:val="center"/>
          </w:tcPr>
          <w:p w14:paraId="0AE898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0.04 </w:t>
            </w:r>
          </w:p>
        </w:tc>
        <w:tc>
          <w:tcPr>
            <w:tcW w:w="379" w:type="pct"/>
            <w:vAlign w:val="center"/>
          </w:tcPr>
          <w:p w14:paraId="0740E8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0.21 </w:t>
            </w:r>
          </w:p>
        </w:tc>
        <w:tc>
          <w:tcPr>
            <w:tcW w:w="389" w:type="pct"/>
            <w:vAlign w:val="center"/>
          </w:tcPr>
          <w:p w14:paraId="1D38B4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0.25 </w:t>
            </w:r>
          </w:p>
        </w:tc>
      </w:tr>
      <w:tr w14:paraId="57F1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1" w:type="pct"/>
            <w:shd w:val="clear" w:color="auto" w:fill="auto"/>
            <w:vAlign w:val="center"/>
          </w:tcPr>
          <w:p w14:paraId="150AB1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val="en-US" w:eastAsia="zh-CN" w:bidi="ar"/>
              </w:rPr>
            </w:pPr>
            <w:r>
              <w:rPr>
                <w:rFonts w:hint="default" w:ascii="Arial" w:hAnsi="Arial" w:cs="Arial"/>
                <w:snapToGrid w:val="0"/>
                <w:color w:val="auto"/>
                <w:kern w:val="0"/>
                <w:sz w:val="22"/>
                <w:szCs w:val="22"/>
                <w:highlight w:val="none"/>
                <w:lang w:eastAsia="zh-CN" w:bidi="ar"/>
              </w:rPr>
              <w:t>标准限值</w:t>
            </w:r>
          </w:p>
        </w:tc>
        <w:tc>
          <w:tcPr>
            <w:tcW w:w="880" w:type="pct"/>
            <w:shd w:val="clear" w:color="auto" w:fill="auto"/>
            <w:vAlign w:val="center"/>
          </w:tcPr>
          <w:p w14:paraId="376610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6.5&lt;pH≤7.5</w:t>
            </w:r>
          </w:p>
        </w:tc>
        <w:tc>
          <w:tcPr>
            <w:tcW w:w="504" w:type="pct"/>
            <w:shd w:val="clear" w:color="auto" w:fill="auto"/>
            <w:vAlign w:val="center"/>
          </w:tcPr>
          <w:p w14:paraId="6A9B32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53" w:type="pct"/>
            <w:shd w:val="clear" w:color="auto" w:fill="auto"/>
            <w:vAlign w:val="center"/>
          </w:tcPr>
          <w:p w14:paraId="641348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30</w:t>
            </w:r>
          </w:p>
        </w:tc>
        <w:tc>
          <w:tcPr>
            <w:tcW w:w="353" w:type="pct"/>
            <w:shd w:val="clear" w:color="auto" w:fill="auto"/>
            <w:vAlign w:val="center"/>
          </w:tcPr>
          <w:p w14:paraId="4A30A8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0.3</w:t>
            </w:r>
          </w:p>
        </w:tc>
        <w:tc>
          <w:tcPr>
            <w:tcW w:w="353" w:type="pct"/>
            <w:shd w:val="clear" w:color="auto" w:fill="auto"/>
            <w:vAlign w:val="center"/>
          </w:tcPr>
          <w:p w14:paraId="55BB52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200</w:t>
            </w:r>
          </w:p>
        </w:tc>
        <w:tc>
          <w:tcPr>
            <w:tcW w:w="353" w:type="pct"/>
            <w:shd w:val="clear" w:color="auto" w:fill="auto"/>
            <w:vAlign w:val="center"/>
          </w:tcPr>
          <w:p w14:paraId="19CCFF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100</w:t>
            </w:r>
          </w:p>
        </w:tc>
        <w:tc>
          <w:tcPr>
            <w:tcW w:w="353" w:type="pct"/>
            <w:shd w:val="clear" w:color="auto" w:fill="auto"/>
            <w:vAlign w:val="center"/>
          </w:tcPr>
          <w:p w14:paraId="41781C7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120</w:t>
            </w:r>
          </w:p>
        </w:tc>
        <w:tc>
          <w:tcPr>
            <w:tcW w:w="418" w:type="pct"/>
            <w:shd w:val="clear" w:color="auto" w:fill="auto"/>
            <w:vAlign w:val="center"/>
          </w:tcPr>
          <w:p w14:paraId="6EA184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2.4</w:t>
            </w:r>
          </w:p>
        </w:tc>
        <w:tc>
          <w:tcPr>
            <w:tcW w:w="379" w:type="pct"/>
            <w:shd w:val="clear" w:color="auto" w:fill="auto"/>
            <w:vAlign w:val="center"/>
          </w:tcPr>
          <w:p w14:paraId="2D10A0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100</w:t>
            </w:r>
          </w:p>
        </w:tc>
        <w:tc>
          <w:tcPr>
            <w:tcW w:w="389" w:type="pct"/>
            <w:shd w:val="clear" w:color="auto" w:fill="auto"/>
            <w:vAlign w:val="center"/>
          </w:tcPr>
          <w:p w14:paraId="0DB205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250</w:t>
            </w:r>
          </w:p>
        </w:tc>
      </w:tr>
    </w:tbl>
    <w:p w14:paraId="4373112F">
      <w:pPr>
        <w:spacing w:line="240" w:lineRule="exact"/>
        <w:ind w:firstLine="504"/>
        <w:rPr>
          <w:rFonts w:hint="eastAsia" w:ascii="Arial" w:cs="Arial"/>
          <w:spacing w:val="-4"/>
          <w:szCs w:val="26"/>
        </w:rPr>
      </w:pPr>
    </w:p>
    <w:p w14:paraId="55B69DA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bCs/>
          <w:sz w:val="26"/>
          <w:szCs w:val="26"/>
        </w:rPr>
        <w:t>由表</w:t>
      </w:r>
      <w:r>
        <w:rPr>
          <w:rFonts w:hint="eastAsia" w:ascii="Arial" w:hAnsi="Arial" w:cs="Arial"/>
          <w:bCs/>
          <w:sz w:val="26"/>
          <w:szCs w:val="26"/>
          <w:lang w:val="en-US" w:eastAsia="zh-CN"/>
        </w:rPr>
        <w:t>4.3-13</w:t>
      </w:r>
      <w:r>
        <w:rPr>
          <w:rFonts w:hint="eastAsia" w:ascii="Arial" w:hAnsi="Arial" w:cs="Arial"/>
          <w:bCs/>
          <w:sz w:val="26"/>
          <w:szCs w:val="26"/>
        </w:rPr>
        <w:t>监测结果可知，</w:t>
      </w:r>
      <w:r>
        <w:rPr>
          <w:rFonts w:hint="eastAsia" w:ascii="Arial" w:hAnsi="Arial" w:cs="Arial"/>
          <w:bCs/>
          <w:sz w:val="26"/>
          <w:szCs w:val="26"/>
          <w:lang w:eastAsia="zh-CN"/>
        </w:rPr>
        <w:t>海螺沟水库拟建大坝处</w:t>
      </w:r>
      <w:r>
        <w:rPr>
          <w:rFonts w:ascii="Arial" w:hAnsi="Arial" w:cs="Arial"/>
          <w:bCs/>
          <w:sz w:val="26"/>
          <w:szCs w:val="26"/>
        </w:rPr>
        <w:t>各监测因子浓度均可满足</w:t>
      </w:r>
      <w:r>
        <w:rPr>
          <w:rFonts w:ascii="Arial" w:hAnsi="Arial" w:cs="Arial"/>
          <w:sz w:val="26"/>
          <w:szCs w:val="26"/>
        </w:rPr>
        <w:t>《土壤环境质量农用地土壤污染风险管控标准（试行）》</w:t>
      </w:r>
      <w:r>
        <w:rPr>
          <w:rFonts w:hint="eastAsia" w:ascii="Arial" w:hAnsi="Arial" w:cs="Arial"/>
          <w:sz w:val="26"/>
          <w:szCs w:val="26"/>
        </w:rPr>
        <w:t>（</w:t>
      </w:r>
      <w:r>
        <w:rPr>
          <w:rFonts w:ascii="Arial" w:hAnsi="Arial" w:cs="Arial"/>
          <w:sz w:val="26"/>
          <w:szCs w:val="26"/>
        </w:rPr>
        <w:t>GB15618-2018</w:t>
      </w:r>
      <w:r>
        <w:rPr>
          <w:rFonts w:hint="eastAsia" w:ascii="Arial" w:hAnsi="Arial" w:cs="Arial"/>
          <w:sz w:val="26"/>
          <w:szCs w:val="26"/>
        </w:rPr>
        <w:t>）</w:t>
      </w:r>
      <w:r>
        <w:rPr>
          <w:rFonts w:ascii="Arial" w:hAnsi="Arial" w:cs="Arial"/>
          <w:sz w:val="26"/>
          <w:szCs w:val="26"/>
        </w:rPr>
        <w:t>表1</w:t>
      </w:r>
      <w:r>
        <w:rPr>
          <w:rFonts w:hint="eastAsia" w:ascii="Arial" w:hAnsi="Arial" w:cs="Arial"/>
          <w:sz w:val="26"/>
          <w:szCs w:val="26"/>
        </w:rPr>
        <w:t>中</w:t>
      </w:r>
      <w:r>
        <w:rPr>
          <w:rFonts w:ascii="Arial" w:hAnsi="Arial" w:cs="Arial"/>
          <w:sz w:val="26"/>
          <w:szCs w:val="26"/>
        </w:rPr>
        <w:t>农用地土壤污染风险筛选值</w:t>
      </w:r>
      <w:r>
        <w:rPr>
          <w:rFonts w:hint="eastAsia" w:ascii="Arial" w:hAnsi="Arial" w:cs="Arial"/>
          <w:sz w:val="26"/>
          <w:szCs w:val="26"/>
          <w:lang w:eastAsia="zh-CN"/>
        </w:rPr>
        <w:t>，底泥环境质量现状良好</w:t>
      </w:r>
      <w:r>
        <w:rPr>
          <w:rFonts w:hint="eastAsia" w:ascii="Arial" w:hAnsi="Arial" w:cs="Arial"/>
          <w:sz w:val="26"/>
          <w:szCs w:val="26"/>
        </w:rPr>
        <w:t>。</w:t>
      </w:r>
    </w:p>
    <w:p w14:paraId="7C724BBA">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lang w:val="en-US" w:eastAsia="zh-CN"/>
        </w:rPr>
      </w:pPr>
      <w:r>
        <w:rPr>
          <w:rFonts w:hint="eastAsia" w:ascii="Arial" w:hAnsi="Arial" w:eastAsia="宋体" w:cs="Arial"/>
          <w:sz w:val="26"/>
          <w:szCs w:val="26"/>
          <w:lang w:val="en-US" w:eastAsia="zh-CN"/>
        </w:rPr>
        <w:t>4.4项目区水资源状况</w:t>
      </w:r>
    </w:p>
    <w:bookmarkEnd w:id="98"/>
    <w:bookmarkEnd w:id="99"/>
    <w:p w14:paraId="4416AF98">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4.4.1水资源量</w:t>
      </w:r>
    </w:p>
    <w:p w14:paraId="714D37EC">
      <w:pPr>
        <w:keepNext w:val="0"/>
        <w:keepLines w:val="0"/>
        <w:pageBreakBefore w:val="0"/>
        <w:widowControl w:val="0"/>
        <w:kinsoku/>
        <w:wordWrap/>
        <w:overflowPunct/>
        <w:topLinePunct w:val="0"/>
        <w:autoSpaceDE/>
        <w:autoSpaceDN/>
        <w:bidi w:val="0"/>
        <w:adjustRightInd/>
        <w:snapToGrid w:val="0"/>
        <w:spacing w:line="460" w:lineRule="exact"/>
        <w:ind w:firstLine="468" w:firstLineChars="200"/>
        <w:textAlignment w:val="auto"/>
        <w:rPr>
          <w:rFonts w:hint="eastAsia" w:ascii="Arial" w:hAnsi="Arial" w:cs="Arial"/>
          <w:sz w:val="26"/>
          <w:szCs w:val="26"/>
          <w:lang w:val="en-US" w:eastAsia="zh-CN"/>
        </w:rPr>
      </w:pPr>
      <w:r>
        <w:rPr>
          <w:rFonts w:ascii="宋体" w:hAnsi="宋体" w:eastAsia="宋体" w:cs="宋体"/>
          <w:spacing w:val="-13"/>
          <w:sz w:val="26"/>
          <w:szCs w:val="26"/>
        </w:rPr>
        <w:t>地表水资源量是指河流、湖泊、冰川等地表水体的动态水量，用</w:t>
      </w:r>
      <w:r>
        <w:rPr>
          <w:rFonts w:ascii="宋体" w:hAnsi="宋体" w:eastAsia="宋体" w:cs="宋体"/>
          <w:spacing w:val="-14"/>
          <w:sz w:val="26"/>
          <w:szCs w:val="26"/>
        </w:rPr>
        <w:t>天然河川径流量</w:t>
      </w:r>
      <w:r>
        <w:rPr>
          <w:rFonts w:ascii="宋体" w:hAnsi="宋体" w:eastAsia="宋体" w:cs="宋体"/>
          <w:sz w:val="26"/>
          <w:szCs w:val="26"/>
        </w:rPr>
        <w:t xml:space="preserve"> </w:t>
      </w:r>
      <w:r>
        <w:rPr>
          <w:rFonts w:ascii="宋体" w:hAnsi="宋体" w:eastAsia="宋体" w:cs="宋体"/>
          <w:spacing w:val="-2"/>
          <w:sz w:val="26"/>
          <w:szCs w:val="26"/>
        </w:rPr>
        <w:t>表示。</w:t>
      </w:r>
      <w:r>
        <w:rPr>
          <w:rFonts w:hint="eastAsia" w:ascii="Arial" w:hAnsi="Arial" w:cs="Arial"/>
          <w:sz w:val="26"/>
          <w:szCs w:val="26"/>
          <w:lang w:val="en-US" w:eastAsia="zh-CN"/>
        </w:rPr>
        <w:t>根据项目初设报告，海螺沟流域集雨面积约3.48km</w:t>
      </w:r>
      <w:r>
        <w:rPr>
          <w:rFonts w:hint="eastAsia" w:ascii="Arial" w:hAnsi="Arial" w:cs="Arial"/>
          <w:sz w:val="26"/>
          <w:szCs w:val="26"/>
          <w:vertAlign w:val="superscript"/>
          <w:lang w:val="en-US" w:eastAsia="zh-CN"/>
        </w:rPr>
        <w:t>2</w:t>
      </w:r>
      <w:r>
        <w:rPr>
          <w:rFonts w:hint="eastAsia" w:ascii="Arial" w:hAnsi="Arial" w:cs="Arial"/>
          <w:sz w:val="26"/>
          <w:szCs w:val="26"/>
          <w:lang w:val="en-US" w:eastAsia="zh-CN"/>
        </w:rPr>
        <w:t>，多年平均水资源总量为183.27万m</w:t>
      </w:r>
      <w:r>
        <w:rPr>
          <w:rFonts w:hint="eastAsia" w:ascii="Arial" w:hAnsi="Arial" w:cs="Arial"/>
          <w:sz w:val="26"/>
          <w:szCs w:val="26"/>
          <w:vertAlign w:val="superscript"/>
          <w:lang w:val="en-US" w:eastAsia="zh-CN"/>
        </w:rPr>
        <w:t>3</w:t>
      </w:r>
      <w:r>
        <w:rPr>
          <w:rFonts w:hint="eastAsia" w:ascii="Arial" w:hAnsi="Arial" w:cs="Arial"/>
          <w:sz w:val="26"/>
          <w:szCs w:val="26"/>
          <w:lang w:val="en-US" w:eastAsia="zh-CN"/>
        </w:rPr>
        <w:t>，主要为地表水资源。</w:t>
      </w:r>
    </w:p>
    <w:p w14:paraId="0DE20F6C">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color w:val="auto"/>
          <w:sz w:val="26"/>
          <w:szCs w:val="26"/>
          <w:lang w:val="zh-CN"/>
        </w:rPr>
      </w:pPr>
      <w:r>
        <w:rPr>
          <w:rFonts w:hint="eastAsia" w:ascii="Arial" w:hAnsi="Arial" w:cs="Arial"/>
          <w:color w:val="auto"/>
          <w:sz w:val="26"/>
          <w:szCs w:val="26"/>
          <w:lang w:val="en-US" w:eastAsia="zh-CN"/>
        </w:rPr>
        <w:t>根据海螺沟流域</w:t>
      </w:r>
      <w:r>
        <w:rPr>
          <w:rFonts w:hint="default" w:ascii="Arial" w:hAnsi="Arial" w:cs="Arial"/>
          <w:color w:val="auto"/>
          <w:sz w:val="26"/>
          <w:szCs w:val="26"/>
          <w:lang w:val="zh-CN"/>
        </w:rPr>
        <w:t>岩性及水文地质条件，地下水主要为</w:t>
      </w:r>
      <w:r>
        <w:rPr>
          <w:rFonts w:hint="default" w:ascii="Arial" w:hAnsi="Arial" w:cs="Arial"/>
          <w:color w:val="auto"/>
          <w:sz w:val="26"/>
          <w:szCs w:val="26"/>
        </w:rPr>
        <w:t>碳酸盐岩岩溶水、碎屑岩裂隙水、红层裂隙水及松散层孔隙水</w:t>
      </w:r>
      <w:r>
        <w:rPr>
          <w:rFonts w:hint="eastAsia" w:ascii="Arial" w:hAnsi="Arial" w:cs="Arial"/>
          <w:color w:val="auto"/>
          <w:sz w:val="26"/>
          <w:szCs w:val="26"/>
          <w:lang w:eastAsia="zh-CN"/>
        </w:rPr>
        <w:t>，</w:t>
      </w:r>
      <w:r>
        <w:rPr>
          <w:rFonts w:hint="default" w:ascii="Arial" w:hAnsi="Arial" w:cs="Arial"/>
          <w:color w:val="auto"/>
          <w:sz w:val="26"/>
          <w:szCs w:val="26"/>
          <w:lang w:eastAsia="zh-CN"/>
        </w:rPr>
        <w:t>碳酸盐岩岩溶水</w:t>
      </w:r>
      <w:r>
        <w:rPr>
          <w:rFonts w:hint="default" w:ascii="Arial" w:hAnsi="Arial" w:cs="Arial"/>
          <w:color w:val="auto"/>
          <w:sz w:val="26"/>
          <w:szCs w:val="26"/>
        </w:rPr>
        <w:t>为区内富水性最好的一类地下水。地下水赋存于三叠系碳酸盐岩地层中。</w:t>
      </w:r>
      <w:r>
        <w:rPr>
          <w:rFonts w:hint="default" w:ascii="Arial" w:hAnsi="Arial" w:cs="Arial"/>
          <w:color w:val="auto"/>
          <w:sz w:val="26"/>
          <w:szCs w:val="26"/>
          <w:lang w:eastAsia="zh-CN"/>
        </w:rPr>
        <w:t>碎屑岩裂隙水主要</w:t>
      </w:r>
      <w:r>
        <w:rPr>
          <w:rFonts w:hint="default" w:ascii="Arial" w:hAnsi="Arial" w:cs="Arial"/>
          <w:color w:val="auto"/>
          <w:sz w:val="26"/>
          <w:szCs w:val="26"/>
        </w:rPr>
        <w:t>赋存于砂岩裂隙中</w:t>
      </w:r>
      <w:r>
        <w:rPr>
          <w:rFonts w:hint="eastAsia" w:ascii="Arial" w:hAnsi="Arial" w:cs="Arial"/>
          <w:color w:val="auto"/>
          <w:sz w:val="26"/>
          <w:szCs w:val="26"/>
          <w:lang w:eastAsia="zh-CN"/>
        </w:rPr>
        <w:t>，</w:t>
      </w:r>
      <w:r>
        <w:rPr>
          <w:rFonts w:hint="default" w:ascii="Arial" w:hAnsi="Arial" w:cs="Arial"/>
          <w:color w:val="auto"/>
          <w:sz w:val="26"/>
          <w:szCs w:val="26"/>
          <w:lang w:eastAsia="zh-CN"/>
        </w:rPr>
        <w:t>红层裂隙水</w:t>
      </w:r>
      <w:r>
        <w:rPr>
          <w:rFonts w:hint="default" w:ascii="Arial" w:hAnsi="Arial" w:cs="Arial"/>
          <w:color w:val="auto"/>
          <w:sz w:val="26"/>
          <w:szCs w:val="26"/>
        </w:rPr>
        <w:t>广泛分布于红层丘陵区和部分低山地带，</w:t>
      </w:r>
      <w:r>
        <w:rPr>
          <w:rFonts w:hint="default" w:ascii="Arial" w:hAnsi="Arial" w:cs="Arial"/>
          <w:color w:val="auto"/>
          <w:sz w:val="26"/>
          <w:szCs w:val="26"/>
          <w:lang w:eastAsia="zh-CN"/>
        </w:rPr>
        <w:t>松散层孔隙水</w:t>
      </w:r>
      <w:r>
        <w:rPr>
          <w:rFonts w:hint="default" w:ascii="Arial" w:hAnsi="Arial" w:cs="Arial"/>
          <w:color w:val="auto"/>
          <w:sz w:val="26"/>
          <w:szCs w:val="26"/>
        </w:rPr>
        <w:t>零星分布于河床及两岸残坡积、崩坡积覆盖层中。</w:t>
      </w:r>
      <w:r>
        <w:rPr>
          <w:rFonts w:hint="default" w:ascii="Arial" w:hAnsi="Arial" w:cs="Arial"/>
          <w:color w:val="auto"/>
          <w:sz w:val="26"/>
          <w:szCs w:val="26"/>
          <w:lang w:val="zh-CN"/>
        </w:rPr>
        <w:t>这些地下水，基本为降水及地表径流补给，已计入地表水资源量范围，因此，在水资源总量上不再计入</w:t>
      </w:r>
      <w:r>
        <w:rPr>
          <w:rFonts w:hint="eastAsia" w:ascii="Arial" w:hAnsi="Arial" w:cs="Arial"/>
          <w:color w:val="auto"/>
          <w:sz w:val="26"/>
          <w:szCs w:val="26"/>
          <w:lang w:val="zh-CN"/>
        </w:rPr>
        <w:t>。</w:t>
      </w:r>
    </w:p>
    <w:p w14:paraId="22D6C237">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4.4.2水资源开发利用现状</w:t>
      </w:r>
    </w:p>
    <w:p w14:paraId="396A93D5">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color w:val="auto"/>
          <w:sz w:val="26"/>
          <w:szCs w:val="26"/>
          <w:lang w:val="zh-CN" w:eastAsia="zh-CN"/>
        </w:rPr>
        <w:t>根据现场勘查，项目区内水资源较少，项目区现状5座山坪塘，总库容0.9万m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zh-CN" w:eastAsia="zh-CN"/>
        </w:rPr>
        <w:t>，多年平均可供水量0.94万m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zh-CN" w:eastAsia="zh-CN"/>
        </w:rPr>
        <w:t>。</w:t>
      </w:r>
      <w:r>
        <w:rPr>
          <w:rFonts w:hint="default" w:ascii="Arial" w:hAnsi="Arial" w:eastAsia="宋体" w:cs="Arial"/>
          <w:spacing w:val="-13"/>
          <w:sz w:val="26"/>
          <w:szCs w:val="26"/>
          <w:lang w:val="zh-CN" w:eastAsia="zh-CN"/>
        </w:rPr>
        <w:t>现有双龙水厂及5个农村人饮工程，</w:t>
      </w:r>
      <w:r>
        <w:rPr>
          <w:rFonts w:hint="default" w:ascii="Arial" w:hAnsi="Arial" w:eastAsia="宋体" w:cs="Arial"/>
          <w:spacing w:val="-13"/>
          <w:sz w:val="26"/>
          <w:szCs w:val="26"/>
        </w:rPr>
        <w:t>双龙水厂</w:t>
      </w:r>
      <w:r>
        <w:rPr>
          <w:rFonts w:hint="default" w:ascii="Arial" w:hAnsi="Arial" w:eastAsia="宋体" w:cs="Arial"/>
          <w:spacing w:val="-13"/>
          <w:sz w:val="26"/>
          <w:szCs w:val="26"/>
          <w:lang w:eastAsia="zh-CN"/>
        </w:rPr>
        <w:t>主要供给双龙社区居民，</w:t>
      </w:r>
      <w:r>
        <w:rPr>
          <w:rFonts w:hint="default" w:ascii="Arial" w:hAnsi="Arial" w:eastAsia="宋体" w:cs="Arial"/>
          <w:spacing w:val="-13"/>
          <w:sz w:val="26"/>
          <w:szCs w:val="26"/>
        </w:rPr>
        <w:t>设计规模日供水1000m</w:t>
      </w:r>
      <w:r>
        <w:rPr>
          <w:rFonts w:hint="default" w:ascii="Arial" w:hAnsi="Arial" w:eastAsia="宋体" w:cs="Arial"/>
          <w:spacing w:val="-13"/>
          <w:sz w:val="26"/>
          <w:szCs w:val="26"/>
          <w:vertAlign w:val="superscript"/>
        </w:rPr>
        <w:t>3</w:t>
      </w:r>
      <w:r>
        <w:rPr>
          <w:rFonts w:hint="default" w:ascii="Arial" w:hAnsi="Arial" w:eastAsia="宋体" w:cs="Arial"/>
          <w:spacing w:val="-13"/>
          <w:sz w:val="26"/>
          <w:szCs w:val="26"/>
        </w:rPr>
        <w:t>，该水厂取水口位于双龙镇灯塔村4社彭家沟山沟水</w:t>
      </w:r>
      <w:r>
        <w:rPr>
          <w:rFonts w:hint="default" w:ascii="Arial" w:hAnsi="Arial" w:eastAsia="宋体" w:cs="Arial"/>
          <w:spacing w:val="-13"/>
          <w:sz w:val="26"/>
          <w:szCs w:val="26"/>
          <w:lang w:eastAsia="zh-CN"/>
        </w:rPr>
        <w:t>；</w:t>
      </w:r>
      <w:r>
        <w:rPr>
          <w:rFonts w:hint="default" w:ascii="Arial" w:hAnsi="Arial" w:eastAsia="宋体" w:cs="Arial"/>
          <w:spacing w:val="-13"/>
          <w:sz w:val="26"/>
          <w:szCs w:val="26"/>
          <w:lang w:val="zh-CN" w:eastAsia="zh-CN"/>
        </w:rPr>
        <w:t>5个农村人饮工程</w:t>
      </w:r>
      <w:r>
        <w:rPr>
          <w:rFonts w:hint="default" w:ascii="Arial" w:hAnsi="Arial" w:eastAsia="宋体" w:cs="Arial"/>
          <w:spacing w:val="-13"/>
          <w:sz w:val="26"/>
          <w:szCs w:val="26"/>
        </w:rPr>
        <w:t>分别是位于回龙场村的新华小学供水工程、范家湾供水工程、三角冲供水工程、樊家湾供水工程</w:t>
      </w:r>
      <w:r>
        <w:rPr>
          <w:rFonts w:hint="default" w:ascii="Arial" w:hAnsi="Arial" w:eastAsia="宋体" w:cs="Arial"/>
          <w:spacing w:val="-13"/>
          <w:sz w:val="26"/>
          <w:szCs w:val="26"/>
          <w:lang w:eastAsia="zh-CN"/>
        </w:rPr>
        <w:t>和</w:t>
      </w:r>
      <w:r>
        <w:rPr>
          <w:rFonts w:hint="default" w:ascii="Arial" w:hAnsi="Arial" w:eastAsia="宋体" w:cs="Arial"/>
          <w:spacing w:val="-13"/>
          <w:sz w:val="26"/>
          <w:szCs w:val="26"/>
        </w:rPr>
        <w:t>位于双龙社区4组的鸦雀湾供水工程，水源均为地表水</w:t>
      </w:r>
      <w:r>
        <w:rPr>
          <w:rFonts w:hint="eastAsia" w:ascii="Arial" w:hAnsi="Arial" w:cs="Arial"/>
          <w:spacing w:val="-13"/>
          <w:sz w:val="26"/>
          <w:szCs w:val="26"/>
          <w:lang w:eastAsia="zh-CN"/>
        </w:rPr>
        <w:t>，</w:t>
      </w:r>
      <w:r>
        <w:rPr>
          <w:rFonts w:hint="eastAsia" w:ascii="Arial" w:hAnsi="Arial" w:cs="Arial"/>
          <w:color w:val="auto"/>
          <w:sz w:val="26"/>
          <w:szCs w:val="26"/>
          <w:lang w:val="zh-CN" w:eastAsia="zh-CN"/>
        </w:rPr>
        <w:t>水源水量较小，且稳定性差。项目区内已建供水设施统计情况详见表</w:t>
      </w:r>
      <w:r>
        <w:rPr>
          <w:rFonts w:hint="eastAsia" w:ascii="Arial" w:hAnsi="Arial" w:cs="Arial"/>
          <w:color w:val="auto"/>
          <w:sz w:val="26"/>
          <w:szCs w:val="26"/>
          <w:lang w:val="en-US" w:eastAsia="zh-CN"/>
        </w:rPr>
        <w:t>4.4-1所示。</w:t>
      </w:r>
    </w:p>
    <w:p w14:paraId="35FCF69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表4.4-1 项目区内现有水利设施建成情况统计表</w:t>
      </w:r>
    </w:p>
    <w:tbl>
      <w:tblPr>
        <w:tblStyle w:val="77"/>
        <w:tblW w:w="9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2136"/>
        <w:gridCol w:w="1396"/>
        <w:gridCol w:w="1993"/>
        <w:gridCol w:w="1891"/>
      </w:tblGrid>
      <w:tr w14:paraId="122EB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exact"/>
          <w:jc w:val="center"/>
        </w:trPr>
        <w:tc>
          <w:tcPr>
            <w:tcW w:w="2000" w:type="dxa"/>
            <w:tcBorders>
              <w:top w:val="single" w:color="auto" w:sz="12" w:space="0"/>
              <w:left w:val="single" w:color="auto" w:sz="12" w:space="0"/>
              <w:bottom w:val="single" w:color="auto" w:sz="4" w:space="0"/>
              <w:right w:val="single" w:color="auto" w:sz="4" w:space="0"/>
            </w:tcBorders>
            <w:noWrap w:val="0"/>
            <w:vAlign w:val="center"/>
          </w:tcPr>
          <w:p w14:paraId="357C0AD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现状水平年</w:t>
            </w:r>
          </w:p>
        </w:tc>
        <w:tc>
          <w:tcPr>
            <w:tcW w:w="2136" w:type="dxa"/>
            <w:tcBorders>
              <w:top w:val="single" w:color="auto" w:sz="12" w:space="0"/>
              <w:left w:val="single" w:color="auto" w:sz="4" w:space="0"/>
              <w:bottom w:val="single" w:color="auto" w:sz="4" w:space="0"/>
              <w:right w:val="single" w:color="auto" w:sz="4" w:space="0"/>
            </w:tcBorders>
            <w:noWrap w:val="0"/>
            <w:vAlign w:val="center"/>
          </w:tcPr>
          <w:p w14:paraId="556FBB7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工程类别</w:t>
            </w:r>
          </w:p>
        </w:tc>
        <w:tc>
          <w:tcPr>
            <w:tcW w:w="1396" w:type="dxa"/>
            <w:tcBorders>
              <w:top w:val="single" w:color="auto" w:sz="12" w:space="0"/>
              <w:left w:val="single" w:color="auto" w:sz="4" w:space="0"/>
              <w:bottom w:val="single" w:color="auto" w:sz="4" w:space="0"/>
              <w:right w:val="single" w:color="auto" w:sz="4" w:space="0"/>
            </w:tcBorders>
            <w:noWrap w:val="0"/>
            <w:vAlign w:val="center"/>
          </w:tcPr>
          <w:p w14:paraId="5CD7AB9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规模</w:t>
            </w:r>
          </w:p>
          <w:p w14:paraId="778706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（座）</w:t>
            </w:r>
          </w:p>
        </w:tc>
        <w:tc>
          <w:tcPr>
            <w:tcW w:w="1993" w:type="dxa"/>
            <w:tcBorders>
              <w:top w:val="single" w:color="auto" w:sz="12" w:space="0"/>
              <w:left w:val="single" w:color="auto" w:sz="4" w:space="0"/>
              <w:bottom w:val="single" w:color="auto" w:sz="4" w:space="0"/>
              <w:right w:val="single" w:color="auto" w:sz="4" w:space="0"/>
            </w:tcBorders>
            <w:noWrap w:val="0"/>
            <w:vAlign w:val="center"/>
          </w:tcPr>
          <w:p w14:paraId="2DF09EC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多年平均可供水量</w:t>
            </w: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c>
          <w:tcPr>
            <w:tcW w:w="1891" w:type="dxa"/>
            <w:tcBorders>
              <w:top w:val="single" w:color="auto" w:sz="12" w:space="0"/>
              <w:left w:val="single" w:color="auto" w:sz="4" w:space="0"/>
              <w:bottom w:val="single" w:color="auto" w:sz="4" w:space="0"/>
              <w:right w:val="single" w:color="auto" w:sz="4" w:space="0"/>
            </w:tcBorders>
            <w:noWrap w:val="0"/>
            <w:vAlign w:val="center"/>
          </w:tcPr>
          <w:p w14:paraId="288DA04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P=75%最大可供水量</w:t>
            </w: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r>
      <w:tr w14:paraId="1D868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00" w:type="dxa"/>
            <w:vMerge w:val="restart"/>
            <w:tcBorders>
              <w:top w:val="single" w:color="auto" w:sz="4" w:space="0"/>
              <w:left w:val="single" w:color="auto" w:sz="12" w:space="0"/>
              <w:bottom w:val="single" w:color="auto" w:sz="12" w:space="0"/>
              <w:right w:val="single" w:color="auto" w:sz="4" w:space="0"/>
            </w:tcBorders>
            <w:noWrap w:val="0"/>
            <w:vAlign w:val="center"/>
          </w:tcPr>
          <w:p w14:paraId="0B959BA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2020</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56EA56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山坪塘</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101226D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5</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6956D08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0.94</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407BC1A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0.74</w:t>
            </w:r>
          </w:p>
        </w:tc>
      </w:tr>
      <w:tr w14:paraId="20D69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00" w:type="dxa"/>
            <w:vMerge w:val="continue"/>
            <w:tcBorders>
              <w:top w:val="single" w:color="auto" w:sz="4" w:space="0"/>
              <w:left w:val="single" w:color="auto" w:sz="12" w:space="0"/>
              <w:bottom w:val="single" w:color="auto" w:sz="12" w:space="0"/>
              <w:right w:val="single" w:color="auto" w:sz="4" w:space="0"/>
            </w:tcBorders>
            <w:noWrap w:val="0"/>
            <w:vAlign w:val="center"/>
          </w:tcPr>
          <w:p w14:paraId="2903946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1BA301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现有水厂水源</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76EF07F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6</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7C8F167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1.5</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1E8FE28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1.2</w:t>
            </w:r>
          </w:p>
        </w:tc>
      </w:tr>
      <w:tr w14:paraId="7E678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2000" w:type="dxa"/>
            <w:vMerge w:val="continue"/>
            <w:tcBorders>
              <w:top w:val="single" w:color="auto" w:sz="4" w:space="0"/>
              <w:left w:val="single" w:color="auto" w:sz="12" w:space="0"/>
              <w:bottom w:val="single" w:color="auto" w:sz="12" w:space="0"/>
              <w:right w:val="single" w:color="auto" w:sz="4" w:space="0"/>
            </w:tcBorders>
            <w:noWrap w:val="0"/>
            <w:vAlign w:val="center"/>
          </w:tcPr>
          <w:p w14:paraId="532C560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2136" w:type="dxa"/>
            <w:tcBorders>
              <w:top w:val="single" w:color="auto" w:sz="4" w:space="0"/>
              <w:left w:val="single" w:color="auto" w:sz="4" w:space="0"/>
              <w:bottom w:val="single" w:color="auto" w:sz="12" w:space="0"/>
              <w:right w:val="single" w:color="auto" w:sz="4" w:space="0"/>
            </w:tcBorders>
            <w:noWrap w:val="0"/>
            <w:vAlign w:val="center"/>
          </w:tcPr>
          <w:p w14:paraId="2F4D9CF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合计</w:t>
            </w:r>
          </w:p>
        </w:tc>
        <w:tc>
          <w:tcPr>
            <w:tcW w:w="1396" w:type="dxa"/>
            <w:tcBorders>
              <w:top w:val="single" w:color="auto" w:sz="4" w:space="0"/>
              <w:left w:val="single" w:color="auto" w:sz="4" w:space="0"/>
              <w:bottom w:val="single" w:color="auto" w:sz="12" w:space="0"/>
              <w:right w:val="single" w:color="auto" w:sz="4" w:space="0"/>
            </w:tcBorders>
            <w:noWrap w:val="0"/>
            <w:vAlign w:val="center"/>
          </w:tcPr>
          <w:p w14:paraId="4C44BA7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11</w:t>
            </w:r>
          </w:p>
        </w:tc>
        <w:tc>
          <w:tcPr>
            <w:tcW w:w="1993" w:type="dxa"/>
            <w:tcBorders>
              <w:top w:val="single" w:color="auto" w:sz="4" w:space="0"/>
              <w:left w:val="single" w:color="auto" w:sz="4" w:space="0"/>
              <w:bottom w:val="single" w:color="auto" w:sz="12" w:space="0"/>
              <w:right w:val="single" w:color="auto" w:sz="4" w:space="0"/>
            </w:tcBorders>
            <w:noWrap w:val="0"/>
            <w:vAlign w:val="center"/>
          </w:tcPr>
          <w:p w14:paraId="560E9EB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2.44</w:t>
            </w:r>
          </w:p>
        </w:tc>
        <w:tc>
          <w:tcPr>
            <w:tcW w:w="1891" w:type="dxa"/>
            <w:tcBorders>
              <w:top w:val="single" w:color="auto" w:sz="4" w:space="0"/>
              <w:left w:val="single" w:color="auto" w:sz="4" w:space="0"/>
              <w:bottom w:val="single" w:color="auto" w:sz="12" w:space="0"/>
              <w:right w:val="single" w:color="auto" w:sz="4" w:space="0"/>
            </w:tcBorders>
            <w:noWrap w:val="0"/>
            <w:vAlign w:val="center"/>
          </w:tcPr>
          <w:p w14:paraId="773DF69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1.94</w:t>
            </w:r>
          </w:p>
        </w:tc>
      </w:tr>
    </w:tbl>
    <w:p w14:paraId="78210628">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cs="Arial"/>
          <w:color w:val="auto"/>
          <w:sz w:val="26"/>
          <w:szCs w:val="26"/>
          <w:lang w:val="zh-CN" w:eastAsia="zh-CN"/>
        </w:rPr>
      </w:pPr>
    </w:p>
    <w:p w14:paraId="1B2344EC">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由表4.4-1可知，项目区现状已建成的供水设施年总供水量为2.44万m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占海螺沟流域的1.33%，开发利用效率低。现状水源及供水设施已不能满足双龙镇双龙社区、回龙场村和田家山村灌溉、人畜用水及远期发展需求。且根据丰都县农业农村现代化“十四五”规划、《丰都县国民经济和社会发展第十四个五年规划和二〇三五年远景目标纲要》、双龙镇总体规划等相关文件，项目区耕地中田土比将由现状的42.4:57.6调整为规划年的47:53，需水量进一步增大。</w:t>
      </w:r>
    </w:p>
    <w:p w14:paraId="1BEB6C6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表4.4-2 项目区内规划年水资源供需平衡一览表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386"/>
        <w:gridCol w:w="1361"/>
        <w:gridCol w:w="1214"/>
        <w:gridCol w:w="828"/>
        <w:gridCol w:w="828"/>
        <w:gridCol w:w="964"/>
        <w:gridCol w:w="1353"/>
      </w:tblGrid>
      <w:tr w14:paraId="6F1AA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618" w:type="pct"/>
            <w:vMerge w:val="restart"/>
            <w:tcBorders>
              <w:tl2br w:val="nil"/>
              <w:tr2bl w:val="nil"/>
            </w:tcBorders>
            <w:noWrap w:val="0"/>
            <w:vAlign w:val="center"/>
          </w:tcPr>
          <w:p w14:paraId="5077F37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阶段</w:t>
            </w:r>
          </w:p>
        </w:tc>
        <w:tc>
          <w:tcPr>
            <w:tcW w:w="765" w:type="pct"/>
            <w:vMerge w:val="restart"/>
            <w:tcBorders>
              <w:tl2br w:val="nil"/>
              <w:tr2bl w:val="nil"/>
            </w:tcBorders>
            <w:noWrap w:val="0"/>
            <w:vAlign w:val="center"/>
          </w:tcPr>
          <w:p w14:paraId="228F2B4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水平年</w:t>
            </w:r>
          </w:p>
        </w:tc>
        <w:tc>
          <w:tcPr>
            <w:tcW w:w="751" w:type="pct"/>
            <w:vMerge w:val="restart"/>
            <w:tcBorders>
              <w:tl2br w:val="nil"/>
              <w:tr2bl w:val="nil"/>
            </w:tcBorders>
            <w:noWrap w:val="0"/>
            <w:vAlign w:val="center"/>
          </w:tcPr>
          <w:p w14:paraId="43BC43B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设计保证率</w:t>
            </w:r>
          </w:p>
        </w:tc>
        <w:tc>
          <w:tcPr>
            <w:tcW w:w="670" w:type="pct"/>
            <w:vMerge w:val="restart"/>
            <w:tcBorders>
              <w:tl2br w:val="nil"/>
              <w:tr2bl w:val="nil"/>
            </w:tcBorders>
            <w:noWrap w:val="0"/>
            <w:vAlign w:val="center"/>
          </w:tcPr>
          <w:p w14:paraId="5907127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可供水量</w:t>
            </w:r>
          </w:p>
          <w:p w14:paraId="58DE2C3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c>
          <w:tcPr>
            <w:tcW w:w="1446" w:type="pct"/>
            <w:gridSpan w:val="3"/>
            <w:tcBorders>
              <w:tl2br w:val="nil"/>
              <w:tr2bl w:val="nil"/>
            </w:tcBorders>
            <w:noWrap w:val="0"/>
            <w:vAlign w:val="center"/>
          </w:tcPr>
          <w:p w14:paraId="415A031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需水</w:t>
            </w: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c>
          <w:tcPr>
            <w:tcW w:w="747" w:type="pct"/>
            <w:vMerge w:val="restart"/>
            <w:tcBorders>
              <w:tl2br w:val="nil"/>
              <w:tr2bl w:val="nil"/>
            </w:tcBorders>
            <w:noWrap w:val="0"/>
            <w:vAlign w:val="center"/>
          </w:tcPr>
          <w:p w14:paraId="518641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余缺</w:t>
            </w:r>
          </w:p>
          <w:p w14:paraId="7E4F081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r>
      <w:tr w14:paraId="0E7A2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618" w:type="pct"/>
            <w:vMerge w:val="continue"/>
            <w:tcBorders>
              <w:tl2br w:val="nil"/>
              <w:tr2bl w:val="nil"/>
            </w:tcBorders>
            <w:noWrap w:val="0"/>
            <w:vAlign w:val="center"/>
          </w:tcPr>
          <w:p w14:paraId="7008FBE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65" w:type="pct"/>
            <w:vMerge w:val="continue"/>
            <w:tcBorders>
              <w:tl2br w:val="nil"/>
              <w:tr2bl w:val="nil"/>
            </w:tcBorders>
            <w:noWrap w:val="0"/>
            <w:vAlign w:val="center"/>
          </w:tcPr>
          <w:p w14:paraId="7B5AEC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51" w:type="pct"/>
            <w:vMerge w:val="continue"/>
            <w:tcBorders>
              <w:tl2br w:val="nil"/>
              <w:tr2bl w:val="nil"/>
            </w:tcBorders>
            <w:noWrap w:val="0"/>
            <w:vAlign w:val="top"/>
          </w:tcPr>
          <w:p w14:paraId="7F08F13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670" w:type="pct"/>
            <w:vMerge w:val="continue"/>
            <w:tcBorders>
              <w:tl2br w:val="nil"/>
              <w:tr2bl w:val="nil"/>
            </w:tcBorders>
            <w:noWrap w:val="0"/>
            <w:vAlign w:val="center"/>
          </w:tcPr>
          <w:p w14:paraId="07F7FBA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457" w:type="pct"/>
            <w:tcBorders>
              <w:tl2br w:val="nil"/>
              <w:tr2bl w:val="nil"/>
            </w:tcBorders>
            <w:noWrap w:val="0"/>
            <w:vAlign w:val="center"/>
          </w:tcPr>
          <w:p w14:paraId="67DBE9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农灌</w:t>
            </w:r>
          </w:p>
        </w:tc>
        <w:tc>
          <w:tcPr>
            <w:tcW w:w="457" w:type="pct"/>
            <w:tcBorders>
              <w:tl2br w:val="nil"/>
              <w:tr2bl w:val="nil"/>
            </w:tcBorders>
            <w:noWrap w:val="0"/>
            <w:vAlign w:val="center"/>
          </w:tcPr>
          <w:p w14:paraId="14612BD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人畜</w:t>
            </w:r>
          </w:p>
        </w:tc>
        <w:tc>
          <w:tcPr>
            <w:tcW w:w="531" w:type="pct"/>
            <w:tcBorders>
              <w:tl2br w:val="nil"/>
              <w:tr2bl w:val="nil"/>
            </w:tcBorders>
            <w:noWrap w:val="0"/>
            <w:vAlign w:val="center"/>
          </w:tcPr>
          <w:p w14:paraId="3E16575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合计</w:t>
            </w:r>
          </w:p>
        </w:tc>
        <w:tc>
          <w:tcPr>
            <w:tcW w:w="747" w:type="pct"/>
            <w:vMerge w:val="continue"/>
            <w:tcBorders>
              <w:tl2br w:val="nil"/>
              <w:tr2bl w:val="nil"/>
            </w:tcBorders>
            <w:noWrap w:val="0"/>
            <w:vAlign w:val="center"/>
          </w:tcPr>
          <w:p w14:paraId="245111A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r>
      <w:tr w14:paraId="4B0A8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18" w:type="pct"/>
            <w:vMerge w:val="restart"/>
            <w:tcBorders>
              <w:tl2br w:val="nil"/>
              <w:tr2bl w:val="nil"/>
            </w:tcBorders>
            <w:noWrap w:val="0"/>
            <w:vAlign w:val="center"/>
          </w:tcPr>
          <w:p w14:paraId="53296C1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现状</w:t>
            </w:r>
          </w:p>
        </w:tc>
        <w:tc>
          <w:tcPr>
            <w:tcW w:w="765" w:type="pct"/>
            <w:vMerge w:val="restart"/>
            <w:tcBorders>
              <w:tl2br w:val="nil"/>
              <w:tr2bl w:val="nil"/>
            </w:tcBorders>
            <w:noWrap w:val="0"/>
            <w:vAlign w:val="center"/>
          </w:tcPr>
          <w:p w14:paraId="50D9272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2020</w:t>
            </w:r>
          </w:p>
        </w:tc>
        <w:tc>
          <w:tcPr>
            <w:tcW w:w="751" w:type="pct"/>
            <w:tcBorders>
              <w:tl2br w:val="nil"/>
              <w:tr2bl w:val="nil"/>
            </w:tcBorders>
            <w:noWrap w:val="0"/>
            <w:vAlign w:val="center"/>
          </w:tcPr>
          <w:p w14:paraId="4C0145E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多年平均</w:t>
            </w:r>
          </w:p>
        </w:tc>
        <w:tc>
          <w:tcPr>
            <w:tcW w:w="670" w:type="pct"/>
            <w:tcBorders>
              <w:tl2br w:val="nil"/>
              <w:tr2bl w:val="nil"/>
            </w:tcBorders>
            <w:noWrap w:val="0"/>
            <w:vAlign w:val="center"/>
          </w:tcPr>
          <w:p w14:paraId="2737AD8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2.44</w:t>
            </w:r>
          </w:p>
        </w:tc>
        <w:tc>
          <w:tcPr>
            <w:tcW w:w="457" w:type="pct"/>
            <w:tcBorders>
              <w:tl2br w:val="nil"/>
              <w:tr2bl w:val="nil"/>
            </w:tcBorders>
            <w:noWrap w:val="0"/>
            <w:vAlign w:val="center"/>
          </w:tcPr>
          <w:p w14:paraId="2003127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48.8</w:t>
            </w:r>
          </w:p>
        </w:tc>
        <w:tc>
          <w:tcPr>
            <w:tcW w:w="457" w:type="pct"/>
            <w:tcBorders>
              <w:tl2br w:val="nil"/>
              <w:tr2bl w:val="nil"/>
            </w:tcBorders>
            <w:noWrap w:val="0"/>
            <w:vAlign w:val="center"/>
          </w:tcPr>
          <w:p w14:paraId="05D34BD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29.58</w:t>
            </w:r>
          </w:p>
        </w:tc>
        <w:tc>
          <w:tcPr>
            <w:tcW w:w="531" w:type="pct"/>
            <w:tcBorders>
              <w:tl2br w:val="nil"/>
              <w:tr2bl w:val="nil"/>
            </w:tcBorders>
            <w:noWrap w:val="0"/>
            <w:vAlign w:val="center"/>
          </w:tcPr>
          <w:p w14:paraId="65E3F20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78.38</w:t>
            </w:r>
          </w:p>
        </w:tc>
        <w:tc>
          <w:tcPr>
            <w:tcW w:w="747" w:type="pct"/>
            <w:tcBorders>
              <w:tl2br w:val="nil"/>
              <w:tr2bl w:val="nil"/>
            </w:tcBorders>
            <w:noWrap w:val="0"/>
            <w:vAlign w:val="center"/>
          </w:tcPr>
          <w:p w14:paraId="5900620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-75.94</w:t>
            </w:r>
          </w:p>
        </w:tc>
      </w:tr>
      <w:tr w14:paraId="71959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18" w:type="pct"/>
            <w:vMerge w:val="continue"/>
            <w:tcBorders>
              <w:tl2br w:val="nil"/>
              <w:tr2bl w:val="nil"/>
            </w:tcBorders>
            <w:noWrap w:val="0"/>
            <w:vAlign w:val="center"/>
          </w:tcPr>
          <w:p w14:paraId="3D1DFC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65" w:type="pct"/>
            <w:vMerge w:val="continue"/>
            <w:tcBorders>
              <w:tl2br w:val="nil"/>
              <w:tr2bl w:val="nil"/>
            </w:tcBorders>
            <w:noWrap w:val="0"/>
            <w:vAlign w:val="center"/>
          </w:tcPr>
          <w:p w14:paraId="31A24B3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51" w:type="pct"/>
            <w:tcBorders>
              <w:tl2br w:val="nil"/>
              <w:tr2bl w:val="nil"/>
            </w:tcBorders>
            <w:noWrap w:val="0"/>
            <w:vAlign w:val="center"/>
          </w:tcPr>
          <w:p w14:paraId="0877EC4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75%</w:t>
            </w:r>
          </w:p>
        </w:tc>
        <w:tc>
          <w:tcPr>
            <w:tcW w:w="670" w:type="pct"/>
            <w:tcBorders>
              <w:tl2br w:val="nil"/>
              <w:tr2bl w:val="nil"/>
            </w:tcBorders>
            <w:noWrap w:val="0"/>
            <w:vAlign w:val="center"/>
          </w:tcPr>
          <w:p w14:paraId="52438E0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1.94</w:t>
            </w:r>
          </w:p>
        </w:tc>
        <w:tc>
          <w:tcPr>
            <w:tcW w:w="457" w:type="pct"/>
            <w:tcBorders>
              <w:tl2br w:val="nil"/>
              <w:tr2bl w:val="nil"/>
            </w:tcBorders>
            <w:noWrap w:val="0"/>
            <w:vAlign w:val="center"/>
          </w:tcPr>
          <w:p w14:paraId="14FF5A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52.5</w:t>
            </w:r>
          </w:p>
        </w:tc>
        <w:tc>
          <w:tcPr>
            <w:tcW w:w="457" w:type="pct"/>
            <w:tcBorders>
              <w:tl2br w:val="nil"/>
              <w:tr2bl w:val="nil"/>
            </w:tcBorders>
            <w:noWrap w:val="0"/>
            <w:vAlign w:val="center"/>
          </w:tcPr>
          <w:p w14:paraId="286C3F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29.58</w:t>
            </w:r>
          </w:p>
        </w:tc>
        <w:tc>
          <w:tcPr>
            <w:tcW w:w="531" w:type="pct"/>
            <w:tcBorders>
              <w:tl2br w:val="nil"/>
              <w:tr2bl w:val="nil"/>
            </w:tcBorders>
            <w:noWrap w:val="0"/>
            <w:vAlign w:val="center"/>
          </w:tcPr>
          <w:p w14:paraId="2702165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82.08</w:t>
            </w:r>
          </w:p>
        </w:tc>
        <w:tc>
          <w:tcPr>
            <w:tcW w:w="747" w:type="pct"/>
            <w:tcBorders>
              <w:tl2br w:val="nil"/>
              <w:tr2bl w:val="nil"/>
            </w:tcBorders>
            <w:noWrap w:val="0"/>
            <w:vAlign w:val="center"/>
          </w:tcPr>
          <w:p w14:paraId="4299743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-80.14</w:t>
            </w:r>
          </w:p>
        </w:tc>
      </w:tr>
      <w:tr w14:paraId="0ACDC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18" w:type="pct"/>
            <w:vMerge w:val="restart"/>
            <w:tcBorders>
              <w:tl2br w:val="nil"/>
              <w:tr2bl w:val="nil"/>
            </w:tcBorders>
            <w:noWrap w:val="0"/>
            <w:vAlign w:val="center"/>
          </w:tcPr>
          <w:p w14:paraId="7DC6873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规划年</w:t>
            </w:r>
          </w:p>
        </w:tc>
        <w:tc>
          <w:tcPr>
            <w:tcW w:w="765" w:type="pct"/>
            <w:vMerge w:val="restart"/>
            <w:tcBorders>
              <w:tl2br w:val="nil"/>
              <w:tr2bl w:val="nil"/>
            </w:tcBorders>
            <w:noWrap w:val="0"/>
            <w:vAlign w:val="center"/>
          </w:tcPr>
          <w:p w14:paraId="793AF0E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2030</w:t>
            </w:r>
          </w:p>
        </w:tc>
        <w:tc>
          <w:tcPr>
            <w:tcW w:w="751" w:type="pct"/>
            <w:tcBorders>
              <w:tl2br w:val="nil"/>
              <w:tr2bl w:val="nil"/>
            </w:tcBorders>
            <w:noWrap w:val="0"/>
            <w:vAlign w:val="center"/>
          </w:tcPr>
          <w:p w14:paraId="5509B68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多年平均</w:t>
            </w:r>
          </w:p>
        </w:tc>
        <w:tc>
          <w:tcPr>
            <w:tcW w:w="670" w:type="pct"/>
            <w:tcBorders>
              <w:tl2br w:val="nil"/>
              <w:tr2bl w:val="nil"/>
            </w:tcBorders>
            <w:noWrap w:val="0"/>
            <w:vAlign w:val="center"/>
          </w:tcPr>
          <w:p w14:paraId="3B23A45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2.44</w:t>
            </w:r>
          </w:p>
        </w:tc>
        <w:tc>
          <w:tcPr>
            <w:tcW w:w="457" w:type="pct"/>
            <w:tcBorders>
              <w:tl2br w:val="nil"/>
              <w:tr2bl w:val="nil"/>
            </w:tcBorders>
            <w:noWrap w:val="0"/>
            <w:vAlign w:val="center"/>
          </w:tcPr>
          <w:p w14:paraId="77B9778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51.42</w:t>
            </w:r>
          </w:p>
        </w:tc>
        <w:tc>
          <w:tcPr>
            <w:tcW w:w="457" w:type="pct"/>
            <w:tcBorders>
              <w:tl2br w:val="nil"/>
              <w:tr2bl w:val="nil"/>
            </w:tcBorders>
            <w:noWrap w:val="0"/>
            <w:vAlign w:val="center"/>
          </w:tcPr>
          <w:p w14:paraId="164C321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28.64</w:t>
            </w:r>
          </w:p>
        </w:tc>
        <w:tc>
          <w:tcPr>
            <w:tcW w:w="531" w:type="pct"/>
            <w:tcBorders>
              <w:tl2br w:val="nil"/>
              <w:tr2bl w:val="nil"/>
            </w:tcBorders>
            <w:noWrap w:val="0"/>
            <w:vAlign w:val="center"/>
          </w:tcPr>
          <w:p w14:paraId="52BE7EE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80.06</w:t>
            </w:r>
          </w:p>
        </w:tc>
        <w:tc>
          <w:tcPr>
            <w:tcW w:w="747" w:type="pct"/>
            <w:tcBorders>
              <w:tl2br w:val="nil"/>
              <w:tr2bl w:val="nil"/>
            </w:tcBorders>
            <w:noWrap w:val="0"/>
            <w:vAlign w:val="center"/>
          </w:tcPr>
          <w:p w14:paraId="3CB1757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-77.62</w:t>
            </w:r>
          </w:p>
        </w:tc>
      </w:tr>
      <w:tr w14:paraId="68CD1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18" w:type="pct"/>
            <w:vMerge w:val="continue"/>
            <w:tcBorders>
              <w:tl2br w:val="nil"/>
              <w:tr2bl w:val="nil"/>
            </w:tcBorders>
            <w:noWrap w:val="0"/>
            <w:vAlign w:val="center"/>
          </w:tcPr>
          <w:p w14:paraId="3EC682E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65" w:type="pct"/>
            <w:vMerge w:val="continue"/>
            <w:tcBorders>
              <w:tl2br w:val="nil"/>
              <w:tr2bl w:val="nil"/>
            </w:tcBorders>
            <w:noWrap w:val="0"/>
            <w:vAlign w:val="center"/>
          </w:tcPr>
          <w:p w14:paraId="6E83A2F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51" w:type="pct"/>
            <w:tcBorders>
              <w:tl2br w:val="nil"/>
              <w:tr2bl w:val="nil"/>
            </w:tcBorders>
            <w:noWrap w:val="0"/>
            <w:vAlign w:val="center"/>
          </w:tcPr>
          <w:p w14:paraId="6873148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75%</w:t>
            </w:r>
          </w:p>
        </w:tc>
        <w:tc>
          <w:tcPr>
            <w:tcW w:w="670" w:type="pct"/>
            <w:tcBorders>
              <w:tl2br w:val="nil"/>
              <w:tr2bl w:val="nil"/>
            </w:tcBorders>
            <w:noWrap w:val="0"/>
            <w:vAlign w:val="center"/>
          </w:tcPr>
          <w:p w14:paraId="1A54FC4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1.94</w:t>
            </w:r>
          </w:p>
        </w:tc>
        <w:tc>
          <w:tcPr>
            <w:tcW w:w="457" w:type="pct"/>
            <w:tcBorders>
              <w:tl2br w:val="nil"/>
              <w:tr2bl w:val="nil"/>
            </w:tcBorders>
            <w:noWrap w:val="0"/>
            <w:vAlign w:val="center"/>
          </w:tcPr>
          <w:p w14:paraId="4066408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57.5</w:t>
            </w:r>
          </w:p>
        </w:tc>
        <w:tc>
          <w:tcPr>
            <w:tcW w:w="457" w:type="pct"/>
            <w:tcBorders>
              <w:tl2br w:val="nil"/>
              <w:tr2bl w:val="nil"/>
            </w:tcBorders>
            <w:noWrap w:val="0"/>
            <w:vAlign w:val="center"/>
          </w:tcPr>
          <w:p w14:paraId="6A01B45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28.64</w:t>
            </w:r>
          </w:p>
        </w:tc>
        <w:tc>
          <w:tcPr>
            <w:tcW w:w="531" w:type="pct"/>
            <w:tcBorders>
              <w:tl2br w:val="nil"/>
              <w:tr2bl w:val="nil"/>
            </w:tcBorders>
            <w:noWrap w:val="0"/>
            <w:vAlign w:val="center"/>
          </w:tcPr>
          <w:p w14:paraId="536414A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86.14</w:t>
            </w:r>
          </w:p>
        </w:tc>
        <w:tc>
          <w:tcPr>
            <w:tcW w:w="747" w:type="pct"/>
            <w:tcBorders>
              <w:tl2br w:val="nil"/>
              <w:tr2bl w:val="nil"/>
            </w:tcBorders>
            <w:noWrap w:val="0"/>
            <w:vAlign w:val="center"/>
          </w:tcPr>
          <w:p w14:paraId="4F40ABE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-84.20</w:t>
            </w:r>
          </w:p>
        </w:tc>
      </w:tr>
    </w:tbl>
    <w:p w14:paraId="713CAC0D">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lang w:val="en-US" w:eastAsia="zh-CN"/>
        </w:rPr>
      </w:pPr>
    </w:p>
    <w:p w14:paraId="40A0B0CF">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4.4.3规划水资源配置</w:t>
      </w:r>
    </w:p>
    <w:p w14:paraId="0BCC8C6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color w:val="auto"/>
          <w:sz w:val="26"/>
          <w:szCs w:val="26"/>
          <w:lang w:val="zh-CN" w:eastAsia="zh-CN"/>
        </w:rPr>
      </w:pPr>
      <w:r>
        <w:rPr>
          <w:rFonts w:hint="eastAsia" w:ascii="Arial" w:hAnsi="Arial" w:cs="Arial"/>
          <w:color w:val="auto"/>
          <w:sz w:val="26"/>
          <w:szCs w:val="26"/>
          <w:lang w:val="zh-CN" w:eastAsia="zh-CN"/>
        </w:rPr>
        <w:t>结合项目所在地缺水区的分布情况，决定新建海螺沟水库工程来解决区域缺水问题。由表</w:t>
      </w:r>
      <w:r>
        <w:rPr>
          <w:rFonts w:hint="eastAsia" w:ascii="Arial" w:hAnsi="Arial" w:cs="Arial"/>
          <w:color w:val="auto"/>
          <w:sz w:val="26"/>
          <w:szCs w:val="26"/>
          <w:lang w:val="en-US" w:eastAsia="zh-CN"/>
        </w:rPr>
        <w:t>4.4-2可知，至规划水平年，项目区多年平均缺水量为77.62万m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，海螺沟水库建成后可供水量为76.28万m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，供</w:t>
      </w:r>
      <w:r>
        <w:rPr>
          <w:rFonts w:hint="default" w:ascii="Arial" w:hAnsi="Arial" w:cs="Arial"/>
          <w:color w:val="auto"/>
          <w:sz w:val="26"/>
          <w:szCs w:val="26"/>
          <w:lang w:val="en-US" w:eastAsia="zh-CN"/>
        </w:rPr>
        <w:t>水量</w:t>
      </w:r>
      <w:r>
        <w:rPr>
          <w:rFonts w:hint="eastAsia" w:ascii="Arial" w:hAnsi="Arial" w:cs="Arial"/>
          <w:color w:val="auto"/>
          <w:sz w:val="26"/>
          <w:szCs w:val="26"/>
          <w:lang w:val="en-US" w:eastAsia="zh-CN"/>
        </w:rPr>
        <w:t>基本可解决</w:t>
      </w:r>
      <w:r>
        <w:rPr>
          <w:rFonts w:hint="default" w:ascii="Arial" w:hAnsi="Arial" w:cs="Arial"/>
          <w:color w:val="auto"/>
          <w:sz w:val="26"/>
          <w:szCs w:val="26"/>
          <w:lang w:val="en-US" w:eastAsia="zh-CN"/>
        </w:rPr>
        <w:t>供区</w:t>
      </w:r>
      <w:r>
        <w:rPr>
          <w:rFonts w:hint="eastAsia" w:ascii="Arial" w:hAnsi="Arial" w:cs="Arial"/>
          <w:color w:val="auto"/>
          <w:sz w:val="26"/>
          <w:szCs w:val="26"/>
          <w:lang w:val="en-US" w:eastAsia="zh-CN"/>
        </w:rPr>
        <w:t>缺水需求，同时，海螺沟水库</w:t>
      </w:r>
      <w:r>
        <w:rPr>
          <w:rFonts w:hint="default" w:ascii="Arial" w:hAnsi="Arial" w:cs="Arial"/>
          <w:color w:val="auto"/>
          <w:sz w:val="26"/>
          <w:szCs w:val="26"/>
          <w:lang w:val="en-US" w:eastAsia="zh-CN"/>
        </w:rPr>
        <w:t>库区人口密度很小，水质较好，成库条件好，无生态红线、基本农田等制约性因素</w:t>
      </w:r>
      <w:r>
        <w:rPr>
          <w:rFonts w:hint="eastAsia" w:ascii="Arial" w:hAnsi="Arial" w:cs="Arial"/>
          <w:color w:val="auto"/>
          <w:sz w:val="26"/>
          <w:szCs w:val="26"/>
          <w:lang w:val="en-US" w:eastAsia="zh-CN"/>
        </w:rPr>
        <w:t>；且海螺沟水库取水高程分布在405.5m以上，可满足重力自流供水的要求，降低了运行成本</w:t>
      </w:r>
      <w:r>
        <w:rPr>
          <w:rFonts w:hint="default" w:ascii="Arial" w:hAnsi="Arial" w:cs="Arial"/>
          <w:color w:val="auto"/>
          <w:sz w:val="26"/>
          <w:szCs w:val="26"/>
          <w:lang w:val="en-US" w:eastAsia="zh-CN"/>
        </w:rPr>
        <w:t>。</w:t>
      </w:r>
    </w:p>
    <w:p w14:paraId="1DE3225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br w:type="page"/>
      </w:r>
    </w:p>
    <w:p w14:paraId="25032B16">
      <w:pPr>
        <w:keepNext w:val="0"/>
        <w:keepLines w:val="0"/>
        <w:pageBreakBefore w:val="0"/>
        <w:widowControl w:val="0"/>
        <w:kinsoku/>
        <w:wordWrap/>
        <w:overflowPunct/>
        <w:topLinePunct w:val="0"/>
        <w:autoSpaceDE/>
        <w:autoSpaceDN/>
        <w:bidi w:val="0"/>
        <w:adjustRightInd w:val="0"/>
        <w:snapToGrid w:val="0"/>
        <w:spacing w:before="0" w:beforeLines="100" w:after="0" w:afterLines="100" w:line="460" w:lineRule="exact"/>
        <w:ind w:firstLine="0" w:firstLineChars="0"/>
        <w:jc w:val="center"/>
        <w:textAlignment w:val="auto"/>
        <w:outlineLvl w:val="0"/>
        <w:rPr>
          <w:b/>
          <w:sz w:val="26"/>
          <w:szCs w:val="26"/>
        </w:rPr>
      </w:pPr>
      <w:bookmarkStart w:id="112" w:name="_Toc18066"/>
      <w:r>
        <w:rPr>
          <w:rFonts w:hint="default" w:ascii="Arial" w:hAnsi="Arial" w:eastAsia="宋体" w:cs="Arial"/>
          <w:b/>
          <w:kern w:val="0"/>
          <w:sz w:val="26"/>
          <w:szCs w:val="26"/>
          <w:lang w:val="en-US" w:eastAsia="zh-CN" w:bidi="ar-SA"/>
        </w:rPr>
        <w:t>5 施工期环境影响分析</w:t>
      </w:r>
      <w:bookmarkEnd w:id="112"/>
    </w:p>
    <w:p w14:paraId="6A3A6AC4">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rPr>
      </w:pPr>
      <w:bookmarkStart w:id="113" w:name="_Toc30742"/>
      <w:r>
        <w:rPr>
          <w:rFonts w:hint="default" w:ascii="Arial" w:hAnsi="Arial" w:eastAsia="宋体" w:cs="Arial"/>
          <w:sz w:val="26"/>
          <w:szCs w:val="26"/>
        </w:rPr>
        <w:t>5.1</w:t>
      </w:r>
      <w:r>
        <w:rPr>
          <w:rFonts w:hint="eastAsia" w:ascii="Arial" w:hAnsi="Arial" w:eastAsia="宋体" w:cs="Arial"/>
          <w:sz w:val="26"/>
          <w:szCs w:val="26"/>
        </w:rPr>
        <w:t>施工期</w:t>
      </w:r>
      <w:r>
        <w:rPr>
          <w:rFonts w:hint="eastAsia" w:ascii="Arial" w:hAnsi="Arial" w:cs="Arial"/>
          <w:sz w:val="26"/>
          <w:szCs w:val="26"/>
          <w:lang w:eastAsia="zh-CN"/>
        </w:rPr>
        <w:t>地表水环境影响分析</w:t>
      </w:r>
      <w:bookmarkEnd w:id="113"/>
    </w:p>
    <w:p w14:paraId="191DD1D5">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default" w:ascii="Arial" w:hAnsi="Arial" w:eastAsia="宋体" w:cs="Arial"/>
          <w:b/>
          <w:bCs w:val="0"/>
          <w:kern w:val="0"/>
          <w:sz w:val="26"/>
          <w:szCs w:val="26"/>
          <w:lang w:val="en-US" w:eastAsia="zh-CN" w:bidi="ar-SA"/>
        </w:rPr>
        <w:t>5.1.1</w:t>
      </w:r>
      <w:r>
        <w:rPr>
          <w:rFonts w:hint="eastAsia" w:ascii="Arial" w:hAnsi="Arial" w:eastAsia="宋体" w:cs="Arial"/>
          <w:b/>
          <w:bCs w:val="0"/>
          <w:kern w:val="0"/>
          <w:sz w:val="26"/>
          <w:szCs w:val="26"/>
          <w:lang w:val="en-US" w:eastAsia="zh-CN" w:bidi="ar-SA"/>
        </w:rPr>
        <w:t>施工污废水对地表水环境的影响分析</w:t>
      </w:r>
    </w:p>
    <w:p w14:paraId="19AA8E2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outlineLvl w:val="2"/>
        <w:rPr>
          <w:rFonts w:hint="eastAsia" w:ascii="Arial" w:hAnsi="Arial" w:cs="Arial"/>
          <w:b w:val="0"/>
          <w:bCs/>
          <w:sz w:val="26"/>
          <w:szCs w:val="26"/>
          <w:lang w:val="en-US" w:eastAsia="zh-CN"/>
        </w:rPr>
      </w:pPr>
      <w:r>
        <w:rPr>
          <w:rFonts w:hint="eastAsia" w:ascii="Arial" w:hAnsi="Arial" w:cs="Arial"/>
          <w:b w:val="0"/>
          <w:bCs/>
          <w:sz w:val="26"/>
          <w:szCs w:val="26"/>
          <w:lang w:val="en-US" w:eastAsia="zh-CN"/>
        </w:rPr>
        <w:t>项目施工废水主要为混凝土拌合系统废水、基坑废水、车辆及施工设备冲洗等产生的含油废水、管道试压废水等生产废水，以及施工场地初期雨水和施工人员产生的生活污水。</w:t>
      </w:r>
    </w:p>
    <w:p w14:paraId="2655202E">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（1）混凝土拌合系统废水</w:t>
      </w:r>
    </w:p>
    <w:p w14:paraId="101B637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混凝土加工系统废水来源于混凝土转筒和料罐的冲洗、混凝土养护废水，混凝土浇筑养护也会产生少量废水，均为碱性废水，主要污染因子为pH、SS，由截排水沟收集后，经pH调节+隔油沉淀池处理后，上清液可回用作混凝土拌合、养护等生产用水，或抑尘洒水，不外排。</w:t>
      </w:r>
    </w:p>
    <w:p w14:paraId="5FB867F4">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（2）基坑废水</w:t>
      </w:r>
    </w:p>
    <w:p w14:paraId="6308A61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color w:val="auto"/>
          <w:sz w:val="26"/>
          <w:szCs w:val="26"/>
          <w:lang w:val="en-US" w:eastAsia="zh-CN"/>
        </w:rPr>
      </w:pPr>
      <w:r>
        <w:rPr>
          <w:rFonts w:hint="eastAsia" w:ascii="Arial" w:hAnsi="Arial" w:eastAsia="宋体" w:cs="Arial"/>
          <w:b w:val="0"/>
          <w:bCs/>
          <w:sz w:val="26"/>
          <w:szCs w:val="26"/>
          <w:lang w:val="en-US" w:eastAsia="zh-CN"/>
        </w:rPr>
        <w:t>基坑排水分初期和经常性排水，初期排水以天然水体为主，污染物种类少、含量低，和天然河道水体水质相近，泵入下游河道后对河流水质影响较小。经常性排水</w:t>
      </w:r>
      <w:r>
        <w:rPr>
          <w:rFonts w:ascii="Arial" w:cs="Arial"/>
          <w:b w:val="0"/>
          <w:bCs/>
          <w:color w:val="auto"/>
          <w:sz w:val="26"/>
          <w:szCs w:val="26"/>
        </w:rPr>
        <w:t>主要</w:t>
      </w:r>
      <w:r>
        <w:rPr>
          <w:rFonts w:hint="eastAsia" w:ascii="Arial" w:cs="Arial"/>
          <w:b w:val="0"/>
          <w:bCs/>
          <w:color w:val="auto"/>
          <w:sz w:val="26"/>
          <w:szCs w:val="26"/>
          <w:lang w:eastAsia="zh-CN"/>
        </w:rPr>
        <w:t>受</w:t>
      </w:r>
      <w:r>
        <w:rPr>
          <w:rFonts w:ascii="Arial" w:cs="Arial"/>
          <w:b w:val="0"/>
          <w:bCs/>
          <w:color w:val="auto"/>
          <w:sz w:val="26"/>
          <w:szCs w:val="26"/>
        </w:rPr>
        <w:t>堰体渗水</w:t>
      </w:r>
      <w:r>
        <w:rPr>
          <w:rFonts w:hint="eastAsia" w:ascii="Arial" w:cs="Arial"/>
          <w:b w:val="0"/>
          <w:bCs/>
          <w:color w:val="auto"/>
          <w:sz w:val="26"/>
          <w:szCs w:val="26"/>
          <w:lang w:eastAsia="zh-CN"/>
        </w:rPr>
        <w:t>施工废水（主要是混凝土养护废水）</w:t>
      </w:r>
      <w:r>
        <w:rPr>
          <w:rFonts w:ascii="Arial" w:cs="Arial"/>
          <w:b w:val="0"/>
          <w:bCs/>
          <w:color w:val="auto"/>
          <w:sz w:val="26"/>
          <w:szCs w:val="26"/>
        </w:rPr>
        <w:t>和大气降水等</w:t>
      </w:r>
      <w:r>
        <w:rPr>
          <w:rFonts w:hint="eastAsia" w:ascii="Arial" w:cs="Arial"/>
          <w:b w:val="0"/>
          <w:bCs/>
          <w:color w:val="auto"/>
          <w:sz w:val="26"/>
          <w:szCs w:val="26"/>
          <w:lang w:eastAsia="zh-CN"/>
        </w:rPr>
        <w:t>因素影响</w:t>
      </w:r>
      <w:r>
        <w:rPr>
          <w:rFonts w:ascii="Arial" w:cs="Arial"/>
          <w:b w:val="0"/>
          <w:bCs/>
          <w:color w:val="auto"/>
          <w:sz w:val="26"/>
          <w:szCs w:val="26"/>
        </w:rPr>
        <w:t>，</w:t>
      </w:r>
      <w:r>
        <w:rPr>
          <w:rFonts w:hint="eastAsia" w:ascii="Arial" w:hAnsi="Arial" w:cs="Arial"/>
          <w:b w:val="0"/>
          <w:bCs/>
          <w:color w:val="auto"/>
          <w:sz w:val="26"/>
          <w:szCs w:val="26"/>
          <w:lang w:val="en-US" w:eastAsia="zh-CN"/>
        </w:rPr>
        <w:t>主要污染物为SS，经截水沟、集水坑收集沉淀处理后，上清液可用作施工用水，多余部分泵入下游河道。同时，输水管线穿越河道时尽量采用顶管、定向钻等不涉水施工工艺，</w:t>
      </w:r>
      <w:r>
        <w:rPr>
          <w:rFonts w:hint="eastAsia" w:ascii="Arial" w:hAnsi="宋体" w:cs="Arial"/>
          <w:b w:val="0"/>
          <w:bCs/>
          <w:color w:val="auto"/>
          <w:spacing w:val="-4"/>
          <w:sz w:val="26"/>
          <w:szCs w:val="26"/>
        </w:rPr>
        <w:t>设置围挡，严格控制施工活动，做好废弃土石方的收集处理工作，严禁向</w:t>
      </w:r>
      <w:r>
        <w:rPr>
          <w:rFonts w:hint="eastAsia" w:ascii="Arial" w:hAnsi="宋体" w:cs="Arial"/>
          <w:b w:val="0"/>
          <w:bCs/>
          <w:color w:val="auto"/>
          <w:spacing w:val="-4"/>
          <w:sz w:val="26"/>
          <w:szCs w:val="26"/>
          <w:lang w:eastAsia="zh-CN"/>
        </w:rPr>
        <w:t>河道</w:t>
      </w:r>
      <w:r>
        <w:rPr>
          <w:rFonts w:hint="eastAsia" w:ascii="Arial" w:hAnsi="宋体" w:cs="Arial"/>
          <w:b w:val="0"/>
          <w:bCs/>
          <w:color w:val="auto"/>
          <w:spacing w:val="-4"/>
          <w:sz w:val="26"/>
          <w:szCs w:val="26"/>
        </w:rPr>
        <w:t>内倾倒废渣，减轻涉水作业对</w:t>
      </w:r>
      <w:r>
        <w:rPr>
          <w:rFonts w:hint="eastAsia" w:ascii="Arial" w:hAnsi="宋体" w:cs="Arial"/>
          <w:b w:val="0"/>
          <w:bCs/>
          <w:color w:val="auto"/>
          <w:spacing w:val="-4"/>
          <w:sz w:val="26"/>
          <w:szCs w:val="26"/>
          <w:lang w:eastAsia="zh-CN"/>
        </w:rPr>
        <w:t>河道</w:t>
      </w:r>
      <w:r>
        <w:rPr>
          <w:rFonts w:hint="eastAsia" w:ascii="Arial" w:hAnsi="宋体" w:cs="Arial"/>
          <w:b w:val="0"/>
          <w:bCs/>
          <w:color w:val="auto"/>
          <w:spacing w:val="-4"/>
          <w:sz w:val="26"/>
          <w:szCs w:val="26"/>
        </w:rPr>
        <w:t>水质影响。</w:t>
      </w:r>
    </w:p>
    <w:p w14:paraId="68B7EADB">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（3）含油废水</w:t>
      </w:r>
    </w:p>
    <w:p w14:paraId="027DC49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eastAsia="宋体" w:cs="Arial"/>
          <w:b w:val="0"/>
          <w:bCs/>
          <w:sz w:val="26"/>
          <w:szCs w:val="26"/>
          <w:lang w:eastAsia="zh-CN"/>
        </w:rPr>
      </w:pPr>
      <w:r>
        <w:rPr>
          <w:rFonts w:hint="eastAsia" w:ascii="Arial" w:hAnsi="Arial" w:eastAsia="宋体" w:cs="Arial"/>
          <w:b w:val="0"/>
          <w:bCs/>
          <w:sz w:val="26"/>
          <w:szCs w:val="26"/>
          <w:lang w:val="en-US" w:eastAsia="zh-CN"/>
        </w:rPr>
        <w:t>施工机械、运输车辆在保养、冲洗过程中均会有含油废水产生，主要污染因子为石油类、SS，间歇产生。</w:t>
      </w:r>
      <w:r>
        <w:rPr>
          <w:rFonts w:ascii="Arial" w:cs="Arial"/>
          <w:b w:val="0"/>
          <w:bCs/>
          <w:sz w:val="26"/>
          <w:szCs w:val="26"/>
        </w:rPr>
        <w:t>含油废水直接排放会对土壤的理化性质产生影响，对周边农作物的生长不利，造成农作物减产。因此，为避免含油废水对周边农田及农作物的不利影响，有利于工程结束后施工迹地的恢复，保证施工占地复耕后的土地质量，</w:t>
      </w:r>
      <w:r>
        <w:rPr>
          <w:rFonts w:hint="eastAsia" w:ascii="Arial" w:cs="Arial"/>
          <w:b w:val="0"/>
          <w:bCs/>
          <w:sz w:val="26"/>
          <w:szCs w:val="26"/>
          <w:lang w:eastAsia="zh-CN"/>
        </w:rPr>
        <w:t>枢纽工程、输水工程施工场地内均设置隔油池，将含油废水收集处理后全部回用，不外排。</w:t>
      </w:r>
    </w:p>
    <w:p w14:paraId="4EA0F435">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（4）初期雨水</w:t>
      </w:r>
    </w:p>
    <w:p w14:paraId="7758E2A1">
      <w:pPr>
        <w:spacing w:line="460" w:lineRule="exact"/>
        <w:ind w:firstLine="520" w:firstLineChars="200"/>
        <w:rPr>
          <w:rFonts w:hint="eastAsia" w:ascii="Arial" w:cs="Arial"/>
          <w:sz w:val="26"/>
          <w:szCs w:val="26"/>
          <w:lang w:eastAsia="zh-CN"/>
        </w:rPr>
      </w:pPr>
      <w:r>
        <w:rPr>
          <w:rFonts w:hint="eastAsia" w:ascii="Arial" w:cs="Arial"/>
          <w:b w:val="0"/>
          <w:bCs/>
          <w:sz w:val="26"/>
          <w:szCs w:val="26"/>
          <w:lang w:eastAsia="zh-CN"/>
        </w:rPr>
        <w:t>项目施工期遇雨天产生初期雨水，会伴有泥沙形成“黄泥水”，此类地表径流中的主要污染物为SS，其浓度取决于降雨强度、浮土量和前期干旱时间等多种因素。根据国内研究资料和评价资料统计，初期雨水对水体的污染多发生在一次降雨的初期，一般来说，降雨初期到形成地表径流的30min内，地表径流中的SS浓度比较高，30min后，其浓度随降雨历时的延长下降较快，SS 浓度一般在300</w:t>
      </w:r>
      <w:r>
        <w:rPr>
          <w:rFonts w:hint="eastAsia" w:ascii="Arial" w:cs="Arial"/>
          <w:b w:val="0"/>
          <w:bCs/>
          <w:sz w:val="26"/>
          <w:szCs w:val="26"/>
          <w:lang w:val="en-US" w:eastAsia="zh-CN"/>
        </w:rPr>
        <w:t>~</w:t>
      </w:r>
      <w:r>
        <w:rPr>
          <w:rFonts w:hint="eastAsia" w:ascii="Arial" w:cs="Arial"/>
          <w:b w:val="0"/>
          <w:bCs/>
          <w:sz w:val="26"/>
          <w:szCs w:val="26"/>
          <w:lang w:eastAsia="zh-CN"/>
        </w:rPr>
        <w:t>700mg</w:t>
      </w:r>
      <w:r>
        <w:rPr>
          <w:rFonts w:hint="eastAsia" w:ascii="Arial" w:cs="Arial"/>
          <w:b w:val="0"/>
          <w:bCs/>
          <w:sz w:val="26"/>
          <w:szCs w:val="26"/>
          <w:lang w:val="en-US" w:eastAsia="zh-CN"/>
        </w:rPr>
        <w:t>/</w:t>
      </w:r>
      <w:r>
        <w:rPr>
          <w:rFonts w:hint="eastAsia" w:ascii="Arial" w:cs="Arial"/>
          <w:b w:val="0"/>
          <w:bCs/>
          <w:sz w:val="26"/>
          <w:szCs w:val="26"/>
          <w:lang w:eastAsia="zh-CN"/>
        </w:rPr>
        <w:t>L。主要发生区域为施工临时用地区，尤其是砂石料及土方堆放场所，若不加以处理大量含泥沙废水进入附近水体会导致水体中SS 浓度升高。因此，施工单位需在</w:t>
      </w:r>
      <w:r>
        <w:rPr>
          <w:rFonts w:hint="eastAsia" w:ascii="Arial" w:cs="Arial"/>
          <w:sz w:val="26"/>
          <w:szCs w:val="26"/>
          <w:lang w:eastAsia="zh-CN"/>
        </w:rPr>
        <w:t>各施工作业点地势较高一侧设置截水沟，在场地地势较低一侧设置排水沟和沉砂池，一方面减少场地雨水汇入量，二是将初期雨水沉淀后回用作施工用水或排入环境。</w:t>
      </w:r>
    </w:p>
    <w:p w14:paraId="7407ED95">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eastAsia"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（5）生活污水</w:t>
      </w:r>
    </w:p>
    <w:p w14:paraId="72EF07F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outlineLvl w:val="2"/>
        <w:rPr>
          <w:rFonts w:hint="eastAsia" w:ascii="Arial" w:hAnsi="Arial" w:eastAsia="宋体" w:cs="Arial"/>
          <w:b/>
          <w:bCs w:val="0"/>
          <w:kern w:val="0"/>
          <w:sz w:val="26"/>
          <w:szCs w:val="26"/>
          <w:lang w:val="en-US" w:eastAsia="zh-CN" w:bidi="ar-SA"/>
        </w:rPr>
      </w:pPr>
      <w:r>
        <w:rPr>
          <w:rFonts w:ascii="Arial" w:cs="Arial"/>
          <w:sz w:val="26"/>
          <w:szCs w:val="26"/>
        </w:rPr>
        <w:t>本项目施工期枢纽工程、输水管线工程施工区内生活污水产生量合计约</w:t>
      </w:r>
      <w:r>
        <w:rPr>
          <w:rFonts w:hint="eastAsia" w:ascii="Arial" w:hAnsi="Arial" w:cs="Arial"/>
          <w:sz w:val="26"/>
          <w:szCs w:val="26"/>
          <w:lang w:val="en-US" w:eastAsia="zh-CN"/>
        </w:rPr>
        <w:t>11.7</w:t>
      </w:r>
      <w:r>
        <w:rPr>
          <w:rFonts w:ascii="Arial" w:hAnsi="Arial" w:cs="Arial"/>
          <w:sz w:val="26"/>
          <w:szCs w:val="26"/>
        </w:rPr>
        <w:t>m</w:t>
      </w:r>
      <w:r>
        <w:rPr>
          <w:rFonts w:ascii="Arial" w:hAnsi="Arial" w:cs="Arial"/>
          <w:sz w:val="26"/>
          <w:szCs w:val="26"/>
          <w:vertAlign w:val="superscript"/>
        </w:rPr>
        <w:t>3</w:t>
      </w:r>
      <w:r>
        <w:rPr>
          <w:rFonts w:ascii="Arial" w:hAnsi="Arial" w:cs="Arial"/>
          <w:sz w:val="26"/>
          <w:szCs w:val="26"/>
        </w:rPr>
        <w:t>/d</w:t>
      </w:r>
      <w:r>
        <w:rPr>
          <w:rFonts w:hint="eastAsia" w:ascii="Arial" w:cs="Arial"/>
          <w:sz w:val="26"/>
          <w:szCs w:val="26"/>
        </w:rPr>
        <w:t>。</w:t>
      </w:r>
      <w:r>
        <w:rPr>
          <w:rFonts w:hint="eastAsia" w:ascii="Arial" w:cs="Arial"/>
          <w:b w:val="0"/>
          <w:bCs/>
          <w:sz w:val="26"/>
          <w:szCs w:val="26"/>
          <w:lang w:eastAsia="zh-CN"/>
        </w:rPr>
        <w:t>经租赁居民房屋内已有的旱厕收集处理后，全部用作农肥，不外排。根据现场勘查，项目地处山区，周围农耕作业覆盖范围大，有足够的田地可消纳本项目经处理后的生活污水。</w:t>
      </w:r>
    </w:p>
    <w:p w14:paraId="64548D5D">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（6）管道试压废水</w:t>
      </w:r>
    </w:p>
    <w:p w14:paraId="30AD3D2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Times New Roman" w:eastAsia="宋体" w:cs="Arial"/>
          <w:b w:val="0"/>
          <w:bCs/>
          <w:kern w:val="2"/>
          <w:sz w:val="26"/>
          <w:szCs w:val="26"/>
          <w:lang w:val="en-US" w:eastAsia="zh-CN" w:bidi="ar-SA"/>
        </w:rPr>
      </w:pPr>
      <w:r>
        <w:rPr>
          <w:rFonts w:hint="eastAsia" w:ascii="Arial" w:hAnsi="Times New Roman" w:eastAsia="宋体" w:cs="Arial"/>
          <w:b w:val="0"/>
          <w:bCs/>
          <w:kern w:val="2"/>
          <w:sz w:val="26"/>
          <w:szCs w:val="26"/>
          <w:lang w:val="en-US" w:eastAsia="zh-CN" w:bidi="ar-SA"/>
        </w:rPr>
        <w:t>输送管道敷设完成后，将按照《给水排水管道工程施工及验收规范》（GB50268-2008）进行试压作业，试压采用河道清水，且试压点相对分散，局部排水量小，试压排水水质较好，属于清净下水，可直接用于浇灌周边林草，无污废水产生。</w:t>
      </w:r>
    </w:p>
    <w:p w14:paraId="3D283AA4">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（7）小结</w:t>
      </w:r>
    </w:p>
    <w:p w14:paraId="76BC614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cs="Arial"/>
          <w:b w:val="0"/>
          <w:bCs/>
          <w:sz w:val="26"/>
          <w:szCs w:val="26"/>
          <w:lang w:eastAsia="zh-CN"/>
        </w:rPr>
        <w:t>在采取上述措施后，，拟建项目施工期污废水可得到有效控制，对地表水环境影响很小。</w:t>
      </w:r>
    </w:p>
    <w:p w14:paraId="4F355368">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default" w:ascii="Arial" w:hAnsi="Arial" w:eastAsia="宋体" w:cs="Arial"/>
          <w:b/>
          <w:bCs w:val="0"/>
          <w:kern w:val="0"/>
          <w:sz w:val="26"/>
          <w:szCs w:val="26"/>
          <w:lang w:val="en-US" w:eastAsia="zh-CN" w:bidi="ar-SA"/>
        </w:rPr>
        <w:t>5.1.</w:t>
      </w:r>
      <w:r>
        <w:rPr>
          <w:rFonts w:hint="eastAsia" w:ascii="Arial" w:hAnsi="Arial" w:eastAsia="宋体" w:cs="Arial"/>
          <w:b/>
          <w:bCs w:val="0"/>
          <w:kern w:val="0"/>
          <w:sz w:val="26"/>
          <w:szCs w:val="26"/>
          <w:lang w:val="en-US" w:eastAsia="zh-CN" w:bidi="ar-SA"/>
        </w:rPr>
        <w:t>2施工导流对地表水环境的影响分析</w:t>
      </w:r>
    </w:p>
    <w:p w14:paraId="113BA2BF">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eastAsia="宋体" w:cs="Arial"/>
          <w:b w:val="0"/>
          <w:bCs/>
          <w:sz w:val="26"/>
          <w:szCs w:val="26"/>
          <w:lang w:eastAsia="zh-CN"/>
        </w:rPr>
      </w:pPr>
      <w:r>
        <w:rPr>
          <w:rFonts w:hint="eastAsia" w:ascii="Arial" w:eastAsia="宋体" w:cs="Arial"/>
          <w:b w:val="0"/>
          <w:bCs/>
          <w:sz w:val="26"/>
          <w:szCs w:val="26"/>
          <w:lang w:eastAsia="zh-CN"/>
        </w:rPr>
        <w:t>施工导流采用上、下游围堰预留缺口和导流底孔联合导流。搭建围堰的土石进入水体将造成局部地表水环境中SS浓度增高，对地表水水质产生一定不利影响。</w:t>
      </w:r>
    </w:p>
    <w:p w14:paraId="01DDEDE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eastAsia="宋体" w:cs="Arial"/>
          <w:b w:val="0"/>
          <w:bCs/>
          <w:sz w:val="26"/>
          <w:szCs w:val="26"/>
          <w:lang w:eastAsia="zh-CN"/>
        </w:rPr>
      </w:pPr>
      <w:r>
        <w:rPr>
          <w:rFonts w:hint="eastAsia" w:ascii="Arial" w:eastAsia="宋体" w:cs="Arial"/>
          <w:b w:val="0"/>
          <w:bCs/>
          <w:sz w:val="26"/>
          <w:szCs w:val="26"/>
          <w:lang w:eastAsia="zh-CN"/>
        </w:rPr>
        <w:t>考虑围堰在枯水期施工搭建，直接影响的地表水水面面积较小，且围堰搭建周期较短，对地表水环境造成的不利影响空间、时间有限，对地表水水质影响较小。</w:t>
      </w:r>
    </w:p>
    <w:p w14:paraId="3BA0851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eastAsia="宋体" w:cs="Arial"/>
          <w:sz w:val="26"/>
          <w:szCs w:val="26"/>
          <w:lang w:val="en-US" w:eastAsia="zh-CN"/>
        </w:rPr>
        <w:t>2</w:t>
      </w:r>
      <w:r>
        <w:rPr>
          <w:rFonts w:hint="eastAsia" w:ascii="Arial" w:hAnsi="Arial" w:eastAsia="宋体" w:cs="Arial"/>
          <w:sz w:val="26"/>
          <w:szCs w:val="26"/>
        </w:rPr>
        <w:t>施工期</w:t>
      </w:r>
      <w:r>
        <w:rPr>
          <w:rFonts w:hint="eastAsia" w:ascii="Arial" w:hAnsi="Arial" w:cs="Arial"/>
          <w:sz w:val="26"/>
          <w:szCs w:val="26"/>
          <w:lang w:eastAsia="zh-CN"/>
        </w:rPr>
        <w:t>地下水环境影响分析</w:t>
      </w:r>
    </w:p>
    <w:p w14:paraId="337E60A4">
      <w:pPr>
        <w:spacing w:line="460" w:lineRule="exact"/>
        <w:ind w:firstLine="520" w:firstLineChars="200"/>
        <w:rPr>
          <w:rFonts w:hint="eastAsia" w:ascii="Arial" w:hAnsi="宋体" w:cs="Arial"/>
          <w:b w:val="0"/>
          <w:bCs w:val="0"/>
          <w:sz w:val="26"/>
          <w:szCs w:val="26"/>
        </w:rPr>
      </w:pPr>
      <w:r>
        <w:rPr>
          <w:rFonts w:hint="eastAsia" w:ascii="Arial" w:hAnsi="宋体" w:cs="Arial"/>
          <w:b w:val="0"/>
          <w:bCs w:val="0"/>
          <w:sz w:val="26"/>
          <w:szCs w:val="26"/>
        </w:rPr>
        <w:t>施工期间，枢纽工程、输水工程施工场地均存放有少量施工机械用</w:t>
      </w:r>
      <w:r>
        <w:rPr>
          <w:rFonts w:hint="eastAsia" w:ascii="Arial" w:hAnsi="宋体" w:cs="Arial"/>
          <w:b w:val="0"/>
          <w:bCs w:val="0"/>
          <w:sz w:val="26"/>
          <w:szCs w:val="26"/>
          <w:lang w:eastAsia="zh-CN"/>
        </w:rPr>
        <w:t>燃</w:t>
      </w:r>
      <w:r>
        <w:rPr>
          <w:rFonts w:hint="eastAsia" w:ascii="Arial" w:hAnsi="宋体" w:cs="Arial"/>
          <w:b w:val="0"/>
          <w:bCs w:val="0"/>
          <w:sz w:val="26"/>
          <w:szCs w:val="26"/>
        </w:rPr>
        <w:t>油，施工机械和车辆维修产生的少量废油亦暂存于施工场地内，定期交有资质的单位处置。评价认为油品泄漏是施工期间对地下水环境的主要影响因素。油品存储装置一旦泄漏，将直接污染土壤环境，进而进入含水层。参考相关资料，非水相液体（</w:t>
      </w:r>
      <w:r>
        <w:rPr>
          <w:rFonts w:ascii="Arial" w:hAnsi="宋体" w:cs="Arial"/>
          <w:b w:val="0"/>
          <w:bCs w:val="0"/>
          <w:sz w:val="26"/>
          <w:szCs w:val="26"/>
        </w:rPr>
        <w:t>NAPL</w:t>
      </w:r>
      <w:r>
        <w:rPr>
          <w:rFonts w:hint="eastAsia" w:ascii="Arial" w:hAnsi="宋体" w:cs="Arial"/>
          <w:b w:val="0"/>
          <w:bCs w:val="0"/>
          <w:sz w:val="26"/>
          <w:szCs w:val="26"/>
        </w:rPr>
        <w:t>）泄漏后，在非饱和带一般进行的是垂向为主的入渗过程，进入地下水饱和带后，水平方向上的扩散开始变得非常显著。本工程所在区域地下水丰富，坝址下游岩溶裂隙发育，泄漏物易对地下水环境造成一定的影响，并随地下水运动排泄，污染区域地表水环境。</w:t>
      </w:r>
    </w:p>
    <w:p w14:paraId="78C5099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val="0"/>
          <w:sz w:val="26"/>
          <w:szCs w:val="26"/>
          <w:lang w:eastAsia="zh-CN"/>
        </w:rPr>
      </w:pPr>
      <w:r>
        <w:rPr>
          <w:rFonts w:hint="eastAsia" w:ascii="Arial" w:hAnsi="宋体" w:cs="Arial"/>
          <w:b w:val="0"/>
          <w:bCs w:val="0"/>
          <w:sz w:val="26"/>
          <w:szCs w:val="26"/>
        </w:rPr>
        <w:t>为避免此类情况发生，</w:t>
      </w:r>
      <w:r>
        <w:rPr>
          <w:rFonts w:hint="eastAsia" w:ascii="Arial" w:hAnsi="宋体" w:cs="Arial"/>
          <w:b w:val="0"/>
          <w:bCs w:val="0"/>
          <w:sz w:val="26"/>
          <w:szCs w:val="26"/>
          <w:lang w:eastAsia="zh-CN"/>
        </w:rPr>
        <w:t>燃油均为密闭桶装储存，暂存区四周设位于，并对地面和围堰进行重点</w:t>
      </w:r>
      <w:r>
        <w:rPr>
          <w:rFonts w:hint="eastAsia" w:ascii="Arial" w:hAnsi="宋体" w:cs="Arial"/>
          <w:b w:val="0"/>
          <w:bCs w:val="0"/>
          <w:sz w:val="26"/>
          <w:szCs w:val="26"/>
        </w:rPr>
        <w:t>防渗处理，防渗性能不应低于</w:t>
      </w:r>
      <w:r>
        <w:rPr>
          <w:rFonts w:ascii="Arial" w:hAnsi="宋体" w:cs="Arial"/>
          <w:b w:val="0"/>
          <w:bCs w:val="0"/>
          <w:sz w:val="26"/>
          <w:szCs w:val="26"/>
        </w:rPr>
        <w:t>6.0m</w:t>
      </w:r>
      <w:r>
        <w:rPr>
          <w:rFonts w:hint="eastAsia" w:ascii="Arial" w:hAnsi="宋体" w:cs="Arial"/>
          <w:b w:val="0"/>
          <w:bCs w:val="0"/>
          <w:sz w:val="26"/>
          <w:szCs w:val="26"/>
        </w:rPr>
        <w:t>厚渗透系数为</w:t>
      </w:r>
      <w:r>
        <w:rPr>
          <w:rFonts w:ascii="Arial" w:hAnsi="宋体" w:cs="Arial"/>
          <w:b w:val="0"/>
          <w:bCs w:val="0"/>
          <w:sz w:val="26"/>
          <w:szCs w:val="26"/>
        </w:rPr>
        <w:t>1.0*10</w:t>
      </w:r>
      <w:r>
        <w:rPr>
          <w:rFonts w:ascii="Arial" w:hAnsi="宋体" w:cs="Arial"/>
          <w:b w:val="0"/>
          <w:bCs w:val="0"/>
          <w:sz w:val="26"/>
          <w:szCs w:val="26"/>
          <w:vertAlign w:val="superscript"/>
        </w:rPr>
        <w:t>-10</w:t>
      </w:r>
      <w:r>
        <w:rPr>
          <w:rFonts w:ascii="Arial" w:hAnsi="宋体" w:cs="Arial"/>
          <w:b w:val="0"/>
          <w:bCs w:val="0"/>
          <w:sz w:val="26"/>
          <w:szCs w:val="26"/>
        </w:rPr>
        <w:t>cm/s</w:t>
      </w:r>
      <w:r>
        <w:rPr>
          <w:rFonts w:hint="eastAsia" w:ascii="Arial" w:hAnsi="宋体" w:cs="Arial"/>
          <w:b w:val="0"/>
          <w:bCs w:val="0"/>
          <w:sz w:val="26"/>
          <w:szCs w:val="26"/>
        </w:rPr>
        <w:t>的黏土层的防渗性能要求</w:t>
      </w:r>
      <w:r>
        <w:rPr>
          <w:rFonts w:hint="eastAsia" w:ascii="Arial" w:hAnsi="宋体" w:cs="Arial"/>
          <w:b w:val="0"/>
          <w:bCs w:val="0"/>
          <w:sz w:val="26"/>
          <w:szCs w:val="26"/>
          <w:lang w:eastAsia="zh-CN"/>
        </w:rPr>
        <w:t>，</w:t>
      </w:r>
      <w:r>
        <w:rPr>
          <w:rFonts w:hint="eastAsia" w:ascii="Arial" w:hAnsi="宋体" w:cs="Arial"/>
          <w:b w:val="0"/>
          <w:bCs w:val="0"/>
          <w:sz w:val="26"/>
          <w:szCs w:val="26"/>
        </w:rPr>
        <w:t>防止油品渗漏或外泄</w:t>
      </w:r>
      <w:r>
        <w:rPr>
          <w:rFonts w:hint="eastAsia" w:ascii="Arial" w:hAnsi="宋体" w:cs="Arial"/>
          <w:b w:val="0"/>
          <w:bCs w:val="0"/>
          <w:sz w:val="26"/>
          <w:szCs w:val="26"/>
          <w:lang w:eastAsia="zh-CN"/>
        </w:rPr>
        <w:t>；废物桶装收集后，暂存于施工场地所设危废贮存间内，危废贮存间按规定进行“六防”处置，储存区下方加设托盘。</w:t>
      </w:r>
      <w:r>
        <w:rPr>
          <w:rFonts w:hint="eastAsia" w:ascii="Arial" w:hAnsi="宋体" w:cs="Arial"/>
          <w:b w:val="0"/>
          <w:bCs w:val="0"/>
          <w:sz w:val="26"/>
          <w:szCs w:val="26"/>
        </w:rPr>
        <w:t>从而减轻对地下水环境的影响。</w:t>
      </w:r>
    </w:p>
    <w:p w14:paraId="0BAB390F">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eastAsia="宋体" w:cs="Arial"/>
          <w:sz w:val="26"/>
          <w:szCs w:val="26"/>
          <w:lang w:val="en-US" w:eastAsia="zh-CN"/>
        </w:rPr>
        <w:t>3</w:t>
      </w:r>
      <w:r>
        <w:rPr>
          <w:rFonts w:hint="eastAsia" w:ascii="Arial" w:hAnsi="Arial" w:eastAsia="宋体" w:cs="Arial"/>
          <w:sz w:val="26"/>
          <w:szCs w:val="26"/>
        </w:rPr>
        <w:t>施工期</w:t>
      </w:r>
      <w:r>
        <w:rPr>
          <w:rFonts w:hint="eastAsia" w:ascii="Arial" w:hAnsi="Arial" w:cs="Arial"/>
          <w:sz w:val="26"/>
          <w:szCs w:val="26"/>
          <w:lang w:eastAsia="zh-CN"/>
        </w:rPr>
        <w:t>环境空气环境影响分析</w:t>
      </w:r>
    </w:p>
    <w:p w14:paraId="6D2B007A">
      <w:pPr>
        <w:spacing w:line="460" w:lineRule="exact"/>
        <w:ind w:firstLine="520" w:firstLineChars="200"/>
        <w:rPr>
          <w:rFonts w:hint="eastAsia" w:ascii="Arial" w:hAnsi="宋体" w:eastAsia="宋体" w:cs="Arial"/>
          <w:b w:val="0"/>
          <w:bCs w:val="0"/>
          <w:sz w:val="26"/>
          <w:szCs w:val="26"/>
          <w:lang w:eastAsia="zh-CN"/>
        </w:rPr>
      </w:pPr>
      <w:r>
        <w:rPr>
          <w:rFonts w:hint="eastAsia" w:ascii="Arial" w:hAnsi="宋体" w:eastAsia="宋体" w:cs="Arial"/>
          <w:b w:val="0"/>
          <w:bCs w:val="0"/>
          <w:sz w:val="26"/>
          <w:szCs w:val="26"/>
          <w:lang w:eastAsia="zh-CN"/>
        </w:rPr>
        <w:t>本项目</w:t>
      </w:r>
      <w:r>
        <w:rPr>
          <w:rFonts w:hint="eastAsia" w:ascii="Arial" w:hAnsi="宋体" w:eastAsia="宋体" w:cs="Arial"/>
          <w:b w:val="0"/>
          <w:bCs w:val="0"/>
          <w:sz w:val="26"/>
          <w:szCs w:val="26"/>
        </w:rPr>
        <w:t>施工期环境空气污染物主要是土石方开挖、</w:t>
      </w:r>
      <w:r>
        <w:rPr>
          <w:rFonts w:hint="eastAsia" w:ascii="Arial" w:hAnsi="宋体" w:eastAsia="宋体" w:cs="Arial"/>
          <w:b w:val="0"/>
          <w:bCs w:val="0"/>
          <w:sz w:val="26"/>
          <w:szCs w:val="26"/>
          <w:lang w:eastAsia="zh-CN"/>
        </w:rPr>
        <w:t>物料</w:t>
      </w:r>
      <w:r>
        <w:rPr>
          <w:rFonts w:hint="eastAsia" w:ascii="Arial" w:hAnsi="宋体" w:eastAsia="宋体" w:cs="Arial"/>
          <w:b w:val="0"/>
          <w:bCs w:val="0"/>
          <w:sz w:val="26"/>
          <w:szCs w:val="26"/>
        </w:rPr>
        <w:t>运输等施工过程中产生的扬尘、混凝土拌和系统粉尘、施工机械和运输车辆废气。</w:t>
      </w:r>
    </w:p>
    <w:p w14:paraId="26271B4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sz w:val="26"/>
          <w:szCs w:val="26"/>
        </w:rPr>
      </w:pPr>
      <w:r>
        <w:rPr>
          <w:rFonts w:hint="eastAsia" w:ascii="Arial" w:hAnsi="宋体" w:cs="Arial"/>
          <w:b/>
          <w:sz w:val="26"/>
          <w:szCs w:val="26"/>
          <w:lang w:val="en-US" w:eastAsia="zh-CN"/>
        </w:rPr>
        <w:t>5.3.1</w:t>
      </w:r>
      <w:r>
        <w:rPr>
          <w:rFonts w:hint="eastAsia" w:ascii="Arial" w:hAnsi="宋体" w:cs="Arial"/>
          <w:b/>
          <w:sz w:val="26"/>
          <w:szCs w:val="26"/>
        </w:rPr>
        <w:t>施工机具废气</w:t>
      </w:r>
    </w:p>
    <w:p w14:paraId="58CAF16D">
      <w:pPr>
        <w:spacing w:line="460" w:lineRule="exact"/>
        <w:ind w:firstLine="520" w:firstLineChars="200"/>
        <w:rPr>
          <w:rFonts w:ascii="Arial" w:hAnsi="Times New Roman" w:eastAsia="宋体" w:cs="Arial"/>
          <w:sz w:val="26"/>
          <w:szCs w:val="26"/>
        </w:rPr>
      </w:pPr>
      <w:r>
        <w:rPr>
          <w:rFonts w:ascii="Arial" w:hAnsi="Times New Roman" w:eastAsia="宋体" w:cs="Arial"/>
          <w:sz w:val="26"/>
          <w:szCs w:val="26"/>
        </w:rPr>
        <w:t>工程施工机具主要以柴油和汽油为燃料，燃油施工机械设备尾气污染物主要为THC、CO、NO</w:t>
      </w:r>
      <w:r>
        <w:rPr>
          <w:rFonts w:ascii="Arial" w:hAnsi="Times New Roman" w:eastAsia="宋体" w:cs="Arial"/>
          <w:sz w:val="26"/>
          <w:szCs w:val="26"/>
          <w:vertAlign w:val="subscript"/>
        </w:rPr>
        <w:t>X</w:t>
      </w:r>
      <w:r>
        <w:rPr>
          <w:rFonts w:hint="eastAsia" w:ascii="Arial" w:hAnsi="Times New Roman" w:eastAsia="宋体" w:cs="Arial"/>
          <w:sz w:val="26"/>
          <w:szCs w:val="26"/>
          <w:lang w:eastAsia="zh-CN"/>
        </w:rPr>
        <w:t>，</w:t>
      </w:r>
      <w:r>
        <w:rPr>
          <w:rFonts w:ascii="Arial" w:hAnsi="Times New Roman" w:eastAsia="宋体" w:cs="Arial"/>
          <w:sz w:val="26"/>
          <w:szCs w:val="26"/>
        </w:rPr>
        <w:t>其排放量较小，且为不连续排放，对环境的影响较小。但施工单位必须使用污染物排放符合国家标准的运输车辆和施工设备，加强设备、车辆的维护保养，使机械、车辆处于良好工作状态严禁用报废和淘汰设备辆的维护保养，使机械、车辆处于良好工作状态，严禁使用报废车辆和淘汰设备。</w:t>
      </w:r>
    </w:p>
    <w:p w14:paraId="6D3CA418">
      <w:pPr>
        <w:spacing w:line="460" w:lineRule="exact"/>
        <w:ind w:firstLine="520" w:firstLineChars="200"/>
        <w:rPr>
          <w:rFonts w:ascii="Arial" w:hAnsi="Times New Roman" w:eastAsia="宋体" w:cs="Arial"/>
          <w:sz w:val="26"/>
          <w:szCs w:val="26"/>
        </w:rPr>
      </w:pPr>
      <w:r>
        <w:rPr>
          <w:rFonts w:ascii="Arial" w:hAnsi="Times New Roman" w:eastAsia="宋体" w:cs="Arial"/>
          <w:sz w:val="26"/>
          <w:szCs w:val="26"/>
        </w:rPr>
        <w:t>施工机械废气属于低架点源无组织排放性质，具有间断性产生、产生量较小、产生点相对分散、易被稀释扩散等特点。加之项目区施工范围相对较大，施工场地周围较空旷，大气扩散条件相对较好，故一般情况下，施工机械和运输车辆所产生的废气污染在空气中经自然扩散和稀释后，对评价区域的空气环境质量影响</w:t>
      </w:r>
      <w:r>
        <w:rPr>
          <w:rFonts w:hint="eastAsia" w:ascii="Arial" w:hAnsi="Times New Roman" w:eastAsia="宋体" w:cs="Arial"/>
          <w:sz w:val="26"/>
          <w:szCs w:val="26"/>
          <w:lang w:eastAsia="zh-CN"/>
        </w:rPr>
        <w:t>较小</w:t>
      </w:r>
      <w:r>
        <w:rPr>
          <w:rFonts w:ascii="Arial" w:hAnsi="Times New Roman" w:eastAsia="宋体" w:cs="Arial"/>
          <w:sz w:val="26"/>
          <w:szCs w:val="26"/>
        </w:rPr>
        <w:t>。</w:t>
      </w:r>
    </w:p>
    <w:p w14:paraId="7E364809">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sz w:val="26"/>
          <w:szCs w:val="26"/>
          <w:lang w:eastAsia="zh-CN"/>
        </w:rPr>
      </w:pPr>
      <w:r>
        <w:rPr>
          <w:rFonts w:hint="eastAsia" w:ascii="Arial" w:hAnsi="宋体" w:cs="Arial"/>
          <w:b/>
          <w:sz w:val="26"/>
          <w:szCs w:val="26"/>
          <w:lang w:val="en-US" w:eastAsia="zh-CN"/>
        </w:rPr>
        <w:t>5.3.2</w:t>
      </w:r>
      <w:r>
        <w:rPr>
          <w:rFonts w:hint="eastAsia" w:ascii="Arial" w:hAnsi="宋体" w:cs="Arial"/>
          <w:b/>
          <w:sz w:val="26"/>
          <w:szCs w:val="26"/>
          <w:lang w:eastAsia="zh-CN"/>
        </w:rPr>
        <w:t>施工扬尘</w:t>
      </w:r>
    </w:p>
    <w:p w14:paraId="6D36BFBC">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val="0"/>
          <w:bCs/>
          <w:sz w:val="26"/>
          <w:szCs w:val="26"/>
        </w:rPr>
        <w:t>施工扬尘主要来自施工土石方开挖和以及水泥等易扬散物料的运输、装卸、堆放过程，主要污染物为</w:t>
      </w:r>
      <w:r>
        <w:rPr>
          <w:rFonts w:ascii="Arial" w:hAnsi="宋体" w:cs="Arial"/>
          <w:b w:val="0"/>
          <w:bCs/>
          <w:sz w:val="26"/>
          <w:szCs w:val="26"/>
        </w:rPr>
        <w:t>TSP</w:t>
      </w:r>
      <w:r>
        <w:rPr>
          <w:rFonts w:hint="eastAsia" w:ascii="Arial" w:hAnsi="宋体" w:cs="Arial"/>
          <w:b w:val="0"/>
          <w:bCs/>
          <w:sz w:val="26"/>
          <w:szCs w:val="26"/>
        </w:rPr>
        <w:t>。在不采取措施情况下，其影响范围主要在高空</w:t>
      </w:r>
      <w:r>
        <w:rPr>
          <w:rFonts w:ascii="Arial" w:hAnsi="宋体" w:cs="Arial"/>
          <w:b w:val="0"/>
          <w:bCs/>
          <w:sz w:val="26"/>
          <w:szCs w:val="26"/>
        </w:rPr>
        <w:t>10m</w:t>
      </w:r>
      <w:r>
        <w:rPr>
          <w:rFonts w:hint="eastAsia" w:ascii="Arial" w:hAnsi="宋体" w:cs="Arial"/>
          <w:b w:val="0"/>
          <w:bCs/>
          <w:sz w:val="26"/>
          <w:szCs w:val="26"/>
        </w:rPr>
        <w:t>、水平</w:t>
      </w:r>
      <w:r>
        <w:rPr>
          <w:rFonts w:ascii="Arial" w:hAnsi="宋体" w:cs="Arial"/>
          <w:b w:val="0"/>
          <w:bCs/>
          <w:sz w:val="26"/>
          <w:szCs w:val="26"/>
        </w:rPr>
        <w:t>100m</w:t>
      </w:r>
      <w:r>
        <w:rPr>
          <w:rFonts w:hint="eastAsia" w:ascii="Arial" w:hAnsi="宋体" w:cs="Arial"/>
          <w:b w:val="0"/>
          <w:bCs/>
          <w:sz w:val="26"/>
          <w:szCs w:val="26"/>
        </w:rPr>
        <w:t>范围内。施工区域内浮于空气中的粉尘被施工人员和周围居民吸入，不但会引起各种呼吸道疾病，而且粉尘可能带病原菌传染各种疾病，影响施工人员及周围居民的身体健康。</w:t>
      </w:r>
    </w:p>
    <w:p w14:paraId="1C6E15B9">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cs="Arial"/>
          <w:b w:val="0"/>
          <w:bCs/>
          <w:sz w:val="26"/>
          <w:szCs w:val="26"/>
          <w:lang w:eastAsia="zh-CN"/>
        </w:rPr>
        <w:t>本项目采取湿法作业，安排专人洒水抑尘，大风天气增加洒水频次，并采取篷布等对开挖裸露面、粉质物料堆放区等进行遮盖；硬化施工便道，安排专人清扫，运输过程中限速限载，密闭运输；物料装卸严格控制作业高度；施工场地内设置车辆冲洗装置，避免带泥上路，引起二次扬尘；及时回填、清运土石方，避免在场地内长时间暂存。在采取前述抑尘措施后，本项目施工扬尘对区域外环境影响小，且随着施工的结束而结束。</w:t>
      </w:r>
    </w:p>
    <w:p w14:paraId="3EB96C87">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sz w:val="26"/>
          <w:szCs w:val="26"/>
          <w:lang w:eastAsia="zh-CN"/>
        </w:rPr>
      </w:pPr>
      <w:r>
        <w:rPr>
          <w:rFonts w:hint="eastAsia" w:ascii="Arial" w:hAnsi="宋体" w:cs="Arial"/>
          <w:b/>
          <w:sz w:val="26"/>
          <w:szCs w:val="26"/>
          <w:lang w:val="en-US" w:eastAsia="zh-CN"/>
        </w:rPr>
        <w:t>5.3.3混凝土</w:t>
      </w:r>
      <w:r>
        <w:rPr>
          <w:rFonts w:hint="eastAsia" w:ascii="Arial" w:hAnsi="宋体" w:cs="Arial"/>
          <w:b/>
          <w:sz w:val="26"/>
          <w:szCs w:val="26"/>
          <w:lang w:eastAsia="zh-CN"/>
        </w:rPr>
        <w:t>拌合站粉尘</w:t>
      </w:r>
    </w:p>
    <w:p w14:paraId="1EA8D8A8">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val="en-US" w:eastAsia="zh-CN"/>
        </w:rPr>
      </w:pPr>
      <w:r>
        <w:rPr>
          <w:rFonts w:hint="eastAsia" w:ascii="Arial" w:hAnsi="Arial" w:cs="Arial"/>
          <w:b w:val="0"/>
          <w:bCs/>
          <w:kern w:val="0"/>
          <w:sz w:val="26"/>
          <w:szCs w:val="26"/>
          <w:lang w:val="en-US" w:eastAsia="zh-CN" w:bidi="ar-SA"/>
        </w:rPr>
        <w:t>混凝土</w:t>
      </w:r>
      <w:r>
        <w:rPr>
          <w:rFonts w:hint="eastAsia" w:ascii="Arial" w:hAnsi="Arial" w:eastAsia="宋体" w:cs="Arial"/>
          <w:b w:val="0"/>
          <w:bCs/>
          <w:kern w:val="0"/>
          <w:sz w:val="26"/>
          <w:szCs w:val="26"/>
          <w:lang w:val="en-US" w:eastAsia="zh-CN" w:bidi="ar-SA"/>
        </w:rPr>
        <w:t>拌和站粉尘主要来自砂石、水泥原料堆放、拌和装料过程，</w:t>
      </w:r>
      <w:r>
        <w:rPr>
          <w:rFonts w:hint="eastAsia" w:ascii="Arial" w:hAnsi="Arial" w:cs="Arial"/>
          <w:b w:val="0"/>
          <w:bCs/>
          <w:kern w:val="0"/>
          <w:sz w:val="26"/>
          <w:szCs w:val="26"/>
          <w:lang w:val="en-US" w:eastAsia="zh-CN" w:bidi="ar-SA"/>
        </w:rPr>
        <w:t>本评价要求施工单位采取密闭式筒仓暂存水泥、粉煤灰等粉质物料，并配置仓顶除尘器；</w:t>
      </w:r>
      <w:r>
        <w:rPr>
          <w:rFonts w:hint="eastAsia" w:ascii="Arial" w:hAnsi="Arial" w:eastAsia="宋体" w:cs="Arial"/>
          <w:b w:val="0"/>
          <w:bCs/>
          <w:kern w:val="0"/>
          <w:sz w:val="26"/>
          <w:szCs w:val="26"/>
          <w:lang w:val="en-US" w:eastAsia="zh-CN" w:bidi="ar-SA"/>
        </w:rPr>
        <w:t>对搅拌机、料斗、输送皮带及转载点设施等产尘点进行洒水降尘，原料堆放场地设置围挡和顶棚</w:t>
      </w:r>
      <w:r>
        <w:rPr>
          <w:rFonts w:hint="eastAsia" w:ascii="Arial" w:hAnsi="Arial" w:cs="Arial"/>
          <w:b w:val="0"/>
          <w:bCs/>
          <w:kern w:val="0"/>
          <w:sz w:val="26"/>
          <w:szCs w:val="26"/>
          <w:lang w:val="en-US" w:eastAsia="zh-CN" w:bidi="ar-SA"/>
        </w:rPr>
        <w:t>。经处理后，项目枢纽工程施工场地所设混凝土拌合系统粉尘排放量小，对</w:t>
      </w:r>
      <w:r>
        <w:rPr>
          <w:rFonts w:hint="eastAsia" w:ascii="Arial" w:cs="Arial"/>
          <w:b w:val="0"/>
          <w:bCs/>
          <w:sz w:val="26"/>
          <w:szCs w:val="26"/>
          <w:lang w:eastAsia="zh-CN"/>
        </w:rPr>
        <w:t>区域外环境影响小，且随着施工的结束而结束。</w:t>
      </w:r>
    </w:p>
    <w:p w14:paraId="2AC1F9C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5.3.4生活燃料废气</w:t>
      </w:r>
    </w:p>
    <w:p w14:paraId="33BEEE9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Arial" w:cs="Arial"/>
          <w:b w:val="0"/>
          <w:bCs/>
          <w:sz w:val="26"/>
          <w:szCs w:val="26"/>
          <w:lang w:val="en-US" w:eastAsia="zh-CN"/>
        </w:rPr>
        <w:t>本项目租赁项目区已有居民房屋作施工营地，施工人员就近招用，仅少量管理、施工人员在施工营地内食宿，供热及生活主要采取电、液化石油气等清洁能源，排放废气少。</w:t>
      </w:r>
    </w:p>
    <w:p w14:paraId="535157E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5.3.5小结</w:t>
      </w:r>
    </w:p>
    <w:p w14:paraId="56E6131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cs="Arial"/>
          <w:b w:val="0"/>
          <w:bCs/>
          <w:sz w:val="26"/>
          <w:szCs w:val="26"/>
          <w:lang w:eastAsia="zh-CN"/>
        </w:rPr>
        <w:t>本项目施工期各类废气均可得到合理有效的处置，粉尘、燃油废气等外排量较小，经稀释扩散后，对区域外环境影响小，且随着施工的结束而结束。</w:t>
      </w:r>
    </w:p>
    <w:p w14:paraId="4DFD1FC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cs="Arial"/>
          <w:sz w:val="26"/>
          <w:szCs w:val="26"/>
          <w:lang w:val="en-US" w:eastAsia="zh-CN"/>
        </w:rPr>
        <w:t>4</w:t>
      </w:r>
      <w:r>
        <w:rPr>
          <w:rFonts w:hint="eastAsia" w:ascii="Arial" w:hAnsi="Arial" w:eastAsia="宋体" w:cs="Arial"/>
          <w:sz w:val="26"/>
          <w:szCs w:val="26"/>
        </w:rPr>
        <w:t>施工期</w:t>
      </w:r>
      <w:r>
        <w:rPr>
          <w:rFonts w:hint="eastAsia" w:ascii="Arial" w:hAnsi="Arial" w:cs="Arial"/>
          <w:sz w:val="26"/>
          <w:szCs w:val="26"/>
          <w:lang w:eastAsia="zh-CN"/>
        </w:rPr>
        <w:t>声环境影响分析</w:t>
      </w:r>
    </w:p>
    <w:p w14:paraId="06014AB9">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5.4.1噪声源强分析</w:t>
      </w:r>
    </w:p>
    <w:p w14:paraId="4D5E3324">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cs="Arial"/>
          <w:b w:val="0"/>
          <w:bCs/>
          <w:sz w:val="26"/>
          <w:szCs w:val="26"/>
          <w:lang w:eastAsia="zh-CN"/>
        </w:rPr>
        <w:t>施工期噪声源</w:t>
      </w:r>
      <w:r>
        <w:rPr>
          <w:rFonts w:hint="eastAsia" w:ascii="Arial" w:cs="Arial"/>
          <w:b w:val="0"/>
          <w:bCs/>
          <w:sz w:val="26"/>
          <w:szCs w:val="26"/>
          <w:lang w:eastAsia="zh-CN"/>
        </w:rPr>
        <w:t>主要</w:t>
      </w:r>
      <w:r>
        <w:rPr>
          <w:rFonts w:hint="default" w:ascii="Arial" w:cs="Arial"/>
          <w:b w:val="0"/>
          <w:bCs/>
          <w:sz w:val="26"/>
          <w:szCs w:val="26"/>
          <w:lang w:eastAsia="zh-CN"/>
        </w:rPr>
        <w:t>有挖掘机、破碎机、夯实机、振动碾、钻机、起重机</w:t>
      </w:r>
      <w:r>
        <w:rPr>
          <w:rFonts w:hint="eastAsia" w:ascii="Arial" w:cs="Arial"/>
          <w:b w:val="0"/>
          <w:bCs/>
          <w:sz w:val="26"/>
          <w:szCs w:val="26"/>
          <w:lang w:eastAsia="zh-CN"/>
        </w:rPr>
        <w:t>、</w:t>
      </w:r>
      <w:r>
        <w:rPr>
          <w:rFonts w:hint="default" w:ascii="Arial" w:cs="Arial"/>
          <w:b w:val="0"/>
          <w:bCs/>
          <w:sz w:val="26"/>
          <w:szCs w:val="26"/>
          <w:lang w:eastAsia="zh-CN"/>
        </w:rPr>
        <w:t>运输用载重汽车，</w:t>
      </w:r>
      <w:r>
        <w:rPr>
          <w:rFonts w:hint="eastAsia" w:ascii="Arial" w:cs="Arial"/>
          <w:b w:val="0"/>
          <w:bCs/>
          <w:sz w:val="26"/>
          <w:szCs w:val="26"/>
          <w:lang w:eastAsia="zh-CN"/>
        </w:rPr>
        <w:t>噪声源强</w:t>
      </w:r>
      <w:r>
        <w:rPr>
          <w:rFonts w:hint="eastAsia" w:ascii="Arial" w:cs="Arial"/>
          <w:b w:val="0"/>
          <w:bCs/>
          <w:sz w:val="26"/>
          <w:szCs w:val="26"/>
          <w:lang w:val="en-US" w:eastAsia="zh-CN"/>
        </w:rPr>
        <w:t>75~120dB（A），</w:t>
      </w:r>
      <w:r>
        <w:rPr>
          <w:rFonts w:hint="eastAsia" w:ascii="Arial" w:cs="Arial"/>
          <w:b w:val="0"/>
          <w:bCs/>
          <w:sz w:val="26"/>
          <w:szCs w:val="26"/>
          <w:lang w:eastAsia="zh-CN"/>
        </w:rPr>
        <w:t>噪声源强详见表</w:t>
      </w:r>
      <w:r>
        <w:rPr>
          <w:rFonts w:hint="eastAsia" w:ascii="Arial" w:cs="Arial"/>
          <w:b w:val="0"/>
          <w:bCs/>
          <w:sz w:val="26"/>
          <w:szCs w:val="26"/>
          <w:lang w:val="en-US" w:eastAsia="zh-CN"/>
        </w:rPr>
        <w:t>3.1-4所示</w:t>
      </w:r>
      <w:r>
        <w:rPr>
          <w:rFonts w:hint="default" w:ascii="Arial" w:cs="Arial"/>
          <w:b w:val="0"/>
          <w:bCs/>
          <w:sz w:val="26"/>
          <w:szCs w:val="26"/>
          <w:lang w:eastAsia="zh-CN"/>
        </w:rPr>
        <w:t>。</w:t>
      </w:r>
    </w:p>
    <w:p w14:paraId="573F53E7">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5.4.2施工场界噪声影响预测</w:t>
      </w:r>
    </w:p>
    <w:p w14:paraId="2B0BED79">
      <w:pPr>
        <w:pStyle w:val="73"/>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Times New Roman" w:eastAsia="宋体" w:cs="Arial"/>
          <w:b w:val="0"/>
          <w:bCs w:val="0"/>
          <w:color w:val="auto"/>
          <w:sz w:val="26"/>
          <w:szCs w:val="26"/>
        </w:rPr>
      </w:pPr>
      <w:r>
        <w:rPr>
          <w:rFonts w:hint="eastAsia" w:ascii="Arial" w:hAnsi="Times New Roman" w:eastAsia="宋体" w:cs="Arial"/>
          <w:b w:val="0"/>
          <w:bCs w:val="0"/>
          <w:color w:val="auto"/>
          <w:sz w:val="26"/>
          <w:szCs w:val="26"/>
          <w:lang w:val="en-US" w:eastAsia="zh-CN"/>
        </w:rPr>
        <w:t>施工机械噪声可近似作为点声源处理，根据点声源噪声传播衰减模式，可估算施工期间离噪声声源不同距离处的噪声值，从而可就施工噪声对敏感点的影响作出分析评价。本次预测主要考虑点声源的几何发散衰减，预测模式如下：</w:t>
      </w:r>
    </w:p>
    <w:p w14:paraId="586BD761">
      <w:pPr>
        <w:pStyle w:val="73"/>
        <w:keepNext w:val="0"/>
        <w:keepLines w:val="0"/>
        <w:pageBreakBefore w:val="0"/>
        <w:widowControl w:val="0"/>
        <w:kinsoku/>
        <w:wordWrap/>
        <w:overflowPunct/>
        <w:topLinePunct w:val="0"/>
        <w:autoSpaceDE/>
        <w:autoSpaceDN/>
        <w:bidi w:val="0"/>
        <w:adjustRightInd/>
        <w:snapToGrid/>
        <w:spacing w:line="460" w:lineRule="exact"/>
        <w:ind w:firstLine="520" w:firstLineChars="200"/>
        <w:jc w:val="center"/>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L</w:t>
      </w:r>
      <w:r>
        <w:rPr>
          <w:rFonts w:hint="eastAsia" w:ascii="Arial" w:hAnsi="Times New Roman" w:eastAsia="宋体" w:cs="Arial"/>
          <w:b w:val="0"/>
          <w:bCs w:val="0"/>
          <w:color w:val="auto"/>
          <w:sz w:val="26"/>
          <w:szCs w:val="26"/>
          <w:vertAlign w:val="subscript"/>
          <w:lang w:val="en-US" w:eastAsia="zh-CN"/>
        </w:rPr>
        <w:t>A</w:t>
      </w:r>
      <w:r>
        <w:rPr>
          <w:rFonts w:hint="eastAsia" w:ascii="Arial" w:hAnsi="Times New Roman" w:eastAsia="宋体" w:cs="Arial"/>
          <w:b w:val="0"/>
          <w:bCs w:val="0"/>
          <w:color w:val="auto"/>
          <w:sz w:val="26"/>
          <w:szCs w:val="26"/>
          <w:lang w:val="en-US" w:eastAsia="zh-CN"/>
        </w:rPr>
        <w:t>（r）=L</w:t>
      </w:r>
      <w:r>
        <w:rPr>
          <w:rFonts w:hint="eastAsia" w:ascii="Arial" w:hAnsi="Times New Roman" w:eastAsia="宋体" w:cs="Arial"/>
          <w:b w:val="0"/>
          <w:bCs w:val="0"/>
          <w:color w:val="auto"/>
          <w:sz w:val="26"/>
          <w:szCs w:val="26"/>
          <w:vertAlign w:val="subscript"/>
          <w:lang w:val="en-US" w:eastAsia="zh-CN"/>
        </w:rPr>
        <w:t>A</w:t>
      </w:r>
      <w:r>
        <w:rPr>
          <w:rFonts w:hint="eastAsia" w:ascii="Arial" w:hAnsi="Times New Roman" w:eastAsia="宋体" w:cs="Arial"/>
          <w:b w:val="0"/>
          <w:bCs w:val="0"/>
          <w:color w:val="auto"/>
          <w:sz w:val="26"/>
          <w:szCs w:val="26"/>
          <w:lang w:val="en-US" w:eastAsia="zh-CN"/>
        </w:rPr>
        <w:t>（r</w:t>
      </w:r>
      <w:r>
        <w:rPr>
          <w:rFonts w:hint="eastAsia" w:ascii="Arial" w:hAnsi="Times New Roman" w:eastAsia="宋体" w:cs="Arial"/>
          <w:b w:val="0"/>
          <w:bCs w:val="0"/>
          <w:color w:val="auto"/>
          <w:sz w:val="26"/>
          <w:szCs w:val="26"/>
          <w:vertAlign w:val="subscript"/>
          <w:lang w:val="en-US" w:eastAsia="zh-CN"/>
        </w:rPr>
        <w:t>0</w:t>
      </w:r>
      <w:r>
        <w:rPr>
          <w:rFonts w:hint="eastAsia" w:ascii="Arial" w:hAnsi="Times New Roman" w:eastAsia="宋体" w:cs="Arial"/>
          <w:b w:val="0"/>
          <w:bCs w:val="0"/>
          <w:color w:val="auto"/>
          <w:sz w:val="26"/>
          <w:szCs w:val="26"/>
          <w:lang w:val="en-US" w:eastAsia="zh-CN"/>
        </w:rPr>
        <w:t>）-20lg（r/r0）</w:t>
      </w:r>
    </w:p>
    <w:p w14:paraId="2EF628C4">
      <w:pPr>
        <w:pStyle w:val="73"/>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式中：L</w:t>
      </w:r>
      <w:r>
        <w:rPr>
          <w:rFonts w:hint="eastAsia" w:ascii="Arial" w:hAnsi="Times New Roman" w:eastAsia="宋体" w:cs="Arial"/>
          <w:b w:val="0"/>
          <w:bCs w:val="0"/>
          <w:color w:val="auto"/>
          <w:sz w:val="26"/>
          <w:szCs w:val="26"/>
          <w:vertAlign w:val="subscript"/>
          <w:lang w:val="en-US" w:eastAsia="zh-CN"/>
        </w:rPr>
        <w:t>A</w:t>
      </w:r>
      <w:r>
        <w:rPr>
          <w:rFonts w:hint="eastAsia" w:ascii="Arial" w:hAnsi="Times New Roman" w:eastAsia="宋体" w:cs="Arial"/>
          <w:b w:val="0"/>
          <w:bCs w:val="0"/>
          <w:color w:val="auto"/>
          <w:sz w:val="26"/>
          <w:szCs w:val="26"/>
          <w:lang w:val="en-US" w:eastAsia="zh-CN"/>
        </w:rPr>
        <w:t>（r）——预测点声压级，dB</w:t>
      </w:r>
      <w:r>
        <w:rPr>
          <w:rFonts w:hint="eastAsia" w:ascii="宋体" w:hAnsi="宋体" w:eastAsia="宋体" w:cs="宋体"/>
          <w:b w:val="0"/>
          <w:bCs w:val="0"/>
          <w:color w:val="auto"/>
          <w:sz w:val="26"/>
          <w:szCs w:val="26"/>
          <w:lang w:val="en-US" w:eastAsia="zh-CN"/>
        </w:rPr>
        <w:t>(</w:t>
      </w:r>
      <w:r>
        <w:rPr>
          <w:rFonts w:hint="eastAsia" w:ascii="Arial" w:hAnsi="Times New Roman" w:eastAsia="宋体" w:cs="Arial"/>
          <w:b w:val="0"/>
          <w:bCs w:val="0"/>
          <w:color w:val="auto"/>
          <w:sz w:val="26"/>
          <w:szCs w:val="26"/>
          <w:lang w:val="en-US" w:eastAsia="zh-CN"/>
        </w:rPr>
        <w:t>A</w:t>
      </w:r>
      <w:r>
        <w:rPr>
          <w:rFonts w:hint="eastAsia" w:ascii="宋体" w:hAnsi="宋体" w:eastAsia="宋体" w:cs="宋体"/>
          <w:b w:val="0"/>
          <w:bCs w:val="0"/>
          <w:color w:val="auto"/>
          <w:sz w:val="26"/>
          <w:szCs w:val="26"/>
          <w:lang w:val="en-US" w:eastAsia="zh-CN"/>
        </w:rPr>
        <w:t>)</w:t>
      </w:r>
      <w:r>
        <w:rPr>
          <w:rFonts w:hint="eastAsia" w:ascii="Arial" w:hAnsi="Times New Roman" w:eastAsia="宋体" w:cs="Arial"/>
          <w:b w:val="0"/>
          <w:bCs w:val="0"/>
          <w:color w:val="auto"/>
          <w:sz w:val="26"/>
          <w:szCs w:val="26"/>
          <w:lang w:val="en-US" w:eastAsia="zh-CN"/>
        </w:rPr>
        <w:t>；</w:t>
      </w:r>
    </w:p>
    <w:p w14:paraId="19E36072">
      <w:pPr>
        <w:pStyle w:val="73"/>
        <w:keepNext w:val="0"/>
        <w:keepLines w:val="0"/>
        <w:pageBreakBefore w:val="0"/>
        <w:widowControl w:val="0"/>
        <w:kinsoku/>
        <w:wordWrap/>
        <w:overflowPunct/>
        <w:topLinePunct w:val="0"/>
        <w:autoSpaceDE/>
        <w:autoSpaceDN/>
        <w:bidi w:val="0"/>
        <w:adjustRightInd/>
        <w:snapToGrid/>
        <w:spacing w:line="460" w:lineRule="exact"/>
        <w:ind w:firstLine="1300" w:firstLineChars="500"/>
        <w:jc w:val="both"/>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L</w:t>
      </w:r>
      <w:r>
        <w:rPr>
          <w:rFonts w:hint="eastAsia" w:ascii="Arial" w:hAnsi="Times New Roman" w:eastAsia="宋体" w:cs="Arial"/>
          <w:b w:val="0"/>
          <w:bCs w:val="0"/>
          <w:color w:val="auto"/>
          <w:sz w:val="26"/>
          <w:szCs w:val="26"/>
          <w:vertAlign w:val="subscript"/>
          <w:lang w:val="en-US" w:eastAsia="zh-CN"/>
        </w:rPr>
        <w:t>A</w:t>
      </w:r>
      <w:r>
        <w:rPr>
          <w:rFonts w:hint="eastAsia" w:ascii="Arial" w:hAnsi="Times New Roman" w:eastAsia="宋体" w:cs="Arial"/>
          <w:b w:val="0"/>
          <w:bCs w:val="0"/>
          <w:color w:val="auto"/>
          <w:sz w:val="26"/>
          <w:szCs w:val="26"/>
          <w:lang w:val="en-US" w:eastAsia="zh-CN"/>
        </w:rPr>
        <w:t>（r</w:t>
      </w:r>
      <w:r>
        <w:rPr>
          <w:rFonts w:hint="eastAsia" w:ascii="Arial" w:hAnsi="Times New Roman" w:eastAsia="宋体" w:cs="Arial"/>
          <w:b w:val="0"/>
          <w:bCs w:val="0"/>
          <w:color w:val="auto"/>
          <w:sz w:val="26"/>
          <w:szCs w:val="26"/>
          <w:vertAlign w:val="subscript"/>
          <w:lang w:val="en-US" w:eastAsia="zh-CN"/>
        </w:rPr>
        <w:t>0</w:t>
      </w:r>
      <w:r>
        <w:rPr>
          <w:rFonts w:hint="eastAsia" w:ascii="Arial" w:hAnsi="Times New Roman" w:eastAsia="宋体" w:cs="Arial"/>
          <w:b w:val="0"/>
          <w:bCs w:val="0"/>
          <w:color w:val="auto"/>
          <w:sz w:val="26"/>
          <w:szCs w:val="26"/>
          <w:lang w:val="en-US" w:eastAsia="zh-CN"/>
        </w:rPr>
        <w:t>）——参考位置r0处的噪声源强，dB</w:t>
      </w:r>
      <w:r>
        <w:rPr>
          <w:rFonts w:hint="eastAsia" w:ascii="宋体" w:hAnsi="宋体" w:eastAsia="宋体" w:cs="宋体"/>
          <w:b w:val="0"/>
          <w:bCs w:val="0"/>
          <w:color w:val="auto"/>
          <w:sz w:val="26"/>
          <w:szCs w:val="26"/>
          <w:lang w:val="en-US" w:eastAsia="zh-CN"/>
        </w:rPr>
        <w:t>(</w:t>
      </w:r>
      <w:r>
        <w:rPr>
          <w:rFonts w:hint="eastAsia" w:ascii="Arial" w:hAnsi="Times New Roman" w:eastAsia="宋体" w:cs="Arial"/>
          <w:b w:val="0"/>
          <w:bCs w:val="0"/>
          <w:color w:val="auto"/>
          <w:sz w:val="26"/>
          <w:szCs w:val="26"/>
          <w:lang w:val="en-US" w:eastAsia="zh-CN"/>
        </w:rPr>
        <w:t>A</w:t>
      </w:r>
      <w:r>
        <w:rPr>
          <w:rFonts w:hint="eastAsia" w:ascii="宋体" w:hAnsi="宋体" w:eastAsia="宋体" w:cs="宋体"/>
          <w:b w:val="0"/>
          <w:bCs w:val="0"/>
          <w:color w:val="auto"/>
          <w:sz w:val="26"/>
          <w:szCs w:val="26"/>
          <w:lang w:val="en-US" w:eastAsia="zh-CN"/>
        </w:rPr>
        <w:t>)</w:t>
      </w:r>
      <w:r>
        <w:rPr>
          <w:rFonts w:hint="eastAsia" w:ascii="Arial" w:hAnsi="Times New Roman" w:eastAsia="宋体" w:cs="Arial"/>
          <w:b w:val="0"/>
          <w:bCs w:val="0"/>
          <w:color w:val="auto"/>
          <w:sz w:val="26"/>
          <w:szCs w:val="26"/>
          <w:lang w:val="en-US" w:eastAsia="zh-CN"/>
        </w:rPr>
        <w:t>；</w:t>
      </w:r>
    </w:p>
    <w:p w14:paraId="112537AD">
      <w:pPr>
        <w:pStyle w:val="73"/>
        <w:keepNext w:val="0"/>
        <w:keepLines w:val="0"/>
        <w:pageBreakBefore w:val="0"/>
        <w:widowControl w:val="0"/>
        <w:kinsoku/>
        <w:wordWrap/>
        <w:overflowPunct/>
        <w:topLinePunct w:val="0"/>
        <w:autoSpaceDE/>
        <w:autoSpaceDN/>
        <w:bidi w:val="0"/>
        <w:adjustRightInd/>
        <w:snapToGrid/>
        <w:spacing w:line="460" w:lineRule="exact"/>
        <w:ind w:firstLine="1300" w:firstLineChars="500"/>
        <w:jc w:val="both"/>
        <w:textAlignment w:val="auto"/>
        <w:rPr>
          <w:rFonts w:hint="default"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r——预测点离噪声源的距离，m；</w:t>
      </w:r>
    </w:p>
    <w:p w14:paraId="2F52934C">
      <w:pPr>
        <w:pStyle w:val="73"/>
        <w:keepNext w:val="0"/>
        <w:keepLines w:val="0"/>
        <w:pageBreakBefore w:val="0"/>
        <w:widowControl w:val="0"/>
        <w:kinsoku/>
        <w:wordWrap/>
        <w:overflowPunct/>
        <w:topLinePunct w:val="0"/>
        <w:autoSpaceDE/>
        <w:autoSpaceDN/>
        <w:bidi w:val="0"/>
        <w:adjustRightInd/>
        <w:snapToGrid/>
        <w:spacing w:line="460" w:lineRule="exact"/>
        <w:ind w:firstLine="1300" w:firstLineChars="500"/>
        <w:jc w:val="both"/>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r</w:t>
      </w:r>
      <w:r>
        <w:rPr>
          <w:rFonts w:hint="eastAsia" w:ascii="Arial" w:hAnsi="Times New Roman" w:eastAsia="宋体" w:cs="Arial"/>
          <w:b w:val="0"/>
          <w:bCs w:val="0"/>
          <w:color w:val="auto"/>
          <w:sz w:val="26"/>
          <w:szCs w:val="26"/>
          <w:vertAlign w:val="subscript"/>
          <w:lang w:val="en-US" w:eastAsia="zh-CN"/>
        </w:rPr>
        <w:t>0</w:t>
      </w:r>
      <w:r>
        <w:rPr>
          <w:rFonts w:hint="eastAsia" w:ascii="Arial" w:hAnsi="Times New Roman" w:eastAsia="宋体" w:cs="Arial"/>
          <w:b w:val="0"/>
          <w:bCs w:val="0"/>
          <w:color w:val="auto"/>
          <w:sz w:val="26"/>
          <w:szCs w:val="26"/>
          <w:lang w:val="en-US" w:eastAsia="zh-CN"/>
        </w:rPr>
        <w:t>——参考位置距声源的距离，m。</w:t>
      </w:r>
    </w:p>
    <w:p w14:paraId="0452B0EB">
      <w:pPr>
        <w:pStyle w:val="73"/>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主要施工机械运行噪声预测值详见表5.4-1所示。</w:t>
      </w:r>
    </w:p>
    <w:p w14:paraId="52CEF427">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cs="Arial"/>
          <w:b w:val="0"/>
          <w:bCs/>
          <w:sz w:val="26"/>
          <w:szCs w:val="26"/>
          <w:lang w:eastAsia="zh-CN"/>
        </w:rPr>
      </w:pPr>
      <w:r>
        <w:rPr>
          <w:rFonts w:hint="eastAsia" w:ascii="Arial" w:hAnsi="Arial" w:eastAsia="宋体" w:cs="Arial"/>
          <w:b/>
          <w:bCs/>
          <w:color w:val="auto"/>
          <w:sz w:val="26"/>
          <w:szCs w:val="26"/>
          <w:lang w:val="en-US" w:eastAsia="zh-CN"/>
        </w:rPr>
        <w:t>表5.4-1主要施工机械噪声级随距离衰减预测  单位：dB（A）</w:t>
      </w:r>
    </w:p>
    <w:tbl>
      <w:tblPr>
        <w:tblStyle w:val="77"/>
        <w:tblW w:w="48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788"/>
        <w:gridCol w:w="810"/>
        <w:gridCol w:w="810"/>
        <w:gridCol w:w="810"/>
        <w:gridCol w:w="769"/>
        <w:gridCol w:w="971"/>
        <w:gridCol w:w="971"/>
        <w:gridCol w:w="968"/>
      </w:tblGrid>
      <w:tr w14:paraId="33496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vMerge w:val="restart"/>
            <w:tcBorders>
              <w:tl2br w:val="nil"/>
              <w:tr2bl w:val="nil"/>
            </w:tcBorders>
            <w:noWrap/>
            <w:vAlign w:val="center"/>
          </w:tcPr>
          <w:p w14:paraId="4532D112">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rPr>
            </w:pPr>
            <w:r>
              <w:rPr>
                <w:rFonts w:hint="default" w:ascii="Arial" w:hAnsi="Arial" w:eastAsia="宋体" w:cs="Arial"/>
                <w:color w:val="auto"/>
                <w:sz w:val="22"/>
                <w:szCs w:val="22"/>
              </w:rPr>
              <w:t>机械类型</w:t>
            </w:r>
          </w:p>
        </w:tc>
        <w:tc>
          <w:tcPr>
            <w:tcW w:w="3910" w:type="pct"/>
            <w:gridSpan w:val="8"/>
            <w:tcBorders>
              <w:tl2br w:val="nil"/>
              <w:tr2bl w:val="nil"/>
            </w:tcBorders>
            <w:noWrap w:val="0"/>
            <w:vAlign w:val="center"/>
          </w:tcPr>
          <w:p w14:paraId="3FED2AEE">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rPr>
            </w:pPr>
            <w:r>
              <w:rPr>
                <w:rFonts w:hint="default" w:ascii="Arial" w:hAnsi="Arial" w:eastAsia="宋体" w:cs="Arial"/>
                <w:color w:val="auto"/>
                <w:sz w:val="22"/>
                <w:szCs w:val="22"/>
              </w:rPr>
              <w:t>距施工机械的距离</w:t>
            </w:r>
          </w:p>
        </w:tc>
      </w:tr>
      <w:tr w14:paraId="60558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vMerge w:val="continue"/>
            <w:tcBorders>
              <w:tl2br w:val="nil"/>
              <w:tr2bl w:val="nil"/>
            </w:tcBorders>
            <w:noWrap/>
            <w:vAlign w:val="center"/>
          </w:tcPr>
          <w:p w14:paraId="17CF81BA">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rPr>
            </w:pPr>
          </w:p>
        </w:tc>
        <w:tc>
          <w:tcPr>
            <w:tcW w:w="446" w:type="pct"/>
            <w:tcBorders>
              <w:tl2br w:val="nil"/>
              <w:tr2bl w:val="nil"/>
            </w:tcBorders>
            <w:noWrap/>
            <w:vAlign w:val="center"/>
          </w:tcPr>
          <w:p w14:paraId="511FCDBD">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10m</w:t>
            </w:r>
          </w:p>
        </w:tc>
        <w:tc>
          <w:tcPr>
            <w:tcW w:w="459" w:type="pct"/>
            <w:tcBorders>
              <w:tl2br w:val="nil"/>
              <w:tr2bl w:val="nil"/>
            </w:tcBorders>
            <w:noWrap/>
            <w:vAlign w:val="center"/>
          </w:tcPr>
          <w:p w14:paraId="51B587A5">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20m</w:t>
            </w:r>
          </w:p>
        </w:tc>
        <w:tc>
          <w:tcPr>
            <w:tcW w:w="459" w:type="pct"/>
            <w:tcBorders>
              <w:tl2br w:val="nil"/>
              <w:tr2bl w:val="nil"/>
            </w:tcBorders>
            <w:noWrap/>
            <w:vAlign w:val="center"/>
          </w:tcPr>
          <w:p w14:paraId="2803BB68">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30m</w:t>
            </w:r>
          </w:p>
        </w:tc>
        <w:tc>
          <w:tcPr>
            <w:tcW w:w="459" w:type="pct"/>
            <w:tcBorders>
              <w:tl2br w:val="nil"/>
              <w:tr2bl w:val="nil"/>
            </w:tcBorders>
            <w:noWrap/>
            <w:vAlign w:val="center"/>
          </w:tcPr>
          <w:p w14:paraId="18CBD71A">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40m</w:t>
            </w:r>
          </w:p>
        </w:tc>
        <w:tc>
          <w:tcPr>
            <w:tcW w:w="435" w:type="pct"/>
            <w:tcBorders>
              <w:tl2br w:val="nil"/>
              <w:tr2bl w:val="nil"/>
            </w:tcBorders>
            <w:noWrap/>
            <w:vAlign w:val="center"/>
          </w:tcPr>
          <w:p w14:paraId="75D2BE87">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50m</w:t>
            </w:r>
          </w:p>
        </w:tc>
        <w:tc>
          <w:tcPr>
            <w:tcW w:w="550" w:type="pct"/>
            <w:tcBorders>
              <w:tl2br w:val="nil"/>
              <w:tr2bl w:val="nil"/>
            </w:tcBorders>
            <w:noWrap/>
            <w:vAlign w:val="center"/>
          </w:tcPr>
          <w:p w14:paraId="2316A03D">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100m</w:t>
            </w:r>
          </w:p>
        </w:tc>
        <w:tc>
          <w:tcPr>
            <w:tcW w:w="550" w:type="pct"/>
            <w:tcBorders>
              <w:tl2br w:val="nil"/>
              <w:tr2bl w:val="nil"/>
            </w:tcBorders>
            <w:noWrap/>
            <w:vAlign w:val="center"/>
          </w:tcPr>
          <w:p w14:paraId="7F29C12F">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150m</w:t>
            </w:r>
          </w:p>
        </w:tc>
        <w:tc>
          <w:tcPr>
            <w:tcW w:w="548" w:type="pct"/>
            <w:tcBorders>
              <w:tl2br w:val="nil"/>
              <w:tr2bl w:val="nil"/>
            </w:tcBorders>
            <w:noWrap/>
            <w:vAlign w:val="center"/>
          </w:tcPr>
          <w:p w14:paraId="752493ED">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200m</w:t>
            </w:r>
          </w:p>
        </w:tc>
      </w:tr>
      <w:tr w14:paraId="7A489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483C9B4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搅拌机</w:t>
            </w:r>
          </w:p>
        </w:tc>
        <w:tc>
          <w:tcPr>
            <w:tcW w:w="446" w:type="pct"/>
            <w:tcBorders>
              <w:tl2br w:val="nil"/>
              <w:tr2bl w:val="nil"/>
            </w:tcBorders>
            <w:noWrap/>
            <w:vAlign w:val="center"/>
          </w:tcPr>
          <w:p w14:paraId="65DC0C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459" w:type="pct"/>
            <w:tcBorders>
              <w:tl2br w:val="nil"/>
              <w:tr2bl w:val="nil"/>
            </w:tcBorders>
            <w:noWrap/>
            <w:vAlign w:val="center"/>
          </w:tcPr>
          <w:p w14:paraId="580F73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c>
          <w:tcPr>
            <w:tcW w:w="459" w:type="pct"/>
            <w:tcBorders>
              <w:tl2br w:val="nil"/>
              <w:tr2bl w:val="nil"/>
            </w:tcBorders>
            <w:noWrap/>
            <w:vAlign w:val="center"/>
          </w:tcPr>
          <w:p w14:paraId="234F8F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45.5 </w:t>
            </w:r>
          </w:p>
        </w:tc>
        <w:tc>
          <w:tcPr>
            <w:tcW w:w="459" w:type="pct"/>
            <w:tcBorders>
              <w:tl2br w:val="nil"/>
              <w:tr2bl w:val="nil"/>
            </w:tcBorders>
            <w:noWrap/>
            <w:vAlign w:val="center"/>
          </w:tcPr>
          <w:p w14:paraId="69FB72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43.0 </w:t>
            </w:r>
          </w:p>
        </w:tc>
        <w:tc>
          <w:tcPr>
            <w:tcW w:w="435" w:type="pct"/>
            <w:tcBorders>
              <w:tl2br w:val="nil"/>
              <w:tr2bl w:val="nil"/>
            </w:tcBorders>
            <w:noWrap/>
            <w:vAlign w:val="center"/>
          </w:tcPr>
          <w:p w14:paraId="4AB59F3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41.0 </w:t>
            </w:r>
          </w:p>
        </w:tc>
        <w:tc>
          <w:tcPr>
            <w:tcW w:w="550" w:type="pct"/>
            <w:tcBorders>
              <w:tl2br w:val="nil"/>
              <w:tr2bl w:val="nil"/>
            </w:tcBorders>
            <w:noWrap/>
            <w:vAlign w:val="center"/>
          </w:tcPr>
          <w:p w14:paraId="144202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35.0 </w:t>
            </w:r>
          </w:p>
        </w:tc>
        <w:tc>
          <w:tcPr>
            <w:tcW w:w="550" w:type="pct"/>
            <w:tcBorders>
              <w:tl2br w:val="nil"/>
              <w:tr2bl w:val="nil"/>
            </w:tcBorders>
            <w:noWrap/>
            <w:vAlign w:val="center"/>
          </w:tcPr>
          <w:p w14:paraId="0E2B24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31.5 </w:t>
            </w:r>
          </w:p>
        </w:tc>
        <w:tc>
          <w:tcPr>
            <w:tcW w:w="548" w:type="pct"/>
            <w:tcBorders>
              <w:tl2br w:val="nil"/>
              <w:tr2bl w:val="nil"/>
            </w:tcBorders>
            <w:noWrap/>
            <w:vAlign w:val="center"/>
          </w:tcPr>
          <w:p w14:paraId="7B89AB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29.0 </w:t>
            </w:r>
          </w:p>
        </w:tc>
      </w:tr>
      <w:tr w14:paraId="77C56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0AD951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破碎机</w:t>
            </w:r>
          </w:p>
        </w:tc>
        <w:tc>
          <w:tcPr>
            <w:tcW w:w="446" w:type="pct"/>
            <w:tcBorders>
              <w:tl2br w:val="nil"/>
              <w:tr2bl w:val="nil"/>
            </w:tcBorders>
            <w:noWrap/>
            <w:vAlign w:val="center"/>
          </w:tcPr>
          <w:p w14:paraId="19F871A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60.0 </w:t>
            </w:r>
          </w:p>
        </w:tc>
        <w:tc>
          <w:tcPr>
            <w:tcW w:w="459" w:type="pct"/>
            <w:tcBorders>
              <w:tl2br w:val="nil"/>
              <w:tr2bl w:val="nil"/>
            </w:tcBorders>
            <w:noWrap/>
            <w:vAlign w:val="center"/>
          </w:tcPr>
          <w:p w14:paraId="69A73C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54.0 </w:t>
            </w:r>
          </w:p>
        </w:tc>
        <w:tc>
          <w:tcPr>
            <w:tcW w:w="459" w:type="pct"/>
            <w:tcBorders>
              <w:tl2br w:val="nil"/>
              <w:tr2bl w:val="nil"/>
            </w:tcBorders>
            <w:noWrap/>
            <w:vAlign w:val="center"/>
          </w:tcPr>
          <w:p w14:paraId="5A9E0A3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50.5 </w:t>
            </w:r>
          </w:p>
        </w:tc>
        <w:tc>
          <w:tcPr>
            <w:tcW w:w="459" w:type="pct"/>
            <w:tcBorders>
              <w:tl2br w:val="nil"/>
              <w:tr2bl w:val="nil"/>
            </w:tcBorders>
            <w:noWrap/>
            <w:vAlign w:val="center"/>
          </w:tcPr>
          <w:p w14:paraId="21A622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48.0 </w:t>
            </w:r>
          </w:p>
        </w:tc>
        <w:tc>
          <w:tcPr>
            <w:tcW w:w="435" w:type="pct"/>
            <w:tcBorders>
              <w:tl2br w:val="nil"/>
              <w:tr2bl w:val="nil"/>
            </w:tcBorders>
            <w:noWrap/>
            <w:vAlign w:val="center"/>
          </w:tcPr>
          <w:p w14:paraId="61D9ABC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46.0 </w:t>
            </w:r>
          </w:p>
        </w:tc>
        <w:tc>
          <w:tcPr>
            <w:tcW w:w="550" w:type="pct"/>
            <w:tcBorders>
              <w:tl2br w:val="nil"/>
              <w:tr2bl w:val="nil"/>
            </w:tcBorders>
            <w:noWrap/>
            <w:vAlign w:val="center"/>
          </w:tcPr>
          <w:p w14:paraId="1F8ED40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40.0 </w:t>
            </w:r>
          </w:p>
        </w:tc>
        <w:tc>
          <w:tcPr>
            <w:tcW w:w="550" w:type="pct"/>
            <w:tcBorders>
              <w:tl2br w:val="nil"/>
              <w:tr2bl w:val="nil"/>
            </w:tcBorders>
            <w:noWrap/>
            <w:vAlign w:val="center"/>
          </w:tcPr>
          <w:p w14:paraId="244404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36.5 </w:t>
            </w:r>
          </w:p>
        </w:tc>
        <w:tc>
          <w:tcPr>
            <w:tcW w:w="548" w:type="pct"/>
            <w:tcBorders>
              <w:tl2br w:val="nil"/>
              <w:tr2bl w:val="nil"/>
            </w:tcBorders>
            <w:noWrap/>
            <w:vAlign w:val="center"/>
          </w:tcPr>
          <w:p w14:paraId="1C2261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34.0 </w:t>
            </w:r>
          </w:p>
        </w:tc>
      </w:tr>
      <w:tr w14:paraId="57ED4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231B00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混凝土振捣器</w:t>
            </w:r>
          </w:p>
        </w:tc>
        <w:tc>
          <w:tcPr>
            <w:tcW w:w="446" w:type="pct"/>
            <w:tcBorders>
              <w:tl2br w:val="nil"/>
              <w:tr2bl w:val="nil"/>
            </w:tcBorders>
            <w:noWrap/>
            <w:vAlign w:val="center"/>
          </w:tcPr>
          <w:p w14:paraId="36A641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67.0 </w:t>
            </w:r>
          </w:p>
        </w:tc>
        <w:tc>
          <w:tcPr>
            <w:tcW w:w="459" w:type="pct"/>
            <w:tcBorders>
              <w:tl2br w:val="nil"/>
              <w:tr2bl w:val="nil"/>
            </w:tcBorders>
            <w:noWrap/>
            <w:vAlign w:val="center"/>
          </w:tcPr>
          <w:p w14:paraId="0C98EC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459" w:type="pct"/>
            <w:tcBorders>
              <w:tl2br w:val="nil"/>
              <w:tr2bl w:val="nil"/>
            </w:tcBorders>
            <w:noWrap/>
            <w:vAlign w:val="center"/>
          </w:tcPr>
          <w:p w14:paraId="51E576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57.5 </w:t>
            </w:r>
          </w:p>
        </w:tc>
        <w:tc>
          <w:tcPr>
            <w:tcW w:w="459" w:type="pct"/>
            <w:tcBorders>
              <w:tl2br w:val="nil"/>
              <w:tr2bl w:val="nil"/>
            </w:tcBorders>
            <w:noWrap/>
            <w:vAlign w:val="center"/>
          </w:tcPr>
          <w:p w14:paraId="320174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435" w:type="pct"/>
            <w:tcBorders>
              <w:tl2br w:val="nil"/>
              <w:tr2bl w:val="nil"/>
            </w:tcBorders>
            <w:noWrap/>
            <w:vAlign w:val="center"/>
          </w:tcPr>
          <w:p w14:paraId="5334E2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53.0 </w:t>
            </w:r>
          </w:p>
        </w:tc>
        <w:tc>
          <w:tcPr>
            <w:tcW w:w="550" w:type="pct"/>
            <w:tcBorders>
              <w:tl2br w:val="nil"/>
              <w:tr2bl w:val="nil"/>
            </w:tcBorders>
            <w:noWrap/>
            <w:vAlign w:val="center"/>
          </w:tcPr>
          <w:p w14:paraId="592CE9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47.0 </w:t>
            </w:r>
          </w:p>
        </w:tc>
        <w:tc>
          <w:tcPr>
            <w:tcW w:w="550" w:type="pct"/>
            <w:tcBorders>
              <w:tl2br w:val="nil"/>
              <w:tr2bl w:val="nil"/>
            </w:tcBorders>
            <w:noWrap/>
            <w:vAlign w:val="center"/>
          </w:tcPr>
          <w:p w14:paraId="3CE92C1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43.5 </w:t>
            </w:r>
          </w:p>
        </w:tc>
        <w:tc>
          <w:tcPr>
            <w:tcW w:w="548" w:type="pct"/>
            <w:tcBorders>
              <w:tl2br w:val="nil"/>
              <w:tr2bl w:val="nil"/>
            </w:tcBorders>
            <w:noWrap/>
            <w:vAlign w:val="center"/>
          </w:tcPr>
          <w:p w14:paraId="057401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41.0 </w:t>
            </w:r>
          </w:p>
        </w:tc>
      </w:tr>
      <w:tr w14:paraId="02959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0A50A9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卷扬机</w:t>
            </w:r>
          </w:p>
        </w:tc>
        <w:tc>
          <w:tcPr>
            <w:tcW w:w="446" w:type="pct"/>
            <w:tcBorders>
              <w:tl2br w:val="nil"/>
              <w:tr2bl w:val="nil"/>
            </w:tcBorders>
            <w:noWrap/>
            <w:vAlign w:val="center"/>
          </w:tcPr>
          <w:p w14:paraId="66D29BD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459" w:type="pct"/>
            <w:tcBorders>
              <w:tl2br w:val="nil"/>
              <w:tr2bl w:val="nil"/>
            </w:tcBorders>
            <w:noWrap/>
            <w:vAlign w:val="center"/>
          </w:tcPr>
          <w:p w14:paraId="10856C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c>
          <w:tcPr>
            <w:tcW w:w="459" w:type="pct"/>
            <w:tcBorders>
              <w:tl2br w:val="nil"/>
              <w:tr2bl w:val="nil"/>
            </w:tcBorders>
            <w:noWrap/>
            <w:vAlign w:val="center"/>
          </w:tcPr>
          <w:p w14:paraId="3927D4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45.5 </w:t>
            </w:r>
          </w:p>
        </w:tc>
        <w:tc>
          <w:tcPr>
            <w:tcW w:w="459" w:type="pct"/>
            <w:tcBorders>
              <w:tl2br w:val="nil"/>
              <w:tr2bl w:val="nil"/>
            </w:tcBorders>
            <w:noWrap/>
            <w:vAlign w:val="center"/>
          </w:tcPr>
          <w:p w14:paraId="163ACF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43.0 </w:t>
            </w:r>
          </w:p>
        </w:tc>
        <w:tc>
          <w:tcPr>
            <w:tcW w:w="435" w:type="pct"/>
            <w:tcBorders>
              <w:tl2br w:val="nil"/>
              <w:tr2bl w:val="nil"/>
            </w:tcBorders>
            <w:noWrap/>
            <w:vAlign w:val="center"/>
          </w:tcPr>
          <w:p w14:paraId="1E8FED3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41.0 </w:t>
            </w:r>
          </w:p>
        </w:tc>
        <w:tc>
          <w:tcPr>
            <w:tcW w:w="550" w:type="pct"/>
            <w:tcBorders>
              <w:tl2br w:val="nil"/>
              <w:tr2bl w:val="nil"/>
            </w:tcBorders>
            <w:noWrap/>
            <w:vAlign w:val="center"/>
          </w:tcPr>
          <w:p w14:paraId="33585E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35.0 </w:t>
            </w:r>
          </w:p>
        </w:tc>
        <w:tc>
          <w:tcPr>
            <w:tcW w:w="550" w:type="pct"/>
            <w:tcBorders>
              <w:tl2br w:val="nil"/>
              <w:tr2bl w:val="nil"/>
            </w:tcBorders>
            <w:noWrap/>
            <w:vAlign w:val="center"/>
          </w:tcPr>
          <w:p w14:paraId="7A1E01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31.5 </w:t>
            </w:r>
          </w:p>
        </w:tc>
        <w:tc>
          <w:tcPr>
            <w:tcW w:w="548" w:type="pct"/>
            <w:tcBorders>
              <w:tl2br w:val="nil"/>
              <w:tr2bl w:val="nil"/>
            </w:tcBorders>
            <w:noWrap/>
            <w:vAlign w:val="center"/>
          </w:tcPr>
          <w:p w14:paraId="6C7DE0D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29.0 </w:t>
            </w:r>
          </w:p>
        </w:tc>
      </w:tr>
      <w:tr w14:paraId="50A0C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7D6B4B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振动碾</w:t>
            </w:r>
          </w:p>
        </w:tc>
        <w:tc>
          <w:tcPr>
            <w:tcW w:w="446" w:type="pct"/>
            <w:tcBorders>
              <w:tl2br w:val="nil"/>
              <w:tr2bl w:val="nil"/>
            </w:tcBorders>
            <w:noWrap/>
            <w:vAlign w:val="center"/>
          </w:tcPr>
          <w:p w14:paraId="634DE9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75.0 </w:t>
            </w:r>
          </w:p>
        </w:tc>
        <w:tc>
          <w:tcPr>
            <w:tcW w:w="459" w:type="pct"/>
            <w:tcBorders>
              <w:tl2br w:val="nil"/>
              <w:tr2bl w:val="nil"/>
            </w:tcBorders>
            <w:noWrap/>
            <w:vAlign w:val="center"/>
          </w:tcPr>
          <w:p w14:paraId="5CA45F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69.0 </w:t>
            </w:r>
          </w:p>
        </w:tc>
        <w:tc>
          <w:tcPr>
            <w:tcW w:w="459" w:type="pct"/>
            <w:tcBorders>
              <w:tl2br w:val="nil"/>
              <w:tr2bl w:val="nil"/>
            </w:tcBorders>
            <w:noWrap/>
            <w:vAlign w:val="center"/>
          </w:tcPr>
          <w:p w14:paraId="22735E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65.5 </w:t>
            </w:r>
          </w:p>
        </w:tc>
        <w:tc>
          <w:tcPr>
            <w:tcW w:w="459" w:type="pct"/>
            <w:tcBorders>
              <w:tl2br w:val="nil"/>
              <w:tr2bl w:val="nil"/>
            </w:tcBorders>
            <w:noWrap/>
            <w:vAlign w:val="center"/>
          </w:tcPr>
          <w:p w14:paraId="7C426C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63.0 </w:t>
            </w:r>
          </w:p>
        </w:tc>
        <w:tc>
          <w:tcPr>
            <w:tcW w:w="435" w:type="pct"/>
            <w:tcBorders>
              <w:tl2br w:val="nil"/>
              <w:tr2bl w:val="nil"/>
            </w:tcBorders>
            <w:noWrap/>
            <w:vAlign w:val="center"/>
          </w:tcPr>
          <w:p w14:paraId="6F3BF69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550" w:type="pct"/>
            <w:tcBorders>
              <w:tl2br w:val="nil"/>
              <w:tr2bl w:val="nil"/>
            </w:tcBorders>
            <w:noWrap/>
            <w:vAlign w:val="center"/>
          </w:tcPr>
          <w:p w14:paraId="63C1BF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550" w:type="pct"/>
            <w:tcBorders>
              <w:tl2br w:val="nil"/>
              <w:tr2bl w:val="nil"/>
            </w:tcBorders>
            <w:noWrap/>
            <w:vAlign w:val="center"/>
          </w:tcPr>
          <w:p w14:paraId="4A4A0C2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51.5 </w:t>
            </w:r>
          </w:p>
        </w:tc>
        <w:tc>
          <w:tcPr>
            <w:tcW w:w="548" w:type="pct"/>
            <w:tcBorders>
              <w:tl2br w:val="nil"/>
              <w:tr2bl w:val="nil"/>
            </w:tcBorders>
            <w:noWrap/>
            <w:vAlign w:val="center"/>
          </w:tcPr>
          <w:p w14:paraId="137E34E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r>
      <w:tr w14:paraId="0FCCF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3E50E5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装载机</w:t>
            </w:r>
          </w:p>
        </w:tc>
        <w:tc>
          <w:tcPr>
            <w:tcW w:w="446" w:type="pct"/>
            <w:tcBorders>
              <w:tl2br w:val="nil"/>
              <w:tr2bl w:val="nil"/>
            </w:tcBorders>
            <w:noWrap/>
            <w:vAlign w:val="center"/>
          </w:tcPr>
          <w:p w14:paraId="0F7178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65.0 </w:t>
            </w:r>
          </w:p>
        </w:tc>
        <w:tc>
          <w:tcPr>
            <w:tcW w:w="459" w:type="pct"/>
            <w:tcBorders>
              <w:tl2br w:val="nil"/>
              <w:tr2bl w:val="nil"/>
            </w:tcBorders>
            <w:noWrap/>
            <w:vAlign w:val="center"/>
          </w:tcPr>
          <w:p w14:paraId="3A2BEB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59.0 </w:t>
            </w:r>
          </w:p>
        </w:tc>
        <w:tc>
          <w:tcPr>
            <w:tcW w:w="459" w:type="pct"/>
            <w:tcBorders>
              <w:tl2br w:val="nil"/>
              <w:tr2bl w:val="nil"/>
            </w:tcBorders>
            <w:noWrap/>
            <w:vAlign w:val="center"/>
          </w:tcPr>
          <w:p w14:paraId="00EC3C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55.5 </w:t>
            </w:r>
          </w:p>
        </w:tc>
        <w:tc>
          <w:tcPr>
            <w:tcW w:w="459" w:type="pct"/>
            <w:tcBorders>
              <w:tl2br w:val="nil"/>
              <w:tr2bl w:val="nil"/>
            </w:tcBorders>
            <w:noWrap/>
            <w:vAlign w:val="center"/>
          </w:tcPr>
          <w:p w14:paraId="28EB31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53.0 </w:t>
            </w:r>
          </w:p>
        </w:tc>
        <w:tc>
          <w:tcPr>
            <w:tcW w:w="435" w:type="pct"/>
            <w:tcBorders>
              <w:tl2br w:val="nil"/>
              <w:tr2bl w:val="nil"/>
            </w:tcBorders>
            <w:noWrap/>
            <w:vAlign w:val="center"/>
          </w:tcPr>
          <w:p w14:paraId="60E968F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51.0 </w:t>
            </w:r>
          </w:p>
        </w:tc>
        <w:tc>
          <w:tcPr>
            <w:tcW w:w="550" w:type="pct"/>
            <w:tcBorders>
              <w:tl2br w:val="nil"/>
              <w:tr2bl w:val="nil"/>
            </w:tcBorders>
            <w:noWrap/>
            <w:vAlign w:val="center"/>
          </w:tcPr>
          <w:p w14:paraId="2FE524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45.0 </w:t>
            </w:r>
          </w:p>
        </w:tc>
        <w:tc>
          <w:tcPr>
            <w:tcW w:w="550" w:type="pct"/>
            <w:tcBorders>
              <w:tl2br w:val="nil"/>
              <w:tr2bl w:val="nil"/>
            </w:tcBorders>
            <w:noWrap/>
            <w:vAlign w:val="center"/>
          </w:tcPr>
          <w:p w14:paraId="2181BDC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41.5 </w:t>
            </w:r>
          </w:p>
        </w:tc>
        <w:tc>
          <w:tcPr>
            <w:tcW w:w="548" w:type="pct"/>
            <w:tcBorders>
              <w:tl2br w:val="nil"/>
              <w:tr2bl w:val="nil"/>
            </w:tcBorders>
            <w:noWrap/>
            <w:vAlign w:val="center"/>
          </w:tcPr>
          <w:p w14:paraId="6F203AD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39.0 </w:t>
            </w:r>
          </w:p>
        </w:tc>
      </w:tr>
      <w:tr w14:paraId="7AFDA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6CF90F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挖掘机</w:t>
            </w:r>
          </w:p>
        </w:tc>
        <w:tc>
          <w:tcPr>
            <w:tcW w:w="446" w:type="pct"/>
            <w:tcBorders>
              <w:tl2br w:val="nil"/>
              <w:tr2bl w:val="nil"/>
            </w:tcBorders>
            <w:noWrap w:val="0"/>
            <w:vAlign w:val="center"/>
          </w:tcPr>
          <w:p w14:paraId="7C170E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70.0 </w:t>
            </w:r>
          </w:p>
        </w:tc>
        <w:tc>
          <w:tcPr>
            <w:tcW w:w="459" w:type="pct"/>
            <w:tcBorders>
              <w:tl2br w:val="nil"/>
              <w:tr2bl w:val="nil"/>
            </w:tcBorders>
            <w:noWrap w:val="0"/>
            <w:vAlign w:val="center"/>
          </w:tcPr>
          <w:p w14:paraId="72701E2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64.0 </w:t>
            </w:r>
          </w:p>
        </w:tc>
        <w:tc>
          <w:tcPr>
            <w:tcW w:w="459" w:type="pct"/>
            <w:tcBorders>
              <w:tl2br w:val="nil"/>
              <w:tr2bl w:val="nil"/>
            </w:tcBorders>
            <w:noWrap w:val="0"/>
            <w:vAlign w:val="center"/>
          </w:tcPr>
          <w:p w14:paraId="3D5FBE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60.5 </w:t>
            </w:r>
          </w:p>
        </w:tc>
        <w:tc>
          <w:tcPr>
            <w:tcW w:w="459" w:type="pct"/>
            <w:tcBorders>
              <w:tl2br w:val="nil"/>
              <w:tr2bl w:val="nil"/>
            </w:tcBorders>
            <w:noWrap w:val="0"/>
            <w:vAlign w:val="center"/>
          </w:tcPr>
          <w:p w14:paraId="373736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58.0 </w:t>
            </w:r>
          </w:p>
        </w:tc>
        <w:tc>
          <w:tcPr>
            <w:tcW w:w="435" w:type="pct"/>
            <w:tcBorders>
              <w:tl2br w:val="nil"/>
              <w:tr2bl w:val="nil"/>
            </w:tcBorders>
            <w:noWrap w:val="0"/>
            <w:vAlign w:val="center"/>
          </w:tcPr>
          <w:p w14:paraId="244554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56.0 </w:t>
            </w:r>
          </w:p>
        </w:tc>
        <w:tc>
          <w:tcPr>
            <w:tcW w:w="550" w:type="pct"/>
            <w:tcBorders>
              <w:tl2br w:val="nil"/>
              <w:tr2bl w:val="nil"/>
            </w:tcBorders>
            <w:noWrap w:val="0"/>
            <w:vAlign w:val="center"/>
          </w:tcPr>
          <w:p w14:paraId="1852FA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50.0 </w:t>
            </w:r>
          </w:p>
        </w:tc>
        <w:tc>
          <w:tcPr>
            <w:tcW w:w="550" w:type="pct"/>
            <w:tcBorders>
              <w:tl2br w:val="nil"/>
              <w:tr2bl w:val="nil"/>
            </w:tcBorders>
            <w:noWrap w:val="0"/>
            <w:vAlign w:val="center"/>
          </w:tcPr>
          <w:p w14:paraId="3697DB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46.5 </w:t>
            </w:r>
          </w:p>
        </w:tc>
        <w:tc>
          <w:tcPr>
            <w:tcW w:w="548" w:type="pct"/>
            <w:tcBorders>
              <w:tl2br w:val="nil"/>
              <w:tr2bl w:val="nil"/>
            </w:tcBorders>
            <w:noWrap w:val="0"/>
            <w:vAlign w:val="center"/>
          </w:tcPr>
          <w:p w14:paraId="0E25949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44.0 </w:t>
            </w:r>
          </w:p>
        </w:tc>
      </w:tr>
      <w:tr w14:paraId="7C93F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1C2392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空压机</w:t>
            </w:r>
          </w:p>
        </w:tc>
        <w:tc>
          <w:tcPr>
            <w:tcW w:w="446" w:type="pct"/>
            <w:tcBorders>
              <w:tl2br w:val="nil"/>
              <w:tr2bl w:val="nil"/>
            </w:tcBorders>
            <w:noWrap w:val="0"/>
            <w:vAlign w:val="center"/>
          </w:tcPr>
          <w:p w14:paraId="2DA0AF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65.0 </w:t>
            </w:r>
          </w:p>
        </w:tc>
        <w:tc>
          <w:tcPr>
            <w:tcW w:w="459" w:type="pct"/>
            <w:tcBorders>
              <w:tl2br w:val="nil"/>
              <w:tr2bl w:val="nil"/>
            </w:tcBorders>
            <w:noWrap w:val="0"/>
            <w:vAlign w:val="center"/>
          </w:tcPr>
          <w:p w14:paraId="3B2038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59.0 </w:t>
            </w:r>
          </w:p>
        </w:tc>
        <w:tc>
          <w:tcPr>
            <w:tcW w:w="459" w:type="pct"/>
            <w:tcBorders>
              <w:tl2br w:val="nil"/>
              <w:tr2bl w:val="nil"/>
            </w:tcBorders>
            <w:noWrap w:val="0"/>
            <w:vAlign w:val="center"/>
          </w:tcPr>
          <w:p w14:paraId="5997FD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55.5 </w:t>
            </w:r>
          </w:p>
        </w:tc>
        <w:tc>
          <w:tcPr>
            <w:tcW w:w="459" w:type="pct"/>
            <w:tcBorders>
              <w:tl2br w:val="nil"/>
              <w:tr2bl w:val="nil"/>
            </w:tcBorders>
            <w:noWrap w:val="0"/>
            <w:vAlign w:val="center"/>
          </w:tcPr>
          <w:p w14:paraId="645FC97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53.0 </w:t>
            </w:r>
          </w:p>
        </w:tc>
        <w:tc>
          <w:tcPr>
            <w:tcW w:w="435" w:type="pct"/>
            <w:tcBorders>
              <w:tl2br w:val="nil"/>
              <w:tr2bl w:val="nil"/>
            </w:tcBorders>
            <w:noWrap w:val="0"/>
            <w:vAlign w:val="center"/>
          </w:tcPr>
          <w:p w14:paraId="00983A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51.0 </w:t>
            </w:r>
          </w:p>
        </w:tc>
        <w:tc>
          <w:tcPr>
            <w:tcW w:w="550" w:type="pct"/>
            <w:tcBorders>
              <w:tl2br w:val="nil"/>
              <w:tr2bl w:val="nil"/>
            </w:tcBorders>
            <w:noWrap w:val="0"/>
            <w:vAlign w:val="center"/>
          </w:tcPr>
          <w:p w14:paraId="0DE011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45.0 </w:t>
            </w:r>
          </w:p>
        </w:tc>
        <w:tc>
          <w:tcPr>
            <w:tcW w:w="550" w:type="pct"/>
            <w:tcBorders>
              <w:tl2br w:val="nil"/>
              <w:tr2bl w:val="nil"/>
            </w:tcBorders>
            <w:noWrap w:val="0"/>
            <w:vAlign w:val="center"/>
          </w:tcPr>
          <w:p w14:paraId="2D73B4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41.5 </w:t>
            </w:r>
          </w:p>
        </w:tc>
        <w:tc>
          <w:tcPr>
            <w:tcW w:w="548" w:type="pct"/>
            <w:tcBorders>
              <w:tl2br w:val="nil"/>
              <w:tr2bl w:val="nil"/>
            </w:tcBorders>
            <w:noWrap w:val="0"/>
            <w:vAlign w:val="center"/>
          </w:tcPr>
          <w:p w14:paraId="39EC22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39.0 </w:t>
            </w:r>
          </w:p>
        </w:tc>
      </w:tr>
      <w:tr w14:paraId="1867F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26723C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风钻</w:t>
            </w:r>
          </w:p>
        </w:tc>
        <w:tc>
          <w:tcPr>
            <w:tcW w:w="446" w:type="pct"/>
            <w:tcBorders>
              <w:tl2br w:val="nil"/>
              <w:tr2bl w:val="nil"/>
            </w:tcBorders>
            <w:noWrap w:val="0"/>
            <w:vAlign w:val="center"/>
          </w:tcPr>
          <w:p w14:paraId="1EEA4A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75.0 </w:t>
            </w:r>
          </w:p>
        </w:tc>
        <w:tc>
          <w:tcPr>
            <w:tcW w:w="459" w:type="pct"/>
            <w:tcBorders>
              <w:tl2br w:val="nil"/>
              <w:tr2bl w:val="nil"/>
            </w:tcBorders>
            <w:noWrap w:val="0"/>
            <w:vAlign w:val="center"/>
          </w:tcPr>
          <w:p w14:paraId="50EF3C0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69.0 </w:t>
            </w:r>
          </w:p>
        </w:tc>
        <w:tc>
          <w:tcPr>
            <w:tcW w:w="459" w:type="pct"/>
            <w:tcBorders>
              <w:tl2br w:val="nil"/>
              <w:tr2bl w:val="nil"/>
            </w:tcBorders>
            <w:noWrap w:val="0"/>
            <w:vAlign w:val="center"/>
          </w:tcPr>
          <w:p w14:paraId="3E8377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65.5 </w:t>
            </w:r>
          </w:p>
        </w:tc>
        <w:tc>
          <w:tcPr>
            <w:tcW w:w="459" w:type="pct"/>
            <w:tcBorders>
              <w:tl2br w:val="nil"/>
              <w:tr2bl w:val="nil"/>
            </w:tcBorders>
            <w:noWrap w:val="0"/>
            <w:vAlign w:val="center"/>
          </w:tcPr>
          <w:p w14:paraId="4C270E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63.0 </w:t>
            </w:r>
          </w:p>
        </w:tc>
        <w:tc>
          <w:tcPr>
            <w:tcW w:w="435" w:type="pct"/>
            <w:tcBorders>
              <w:tl2br w:val="nil"/>
              <w:tr2bl w:val="nil"/>
            </w:tcBorders>
            <w:noWrap w:val="0"/>
            <w:vAlign w:val="center"/>
          </w:tcPr>
          <w:p w14:paraId="069B0E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550" w:type="pct"/>
            <w:tcBorders>
              <w:tl2br w:val="nil"/>
              <w:tr2bl w:val="nil"/>
            </w:tcBorders>
            <w:noWrap w:val="0"/>
            <w:vAlign w:val="center"/>
          </w:tcPr>
          <w:p w14:paraId="1F78A1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550" w:type="pct"/>
            <w:tcBorders>
              <w:tl2br w:val="nil"/>
              <w:tr2bl w:val="nil"/>
            </w:tcBorders>
            <w:noWrap w:val="0"/>
            <w:vAlign w:val="center"/>
          </w:tcPr>
          <w:p w14:paraId="2E32F6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51.5 </w:t>
            </w:r>
          </w:p>
        </w:tc>
        <w:tc>
          <w:tcPr>
            <w:tcW w:w="548" w:type="pct"/>
            <w:tcBorders>
              <w:tl2br w:val="nil"/>
              <w:tr2bl w:val="nil"/>
            </w:tcBorders>
            <w:noWrap w:val="0"/>
            <w:vAlign w:val="center"/>
          </w:tcPr>
          <w:p w14:paraId="52BB54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r>
      <w:tr w14:paraId="4D8BE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1E34C49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泵类</w:t>
            </w:r>
          </w:p>
        </w:tc>
        <w:tc>
          <w:tcPr>
            <w:tcW w:w="446" w:type="pct"/>
            <w:tcBorders>
              <w:tl2br w:val="nil"/>
              <w:tr2bl w:val="nil"/>
            </w:tcBorders>
            <w:noWrap w:val="0"/>
            <w:vAlign w:val="center"/>
          </w:tcPr>
          <w:p w14:paraId="2D7F55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70.0 </w:t>
            </w:r>
          </w:p>
        </w:tc>
        <w:tc>
          <w:tcPr>
            <w:tcW w:w="459" w:type="pct"/>
            <w:tcBorders>
              <w:tl2br w:val="nil"/>
              <w:tr2bl w:val="nil"/>
            </w:tcBorders>
            <w:noWrap w:val="0"/>
            <w:vAlign w:val="center"/>
          </w:tcPr>
          <w:p w14:paraId="03D4A5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64.0 </w:t>
            </w:r>
          </w:p>
        </w:tc>
        <w:tc>
          <w:tcPr>
            <w:tcW w:w="459" w:type="pct"/>
            <w:tcBorders>
              <w:tl2br w:val="nil"/>
              <w:tr2bl w:val="nil"/>
            </w:tcBorders>
            <w:noWrap w:val="0"/>
            <w:vAlign w:val="center"/>
          </w:tcPr>
          <w:p w14:paraId="3405654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60.5 </w:t>
            </w:r>
          </w:p>
        </w:tc>
        <w:tc>
          <w:tcPr>
            <w:tcW w:w="459" w:type="pct"/>
            <w:tcBorders>
              <w:tl2br w:val="nil"/>
              <w:tr2bl w:val="nil"/>
            </w:tcBorders>
            <w:noWrap w:val="0"/>
            <w:vAlign w:val="center"/>
          </w:tcPr>
          <w:p w14:paraId="675CDB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58.0 </w:t>
            </w:r>
          </w:p>
        </w:tc>
        <w:tc>
          <w:tcPr>
            <w:tcW w:w="435" w:type="pct"/>
            <w:tcBorders>
              <w:tl2br w:val="nil"/>
              <w:tr2bl w:val="nil"/>
            </w:tcBorders>
            <w:noWrap w:val="0"/>
            <w:vAlign w:val="center"/>
          </w:tcPr>
          <w:p w14:paraId="441D0D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56.0 </w:t>
            </w:r>
          </w:p>
        </w:tc>
        <w:tc>
          <w:tcPr>
            <w:tcW w:w="550" w:type="pct"/>
            <w:tcBorders>
              <w:tl2br w:val="nil"/>
              <w:tr2bl w:val="nil"/>
            </w:tcBorders>
            <w:noWrap w:val="0"/>
            <w:vAlign w:val="center"/>
          </w:tcPr>
          <w:p w14:paraId="3C0D683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50.0 </w:t>
            </w:r>
          </w:p>
        </w:tc>
        <w:tc>
          <w:tcPr>
            <w:tcW w:w="550" w:type="pct"/>
            <w:tcBorders>
              <w:tl2br w:val="nil"/>
              <w:tr2bl w:val="nil"/>
            </w:tcBorders>
            <w:noWrap w:val="0"/>
            <w:vAlign w:val="center"/>
          </w:tcPr>
          <w:p w14:paraId="47858A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46.5 </w:t>
            </w:r>
          </w:p>
        </w:tc>
        <w:tc>
          <w:tcPr>
            <w:tcW w:w="548" w:type="pct"/>
            <w:tcBorders>
              <w:tl2br w:val="nil"/>
              <w:tr2bl w:val="nil"/>
            </w:tcBorders>
            <w:noWrap w:val="0"/>
            <w:vAlign w:val="center"/>
          </w:tcPr>
          <w:p w14:paraId="179B6F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44.0 </w:t>
            </w:r>
          </w:p>
        </w:tc>
      </w:tr>
      <w:tr w14:paraId="44B8C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29634D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综合加工设备</w:t>
            </w:r>
          </w:p>
        </w:tc>
        <w:tc>
          <w:tcPr>
            <w:tcW w:w="446" w:type="pct"/>
            <w:tcBorders>
              <w:tl2br w:val="nil"/>
              <w:tr2bl w:val="nil"/>
            </w:tcBorders>
            <w:noWrap w:val="0"/>
            <w:vAlign w:val="center"/>
          </w:tcPr>
          <w:p w14:paraId="039259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75.0 </w:t>
            </w:r>
          </w:p>
        </w:tc>
        <w:tc>
          <w:tcPr>
            <w:tcW w:w="459" w:type="pct"/>
            <w:tcBorders>
              <w:tl2br w:val="nil"/>
              <w:tr2bl w:val="nil"/>
            </w:tcBorders>
            <w:noWrap w:val="0"/>
            <w:vAlign w:val="center"/>
          </w:tcPr>
          <w:p w14:paraId="42CFA42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69.0 </w:t>
            </w:r>
          </w:p>
        </w:tc>
        <w:tc>
          <w:tcPr>
            <w:tcW w:w="459" w:type="pct"/>
            <w:tcBorders>
              <w:tl2br w:val="nil"/>
              <w:tr2bl w:val="nil"/>
            </w:tcBorders>
            <w:noWrap w:val="0"/>
            <w:vAlign w:val="center"/>
          </w:tcPr>
          <w:p w14:paraId="313A6A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65.5 </w:t>
            </w:r>
          </w:p>
        </w:tc>
        <w:tc>
          <w:tcPr>
            <w:tcW w:w="459" w:type="pct"/>
            <w:tcBorders>
              <w:tl2br w:val="nil"/>
              <w:tr2bl w:val="nil"/>
            </w:tcBorders>
            <w:noWrap w:val="0"/>
            <w:vAlign w:val="center"/>
          </w:tcPr>
          <w:p w14:paraId="2FFA7D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63.0 </w:t>
            </w:r>
          </w:p>
        </w:tc>
        <w:tc>
          <w:tcPr>
            <w:tcW w:w="435" w:type="pct"/>
            <w:tcBorders>
              <w:tl2br w:val="nil"/>
              <w:tr2bl w:val="nil"/>
            </w:tcBorders>
            <w:noWrap w:val="0"/>
            <w:vAlign w:val="center"/>
          </w:tcPr>
          <w:p w14:paraId="7498C3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550" w:type="pct"/>
            <w:tcBorders>
              <w:tl2br w:val="nil"/>
              <w:tr2bl w:val="nil"/>
            </w:tcBorders>
            <w:noWrap w:val="0"/>
            <w:vAlign w:val="center"/>
          </w:tcPr>
          <w:p w14:paraId="6993E5C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550" w:type="pct"/>
            <w:tcBorders>
              <w:tl2br w:val="nil"/>
              <w:tr2bl w:val="nil"/>
            </w:tcBorders>
            <w:noWrap w:val="0"/>
            <w:vAlign w:val="center"/>
          </w:tcPr>
          <w:p w14:paraId="06317A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51.5 </w:t>
            </w:r>
          </w:p>
        </w:tc>
        <w:tc>
          <w:tcPr>
            <w:tcW w:w="548" w:type="pct"/>
            <w:tcBorders>
              <w:tl2br w:val="nil"/>
              <w:tr2bl w:val="nil"/>
            </w:tcBorders>
            <w:noWrap w:val="0"/>
            <w:vAlign w:val="center"/>
          </w:tcPr>
          <w:p w14:paraId="5F1AD8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r>
      <w:tr w14:paraId="56F53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7DEBAC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载重汽车</w:t>
            </w:r>
          </w:p>
        </w:tc>
        <w:tc>
          <w:tcPr>
            <w:tcW w:w="446" w:type="pct"/>
            <w:tcBorders>
              <w:tl2br w:val="nil"/>
              <w:tr2bl w:val="nil"/>
            </w:tcBorders>
            <w:noWrap w:val="0"/>
            <w:vAlign w:val="center"/>
          </w:tcPr>
          <w:p w14:paraId="45E4A9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70.0 </w:t>
            </w:r>
          </w:p>
        </w:tc>
        <w:tc>
          <w:tcPr>
            <w:tcW w:w="459" w:type="pct"/>
            <w:tcBorders>
              <w:tl2br w:val="nil"/>
              <w:tr2bl w:val="nil"/>
            </w:tcBorders>
            <w:noWrap w:val="0"/>
            <w:vAlign w:val="center"/>
          </w:tcPr>
          <w:p w14:paraId="6378CF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64.0 </w:t>
            </w:r>
          </w:p>
        </w:tc>
        <w:tc>
          <w:tcPr>
            <w:tcW w:w="459" w:type="pct"/>
            <w:tcBorders>
              <w:tl2br w:val="nil"/>
              <w:tr2bl w:val="nil"/>
            </w:tcBorders>
            <w:noWrap w:val="0"/>
            <w:vAlign w:val="center"/>
          </w:tcPr>
          <w:p w14:paraId="7CD00B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60.5 </w:t>
            </w:r>
          </w:p>
        </w:tc>
        <w:tc>
          <w:tcPr>
            <w:tcW w:w="459" w:type="pct"/>
            <w:tcBorders>
              <w:tl2br w:val="nil"/>
              <w:tr2bl w:val="nil"/>
            </w:tcBorders>
            <w:noWrap w:val="0"/>
            <w:vAlign w:val="center"/>
          </w:tcPr>
          <w:p w14:paraId="381577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58.0 </w:t>
            </w:r>
          </w:p>
        </w:tc>
        <w:tc>
          <w:tcPr>
            <w:tcW w:w="435" w:type="pct"/>
            <w:tcBorders>
              <w:tl2br w:val="nil"/>
              <w:tr2bl w:val="nil"/>
            </w:tcBorders>
            <w:noWrap w:val="0"/>
            <w:vAlign w:val="center"/>
          </w:tcPr>
          <w:p w14:paraId="7CF55C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56.0 </w:t>
            </w:r>
          </w:p>
        </w:tc>
        <w:tc>
          <w:tcPr>
            <w:tcW w:w="550" w:type="pct"/>
            <w:tcBorders>
              <w:tl2br w:val="nil"/>
              <w:tr2bl w:val="nil"/>
            </w:tcBorders>
            <w:noWrap w:val="0"/>
            <w:vAlign w:val="center"/>
          </w:tcPr>
          <w:p w14:paraId="3A3F4D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50.0 </w:t>
            </w:r>
          </w:p>
        </w:tc>
        <w:tc>
          <w:tcPr>
            <w:tcW w:w="550" w:type="pct"/>
            <w:tcBorders>
              <w:tl2br w:val="nil"/>
              <w:tr2bl w:val="nil"/>
            </w:tcBorders>
            <w:noWrap w:val="0"/>
            <w:vAlign w:val="center"/>
          </w:tcPr>
          <w:p w14:paraId="329608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46.5 </w:t>
            </w:r>
          </w:p>
        </w:tc>
        <w:tc>
          <w:tcPr>
            <w:tcW w:w="548" w:type="pct"/>
            <w:tcBorders>
              <w:tl2br w:val="nil"/>
              <w:tr2bl w:val="nil"/>
            </w:tcBorders>
            <w:noWrap w:val="0"/>
            <w:vAlign w:val="center"/>
          </w:tcPr>
          <w:p w14:paraId="5E6E6CC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44.0 </w:t>
            </w:r>
          </w:p>
        </w:tc>
      </w:tr>
      <w:tr w14:paraId="0048F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1FC653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推土机</w:t>
            </w:r>
          </w:p>
        </w:tc>
        <w:tc>
          <w:tcPr>
            <w:tcW w:w="446" w:type="pct"/>
            <w:tcBorders>
              <w:tl2br w:val="nil"/>
              <w:tr2bl w:val="nil"/>
            </w:tcBorders>
            <w:noWrap w:val="0"/>
            <w:vAlign w:val="center"/>
          </w:tcPr>
          <w:p w14:paraId="563EF1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75.0 </w:t>
            </w:r>
          </w:p>
        </w:tc>
        <w:tc>
          <w:tcPr>
            <w:tcW w:w="459" w:type="pct"/>
            <w:tcBorders>
              <w:tl2br w:val="nil"/>
              <w:tr2bl w:val="nil"/>
            </w:tcBorders>
            <w:noWrap w:val="0"/>
            <w:vAlign w:val="center"/>
          </w:tcPr>
          <w:p w14:paraId="5F3334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69.0 </w:t>
            </w:r>
          </w:p>
        </w:tc>
        <w:tc>
          <w:tcPr>
            <w:tcW w:w="459" w:type="pct"/>
            <w:tcBorders>
              <w:tl2br w:val="nil"/>
              <w:tr2bl w:val="nil"/>
            </w:tcBorders>
            <w:noWrap w:val="0"/>
            <w:vAlign w:val="center"/>
          </w:tcPr>
          <w:p w14:paraId="1CC2D6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65.5 </w:t>
            </w:r>
          </w:p>
        </w:tc>
        <w:tc>
          <w:tcPr>
            <w:tcW w:w="459" w:type="pct"/>
            <w:tcBorders>
              <w:tl2br w:val="nil"/>
              <w:tr2bl w:val="nil"/>
            </w:tcBorders>
            <w:noWrap w:val="0"/>
            <w:vAlign w:val="center"/>
          </w:tcPr>
          <w:p w14:paraId="6D977F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63.0 </w:t>
            </w:r>
          </w:p>
        </w:tc>
        <w:tc>
          <w:tcPr>
            <w:tcW w:w="435" w:type="pct"/>
            <w:tcBorders>
              <w:tl2br w:val="nil"/>
              <w:tr2bl w:val="nil"/>
            </w:tcBorders>
            <w:noWrap w:val="0"/>
            <w:vAlign w:val="center"/>
          </w:tcPr>
          <w:p w14:paraId="3022C56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550" w:type="pct"/>
            <w:tcBorders>
              <w:tl2br w:val="nil"/>
              <w:tr2bl w:val="nil"/>
            </w:tcBorders>
            <w:noWrap w:val="0"/>
            <w:vAlign w:val="center"/>
          </w:tcPr>
          <w:p w14:paraId="6BF21F9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550" w:type="pct"/>
            <w:tcBorders>
              <w:tl2br w:val="nil"/>
              <w:tr2bl w:val="nil"/>
            </w:tcBorders>
            <w:noWrap w:val="0"/>
            <w:vAlign w:val="center"/>
          </w:tcPr>
          <w:p w14:paraId="63BE0C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51.5 </w:t>
            </w:r>
          </w:p>
        </w:tc>
        <w:tc>
          <w:tcPr>
            <w:tcW w:w="548" w:type="pct"/>
            <w:tcBorders>
              <w:tl2br w:val="nil"/>
              <w:tr2bl w:val="nil"/>
            </w:tcBorders>
            <w:noWrap w:val="0"/>
            <w:vAlign w:val="center"/>
          </w:tcPr>
          <w:p w14:paraId="0882D1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r>
    </w:tbl>
    <w:p w14:paraId="2E260C93">
      <w:pPr>
        <w:pStyle w:val="100"/>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Arial" w:cs="Arial"/>
          <w:b w:val="0"/>
          <w:bCs/>
          <w:sz w:val="26"/>
          <w:szCs w:val="26"/>
          <w:lang w:eastAsia="zh-CN"/>
        </w:rPr>
      </w:pPr>
    </w:p>
    <w:p w14:paraId="5FD85911">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由上表计算得出，按《建筑施工场界环境噪声排放标准》（GB12523-2011）限值要求，施工机械噪声在无任何遮挡的情况下，单台机械对环境的影响范围为昼间18m、夜间142m。实际施工过程中可能会出现多台机械同在一处作业，则此时的施工噪声影响的范围比预测值还要大。</w:t>
      </w:r>
    </w:p>
    <w:p w14:paraId="5991FD27">
      <w:pPr>
        <w:spacing w:line="460" w:lineRule="exact"/>
        <w:ind w:firstLine="520" w:firstLineChars="200"/>
        <w:rPr>
          <w:rFonts w:ascii="Arial" w:cs="Arial"/>
          <w:sz w:val="26"/>
          <w:szCs w:val="26"/>
        </w:rPr>
      </w:pPr>
      <w:r>
        <w:rPr>
          <w:rFonts w:ascii="Arial" w:cs="Arial"/>
          <w:sz w:val="26"/>
          <w:szCs w:val="26"/>
        </w:rPr>
        <w:t>为减轻施工噪声对环境的影响，应选用符合国家要求的低噪声设备；对空压机、</w:t>
      </w:r>
      <w:r>
        <w:rPr>
          <w:rFonts w:hint="eastAsia" w:ascii="Arial" w:cs="Arial"/>
          <w:sz w:val="26"/>
          <w:szCs w:val="26"/>
        </w:rPr>
        <w:t>柴油发电机</w:t>
      </w:r>
      <w:r>
        <w:rPr>
          <w:rFonts w:ascii="Arial" w:cs="Arial"/>
          <w:sz w:val="26"/>
          <w:szCs w:val="26"/>
        </w:rPr>
        <w:t>等高噪声源采取消声、隔声措施；施工过程中，应合理安排</w:t>
      </w:r>
      <w:r>
        <w:rPr>
          <w:rFonts w:ascii="Arial" w:cs="Arial"/>
          <w:color w:val="auto"/>
          <w:sz w:val="26"/>
          <w:szCs w:val="26"/>
        </w:rPr>
        <w:t>施工机具的工作时间；工程基础施工过程中</w:t>
      </w:r>
      <w:r>
        <w:rPr>
          <w:rFonts w:hint="eastAsia" w:ascii="Arial" w:cs="Arial"/>
          <w:color w:val="auto"/>
          <w:sz w:val="26"/>
          <w:szCs w:val="26"/>
        </w:rPr>
        <w:t>合理使用土石方开挖机械（如潜孔钻、风钻等）</w:t>
      </w:r>
      <w:r>
        <w:rPr>
          <w:rFonts w:ascii="Arial" w:cs="Arial"/>
          <w:sz w:val="26"/>
          <w:szCs w:val="26"/>
        </w:rPr>
        <w:t>，减少噪声振动对周围环境的影响。</w:t>
      </w:r>
    </w:p>
    <w:p w14:paraId="1F429563">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5.4.3敏感点噪声影响预测</w:t>
      </w:r>
    </w:p>
    <w:p w14:paraId="0069812F">
      <w:pPr>
        <w:spacing w:line="460" w:lineRule="exact"/>
        <w:ind w:firstLine="520" w:firstLineChars="200"/>
        <w:rPr>
          <w:rFonts w:ascii="Arial" w:hAnsi="Times New Roman" w:eastAsia="宋体" w:cs="Arial"/>
          <w:b w:val="0"/>
          <w:bCs w:val="0"/>
          <w:color w:val="auto"/>
          <w:sz w:val="21"/>
          <w:szCs w:val="21"/>
        </w:rPr>
      </w:pPr>
      <w:r>
        <w:rPr>
          <w:rFonts w:hint="eastAsia" w:ascii="Arial" w:cs="Arial"/>
          <w:color w:val="auto"/>
          <w:sz w:val="26"/>
          <w:szCs w:val="26"/>
        </w:rPr>
        <w:t>根据现场勘查，</w:t>
      </w:r>
      <w:r>
        <w:rPr>
          <w:rFonts w:hint="eastAsia" w:ascii="Arial" w:cs="Arial"/>
          <w:color w:val="auto"/>
          <w:sz w:val="26"/>
          <w:szCs w:val="26"/>
          <w:lang w:eastAsia="zh-CN"/>
        </w:rPr>
        <w:t>本项目</w:t>
      </w:r>
      <w:r>
        <w:rPr>
          <w:rFonts w:hint="eastAsia" w:ascii="Arial" w:cs="Arial"/>
          <w:color w:val="auto"/>
          <w:sz w:val="26"/>
          <w:szCs w:val="26"/>
        </w:rPr>
        <w:t>枢纽工程施工</w:t>
      </w:r>
      <w:r>
        <w:rPr>
          <w:rFonts w:hint="eastAsia" w:ascii="Arial" w:cs="Arial"/>
          <w:color w:val="auto"/>
          <w:sz w:val="26"/>
          <w:szCs w:val="26"/>
          <w:lang w:eastAsia="zh-CN"/>
        </w:rPr>
        <w:t>区</w:t>
      </w:r>
      <w:r>
        <w:rPr>
          <w:rFonts w:hint="eastAsia" w:ascii="Arial" w:cs="Arial"/>
          <w:color w:val="auto"/>
          <w:sz w:val="26"/>
          <w:szCs w:val="26"/>
        </w:rPr>
        <w:t>四周200m范围内</w:t>
      </w:r>
      <w:r>
        <w:rPr>
          <w:rFonts w:hint="eastAsia" w:ascii="Arial" w:cs="Arial"/>
          <w:color w:val="auto"/>
          <w:sz w:val="26"/>
          <w:szCs w:val="26"/>
          <w:lang w:eastAsia="zh-CN"/>
        </w:rPr>
        <w:t>无居民点分布，但库周、输水管道沿线均有敏感点分布，由于管道铺设以人工作业为主，噪声源强较低，对敏感点噪声影响小</w:t>
      </w:r>
      <w:r>
        <w:rPr>
          <w:rFonts w:hint="eastAsia" w:ascii="Arial" w:cs="Arial"/>
          <w:sz w:val="26"/>
          <w:szCs w:val="26"/>
          <w:lang w:val="en-US" w:eastAsia="zh-CN"/>
        </w:rPr>
        <w:t>。</w:t>
      </w:r>
      <w:r>
        <w:rPr>
          <w:rFonts w:ascii="Arial" w:cs="Arial"/>
          <w:sz w:val="26"/>
          <w:szCs w:val="26"/>
        </w:rPr>
        <w:t>施工期间建设单位、施工单位还应加强与敏感点人群的沟通，施工前在</w:t>
      </w:r>
      <w:r>
        <w:rPr>
          <w:rFonts w:hint="eastAsia" w:ascii="Arial" w:cs="Arial"/>
          <w:sz w:val="26"/>
          <w:szCs w:val="26"/>
          <w:lang w:eastAsia="zh-CN"/>
        </w:rPr>
        <w:t>双龙镇（田家山村</w:t>
      </w:r>
      <w:r>
        <w:rPr>
          <w:rFonts w:ascii="Arial" w:cs="Arial"/>
          <w:sz w:val="26"/>
          <w:szCs w:val="26"/>
        </w:rPr>
        <w:t>）等敏感点张贴公示，争取获得谅解；公示内容包括工程名称、施工单位、施工时间安排，建设单位及主要联系人的名称与联系方式，并对公众提出的环境影响投诉及时予以反馈与解决。</w:t>
      </w:r>
    </w:p>
    <w:p w14:paraId="67C5175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5.4.4物料运输噪声影响分析</w:t>
      </w:r>
    </w:p>
    <w:p w14:paraId="16216EAA">
      <w:pPr>
        <w:spacing w:line="460" w:lineRule="exact"/>
        <w:ind w:firstLine="520" w:firstLineChars="200"/>
        <w:rPr>
          <w:rFonts w:hint="eastAsia" w:ascii="Arial" w:hAnsi="Times New Roman" w:eastAsia="宋体" w:cs="Arial"/>
          <w:sz w:val="26"/>
          <w:szCs w:val="26"/>
          <w:lang w:val="en-US" w:eastAsia="zh-CN"/>
        </w:rPr>
      </w:pPr>
      <w:r>
        <w:rPr>
          <w:rFonts w:hint="eastAsia" w:ascii="Arial" w:hAnsi="Times New Roman" w:eastAsia="宋体" w:cs="Arial"/>
          <w:sz w:val="26"/>
          <w:szCs w:val="26"/>
          <w:lang w:eastAsia="zh-CN"/>
        </w:rPr>
        <w:t>工程对外交通依托当地乡村道路，水泥、钢材、砂石骨料等主要原辅材料均外购，沿途敏感点主要为双龙镇及沿途住户，运输汽车途经敏感点集中分布区时应采取降低车速和禁止午间、夜间运输等措施，以最大限度地减小运输车辆噪声对沿途敏感目标影响。且运输车辆噪声影响是暂时的，间歇发生的，随着施工结束而消失。因此，施工期需要采取相应的防噪措施减小运输车辆噪声对道路两侧居民的影响。</w:t>
      </w:r>
    </w:p>
    <w:p w14:paraId="423CD6A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cs="Arial"/>
          <w:sz w:val="26"/>
          <w:szCs w:val="26"/>
          <w:lang w:val="en-US" w:eastAsia="zh-CN"/>
        </w:rPr>
        <w:t>5</w:t>
      </w:r>
      <w:r>
        <w:rPr>
          <w:rFonts w:hint="eastAsia" w:ascii="Arial" w:hAnsi="Arial" w:eastAsia="宋体" w:cs="Arial"/>
          <w:sz w:val="26"/>
          <w:szCs w:val="26"/>
        </w:rPr>
        <w:t>施工期</w:t>
      </w:r>
      <w:r>
        <w:rPr>
          <w:rFonts w:hint="eastAsia" w:ascii="Arial" w:hAnsi="Arial" w:cs="Arial"/>
          <w:sz w:val="26"/>
          <w:szCs w:val="26"/>
          <w:lang w:eastAsia="zh-CN"/>
        </w:rPr>
        <w:t>固体废物影响分析</w:t>
      </w:r>
    </w:p>
    <w:p w14:paraId="1D8880C7">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Times New Roman" w:eastAsia="宋体" w:cs="Arial"/>
          <w:b w:val="0"/>
          <w:color w:val="auto"/>
          <w:kern w:val="2"/>
          <w:sz w:val="26"/>
          <w:szCs w:val="26"/>
          <w:lang w:val="en-US" w:eastAsia="zh-CN" w:bidi="ar-SA"/>
        </w:rPr>
      </w:pPr>
      <w:r>
        <w:rPr>
          <w:rFonts w:hint="eastAsia" w:ascii="Arial" w:hAnsi="Times New Roman" w:eastAsia="宋体" w:cs="Arial"/>
          <w:b w:val="0"/>
          <w:color w:val="auto"/>
          <w:kern w:val="2"/>
          <w:sz w:val="26"/>
          <w:szCs w:val="26"/>
          <w:lang w:val="en-US" w:eastAsia="zh-CN" w:bidi="ar-SA"/>
        </w:rPr>
        <w:t>施工期固体废物来自场地清理出的表土、开挖产生的弃渣、施工机械及运输车辆维修废油、施工人员产生的生活垃圾和餐厨垃圾，以及库区清理出的林木。</w:t>
      </w:r>
    </w:p>
    <w:p w14:paraId="1B73F94C">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val="en-US" w:eastAsia="zh-CN"/>
        </w:rPr>
      </w:pPr>
      <w:r>
        <w:rPr>
          <w:rFonts w:hint="eastAsia" w:ascii="Arial" w:hAnsi="Arial" w:cs="Arial"/>
          <w:bCs/>
          <w:color w:val="auto"/>
          <w:sz w:val="26"/>
          <w:szCs w:val="26"/>
          <w:lang w:eastAsia="zh-CN"/>
        </w:rPr>
        <w:t>本项目施工期清表产生的表土约</w:t>
      </w:r>
      <w:r>
        <w:rPr>
          <w:rFonts w:hint="eastAsia" w:ascii="Arial" w:hAnsi="Arial" w:cs="Arial"/>
          <w:bCs/>
          <w:color w:val="auto"/>
          <w:sz w:val="26"/>
          <w:szCs w:val="26"/>
          <w:lang w:val="en-US" w:eastAsia="zh-CN"/>
        </w:rPr>
        <w:t>2.51万m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，集中收集后，分区暂存于项目所设弃渣场内，后期全部用作绿化覆土，不外排。</w:t>
      </w:r>
    </w:p>
    <w:p w14:paraId="5C0E5BC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bCs/>
          <w:color w:val="auto"/>
          <w:sz w:val="26"/>
        </w:rPr>
      </w:pPr>
      <w:r>
        <w:rPr>
          <w:rFonts w:hint="eastAsia" w:ascii="Arial" w:hAnsi="宋体" w:cs="Arial"/>
          <w:color w:val="auto"/>
          <w:sz w:val="26"/>
          <w:szCs w:val="26"/>
        </w:rPr>
        <w:t>经土石方平衡后，</w:t>
      </w:r>
      <w:r>
        <w:rPr>
          <w:rFonts w:hint="eastAsia" w:ascii="Arial" w:hAnsi="Arial" w:cs="Arial"/>
          <w:bCs/>
          <w:color w:val="auto"/>
          <w:sz w:val="26"/>
          <w:szCs w:val="26"/>
          <w:lang w:eastAsia="zh-CN"/>
        </w:rPr>
        <w:t>本项目枢纽工程、输水工程</w:t>
      </w:r>
      <w:r>
        <w:rPr>
          <w:rFonts w:hint="eastAsia" w:ascii="Arial" w:hAnsi="Arial" w:cs="Arial"/>
          <w:bCs/>
          <w:color w:val="auto"/>
          <w:sz w:val="26"/>
          <w:szCs w:val="26"/>
          <w:lang w:val="en-US" w:eastAsia="zh-CN"/>
        </w:rPr>
        <w:t>弃渣产生量为6.81万m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w:t>
      </w:r>
      <w:r>
        <w:rPr>
          <w:rFonts w:hint="eastAsia" w:ascii="Arial" w:cs="Arial"/>
          <w:color w:val="auto"/>
          <w:sz w:val="26"/>
          <w:szCs w:val="26"/>
        </w:rPr>
        <w:t>本项目施工期共设1处渣场，位于</w:t>
      </w:r>
      <w:r>
        <w:rPr>
          <w:rFonts w:hint="eastAsia" w:ascii="Arial" w:cs="Arial"/>
          <w:color w:val="auto"/>
          <w:sz w:val="26"/>
          <w:szCs w:val="26"/>
          <w:lang w:eastAsia="zh-CN"/>
        </w:rPr>
        <w:t>田家山村村委会附近</w:t>
      </w:r>
      <w:r>
        <w:rPr>
          <w:rFonts w:hint="eastAsia" w:ascii="Arial" w:cs="Arial"/>
          <w:color w:val="auto"/>
          <w:sz w:val="26"/>
          <w:szCs w:val="26"/>
        </w:rPr>
        <w:t>，占地面积约为</w:t>
      </w:r>
      <w:r>
        <w:rPr>
          <w:rFonts w:hint="eastAsia" w:ascii="Arial" w:cs="Arial"/>
          <w:color w:val="auto"/>
          <w:sz w:val="26"/>
          <w:szCs w:val="26"/>
          <w:lang w:val="en-US" w:eastAsia="zh-CN"/>
        </w:rPr>
        <w:t>49.47亩</w:t>
      </w:r>
      <w:r>
        <w:rPr>
          <w:rFonts w:hint="eastAsia" w:ascii="Arial" w:cs="Arial"/>
          <w:color w:val="auto"/>
          <w:sz w:val="26"/>
          <w:szCs w:val="26"/>
        </w:rPr>
        <w:t>，</w:t>
      </w:r>
      <w:r>
        <w:rPr>
          <w:rFonts w:hint="eastAsia" w:ascii="Arial" w:cs="Arial"/>
          <w:bCs/>
          <w:color w:val="auto"/>
          <w:sz w:val="26"/>
        </w:rPr>
        <w:t>堆渣量</w:t>
      </w:r>
      <w:r>
        <w:rPr>
          <w:rFonts w:hint="eastAsia" w:ascii="Arial" w:cs="Arial"/>
          <w:bCs/>
          <w:color w:val="auto"/>
          <w:sz w:val="26"/>
          <w:lang w:val="en-US" w:eastAsia="zh-CN"/>
        </w:rPr>
        <w:t>1</w:t>
      </w:r>
      <w:r>
        <w:rPr>
          <w:rFonts w:hint="eastAsia" w:ascii="Arial" w:cs="Arial"/>
          <w:bCs/>
          <w:color w:val="auto"/>
          <w:sz w:val="26"/>
        </w:rPr>
        <w:t>2万</w:t>
      </w:r>
      <w:r>
        <w:rPr>
          <w:rFonts w:ascii="Arial" w:cs="Arial"/>
          <w:bCs/>
          <w:color w:val="auto"/>
          <w:sz w:val="26"/>
        </w:rPr>
        <w:t>m</w:t>
      </w:r>
      <w:r>
        <w:rPr>
          <w:rFonts w:ascii="Arial" w:cs="Arial"/>
          <w:bCs/>
          <w:color w:val="auto"/>
          <w:sz w:val="26"/>
          <w:vertAlign w:val="superscript"/>
        </w:rPr>
        <w:t>3</w:t>
      </w:r>
      <w:r>
        <w:rPr>
          <w:rFonts w:hint="eastAsia" w:ascii="Arial" w:cs="Arial"/>
          <w:bCs/>
          <w:color w:val="auto"/>
          <w:sz w:val="26"/>
        </w:rPr>
        <w:t>，用于堆存</w:t>
      </w:r>
      <w:r>
        <w:rPr>
          <w:rFonts w:hint="eastAsia" w:ascii="Arial" w:cs="Arial"/>
          <w:bCs/>
          <w:color w:val="auto"/>
          <w:sz w:val="26"/>
          <w:lang w:eastAsia="zh-CN"/>
        </w:rPr>
        <w:t>施工过程中</w:t>
      </w:r>
      <w:r>
        <w:rPr>
          <w:rFonts w:hint="eastAsia" w:ascii="Arial" w:cs="Arial"/>
          <w:bCs/>
          <w:color w:val="auto"/>
          <w:sz w:val="26"/>
        </w:rPr>
        <w:t>产生的</w:t>
      </w:r>
      <w:r>
        <w:rPr>
          <w:rFonts w:hint="eastAsia" w:ascii="Arial" w:cs="Arial"/>
          <w:bCs/>
          <w:color w:val="auto"/>
          <w:sz w:val="26"/>
          <w:lang w:eastAsia="zh-CN"/>
        </w:rPr>
        <w:t>弃渣</w:t>
      </w:r>
      <w:r>
        <w:rPr>
          <w:rFonts w:hint="eastAsia" w:ascii="Arial" w:cs="Arial"/>
          <w:bCs/>
          <w:color w:val="auto"/>
          <w:sz w:val="26"/>
        </w:rPr>
        <w:t>。同时，输水管线施工段应设置临时围挡，严格控制施工活动，做好废弃土石方的暂存、清运工作，严禁向河道内倾倒废渣，减轻对流域</w:t>
      </w:r>
      <w:r>
        <w:rPr>
          <w:rFonts w:hint="eastAsia" w:ascii="Arial" w:cs="Arial"/>
          <w:bCs/>
          <w:color w:val="auto"/>
          <w:sz w:val="26"/>
          <w:lang w:eastAsia="zh-CN"/>
        </w:rPr>
        <w:t>水生生态、水质</w:t>
      </w:r>
      <w:r>
        <w:rPr>
          <w:rFonts w:hint="eastAsia" w:ascii="Arial" w:cs="Arial"/>
          <w:bCs/>
          <w:color w:val="auto"/>
          <w:sz w:val="26"/>
        </w:rPr>
        <w:t>的影响。</w:t>
      </w:r>
    </w:p>
    <w:p w14:paraId="0A0735CC">
      <w:pPr>
        <w:autoSpaceDE w:val="0"/>
        <w:autoSpaceDN w:val="0"/>
        <w:adjustRightInd w:val="0"/>
        <w:spacing w:line="460" w:lineRule="exact"/>
        <w:ind w:firstLine="520" w:firstLineChars="200"/>
        <w:rPr>
          <w:rFonts w:ascii="Arial" w:hAnsi="宋体" w:cs="Arial"/>
          <w:color w:val="auto"/>
          <w:sz w:val="26"/>
          <w:szCs w:val="26"/>
        </w:rPr>
      </w:pPr>
      <w:r>
        <w:rPr>
          <w:rFonts w:hint="eastAsia" w:ascii="Arial" w:hAnsi="Arial" w:cs="Arial"/>
          <w:color w:val="auto"/>
          <w:sz w:val="26"/>
          <w:szCs w:val="26"/>
        </w:rPr>
        <w:t>施工机械及运输车辆检修、维修等产生少量废油，统一收集于油桶中，暂存于施工</w:t>
      </w:r>
      <w:r>
        <w:rPr>
          <w:rFonts w:hint="eastAsia" w:ascii="Arial" w:hAnsi="Arial" w:cs="Arial"/>
          <w:color w:val="auto"/>
          <w:sz w:val="26"/>
          <w:szCs w:val="26"/>
          <w:lang w:eastAsia="zh-CN"/>
        </w:rPr>
        <w:t>场地</w:t>
      </w:r>
      <w:r>
        <w:rPr>
          <w:rFonts w:hint="eastAsia" w:ascii="Arial" w:hAnsi="Arial" w:cs="Arial"/>
          <w:color w:val="auto"/>
          <w:sz w:val="26"/>
          <w:szCs w:val="26"/>
        </w:rPr>
        <w:t>内独立设置的危废</w:t>
      </w:r>
      <w:r>
        <w:rPr>
          <w:rFonts w:hint="eastAsia" w:ascii="Arial" w:hAnsi="Arial" w:cs="Arial"/>
          <w:color w:val="auto"/>
          <w:sz w:val="26"/>
          <w:szCs w:val="26"/>
          <w:lang w:eastAsia="zh-CN"/>
        </w:rPr>
        <w:t>贮存区内</w:t>
      </w:r>
      <w:r>
        <w:rPr>
          <w:rFonts w:hint="eastAsia" w:ascii="Arial" w:hAnsi="Arial" w:cs="Arial"/>
          <w:color w:val="auto"/>
          <w:sz w:val="26"/>
          <w:szCs w:val="26"/>
        </w:rPr>
        <w:t>，按规定进行“</w:t>
      </w:r>
      <w:r>
        <w:rPr>
          <w:rFonts w:hint="eastAsia" w:ascii="Arial" w:hAnsi="Arial" w:cs="Arial"/>
          <w:color w:val="auto"/>
          <w:sz w:val="26"/>
          <w:szCs w:val="26"/>
          <w:lang w:eastAsia="zh-CN"/>
        </w:rPr>
        <w:t>六</w:t>
      </w:r>
      <w:r>
        <w:rPr>
          <w:rFonts w:hint="eastAsia" w:ascii="Arial" w:hAnsi="Arial" w:cs="Arial"/>
          <w:color w:val="auto"/>
          <w:sz w:val="26"/>
          <w:szCs w:val="26"/>
        </w:rPr>
        <w:t>防”处置，最终交有有资质的单位回收处置。</w:t>
      </w:r>
    </w:p>
    <w:p w14:paraId="00A364B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default" w:ascii="Arial" w:hAnsi="Arial" w:cs="Arial"/>
          <w:bCs/>
          <w:color w:val="auto"/>
          <w:sz w:val="26"/>
          <w:szCs w:val="26"/>
          <w:lang w:val="en-US" w:eastAsia="zh-CN"/>
        </w:rPr>
      </w:pPr>
      <w:r>
        <w:rPr>
          <w:rFonts w:hint="eastAsia" w:ascii="Arial" w:hAnsi="宋体" w:cs="Arial"/>
          <w:color w:val="auto"/>
          <w:sz w:val="26"/>
          <w:szCs w:val="26"/>
        </w:rPr>
        <w:t>工程施工期最大生活垃圾产生量为</w:t>
      </w:r>
      <w:r>
        <w:rPr>
          <w:rFonts w:hint="eastAsia" w:ascii="Arial" w:hAnsi="宋体" w:cs="Arial"/>
          <w:color w:val="auto"/>
          <w:sz w:val="26"/>
          <w:szCs w:val="26"/>
          <w:lang w:val="en-US" w:eastAsia="zh-CN"/>
        </w:rPr>
        <w:t>26</w:t>
      </w:r>
      <w:r>
        <w:rPr>
          <w:rFonts w:ascii="Arial" w:hAnsi="宋体" w:cs="Arial"/>
          <w:color w:val="auto"/>
          <w:sz w:val="26"/>
          <w:szCs w:val="26"/>
        </w:rPr>
        <w:t>kg/d</w:t>
      </w:r>
      <w:r>
        <w:rPr>
          <w:rFonts w:hint="eastAsia" w:ascii="Arial" w:hAnsi="宋体" w:cs="Arial"/>
          <w:color w:val="auto"/>
          <w:sz w:val="26"/>
          <w:szCs w:val="26"/>
          <w:lang w:eastAsia="zh-CN"/>
        </w:rPr>
        <w:t>，</w:t>
      </w:r>
      <w:r>
        <w:rPr>
          <w:rFonts w:hint="eastAsia" w:ascii="Arial" w:hAnsi="宋体" w:cs="Arial"/>
          <w:color w:val="auto"/>
          <w:sz w:val="26"/>
          <w:szCs w:val="26"/>
        </w:rPr>
        <w:t>生活垃圾若随意堆放或清运不及时，将可能造成堆放场周围污水四溢、蚊蝇滋生，对施工人员健康产生不利影响。若在河边堆放，则可能对水体水质产生污染。因此，施工人员生活垃圾应定点收集，统一交当地环卫部门清运并无害化处理。</w:t>
      </w:r>
      <w:r>
        <w:rPr>
          <w:rFonts w:hint="eastAsia" w:ascii="Arial" w:hAnsi="Arial" w:cs="Arial"/>
          <w:color w:val="auto"/>
          <w:sz w:val="26"/>
          <w:szCs w:val="26"/>
          <w:lang w:eastAsia="zh-CN"/>
        </w:rPr>
        <w:t>餐厨垃圾产生量为</w:t>
      </w:r>
      <w:r>
        <w:rPr>
          <w:rFonts w:hint="eastAsia" w:ascii="Arial" w:hAnsi="Arial" w:cs="Arial"/>
          <w:color w:val="auto"/>
          <w:sz w:val="26"/>
          <w:szCs w:val="26"/>
          <w:lang w:val="en-US" w:eastAsia="zh-CN"/>
        </w:rPr>
        <w:t>16kg/d，</w:t>
      </w:r>
      <w:r>
        <w:rPr>
          <w:rFonts w:hint="eastAsia" w:ascii="Arial" w:hAnsi="Arial" w:cs="Arial"/>
          <w:color w:val="auto"/>
          <w:sz w:val="26"/>
          <w:szCs w:val="26"/>
        </w:rPr>
        <w:t>桶装收集后，交有资质的单位清运处置。</w:t>
      </w:r>
    </w:p>
    <w:p w14:paraId="4E18215A">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color w:val="auto"/>
          <w:sz w:val="26"/>
          <w:szCs w:val="26"/>
          <w:lang w:eastAsia="zh-CN"/>
        </w:rPr>
      </w:pPr>
      <w:r>
        <w:rPr>
          <w:rFonts w:hint="eastAsia" w:ascii="Arial" w:hAnsi="宋体" w:cs="Arial"/>
          <w:color w:val="auto"/>
          <w:sz w:val="26"/>
          <w:szCs w:val="26"/>
        </w:rPr>
        <w:t>此外，根据现场调查和估算，</w:t>
      </w:r>
      <w:r>
        <w:rPr>
          <w:rFonts w:hint="eastAsia" w:ascii="Arial" w:hAnsi="宋体" w:cs="Arial"/>
          <w:color w:val="auto"/>
          <w:sz w:val="26"/>
          <w:szCs w:val="26"/>
          <w:lang w:eastAsia="zh-CN"/>
        </w:rPr>
        <w:t>海螺沟水库</w:t>
      </w:r>
      <w:r>
        <w:rPr>
          <w:rFonts w:hint="eastAsia" w:ascii="Arial" w:hAnsi="宋体" w:cs="Arial"/>
          <w:color w:val="auto"/>
          <w:sz w:val="26"/>
          <w:szCs w:val="26"/>
        </w:rPr>
        <w:t>清库垃圾量约</w:t>
      </w:r>
      <w:r>
        <w:rPr>
          <w:rFonts w:hint="eastAsia" w:ascii="Arial" w:hAnsi="宋体" w:cs="Arial"/>
          <w:color w:val="auto"/>
          <w:sz w:val="26"/>
          <w:szCs w:val="26"/>
          <w:lang w:val="en-US" w:eastAsia="zh-CN"/>
        </w:rPr>
        <w:t>85</w:t>
      </w:r>
      <w:r>
        <w:rPr>
          <w:rFonts w:hint="eastAsia" w:ascii="Arial" w:hAnsi="宋体" w:cs="Arial"/>
          <w:color w:val="auto"/>
          <w:sz w:val="26"/>
          <w:szCs w:val="26"/>
        </w:rPr>
        <w:t>0t，清理出来的废物按要求进行分类收集，</w:t>
      </w:r>
      <w:r>
        <w:rPr>
          <w:rFonts w:hint="eastAsia" w:ascii="Arial" w:hAnsi="Arial" w:cs="Arial"/>
          <w:bCs/>
          <w:color w:val="auto"/>
          <w:sz w:val="26"/>
          <w:szCs w:val="26"/>
          <w:lang w:eastAsia="zh-CN"/>
        </w:rPr>
        <w:t>生活垃圾等交当地市政环卫部门统一清运处置</w:t>
      </w:r>
      <w:r>
        <w:rPr>
          <w:rFonts w:hint="eastAsia" w:ascii="Arial" w:hAnsi="宋体" w:cs="Arial"/>
          <w:color w:val="auto"/>
          <w:sz w:val="26"/>
          <w:szCs w:val="26"/>
        </w:rPr>
        <w:t>，林木外卖进行综合利用，运输过程中需加盖、遮挡，避免二次污染，不得擅自丢弃或违法处置，对环境影响小。</w:t>
      </w:r>
    </w:p>
    <w:p w14:paraId="744D3F8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cs="Arial"/>
          <w:sz w:val="26"/>
          <w:szCs w:val="26"/>
          <w:lang w:val="en-US" w:eastAsia="zh-CN"/>
        </w:rPr>
        <w:t>5</w:t>
      </w:r>
      <w:r>
        <w:rPr>
          <w:rFonts w:hint="eastAsia" w:ascii="Arial" w:hAnsi="Arial" w:eastAsia="宋体" w:cs="Arial"/>
          <w:sz w:val="26"/>
          <w:szCs w:val="26"/>
        </w:rPr>
        <w:t>施工期</w:t>
      </w:r>
      <w:r>
        <w:rPr>
          <w:rFonts w:hint="eastAsia" w:ascii="Arial" w:hAnsi="Arial" w:cs="Arial"/>
          <w:sz w:val="26"/>
          <w:szCs w:val="26"/>
          <w:lang w:eastAsia="zh-CN"/>
        </w:rPr>
        <w:t>生态环境影响分析</w:t>
      </w:r>
    </w:p>
    <w:p w14:paraId="57D4DDC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5.5.1工程占地对土地利用的影响</w:t>
      </w:r>
    </w:p>
    <w:p w14:paraId="41E5EDFD">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本项目枢纽工程、附属设施工程属于永久占地，输水管线均为临时占地。其中永久占地对区域土地利用结构具有不可逆的影响，临时占地经生态恢复后，土地原利用属性可恢复。因此，本评价主要分析项目永久占地对区域土地利用结构的影响。</w:t>
      </w:r>
    </w:p>
    <w:p w14:paraId="53DA5AD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本项目永久占地面积为11.3182hm</w:t>
      </w:r>
      <w:r>
        <w:rPr>
          <w:rFonts w:hint="eastAsia" w:ascii="Arial" w:hAnsi="Arial" w:cs="Arial"/>
          <w:color w:val="auto"/>
          <w:sz w:val="26"/>
          <w:szCs w:val="26"/>
          <w:vertAlign w:val="superscript"/>
          <w:lang w:val="en-US" w:eastAsia="zh-CN"/>
        </w:rPr>
        <w:t>2</w:t>
      </w:r>
      <w:r>
        <w:rPr>
          <w:rFonts w:hint="eastAsia" w:ascii="Arial" w:hAnsi="Arial" w:cs="Arial"/>
          <w:color w:val="auto"/>
          <w:sz w:val="26"/>
          <w:szCs w:val="26"/>
          <w:lang w:val="en-US" w:eastAsia="zh-CN"/>
        </w:rPr>
        <w:t>，其中水库淹没区占地面积为8.3026hm</w:t>
      </w:r>
      <w:r>
        <w:rPr>
          <w:rFonts w:hint="eastAsia" w:ascii="Arial" w:hAnsi="Arial" w:cs="Arial"/>
          <w:color w:val="auto"/>
          <w:sz w:val="26"/>
          <w:szCs w:val="26"/>
          <w:vertAlign w:val="superscript"/>
          <w:lang w:val="en-US" w:eastAsia="zh-CN"/>
        </w:rPr>
        <w:t>2</w:t>
      </w:r>
      <w:r>
        <w:rPr>
          <w:rFonts w:hint="eastAsia" w:ascii="Arial" w:hAnsi="Arial" w:cs="Arial"/>
          <w:color w:val="auto"/>
          <w:sz w:val="26"/>
          <w:szCs w:val="26"/>
          <w:lang w:val="en-US" w:eastAsia="zh-CN"/>
        </w:rPr>
        <w:t>，占比为73.36%。按占地类型分，主要占用林地、耕地。工程建成后，区域内林草地、耕地面积有所减少，库区水域面积相应增加，但从区域整体分析，林草地、耕地减少率较小，对林草地、耕地利用结构的影响较小。库区蓄水后，水域面积增大，对水资源利用、水生生物数量增加是有利的。</w:t>
      </w:r>
    </w:p>
    <w:p w14:paraId="102B1C6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工程临时占地面积为12.7944hm</w:t>
      </w:r>
      <w:r>
        <w:rPr>
          <w:rFonts w:hint="eastAsia" w:ascii="Arial" w:hAnsi="Arial" w:eastAsia="宋体" w:cs="Arial"/>
          <w:b w:val="0"/>
          <w:color w:val="auto"/>
          <w:kern w:val="2"/>
          <w:sz w:val="26"/>
          <w:szCs w:val="26"/>
          <w:vertAlign w:val="superscript"/>
          <w:lang w:val="en-US" w:eastAsia="zh-CN" w:bidi="ar-SA"/>
        </w:rPr>
        <w:t>2</w:t>
      </w:r>
      <w:r>
        <w:rPr>
          <w:rFonts w:hint="eastAsia" w:ascii="Arial" w:hAnsi="Arial" w:eastAsia="宋体" w:cs="Arial"/>
          <w:b w:val="0"/>
          <w:color w:val="auto"/>
          <w:kern w:val="2"/>
          <w:sz w:val="26"/>
          <w:szCs w:val="26"/>
          <w:lang w:val="en-US" w:eastAsia="zh-CN" w:bidi="ar-SA"/>
        </w:rPr>
        <w:t>，主要占用林地、耕地。项目施工完成后，所有脸上占地均将进行植被恢复。因此，临时占地对土地利用方式的影响主要发生在施工期，属于暂时性的影响，施工结束进行绿化覆土后，对土地利用方式的影响基本不存在。</w:t>
      </w:r>
    </w:p>
    <w:p w14:paraId="29A8ED9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5.5.2对景观格局的影响</w:t>
      </w:r>
    </w:p>
    <w:p w14:paraId="48A2742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项目施工期对景观生态系统的影响，主要表现在施工占地对农用地景观、林草地景观的影响。在整个评价区内对景观的影响为施工场地、施工便道、</w:t>
      </w:r>
      <w:r>
        <w:rPr>
          <w:rFonts w:hint="eastAsia" w:ascii="Arial" w:hAnsi="Arial" w:cs="Arial"/>
          <w:b w:val="0"/>
          <w:color w:val="auto"/>
          <w:kern w:val="2"/>
          <w:sz w:val="26"/>
          <w:szCs w:val="26"/>
          <w:lang w:val="en-US" w:eastAsia="zh-CN" w:bidi="ar-SA"/>
        </w:rPr>
        <w:t>输水管道和枢纽工程</w:t>
      </w:r>
      <w:r>
        <w:rPr>
          <w:rFonts w:hint="eastAsia" w:ascii="Arial" w:hAnsi="Arial" w:eastAsia="宋体" w:cs="Arial"/>
          <w:b w:val="0"/>
          <w:color w:val="auto"/>
          <w:kern w:val="2"/>
          <w:sz w:val="26"/>
          <w:szCs w:val="26"/>
          <w:lang w:val="en-US" w:eastAsia="zh-CN" w:bidi="ar-SA"/>
        </w:rPr>
        <w:t>施工区、弃渣场</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等设施平整开挖造成的挖面裸露，对原地貌景观有一定的影响。由于</w:t>
      </w:r>
      <w:r>
        <w:rPr>
          <w:rFonts w:hint="eastAsia" w:ascii="Arial" w:hAnsi="Arial" w:cs="Arial"/>
          <w:b w:val="0"/>
          <w:color w:val="auto"/>
          <w:kern w:val="2"/>
          <w:sz w:val="26"/>
          <w:szCs w:val="26"/>
          <w:lang w:val="en-US" w:eastAsia="zh-CN" w:bidi="ar-SA"/>
        </w:rPr>
        <w:t>项目</w:t>
      </w:r>
      <w:r>
        <w:rPr>
          <w:rFonts w:hint="eastAsia" w:ascii="Arial" w:hAnsi="Arial" w:eastAsia="宋体" w:cs="Arial"/>
          <w:b w:val="0"/>
          <w:color w:val="auto"/>
          <w:kern w:val="2"/>
          <w:sz w:val="26"/>
          <w:szCs w:val="26"/>
          <w:lang w:val="en-US" w:eastAsia="zh-CN" w:bidi="ar-SA"/>
        </w:rPr>
        <w:t>施工占地会用到农耕地及周围林地，所以农用地景观优势度降低，林地景观也有所减少。</w:t>
      </w:r>
      <w:r>
        <w:rPr>
          <w:rFonts w:hint="eastAsia" w:ascii="Arial" w:hAnsi="Arial" w:cs="Arial"/>
          <w:b w:val="0"/>
          <w:color w:val="auto"/>
          <w:kern w:val="2"/>
          <w:sz w:val="26"/>
          <w:szCs w:val="26"/>
          <w:lang w:val="en-US" w:eastAsia="zh-CN" w:bidi="ar-SA"/>
        </w:rPr>
        <w:t>但相对整个区域来说，景观格局变化幅度不大，且施工结束后将进行绿化布置，减少对区域景观格局的影响。</w:t>
      </w:r>
    </w:p>
    <w:p w14:paraId="34CEC79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5.5.3对陆生植被的影响</w:t>
      </w:r>
    </w:p>
    <w:p w14:paraId="163AF65C">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（1）对植被面积的影响</w:t>
      </w:r>
    </w:p>
    <w:p w14:paraId="25367C4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施工期受工程占地影响较大的是林草地及农田植被，根据现场勘查，项目所在地受人为活动影响较大，林地主要为次生林，林地以马尾松、桉树、枫杨、柏木、水竹、麻栎、化香、构树为主，草地主要为</w:t>
      </w:r>
      <w:r>
        <w:rPr>
          <w:rFonts w:hint="eastAsia" w:ascii="Arial" w:hAnsi="Arial" w:cs="Arial"/>
          <w:b w:val="0"/>
          <w:color w:val="auto"/>
          <w:kern w:val="2"/>
          <w:sz w:val="26"/>
          <w:szCs w:val="26"/>
          <w:lang w:val="en-US" w:eastAsia="zh-CN" w:bidi="ar-SA"/>
        </w:rPr>
        <w:t>喜水河滩植被水麻、糯米团、茅叶荩草、黑麦草、鸢尾、芒萁、狗牙根、苍耳等，耕地种植的主要为水稻、玉米、红薯及季节性蔬菜。施工占地将直接剥离植被，造成各类植被面积减少，但</w:t>
      </w:r>
      <w:r>
        <w:rPr>
          <w:rFonts w:hint="eastAsia" w:ascii="Arial" w:hAnsi="Arial" w:eastAsia="宋体" w:cs="Arial"/>
          <w:b w:val="0"/>
          <w:color w:val="auto"/>
          <w:kern w:val="2"/>
          <w:sz w:val="26"/>
          <w:szCs w:val="26"/>
          <w:lang w:val="en-US" w:eastAsia="zh-CN" w:bidi="ar-SA"/>
        </w:rPr>
        <w:t>在整个评价区内</w:t>
      </w:r>
      <w:r>
        <w:rPr>
          <w:rFonts w:hint="eastAsia" w:ascii="Arial" w:hAnsi="Arial" w:cs="Arial"/>
          <w:b w:val="0"/>
          <w:color w:val="auto"/>
          <w:kern w:val="2"/>
          <w:sz w:val="26"/>
          <w:szCs w:val="26"/>
          <w:lang w:val="en-US" w:eastAsia="zh-CN" w:bidi="ar-SA"/>
        </w:rPr>
        <w:t>各类植被面积减少量小，施工结束后，</w:t>
      </w:r>
      <w:r>
        <w:rPr>
          <w:rFonts w:hint="eastAsia" w:ascii="Arial" w:hAnsi="Arial" w:eastAsia="宋体" w:cs="Arial"/>
          <w:b w:val="0"/>
          <w:color w:val="auto"/>
          <w:kern w:val="2"/>
          <w:sz w:val="26"/>
          <w:szCs w:val="26"/>
          <w:lang w:val="en-US" w:eastAsia="zh-CN" w:bidi="ar-SA"/>
        </w:rPr>
        <w:t>不仅临时占用的植被可以得到生态恢复，永久占地的坝上部及两侧大部分也可以进行植被恢复，因此工程对植被</w:t>
      </w:r>
      <w:r>
        <w:rPr>
          <w:rFonts w:hint="eastAsia" w:ascii="Arial" w:hAnsi="Arial" w:cs="Arial"/>
          <w:b w:val="0"/>
          <w:color w:val="auto"/>
          <w:kern w:val="2"/>
          <w:sz w:val="26"/>
          <w:szCs w:val="26"/>
          <w:lang w:val="en-US" w:eastAsia="zh-CN" w:bidi="ar-SA"/>
        </w:rPr>
        <w:t>面积</w:t>
      </w:r>
      <w:r>
        <w:rPr>
          <w:rFonts w:hint="eastAsia" w:ascii="Arial" w:hAnsi="Arial" w:eastAsia="宋体" w:cs="Arial"/>
          <w:b w:val="0"/>
          <w:color w:val="auto"/>
          <w:kern w:val="2"/>
          <w:sz w:val="26"/>
          <w:szCs w:val="26"/>
          <w:lang w:val="en-US" w:eastAsia="zh-CN" w:bidi="ar-SA"/>
        </w:rPr>
        <w:t>的</w:t>
      </w:r>
      <w:r>
        <w:rPr>
          <w:rFonts w:hint="eastAsia" w:ascii="Arial" w:hAnsi="Arial" w:cs="Arial"/>
          <w:b w:val="0"/>
          <w:color w:val="auto"/>
          <w:kern w:val="2"/>
          <w:sz w:val="26"/>
          <w:szCs w:val="26"/>
          <w:lang w:val="en-US" w:eastAsia="zh-CN" w:bidi="ar-SA"/>
        </w:rPr>
        <w:t>损坏</w:t>
      </w:r>
      <w:r>
        <w:rPr>
          <w:rFonts w:hint="eastAsia" w:ascii="Arial" w:hAnsi="Arial" w:eastAsia="宋体" w:cs="Arial"/>
          <w:b w:val="0"/>
          <w:color w:val="auto"/>
          <w:kern w:val="2"/>
          <w:sz w:val="26"/>
          <w:szCs w:val="26"/>
          <w:lang w:val="en-US" w:eastAsia="zh-CN" w:bidi="ar-SA"/>
        </w:rPr>
        <w:t>影响不大。</w:t>
      </w:r>
    </w:p>
    <w:p w14:paraId="6F2FC961">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（2）对生物量的影响</w:t>
      </w:r>
    </w:p>
    <w:p w14:paraId="01AA8037">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工程对植被的占用将直接造成生物量减少，根据各类用地类型的占地面积和单位面积的生物量值，可推算出工程导致的生物量损失。工程的实施，直接会导致耕地、林地、草地面积被破坏，从而造成</w:t>
      </w:r>
      <w:r>
        <w:rPr>
          <w:rFonts w:hint="eastAsia" w:ascii="Arial" w:hAnsi="Arial" w:cs="Arial"/>
          <w:b w:val="0"/>
          <w:color w:val="auto"/>
          <w:kern w:val="2"/>
          <w:sz w:val="26"/>
          <w:szCs w:val="26"/>
          <w:highlight w:val="none"/>
          <w:lang w:val="en-US" w:eastAsia="zh-CN" w:bidi="ar-SA"/>
        </w:rPr>
        <w:t>生物量</w:t>
      </w:r>
      <w:r>
        <w:rPr>
          <w:rFonts w:hint="eastAsia" w:ascii="Arial" w:hAnsi="Arial" w:cs="Arial"/>
          <w:b w:val="0"/>
          <w:color w:val="auto"/>
          <w:kern w:val="2"/>
          <w:sz w:val="26"/>
          <w:szCs w:val="26"/>
          <w:lang w:val="en-US" w:eastAsia="zh-CN" w:bidi="ar-SA"/>
        </w:rPr>
        <w:t>损失。工程施工结束后，</w:t>
      </w:r>
      <w:r>
        <w:rPr>
          <w:rFonts w:hint="eastAsia" w:ascii="Arial" w:hAnsi="Arial" w:eastAsia="宋体" w:cs="Arial"/>
          <w:b w:val="0"/>
          <w:color w:val="auto"/>
          <w:kern w:val="2"/>
          <w:sz w:val="26"/>
          <w:szCs w:val="26"/>
          <w:lang w:val="en-US" w:eastAsia="zh-CN" w:bidi="ar-SA"/>
        </w:rPr>
        <w:t>不仅临时占用的植被可以得到生态恢复，永久占地的坝上部及两侧大部分也可以进行植被恢复，</w:t>
      </w:r>
      <w:r>
        <w:rPr>
          <w:rFonts w:hint="eastAsia" w:ascii="Arial" w:hAnsi="Arial" w:cs="Arial"/>
          <w:b w:val="0"/>
          <w:color w:val="auto"/>
          <w:kern w:val="2"/>
          <w:sz w:val="26"/>
          <w:szCs w:val="26"/>
          <w:lang w:val="en-US" w:eastAsia="zh-CN" w:bidi="ar-SA"/>
        </w:rPr>
        <w:t>撒播草籽、植树造林，将减缓工程建设占地对区域生物量造成的损失。</w:t>
      </w:r>
    </w:p>
    <w:p w14:paraId="5DE10841">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（3）对植物资源的影响</w:t>
      </w:r>
    </w:p>
    <w:p w14:paraId="6B1C3F4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根据现场调查可知，项目所在区域受人为活动影响较大，原生植被较少，多为次生植被，项目占地及影响范围内均未发现国家及重庆市重点保护的珍稀濒危野生植被、名木古树。</w:t>
      </w:r>
    </w:p>
    <w:p w14:paraId="6B8D7674">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施工期间，工程地面开挖及坝前水库蓄水淹没等会造成局部地表植被被破坏，对陆生植物产生不利影响。项目占地和水库淹没破坏林草地造成林草覆盖率下降，属于不可逆不利环境影响。对于项目占用的林业用地，项目业主将按规定交纳植被恢复费，从而完善林业征占地手续，用以实施异地造林恢复森林植被。随着施工活动的结束，施工场地平整、回填，水土保持措施得到实施后，受破坏植被</w:t>
      </w:r>
      <w:r>
        <w:rPr>
          <w:rFonts w:hint="eastAsia" w:ascii="Arial" w:hAnsi="Arial" w:cs="Arial"/>
          <w:b w:val="0"/>
          <w:color w:val="auto"/>
          <w:kern w:val="2"/>
          <w:sz w:val="26"/>
          <w:szCs w:val="26"/>
          <w:lang w:val="en-US" w:eastAsia="zh-CN" w:bidi="ar-SA"/>
        </w:rPr>
        <w:t>将得到一定程度的</w:t>
      </w:r>
      <w:r>
        <w:rPr>
          <w:rFonts w:hint="eastAsia" w:ascii="Arial" w:hAnsi="Arial" w:eastAsia="宋体" w:cs="Arial"/>
          <w:b w:val="0"/>
          <w:color w:val="auto"/>
          <w:kern w:val="2"/>
          <w:sz w:val="26"/>
          <w:szCs w:val="26"/>
          <w:lang w:val="en-US" w:eastAsia="zh-CN" w:bidi="ar-SA"/>
        </w:rPr>
        <w:t>恢复，不会因本项目的施工而导致植物物种的灭绝和植物群落类型的消失</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植被覆盖率</w:t>
      </w:r>
      <w:r>
        <w:rPr>
          <w:rFonts w:hint="eastAsia" w:ascii="Arial" w:hAnsi="Arial" w:cs="Arial"/>
          <w:b w:val="0"/>
          <w:color w:val="auto"/>
          <w:kern w:val="2"/>
          <w:sz w:val="26"/>
          <w:szCs w:val="26"/>
          <w:lang w:val="en-US" w:eastAsia="zh-CN" w:bidi="ar-SA"/>
        </w:rPr>
        <w:t>也将</w:t>
      </w:r>
      <w:r>
        <w:rPr>
          <w:rFonts w:hint="eastAsia" w:ascii="Arial" w:hAnsi="Arial" w:eastAsia="宋体" w:cs="Arial"/>
          <w:b w:val="0"/>
          <w:color w:val="auto"/>
          <w:kern w:val="2"/>
          <w:sz w:val="26"/>
          <w:szCs w:val="26"/>
          <w:lang w:val="en-US" w:eastAsia="zh-CN" w:bidi="ar-SA"/>
        </w:rPr>
        <w:t>有所回升。</w:t>
      </w:r>
    </w:p>
    <w:p w14:paraId="03BFC57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工程建设征地总占地124.81hm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其中永久征地</w:t>
      </w:r>
      <w:r>
        <w:rPr>
          <w:rFonts w:hint="eastAsia" w:ascii="Arial" w:hAnsi="Arial" w:cs="Arial"/>
          <w:b w:val="0"/>
          <w:color w:val="auto"/>
          <w:kern w:val="2"/>
          <w:sz w:val="26"/>
          <w:szCs w:val="26"/>
          <w:lang w:val="en-US" w:eastAsia="zh-CN" w:bidi="ar-SA"/>
        </w:rPr>
        <w:t>11.3182</w:t>
      </w:r>
      <w:r>
        <w:rPr>
          <w:rFonts w:hint="eastAsia" w:ascii="Arial" w:hAnsi="Arial" w:eastAsia="宋体" w:cs="Arial"/>
          <w:b w:val="0"/>
          <w:color w:val="auto"/>
          <w:kern w:val="2"/>
          <w:sz w:val="26"/>
          <w:szCs w:val="26"/>
          <w:lang w:val="en-US" w:eastAsia="zh-CN" w:bidi="ar-SA"/>
        </w:rPr>
        <w:t>hm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施工临时占地</w:t>
      </w:r>
      <w:r>
        <w:rPr>
          <w:rFonts w:hint="eastAsia" w:ascii="Arial" w:hAnsi="Arial" w:cs="Arial"/>
          <w:b w:val="0"/>
          <w:color w:val="auto"/>
          <w:kern w:val="2"/>
          <w:sz w:val="26"/>
          <w:szCs w:val="26"/>
          <w:lang w:val="en-US" w:eastAsia="zh-CN" w:bidi="ar-SA"/>
        </w:rPr>
        <w:t>127944</w:t>
      </w:r>
      <w:r>
        <w:rPr>
          <w:rFonts w:hint="eastAsia" w:ascii="Arial" w:hAnsi="Arial" w:eastAsia="宋体" w:cs="Arial"/>
          <w:b w:val="0"/>
          <w:color w:val="auto"/>
          <w:kern w:val="2"/>
          <w:sz w:val="26"/>
          <w:szCs w:val="26"/>
          <w:lang w:val="en-US" w:eastAsia="zh-CN" w:bidi="ar-SA"/>
        </w:rPr>
        <w:t>hm</w:t>
      </w:r>
      <w:r>
        <w:rPr>
          <w:rFonts w:hint="eastAsia" w:ascii="Arial" w:hAnsi="Arial" w:cs="Arial"/>
          <w:b w:val="0"/>
          <w:color w:val="auto"/>
          <w:kern w:val="2"/>
          <w:sz w:val="26"/>
          <w:szCs w:val="26"/>
          <w:vertAlign w:val="superscript"/>
          <w:lang w:val="en-US" w:eastAsia="zh-CN" w:bidi="ar-SA"/>
        </w:rPr>
        <w:t>2</w:t>
      </w:r>
      <w:r>
        <w:rPr>
          <w:rFonts w:hint="eastAsia" w:ascii="Arial" w:hAnsi="Arial" w:eastAsia="宋体" w:cs="Arial"/>
          <w:b w:val="0"/>
          <w:color w:val="auto"/>
          <w:kern w:val="2"/>
          <w:sz w:val="26"/>
          <w:szCs w:val="26"/>
          <w:lang w:val="en-US" w:eastAsia="zh-CN" w:bidi="ar-SA"/>
        </w:rPr>
        <w:t>。</w:t>
      </w:r>
    </w:p>
    <w:p w14:paraId="7F1F2D3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① 永久占地的影响</w:t>
      </w:r>
    </w:p>
    <w:p w14:paraId="49BBC38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永久占地范围内植被以耕地、林地、灌草地为主，</w:t>
      </w:r>
      <w:r>
        <w:rPr>
          <w:rFonts w:hint="eastAsia" w:ascii="Arial" w:hAnsi="Arial" w:eastAsia="宋体" w:cs="Arial"/>
          <w:b w:val="0"/>
          <w:color w:val="auto"/>
          <w:kern w:val="2"/>
          <w:sz w:val="26"/>
          <w:szCs w:val="26"/>
          <w:lang w:val="en-US" w:eastAsia="zh-CN" w:bidi="ar-SA"/>
        </w:rPr>
        <w:t>林地以马尾松、桉树、枫杨、柏木、水竹、麻栎、化香、构树为主，草地主要为</w:t>
      </w:r>
      <w:r>
        <w:rPr>
          <w:rFonts w:hint="eastAsia" w:ascii="Arial" w:hAnsi="Arial" w:cs="Arial"/>
          <w:b w:val="0"/>
          <w:color w:val="auto"/>
          <w:kern w:val="2"/>
          <w:sz w:val="26"/>
          <w:szCs w:val="26"/>
          <w:lang w:val="en-US" w:eastAsia="zh-CN" w:bidi="ar-SA"/>
        </w:rPr>
        <w:t>喜水河滩植被水麻、糯米团、茅叶荩草、黑麦草、鸢尾、芒萁、狗牙根、苍耳等，耕地种植的主要为水稻、玉米、红薯及季节性蔬菜。</w:t>
      </w:r>
    </w:p>
    <w:p w14:paraId="2D54B90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工程施工建设对区域内的植物产生直接的破坏，导致植物个体数量减少。永久占地将直接对植物群落和植被所在区域造成破坏，其破坏是长期的、不可逆的。但工程建设区破坏植被均为常见种，且在整个评价区内面积占比较小，对项目所在区域植被及植被生物量影响小。因此，项目永久占地对评价区野生植被的影响较小。</w:t>
      </w:r>
    </w:p>
    <w:p w14:paraId="2237A4C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宋体" w:cs="Arial"/>
          <w:b/>
          <w:sz w:val="26"/>
          <w:szCs w:val="26"/>
          <w:lang w:val="en-US" w:eastAsia="zh-CN"/>
        </w:rPr>
      </w:pPr>
      <w:r>
        <w:rPr>
          <w:rFonts w:hint="default" w:ascii="Arial" w:hAnsi="宋体" w:cs="Arial"/>
          <w:b/>
          <w:sz w:val="26"/>
          <w:szCs w:val="26"/>
          <w:lang w:val="en-US" w:eastAsia="zh-CN"/>
        </w:rPr>
        <w:t>②</w:t>
      </w:r>
      <w:r>
        <w:rPr>
          <w:rFonts w:hint="eastAsia" w:ascii="Arial" w:hAnsi="宋体" w:cs="Arial"/>
          <w:b/>
          <w:sz w:val="26"/>
          <w:szCs w:val="26"/>
          <w:lang w:val="en-US" w:eastAsia="zh-CN"/>
        </w:rPr>
        <w:t xml:space="preserve"> 临时占地的影响</w:t>
      </w:r>
    </w:p>
    <w:p w14:paraId="13A3BB7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项目临时占地内植被仍以耕地、林地、灌草地为主，植被类型与项目永久占地范围内大致相同，工程施工建设对区域内的植物产生直接的破坏，导致植物个体数量减少。临时占地虽然将直接剥离地表植被，但属于短期、可逆不利影响，受影响的植物及植被在评价区均广泛分布，不存在因局部植物物种损失而导致工程区内植物物种多样性减少或种群消失或灭绝。此外，项目施工结束后，将选用当地常见植被对临时占地进行覆土绿化，可以有效地减缓、弥补临时占地对评价区植物的影响。</w:t>
      </w:r>
    </w:p>
    <w:p w14:paraId="68EA93A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③ 施工活动对植物的影响</w:t>
      </w:r>
    </w:p>
    <w:p w14:paraId="39E962FC">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施工活动对植物的影响方式可分为直接影响及间接影响。直接影响主要是指施工人员活动、施工车辆碾压等使得周围植被损失，生物量减少；间接影响主要是指施工过程中产生的废气、废水、废渣、扬尘以及带入外来物种等对植物的产生的影响，使得周围植物生长变缓、发育不良，危害严重是会导致植物死亡。同时，施工过程中还应注意外来物种的影响，施工期机械车辆、人为活动增多，运输材料和施工材料可能会带入外来物种，导致当地本土植物生长受到威胁，评价区内外来入侵物种有空心莲子草、藿香蓟等，施工活动的进行必然会加剧区域内原本存在的外来物种的传播，也可能带入新的外来物种。外来物种的入侵将会迅速占领生态位，对本地种的生存造成危害。</w:t>
      </w:r>
    </w:p>
    <w:p w14:paraId="7D2FB412">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（4）小结</w:t>
      </w:r>
    </w:p>
    <w:p w14:paraId="0778D267">
      <w:pPr>
        <w:pStyle w:val="2113"/>
        <w:spacing w:line="460" w:lineRule="exact"/>
        <w:ind w:firstLine="520"/>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综上，工程建设虽然减少了评价范围内一定的植被生物量，但破坏量有限，不会造成地表植被物种个体数量骤减，且本项目影响范围内不涉及</w:t>
      </w:r>
      <w:r>
        <w:rPr>
          <w:rFonts w:hint="eastAsia" w:ascii="Arial" w:hAnsi="Arial" w:cs="Arial"/>
          <w:b w:val="0"/>
          <w:color w:val="auto"/>
          <w:kern w:val="2"/>
          <w:sz w:val="26"/>
          <w:szCs w:val="26"/>
          <w:lang w:val="en-US" w:eastAsia="zh-CN" w:bidi="ar-SA"/>
        </w:rPr>
        <w:t>珍稀濒危保护型野生</w:t>
      </w:r>
      <w:r>
        <w:rPr>
          <w:rFonts w:hint="eastAsia" w:ascii="Arial" w:hAnsi="Arial" w:eastAsia="宋体" w:cs="Arial"/>
          <w:b w:val="0"/>
          <w:color w:val="auto"/>
          <w:kern w:val="2"/>
          <w:sz w:val="26"/>
          <w:szCs w:val="26"/>
          <w:lang w:val="en-US" w:eastAsia="zh-CN" w:bidi="ar-SA"/>
        </w:rPr>
        <w:t>植物</w:t>
      </w:r>
      <w:r>
        <w:rPr>
          <w:rFonts w:hint="eastAsia" w:ascii="Arial" w:hAnsi="Arial" w:cs="Arial"/>
          <w:b w:val="0"/>
          <w:color w:val="auto"/>
          <w:kern w:val="2"/>
          <w:sz w:val="26"/>
          <w:szCs w:val="26"/>
          <w:lang w:val="en-US" w:eastAsia="zh-CN" w:bidi="ar-SA"/>
        </w:rPr>
        <w:t>、名木古树</w:t>
      </w:r>
      <w:r>
        <w:rPr>
          <w:rFonts w:hint="eastAsia" w:ascii="Arial" w:hAnsi="Arial" w:eastAsia="宋体" w:cs="Arial"/>
          <w:b w:val="0"/>
          <w:color w:val="auto"/>
          <w:kern w:val="2"/>
          <w:sz w:val="26"/>
          <w:szCs w:val="26"/>
          <w:lang w:val="en-US" w:eastAsia="zh-CN" w:bidi="ar-SA"/>
        </w:rPr>
        <w:t>，均为恢复力强的常见植物。因此本项目对区域植物生物多样性不会造成较大的影响，也不会破坏整个生态系统的结构和稳定性。</w:t>
      </w:r>
    </w:p>
    <w:p w14:paraId="7298BB7F">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宋体" w:cs="Arial"/>
          <w:b/>
          <w:sz w:val="26"/>
          <w:szCs w:val="26"/>
          <w:lang w:val="en-US" w:eastAsia="zh-CN"/>
        </w:rPr>
        <w:t>5.5.4对陆生动物的影响</w:t>
      </w:r>
    </w:p>
    <w:p w14:paraId="076BA6E8">
      <w:pPr>
        <w:pStyle w:val="2113"/>
        <w:spacing w:line="460" w:lineRule="exact"/>
        <w:ind w:firstLine="520"/>
        <w:rPr>
          <w:rFonts w:hint="eastAsia" w:ascii="Arial" w:hAnsi="Arial" w:eastAsia="宋体" w:cs="Arial"/>
          <w:b w:val="0"/>
          <w:color w:val="auto"/>
          <w:kern w:val="2"/>
          <w:sz w:val="26"/>
          <w:szCs w:val="26"/>
          <w:lang w:val="en-US" w:eastAsia="zh-CN" w:bidi="ar-SA"/>
        </w:rPr>
      </w:pPr>
      <w:bookmarkStart w:id="114" w:name="_Hlk155362372"/>
      <w:r>
        <w:rPr>
          <w:rFonts w:hint="eastAsia" w:ascii="Arial" w:hAnsi="Arial" w:cs="Arial"/>
          <w:b w:val="0"/>
          <w:color w:val="auto"/>
          <w:kern w:val="2"/>
          <w:sz w:val="26"/>
          <w:szCs w:val="26"/>
          <w:lang w:val="en-US" w:eastAsia="zh-CN" w:bidi="ar-SA"/>
        </w:rPr>
        <w:t>根据现场勘查，项目区动物群落分布与生境分化有着密切关系，主要有河岸湿地动物群落、低山灌丛动物群落、居民点动物群落等三种类型。本项目影响区山体陡峭、坡度较大，</w:t>
      </w:r>
      <w:r>
        <w:rPr>
          <w:rFonts w:hint="eastAsia" w:ascii="Arial" w:hAnsi="Arial" w:eastAsia="宋体" w:cs="Arial"/>
          <w:b w:val="0"/>
          <w:color w:val="auto"/>
          <w:kern w:val="2"/>
          <w:sz w:val="26"/>
          <w:szCs w:val="26"/>
          <w:lang w:val="en-US" w:eastAsia="zh-CN" w:bidi="ar-SA"/>
        </w:rPr>
        <w:t>加之评价区内主要廊道为水体，对野生动物活动构成天然屏障，人类干扰强度大，不是大型野生动物主要活动范围。</w:t>
      </w:r>
    </w:p>
    <w:p w14:paraId="60D2A756">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（1）对动物多样性的影响</w:t>
      </w:r>
    </w:p>
    <w:p w14:paraId="19F0F07D">
      <w:pPr>
        <w:pStyle w:val="2113"/>
        <w:spacing w:line="460" w:lineRule="exact"/>
        <w:ind w:firstLine="520"/>
        <w:rPr>
          <w:rFonts w:hint="eastAsia"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本项目施工区对陆生动物的影响主要集中在以下方面：工程施工、土石方开挖及 弃渣堆放等活动造成对陆生动物生境的占用和破坏；施工人员及施工机械设备噪声、震动等对动物的惊吓、驱赶、摄食及休息等日常活动造成影响；施工期该区域的陆生脊椎动物的种类和数量将出现暂时的波动。</w:t>
      </w:r>
    </w:p>
    <w:p w14:paraId="73C0DB5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宋体" w:cs="Arial"/>
          <w:b/>
          <w:sz w:val="26"/>
          <w:szCs w:val="26"/>
          <w:lang w:val="en-US" w:eastAsia="zh-CN"/>
        </w:rPr>
      </w:pPr>
      <w:r>
        <w:rPr>
          <w:rFonts w:hint="default" w:ascii="Arial" w:hAnsi="宋体" w:cs="Arial"/>
          <w:b/>
          <w:sz w:val="26"/>
          <w:szCs w:val="26"/>
          <w:lang w:val="en-US" w:eastAsia="zh-CN"/>
        </w:rPr>
        <w:t>①</w:t>
      </w:r>
      <w:r>
        <w:rPr>
          <w:rFonts w:hint="eastAsia" w:ascii="Arial" w:hAnsi="宋体" w:cs="Arial"/>
          <w:b/>
          <w:sz w:val="26"/>
          <w:szCs w:val="26"/>
          <w:lang w:val="en-US" w:eastAsia="zh-CN"/>
        </w:rPr>
        <w:t>枢纽工程区的影响</w:t>
      </w:r>
    </w:p>
    <w:p w14:paraId="01083554">
      <w:pPr>
        <w:pStyle w:val="2113"/>
        <w:spacing w:line="460" w:lineRule="exact"/>
        <w:ind w:firstLine="520"/>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坝枢为永久性占地区域，施工地主要为耕地、林地、灌草地。施工占地导致的生境破坏，对生活在该区域的少量脊椎动物和小型哺乳动物造成直接影响，该段施工将破坏其隐匿场所而造成其少量个体损失，迫使其暂时离开该区域活动。但本项目占地类型在附近有大量分布，受影响动物可迁移至临近合适的生境中，待施工完毕，将会有一定数量的迁回，故而影响不大。</w:t>
      </w:r>
    </w:p>
    <w:p w14:paraId="1431302C">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default" w:ascii="Arial" w:hAnsi="宋体" w:cs="Arial"/>
          <w:b/>
          <w:sz w:val="26"/>
          <w:szCs w:val="26"/>
          <w:lang w:val="en-US" w:eastAsia="zh-CN"/>
        </w:rPr>
        <w:t>②</w:t>
      </w:r>
      <w:r>
        <w:rPr>
          <w:rFonts w:hint="eastAsia" w:ascii="Arial" w:hAnsi="宋体" w:cs="Arial"/>
          <w:b/>
          <w:sz w:val="26"/>
          <w:szCs w:val="26"/>
          <w:lang w:val="en-US" w:eastAsia="zh-CN"/>
        </w:rPr>
        <w:t>淹没区的影响</w:t>
      </w:r>
    </w:p>
    <w:p w14:paraId="43CA0AB3">
      <w:pPr>
        <w:pStyle w:val="2113"/>
        <w:spacing w:line="460" w:lineRule="exact"/>
        <w:ind w:firstLine="520"/>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淹没区为永久占地，水位上涨将占用评价区的森林植被，水库蓄水过程中，将彻底损毁其生存环境，对其原生活的脊椎动物和小型哺乳动物有直接影响，使其原有巢穴及避难所遭到破坏。但它们躲避能力强，较易适应人类居住环境，繁殖力强，会在短期内受到一定的干扰，但很快便会适应。</w:t>
      </w:r>
    </w:p>
    <w:p w14:paraId="1EAA1B9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宋体" w:cs="Arial"/>
          <w:b/>
          <w:sz w:val="26"/>
          <w:szCs w:val="26"/>
          <w:lang w:val="en-US" w:eastAsia="zh-CN"/>
        </w:rPr>
      </w:pPr>
      <w:r>
        <w:rPr>
          <w:rFonts w:hint="eastAsia" w:ascii="Arial" w:hAnsi="宋体" w:cs="Arial"/>
          <w:b/>
          <w:sz w:val="26"/>
          <w:szCs w:val="26"/>
          <w:lang w:val="en-US" w:eastAsia="zh-CN"/>
        </w:rPr>
        <w:t>③输水工程区的影响</w:t>
      </w:r>
    </w:p>
    <w:p w14:paraId="70409477">
      <w:pPr>
        <w:pStyle w:val="2113"/>
        <w:spacing w:line="460" w:lineRule="exact"/>
        <w:ind w:firstLine="520"/>
        <w:rPr>
          <w:rFonts w:hint="eastAsia"/>
          <w:color w:val="auto"/>
          <w:sz w:val="26"/>
          <w:szCs w:val="26"/>
        </w:rPr>
      </w:pPr>
      <w:r>
        <w:rPr>
          <w:rFonts w:hint="eastAsia"/>
          <w:color w:val="auto"/>
          <w:sz w:val="26"/>
          <w:szCs w:val="26"/>
        </w:rPr>
        <w:t>管道施工其本身较为简单，主要穿越区域为耕地、荒地，野生动物种类较少，施工期的主要问题是运送管道时的人员进入和临时便道可能会破坏部分动物的巢穴和隐蔽场所，更可能直接伤害部分动物个体。主要影响类群为爬行类和小型哺乳动物，以及少量两栖类动物。施工前应该提前查看将施工区域，</w:t>
      </w:r>
      <w:r>
        <w:rPr>
          <w:rFonts w:hint="eastAsia"/>
          <w:color w:val="auto"/>
          <w:sz w:val="26"/>
          <w:szCs w:val="26"/>
          <w:lang w:eastAsia="zh-CN"/>
        </w:rPr>
        <w:t>落实</w:t>
      </w:r>
      <w:r>
        <w:rPr>
          <w:rFonts w:hint="eastAsia"/>
          <w:color w:val="auto"/>
          <w:sz w:val="26"/>
          <w:szCs w:val="26"/>
        </w:rPr>
        <w:t>是否有动物个体或巢穴，若有动物，则将之驱离，若有巢穴，则施工时注意避开，这样可以很好的起到保护的作用。对施工人员应进行一定的动物保护方面培训和要求，避免人为因素对动物个体造成伤害。</w:t>
      </w:r>
    </w:p>
    <w:p w14:paraId="4D3B4E85">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（2）对两栖动物的影响</w:t>
      </w:r>
    </w:p>
    <w:p w14:paraId="3065E563">
      <w:pPr>
        <w:pStyle w:val="2113"/>
        <w:spacing w:line="460" w:lineRule="exact"/>
        <w:ind w:firstLine="520"/>
        <w:rPr>
          <w:rFonts w:hint="eastAsia" w:ascii="Arial" w:cs="Arial"/>
          <w:color w:val="auto"/>
          <w:sz w:val="26"/>
          <w:szCs w:val="26"/>
          <w:lang w:eastAsia="zh-CN"/>
        </w:rPr>
      </w:pPr>
      <w:r>
        <w:rPr>
          <w:rFonts w:hint="eastAsia" w:ascii="Arial" w:cs="Arial"/>
          <w:color w:val="auto"/>
          <w:sz w:val="26"/>
          <w:szCs w:val="26"/>
        </w:rPr>
        <w:t>两栖动物是工程主要影响对象，</w:t>
      </w:r>
      <w:r>
        <w:rPr>
          <w:rFonts w:hint="eastAsia" w:ascii="Arial" w:cs="Arial"/>
          <w:color w:val="auto"/>
          <w:sz w:val="26"/>
          <w:szCs w:val="26"/>
          <w:lang w:eastAsia="zh-CN"/>
        </w:rPr>
        <w:t>项目影响区域内两栖动物主要为蛙科类，主要生活在离水源不远的农田及附近的草丛中。项目施工期会占用部分两栖类的生境，导致其生境范围有所缩小，</w:t>
      </w:r>
      <w:r>
        <w:rPr>
          <w:rFonts w:ascii="Arial" w:cs="Arial"/>
          <w:color w:val="auto"/>
          <w:sz w:val="26"/>
          <w:szCs w:val="26"/>
        </w:rPr>
        <w:t>施工中</w:t>
      </w:r>
      <w:r>
        <w:rPr>
          <w:rFonts w:hint="eastAsia" w:ascii="Arial" w:cs="Arial"/>
          <w:color w:val="auto"/>
          <w:sz w:val="26"/>
          <w:szCs w:val="26"/>
        </w:rPr>
        <w:t>大坝枢纽将切断自然河流上下游生活的水栖两栖动物的基因交流，形成的库区将不适宜于流水生活和繁殖的两栖类生活</w:t>
      </w:r>
      <w:r>
        <w:rPr>
          <w:rFonts w:hint="eastAsia" w:ascii="Arial" w:cs="Arial"/>
          <w:color w:val="auto"/>
          <w:sz w:val="26"/>
          <w:szCs w:val="26"/>
          <w:lang w:eastAsia="zh-CN"/>
        </w:rPr>
        <w:t>，同时，项目施工产生的各类污废水若事故排放至河流中，将对两栖类动物的生境造成污染。但这种影响是短暂且可逆的，工程附近分布有广泛的相似生境，两栖动物可以迁移至临近类似生境中，施工活动结束后，逐步迁回。</w:t>
      </w:r>
    </w:p>
    <w:p w14:paraId="796E5337">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（3）对爬行类动物的影响</w:t>
      </w:r>
    </w:p>
    <w:p w14:paraId="31C75EE3">
      <w:pPr>
        <w:pStyle w:val="2113"/>
        <w:spacing w:line="460" w:lineRule="exact"/>
        <w:ind w:firstLine="520"/>
        <w:rPr>
          <w:rFonts w:hint="eastAsia" w:ascii="Arial" w:cs="Arial"/>
          <w:color w:val="auto"/>
          <w:sz w:val="26"/>
          <w:szCs w:val="26"/>
          <w:lang w:eastAsia="zh-CN"/>
        </w:rPr>
      </w:pPr>
      <w:r>
        <w:rPr>
          <w:rFonts w:hint="eastAsia" w:ascii="Arial" w:hAnsi="Times New Roman" w:cs="Arial"/>
          <w:color w:val="auto"/>
          <w:sz w:val="26"/>
          <w:szCs w:val="26"/>
          <w:lang w:eastAsia="zh-CN"/>
        </w:rPr>
        <w:t>爬行类动物以游蛇科、</w:t>
      </w:r>
      <w:r>
        <w:rPr>
          <w:rFonts w:hint="eastAsia" w:ascii="Arial" w:hAnsi="Times New Roman" w:cs="Arial"/>
          <w:color w:val="auto"/>
          <w:sz w:val="26"/>
          <w:szCs w:val="26"/>
        </w:rPr>
        <w:t>蝰科</w:t>
      </w:r>
      <w:r>
        <w:rPr>
          <w:rFonts w:hint="eastAsia" w:ascii="Arial" w:hAnsi="Times New Roman" w:cs="Arial"/>
          <w:color w:val="auto"/>
          <w:sz w:val="26"/>
          <w:szCs w:val="26"/>
          <w:lang w:eastAsia="zh-CN"/>
        </w:rPr>
        <w:t>、石龙子科、蜥蜴科等为主，</w:t>
      </w:r>
      <w:r>
        <w:rPr>
          <w:rFonts w:hint="eastAsia" w:ascii="Arial" w:hAnsi="Times New Roman" w:cs="Arial"/>
          <w:color w:val="auto"/>
          <w:sz w:val="26"/>
          <w:szCs w:val="26"/>
        </w:rPr>
        <w:t>它们</w:t>
      </w:r>
      <w:r>
        <w:rPr>
          <w:rFonts w:hint="eastAsia" w:ascii="Arial" w:hAnsi="Times New Roman" w:cs="Arial"/>
          <w:color w:val="auto"/>
          <w:sz w:val="26"/>
          <w:szCs w:val="26"/>
          <w:lang w:eastAsia="zh-CN"/>
        </w:rPr>
        <w:t>主要</w:t>
      </w:r>
      <w:r>
        <w:rPr>
          <w:rFonts w:hint="eastAsia" w:ascii="Arial" w:hAnsi="Times New Roman" w:cs="Arial"/>
          <w:color w:val="auto"/>
          <w:sz w:val="26"/>
          <w:szCs w:val="26"/>
        </w:rPr>
        <w:t>在河流及周边的林地灌丛中栖息活动</w:t>
      </w:r>
      <w:r>
        <w:rPr>
          <w:rFonts w:hint="eastAsia" w:ascii="Arial" w:hAnsi="Times New Roman" w:cs="Arial"/>
          <w:color w:val="auto"/>
          <w:sz w:val="26"/>
          <w:szCs w:val="26"/>
          <w:lang w:eastAsia="zh-CN"/>
        </w:rPr>
        <w:t>。在项目施工期间，其生境将会被占用或污染，个体也会因为施工噪声</w:t>
      </w:r>
      <w:r>
        <w:rPr>
          <w:rFonts w:ascii="Arial" w:cs="Arial"/>
          <w:color w:val="auto"/>
          <w:sz w:val="26"/>
          <w:szCs w:val="26"/>
        </w:rPr>
        <w:t>以及施工车辆碾压等原因被迫迁移或者死亡</w:t>
      </w:r>
      <w:r>
        <w:rPr>
          <w:rFonts w:hint="eastAsia" w:ascii="Arial" w:hAnsi="Times New Roman" w:cs="Arial"/>
          <w:color w:val="auto"/>
          <w:sz w:val="26"/>
          <w:szCs w:val="26"/>
          <w:lang w:eastAsia="zh-CN"/>
        </w:rPr>
        <w:t>。</w:t>
      </w:r>
      <w:r>
        <w:rPr>
          <w:rFonts w:hint="eastAsia" w:ascii="Arial" w:cs="Arial"/>
          <w:color w:val="auto"/>
          <w:sz w:val="26"/>
          <w:szCs w:val="26"/>
        </w:rPr>
        <w:t>施工期间部分施工人员</w:t>
      </w:r>
      <w:r>
        <w:rPr>
          <w:rFonts w:hint="eastAsia" w:ascii="Arial" w:cs="Arial"/>
          <w:color w:val="auto"/>
          <w:sz w:val="26"/>
          <w:szCs w:val="26"/>
          <w:lang w:eastAsia="zh-CN"/>
        </w:rPr>
        <w:t>捕杀</w:t>
      </w:r>
      <w:r>
        <w:rPr>
          <w:rFonts w:hint="eastAsia" w:ascii="Arial" w:cs="Arial"/>
          <w:color w:val="auto"/>
          <w:sz w:val="26"/>
          <w:szCs w:val="26"/>
        </w:rPr>
        <w:t>蛇类可能导致库区及邻近地区蛇类动物多样性下降</w:t>
      </w:r>
      <w:r>
        <w:rPr>
          <w:rFonts w:hint="eastAsia" w:ascii="Arial" w:cs="Arial"/>
          <w:color w:val="auto"/>
          <w:sz w:val="26"/>
          <w:szCs w:val="26"/>
          <w:lang w:eastAsia="zh-CN"/>
        </w:rPr>
        <w:t>，库区的清理</w:t>
      </w:r>
      <w:r>
        <w:rPr>
          <w:rFonts w:hint="eastAsia" w:ascii="Arial" w:cs="Arial"/>
          <w:color w:val="auto"/>
          <w:sz w:val="26"/>
          <w:szCs w:val="26"/>
        </w:rPr>
        <w:t>可能导致一些个体的损失和当年繁殖失败</w:t>
      </w:r>
      <w:r>
        <w:rPr>
          <w:rFonts w:hint="eastAsia" w:ascii="Arial" w:cs="Arial"/>
          <w:color w:val="auto"/>
          <w:sz w:val="26"/>
          <w:szCs w:val="26"/>
          <w:lang w:eastAsia="zh-CN"/>
        </w:rPr>
        <w:t>。但这种影响是短暂且可逆的，工程附近分布有广泛的相似生境，爬行动物可以</w:t>
      </w:r>
      <w:r>
        <w:rPr>
          <w:rFonts w:hint="eastAsia" w:ascii="Arial" w:hAnsi="Times New Roman" w:cs="Arial"/>
          <w:color w:val="auto"/>
          <w:sz w:val="26"/>
          <w:szCs w:val="26"/>
          <w:lang w:eastAsia="zh-CN"/>
        </w:rPr>
        <w:t>在临近区域内寻找适宜生境，</w:t>
      </w:r>
      <w:r>
        <w:rPr>
          <w:rFonts w:hint="eastAsia" w:ascii="Arial" w:cs="Arial"/>
          <w:color w:val="auto"/>
          <w:sz w:val="26"/>
          <w:szCs w:val="26"/>
          <w:lang w:eastAsia="zh-CN"/>
        </w:rPr>
        <w:t>施工活动结束后，逐步迁回；同时加大对施工人员的管理和宣传教育，严禁捕杀。</w:t>
      </w:r>
    </w:p>
    <w:p w14:paraId="5E81CBBF">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（4）对鸟类的影响</w:t>
      </w:r>
    </w:p>
    <w:p w14:paraId="24831AC9">
      <w:pPr>
        <w:pStyle w:val="2113"/>
        <w:spacing w:line="460" w:lineRule="exact"/>
        <w:ind w:firstLine="520"/>
        <w:rPr>
          <w:rFonts w:hint="eastAsia" w:ascii="Arial" w:hAnsi="Times New Roman" w:cs="Arial"/>
          <w:color w:val="auto"/>
          <w:sz w:val="26"/>
          <w:szCs w:val="26"/>
          <w:lang w:eastAsia="zh-CN"/>
        </w:rPr>
      </w:pPr>
      <w:r>
        <w:rPr>
          <w:rFonts w:hint="eastAsia" w:ascii="Arial" w:hAnsi="Times New Roman" w:cs="Arial"/>
          <w:color w:val="auto"/>
          <w:sz w:val="26"/>
          <w:szCs w:val="26"/>
          <w:lang w:eastAsia="zh-CN"/>
        </w:rPr>
        <w:t>鸟类以雀形目的种类最多，处于明显的优势。本项目实施对鸟类的影响较小，对鸟类的影响主要来自于施工期间或运行中的生活生产中未经处理或者是未来得及处理的废物以及尘埃等干扰，同时由于项目占地造成地表覆盖减少，以及人为活动增加，会对本地区鸟类的觅食、栖息和繁殖有一定影响，使得调查区出现的鸟类物种短期内减少。施工中的噪声影响可能对其影响较大，使之暂时离开施工区域。鸟类善飞翔，且生境多样，因而受到本项目的影响相对较小。</w:t>
      </w:r>
    </w:p>
    <w:p w14:paraId="7C8FD6C8">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（5）对兽类的影响</w:t>
      </w:r>
    </w:p>
    <w:p w14:paraId="364653DC">
      <w:pPr>
        <w:pStyle w:val="2113"/>
        <w:spacing w:line="460" w:lineRule="exact"/>
        <w:ind w:firstLine="520"/>
        <w:rPr>
          <w:rFonts w:hint="eastAsia" w:ascii="Arial" w:hAnsi="Times New Roman" w:cs="Arial"/>
          <w:color w:val="auto"/>
          <w:sz w:val="26"/>
          <w:szCs w:val="26"/>
          <w:lang w:eastAsia="zh-CN"/>
        </w:rPr>
      </w:pPr>
      <w:r>
        <w:rPr>
          <w:rFonts w:hint="eastAsia" w:ascii="Arial" w:hAnsi="Times New Roman" w:cs="Arial"/>
          <w:color w:val="auto"/>
          <w:sz w:val="26"/>
          <w:szCs w:val="26"/>
          <w:lang w:eastAsia="zh-CN"/>
        </w:rPr>
        <w:t>评价区的兽类以小型兽类为主，以啮齿目的种类为最多，鼠科为优势科，其适应性强，活动范围广，施工将驱使其远离施工地，蓄水后库区范围将不适宜其生存，其最可能避开库区向周边迁移，因周边多为耕地、林草地，与原生活的河流、灌丛、农田生境相距较近，故而其迁徙路径较近，根据我们的实地考察，其最可能向生境相似的库区两岸地域迁移。故而对兽类的最大影响是迫使其离开原栖息地去寻找新的栖息地。</w:t>
      </w:r>
    </w:p>
    <w:p w14:paraId="5055F47E">
      <w:pPr>
        <w:pStyle w:val="2113"/>
        <w:spacing w:line="460" w:lineRule="exact"/>
        <w:ind w:firstLine="520"/>
        <w:rPr>
          <w:rFonts w:hint="eastAsia" w:ascii="Arial" w:hAnsi="Times New Roman" w:cs="Arial"/>
          <w:color w:val="auto"/>
          <w:sz w:val="26"/>
          <w:szCs w:val="26"/>
          <w:lang w:eastAsia="zh-CN"/>
        </w:rPr>
      </w:pPr>
      <w:r>
        <w:rPr>
          <w:rFonts w:hint="eastAsia" w:ascii="Arial" w:hAnsi="Times New Roman" w:cs="Arial"/>
          <w:color w:val="auto"/>
          <w:sz w:val="26"/>
          <w:szCs w:val="26"/>
          <w:lang w:eastAsia="zh-CN"/>
        </w:rPr>
        <w:t>另一方面，施工人员的入驻，将使鼠科等啮齿类数量有所增加，导致人类生活区域啮齿类密度增大。施工作业将对区域内兽类、两栖爬行类动物的迁移形成一定的阻隔，但由于评价区内山体较连续，且植被较一致，因而它们可以顺利迁移至其他合适生境中，总体影响较小。</w:t>
      </w:r>
    </w:p>
    <w:p w14:paraId="4BF7FC98">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（6）对保护类野生动物的影响</w:t>
      </w:r>
    </w:p>
    <w:p w14:paraId="6D32D072">
      <w:pPr>
        <w:pStyle w:val="2113"/>
        <w:spacing w:line="460" w:lineRule="exact"/>
        <w:ind w:firstLine="520"/>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根据查阅资料和实地调查走访结果，</w:t>
      </w:r>
      <w:bookmarkEnd w:id="114"/>
      <w:r>
        <w:rPr>
          <w:rFonts w:hint="eastAsia" w:ascii="Arial" w:hAnsi="Arial" w:eastAsia="宋体" w:cs="Arial"/>
          <w:b w:val="0"/>
          <w:color w:val="auto"/>
          <w:kern w:val="2"/>
          <w:sz w:val="26"/>
          <w:szCs w:val="26"/>
          <w:lang w:val="en-US" w:eastAsia="zh-CN" w:bidi="ar-SA"/>
        </w:rPr>
        <w:t>结合《国家重点保护野生动物名录》《重庆市重点保护野生动物名录》，本项目评价范围内</w:t>
      </w:r>
      <w:r>
        <w:rPr>
          <w:rFonts w:hint="eastAsia" w:ascii="Arial" w:hAnsi="Arial" w:cs="Arial"/>
          <w:b w:val="0"/>
          <w:color w:val="auto"/>
          <w:kern w:val="2"/>
          <w:sz w:val="26"/>
          <w:szCs w:val="26"/>
          <w:lang w:val="en-US" w:eastAsia="zh-CN" w:bidi="ar-SA"/>
        </w:rPr>
        <w:t>无国家重点保护类野生动物分布，分布有重庆市重点保护动</w:t>
      </w:r>
      <w:r>
        <w:rPr>
          <w:rFonts w:hint="eastAsia" w:ascii="Arial" w:hAnsi="Arial" w:eastAsia="宋体" w:cs="Arial"/>
          <w:b w:val="0"/>
          <w:color w:val="auto"/>
          <w:kern w:val="2"/>
          <w:sz w:val="26"/>
          <w:szCs w:val="26"/>
          <w:lang w:val="en-US" w:eastAsia="zh-CN" w:bidi="ar-SA"/>
        </w:rPr>
        <w:t>物5种，为隆肛蛙、棘腹蛙、黑眉锦蛇、乌梢蛇和王锦蛇</w:t>
      </w:r>
      <w:r>
        <w:rPr>
          <w:rFonts w:hint="eastAsia" w:ascii="Arial" w:hAnsi="Arial" w:cs="Arial"/>
          <w:b w:val="0"/>
          <w:color w:val="auto"/>
          <w:kern w:val="2"/>
          <w:sz w:val="26"/>
          <w:szCs w:val="26"/>
          <w:lang w:val="en-US" w:eastAsia="zh-CN" w:bidi="ar-SA"/>
        </w:rPr>
        <w:t>。</w:t>
      </w:r>
    </w:p>
    <w:p w14:paraId="362C82D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评价范围内没有重要动物的集中分布区，也没有营巢区，仅有零星分布。重要动物中黑眉锦蛇栖息于山区河边、稻田及住宅附近；乌梢蛇栖息于田野、山边、河岸、水田及林下等处；王锦蛇栖息于山间林区、河边、库区及其他临近水域的地方；</w:t>
      </w:r>
      <w:r>
        <w:rPr>
          <w:rFonts w:hint="eastAsia" w:ascii="Arial" w:hAnsi="Arial" w:eastAsia="宋体" w:cs="Arial"/>
          <w:b w:val="0"/>
          <w:color w:val="auto"/>
          <w:kern w:val="2"/>
          <w:sz w:val="26"/>
          <w:szCs w:val="26"/>
          <w:lang w:val="en-US" w:eastAsia="zh-CN" w:bidi="ar-SA"/>
        </w:rPr>
        <w:t>隆肛蛙、棘腹蛙</w:t>
      </w:r>
      <w:r>
        <w:rPr>
          <w:rFonts w:hint="eastAsia" w:ascii="Arial" w:hAnsi="Arial" w:cs="Arial"/>
          <w:b w:val="0"/>
          <w:color w:val="auto"/>
          <w:kern w:val="2"/>
          <w:sz w:val="26"/>
          <w:szCs w:val="26"/>
          <w:lang w:val="en-US" w:eastAsia="zh-CN" w:bidi="ar-SA"/>
        </w:rPr>
        <w:t>主要栖息在河边浸水沼泽地、河内小石块上。</w:t>
      </w:r>
      <w:r>
        <w:rPr>
          <w:rFonts w:hint="eastAsia" w:ascii="Arial" w:hAnsi="Arial" w:cs="Arial"/>
          <w:kern w:val="0"/>
          <w:sz w:val="26"/>
          <w:szCs w:val="26"/>
          <w:lang w:val="en-US" w:eastAsia="zh-CN"/>
        </w:rPr>
        <w:t>项目施工会涉及上述栖息地，在开挖场地时可能会对其间栖息的动物个体造成伤害，同时施工人员捕食也将直接威胁以上动物个体。由于保护型野生动物主要为两栖类、爬行类，迁徙能力较强，且项目施工为循序推进，在感受到施工活动干扰威胁时会立即向远离施工区域的生境迁移，同时在做好施工人员野生动物保护宣传教育，杜绝施工人员捕杀的前提下，项目施工不会对</w:t>
      </w:r>
      <w:r>
        <w:rPr>
          <w:rFonts w:hint="eastAsia" w:ascii="Arial" w:hAnsi="Arial" w:eastAsia="宋体" w:cs="Arial"/>
          <w:b w:val="0"/>
          <w:color w:val="auto"/>
          <w:kern w:val="2"/>
          <w:sz w:val="26"/>
          <w:szCs w:val="26"/>
          <w:lang w:val="en-US" w:eastAsia="zh-CN" w:bidi="ar-SA"/>
        </w:rPr>
        <w:t>隆肛蛙、棘腹蛙、黑眉锦蛇、乌梢蛇和王锦蛇</w:t>
      </w:r>
      <w:r>
        <w:rPr>
          <w:rFonts w:hint="eastAsia" w:ascii="Arial" w:hAnsi="Arial" w:cs="Arial"/>
          <w:kern w:val="0"/>
          <w:sz w:val="26"/>
          <w:szCs w:val="26"/>
          <w:lang w:val="en-US" w:eastAsia="zh-CN"/>
        </w:rPr>
        <w:t>的种群数量造成大的影响。</w:t>
      </w:r>
    </w:p>
    <w:p w14:paraId="190D1E79">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cs="Arial"/>
          <w:b/>
          <w:bCs w:val="0"/>
          <w:kern w:val="0"/>
          <w:sz w:val="26"/>
          <w:szCs w:val="26"/>
          <w:lang w:val="en-US" w:eastAsia="zh-CN" w:bidi="ar-SA"/>
        </w:rPr>
      </w:pPr>
      <w:r>
        <w:rPr>
          <w:rFonts w:hint="eastAsia" w:ascii="Arial" w:hAnsi="宋体" w:cs="Arial"/>
          <w:b/>
          <w:sz w:val="26"/>
          <w:szCs w:val="26"/>
          <w:lang w:val="en-US" w:eastAsia="zh-CN"/>
        </w:rPr>
        <w:t>5.5.5</w:t>
      </w:r>
      <w:r>
        <w:rPr>
          <w:rFonts w:hint="eastAsia" w:ascii="Arial" w:hAnsi="Arial" w:cs="Arial"/>
          <w:b/>
          <w:bCs w:val="0"/>
          <w:kern w:val="0"/>
          <w:sz w:val="26"/>
          <w:szCs w:val="26"/>
          <w:lang w:val="en-US" w:eastAsia="zh-CN" w:bidi="ar-SA"/>
        </w:rPr>
        <w:t>对生态系统的影响分析</w:t>
      </w:r>
    </w:p>
    <w:p w14:paraId="535E8EC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kern w:val="0"/>
          <w:sz w:val="26"/>
          <w:szCs w:val="26"/>
          <w:lang w:val="en-US" w:eastAsia="zh-CN"/>
        </w:rPr>
      </w:pPr>
      <w:r>
        <w:rPr>
          <w:rFonts w:hint="eastAsia" w:ascii="Arial" w:hAnsi="Arial" w:cs="Arial"/>
          <w:kern w:val="0"/>
          <w:sz w:val="26"/>
          <w:szCs w:val="26"/>
          <w:lang w:val="en-US" w:eastAsia="zh-CN"/>
        </w:rPr>
        <w:t>根据现场调查，本项目评价范围内分布有森林生态系统、灌丛生态系统、草地生态系统、水域生态系统、农业生态系统、聚落生态系统等，景观长时间的演变、进化，各生态之间相互联系，已形成一个完整的、稳定的生态系统，本项目施工建设带来的生态破坏影响势必会打破现有的生态破坏，改变生态系统的完整性和稳定性。</w:t>
      </w:r>
    </w:p>
    <w:p w14:paraId="70FF0F4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为解决区域供水问题，海螺沟水库的建设不得不占用森林生态系统、灌丛生态系统、草地生态系统、水域生态系统、农业生态系统等，虽然将在局部地区造成物种的减少或增加、生态系统的结构发生一定程度的改变，尤其是库区淹没区，但基本不会造成区域内生物多样性的锐减，优势物种及种群也不会有较明显的改变，生态系统结构和功能基本能够维持，完整性基本不会被破坏；且施工结束后将选用当地常见植被进行覆土绿化，生态系统将重新进行自我的调控、演变，进而达到新的平衡。</w:t>
      </w:r>
    </w:p>
    <w:p w14:paraId="69822C7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由此可见，项目建设对区域生态系统类型影响小。</w:t>
      </w:r>
    </w:p>
    <w:p w14:paraId="15CB2835">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cs="Arial"/>
          <w:b/>
          <w:bCs w:val="0"/>
          <w:kern w:val="0"/>
          <w:sz w:val="26"/>
          <w:szCs w:val="26"/>
          <w:lang w:val="en-US" w:eastAsia="zh-CN" w:bidi="ar-SA"/>
        </w:rPr>
      </w:pPr>
      <w:r>
        <w:rPr>
          <w:rFonts w:hint="eastAsia" w:ascii="Arial" w:hAnsi="Arial" w:cs="Arial"/>
          <w:b/>
          <w:bCs w:val="0"/>
          <w:kern w:val="0"/>
          <w:sz w:val="26"/>
          <w:szCs w:val="26"/>
          <w:lang w:val="en-US" w:eastAsia="zh-CN" w:bidi="ar-SA"/>
        </w:rPr>
        <w:t>5.5.6对农业的影响分析</w:t>
      </w:r>
    </w:p>
    <w:p w14:paraId="634873D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本项目选址位于农村地区，项目建设将不可避免占用耕地，永久、临时占用面积分别为83.84亩、90.76亩，现状主要种植水稻、玉米、红薯及季节性蔬菜等。工程投入运营后，这部分土地的生产功能将受到彻底的破坏，耕地丧失其耕作能力，生产能力退化，从而减少工程所在地区农作物的产量，造成土地资源一定程度的紧张。根据项目周边区域粮食产量数据及耕地分布情况，按照旱地每亩产量约800斤，水田亩产约1000斤进行估算，本项目建设占地压占农田造成的农作物的损失量约为115.824</w:t>
      </w:r>
      <w:r>
        <w:rPr>
          <w:rFonts w:hint="eastAsia" w:ascii="Arial" w:hAnsi="Arial" w:cs="Arial"/>
          <w:kern w:val="0"/>
          <w:sz w:val="26"/>
          <w:szCs w:val="26"/>
          <w:highlight w:val="none"/>
          <w:lang w:val="en-US" w:eastAsia="zh-CN"/>
        </w:rPr>
        <w:t>t/a。</w:t>
      </w:r>
      <w:r>
        <w:rPr>
          <w:rFonts w:hint="eastAsia" w:ascii="Arial" w:hAnsi="Arial" w:cs="Arial"/>
          <w:kern w:val="0"/>
          <w:sz w:val="26"/>
          <w:szCs w:val="26"/>
          <w:lang w:val="en-US" w:eastAsia="zh-CN"/>
        </w:rPr>
        <w:t xml:space="preserve">此外，项目施工尘土附着在农作物叶片表面，影响植物光合作用，尤其是会对作物幼苗生理特性产生影响；施工人员和施工机械设备的践踏、碾压也会对周边农作物产生不利影响。 </w:t>
      </w:r>
    </w:p>
    <w:p w14:paraId="17DDA15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 xml:space="preserve">对于占用耕地造成了当地农民的经济损失，建设单位应严格按照国家和地方相关赔偿政策对受影响的农户进行赔偿。工程施工期间施工单位应加快施工进度，严格控制施工作业范围，禁止随意扩大施工范围并随意损坏农作物。且本项目建成后，将为2000亩耕地供给灌溉用水，有利于灌区农业生产。由此可见，工程施工对农业环境的影响可接受。 </w:t>
      </w:r>
    </w:p>
    <w:p w14:paraId="778C0A45">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cs="Arial"/>
          <w:b/>
          <w:bCs w:val="0"/>
          <w:kern w:val="0"/>
          <w:sz w:val="26"/>
          <w:szCs w:val="26"/>
          <w:lang w:val="en-US" w:eastAsia="zh-CN" w:bidi="ar-SA"/>
        </w:rPr>
      </w:pPr>
      <w:r>
        <w:rPr>
          <w:rFonts w:hint="eastAsia" w:ascii="Arial" w:hAnsi="Arial" w:cs="Arial"/>
          <w:b/>
          <w:bCs w:val="0"/>
          <w:kern w:val="0"/>
          <w:sz w:val="26"/>
          <w:szCs w:val="26"/>
          <w:lang w:val="en-US" w:eastAsia="zh-CN" w:bidi="ar-SA"/>
        </w:rPr>
        <w:t>5.5.7对水生生物的影响分析</w:t>
      </w:r>
    </w:p>
    <w:p w14:paraId="79DE9A4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本项目所在流域水资源量相对较小，河道底质主要为基岩、砾石，且两岸分布有散居居民，受人为活动影响较大，河道内无国家重点保护鱼类和重庆市市级保护鱼类分布，也无鱼类“三场”、鱼泉等分布。</w:t>
      </w:r>
      <w:r>
        <w:rPr>
          <w:rFonts w:hint="eastAsia" w:ascii="Arial" w:cs="Arial"/>
          <w:color w:val="auto"/>
          <w:sz w:val="26"/>
          <w:szCs w:val="26"/>
        </w:rPr>
        <w:t>工程建设对水生生物的影响主要来自于枢纽工程拦河、局部输水管道跨河施工，导致河流水质、水量变化，以及建设期的占地和人为活动也会对水生生物造成影响。</w:t>
      </w:r>
    </w:p>
    <w:p w14:paraId="7C3CB79D">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（1）对浮游生物的影响</w:t>
      </w:r>
    </w:p>
    <w:p w14:paraId="289E9E4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auto"/>
          <w:sz w:val="26"/>
          <w:szCs w:val="26"/>
        </w:rPr>
      </w:pPr>
      <w:r>
        <w:rPr>
          <w:rFonts w:hint="eastAsia" w:ascii="Arial" w:hAnsi="Arial" w:eastAsia="宋体" w:cs="Arial"/>
          <w:color w:val="auto"/>
          <w:sz w:val="26"/>
          <w:szCs w:val="26"/>
        </w:rPr>
        <w:t>工程施工期间，枢纽工程（主要是导流、截流等）等涉水施工，可能会造成施工河段水体悬浮物增加，水体透明度降低，浑浊度增加，导致浮游植物光合作用效率降低，不利于浮游植物生长、繁殖，将对群落结构产生影响。根据现场调查的结果，浮游植物种类均为常见种类，组成简单，施工可能造成部分河段的种类减少。</w:t>
      </w:r>
    </w:p>
    <w:p w14:paraId="4CE6301D">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auto"/>
          <w:sz w:val="26"/>
          <w:szCs w:val="26"/>
        </w:rPr>
      </w:pPr>
      <w:r>
        <w:rPr>
          <w:rFonts w:hint="eastAsia" w:ascii="Arial" w:hAnsi="Arial" w:eastAsia="宋体" w:cs="Arial"/>
          <w:color w:val="auto"/>
          <w:sz w:val="26"/>
          <w:szCs w:val="26"/>
        </w:rPr>
        <w:t>工程施工期间，由于在坝址河段挖土填石，大量使用水泥、砂浆、混凝土等建筑材料，造成水土流失、水体浑浊、溶解氧下降、pH值及其他理化因子发生改变</w:t>
      </w:r>
      <w:r>
        <w:rPr>
          <w:rFonts w:hint="eastAsia" w:ascii="Arial" w:hAnsi="Arial" w:eastAsia="宋体" w:cs="Arial"/>
          <w:color w:val="auto"/>
          <w:sz w:val="26"/>
          <w:szCs w:val="26"/>
          <w:lang w:eastAsia="zh-CN"/>
        </w:rPr>
        <w:t>，影响水体水质</w:t>
      </w:r>
      <w:r>
        <w:rPr>
          <w:rFonts w:hint="eastAsia" w:ascii="Arial" w:hAnsi="Arial" w:eastAsia="宋体" w:cs="Arial"/>
          <w:color w:val="auto"/>
          <w:sz w:val="26"/>
          <w:szCs w:val="26"/>
        </w:rPr>
        <w:t>。受此影响，施工期间水体内多数</w:t>
      </w:r>
      <w:r>
        <w:rPr>
          <w:rFonts w:hint="eastAsia" w:ascii="Arial" w:hAnsi="Arial" w:eastAsia="宋体" w:cs="Arial"/>
          <w:color w:val="auto"/>
          <w:sz w:val="26"/>
          <w:szCs w:val="26"/>
          <w:lang w:eastAsia="zh-CN"/>
        </w:rPr>
        <w:t>浮游动物</w:t>
      </w:r>
      <w:r>
        <w:rPr>
          <w:rFonts w:hint="eastAsia" w:ascii="Arial" w:hAnsi="Arial" w:eastAsia="宋体" w:cs="Arial"/>
          <w:color w:val="auto"/>
          <w:sz w:val="26"/>
          <w:szCs w:val="26"/>
        </w:rPr>
        <w:t>种类因不能适应环境的剧烈变化或死亡，或主动迁往上游、下游适合的地方。因此，施工期间工程河段内</w:t>
      </w:r>
      <w:r>
        <w:rPr>
          <w:rFonts w:hint="eastAsia" w:ascii="Arial" w:hAnsi="Arial" w:eastAsia="宋体" w:cs="Arial"/>
          <w:color w:val="auto"/>
          <w:sz w:val="26"/>
          <w:szCs w:val="26"/>
          <w:lang w:eastAsia="zh-CN"/>
        </w:rPr>
        <w:t>浮游动物</w:t>
      </w:r>
      <w:r>
        <w:rPr>
          <w:rFonts w:hint="eastAsia" w:ascii="Arial" w:hAnsi="Arial" w:eastAsia="宋体" w:cs="Arial"/>
          <w:color w:val="auto"/>
          <w:sz w:val="26"/>
          <w:szCs w:val="26"/>
        </w:rPr>
        <w:t>在种类和数量会有</w:t>
      </w:r>
      <w:r>
        <w:rPr>
          <w:rFonts w:hint="eastAsia" w:ascii="Arial" w:hAnsi="Arial" w:eastAsia="宋体" w:cs="Arial"/>
          <w:color w:val="auto"/>
          <w:sz w:val="26"/>
          <w:szCs w:val="26"/>
          <w:lang w:eastAsia="zh-CN"/>
        </w:rPr>
        <w:t>一定</w:t>
      </w:r>
      <w:r>
        <w:rPr>
          <w:rFonts w:hint="eastAsia" w:ascii="Arial" w:hAnsi="Arial" w:eastAsia="宋体" w:cs="Arial"/>
          <w:color w:val="auto"/>
          <w:sz w:val="26"/>
          <w:szCs w:val="26"/>
        </w:rPr>
        <w:t>幅度的下降。</w:t>
      </w:r>
    </w:p>
    <w:p w14:paraId="75BDCDE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color w:val="auto"/>
          <w:sz w:val="26"/>
          <w:szCs w:val="26"/>
          <w:lang w:eastAsia="zh-CN"/>
        </w:rPr>
      </w:pPr>
      <w:r>
        <w:rPr>
          <w:rFonts w:hint="eastAsia" w:ascii="Arial" w:hAnsi="Arial" w:cs="Arial"/>
          <w:color w:val="auto"/>
          <w:sz w:val="26"/>
          <w:szCs w:val="26"/>
          <w:lang w:eastAsia="zh-CN"/>
        </w:rPr>
        <w:t>本项目施工期各类污废水经收集处理后，均可实现零排放，对海螺沟水质影响较小。且浮游生物具有普生性及种类的相似性，繁衍速度较快，总体受本项目施工影响较小。</w:t>
      </w:r>
    </w:p>
    <w:p w14:paraId="7BE93B31">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（2）对底栖动物的影响</w:t>
      </w:r>
    </w:p>
    <w:p w14:paraId="1A1AB414">
      <w:pPr>
        <w:pStyle w:val="2113"/>
        <w:spacing w:line="460" w:lineRule="exact"/>
        <w:ind w:firstLine="520"/>
        <w:rPr>
          <w:rFonts w:hint="eastAsia" w:ascii="Arial" w:hAnsi="Arial" w:cs="Arial"/>
          <w:color w:val="auto"/>
          <w:sz w:val="26"/>
          <w:szCs w:val="26"/>
        </w:rPr>
      </w:pPr>
      <w:r>
        <w:rPr>
          <w:rFonts w:hint="eastAsia" w:ascii="Arial" w:hAnsi="Arial" w:cs="Arial"/>
          <w:color w:val="auto"/>
          <w:sz w:val="26"/>
          <w:szCs w:val="26"/>
          <w:lang w:eastAsia="zh-CN"/>
        </w:rPr>
        <w:t>施工期间，由于施工开挖、导流等作用，将扰动河岸植被、水质、河床底质等，对底栖动物生存环境造成破坏，导致底栖动物种类数、平均密度和生物量都减少。</w:t>
      </w:r>
      <w:r>
        <w:rPr>
          <w:rFonts w:hint="eastAsia" w:ascii="Arial" w:hAnsi="Arial" w:cs="Arial"/>
          <w:color w:val="auto"/>
          <w:sz w:val="26"/>
          <w:szCs w:val="26"/>
        </w:rPr>
        <w:t>施工期</w:t>
      </w:r>
      <w:r>
        <w:rPr>
          <w:rFonts w:hint="eastAsia" w:ascii="Arial" w:hAnsi="Arial" w:cs="Arial"/>
          <w:color w:val="auto"/>
          <w:sz w:val="26"/>
          <w:szCs w:val="26"/>
          <w:lang w:eastAsia="zh-CN"/>
        </w:rPr>
        <w:t>坝枢</w:t>
      </w:r>
      <w:r>
        <w:rPr>
          <w:rFonts w:hint="eastAsia" w:ascii="Arial" w:hAnsi="Arial" w:cs="Arial"/>
          <w:color w:val="auto"/>
          <w:sz w:val="26"/>
          <w:szCs w:val="26"/>
        </w:rPr>
        <w:t>及输水管线施工产生的生产、生活污水，及工程建设过程引起的水土流失量增大，可能导致评价区域局部河段水质降低，部分近岸缓流坑凼可能呈现富营养化，一些缓流水滩也将被灰色污泥覆盖，影响水生底栖无脊椎动物的生存和繁衍。</w:t>
      </w:r>
    </w:p>
    <w:p w14:paraId="1904A6FE">
      <w:pPr>
        <w:pStyle w:val="2113"/>
        <w:spacing w:line="460" w:lineRule="exact"/>
        <w:ind w:firstLine="520"/>
        <w:rPr>
          <w:rFonts w:ascii="Arial" w:hAnsi="Arial" w:cs="Arial"/>
          <w:color w:val="auto"/>
          <w:sz w:val="26"/>
          <w:szCs w:val="26"/>
        </w:rPr>
      </w:pPr>
      <w:r>
        <w:rPr>
          <w:rFonts w:hint="eastAsia" w:ascii="Arial" w:hAnsi="Arial" w:cs="Arial"/>
          <w:color w:val="auto"/>
          <w:sz w:val="26"/>
          <w:szCs w:val="26"/>
        </w:rPr>
        <w:t>对比已建水坝的调查并结合相关文献表明，水坝建设会破坏底栖动物栖息生境，物种组成和生物量均会发生变化，水坝建设的时间越长，对底栖动物的影响越大。水库的形成导致库区底栖动物群落结构简单，库区静水区的形成，更有利于需氧量较低的底栖动物栖息；在水坝下游减水河段，由于河道水量减小，导致其适宜生境面积减少，底栖动物群落结构会大大降低。</w:t>
      </w:r>
    </w:p>
    <w:p w14:paraId="109F4627">
      <w:pPr>
        <w:pStyle w:val="100"/>
        <w:keepNext w:val="0"/>
        <w:keepLines w:val="0"/>
        <w:pageBreakBefore w:val="0"/>
        <w:widowControl w:val="0"/>
        <w:numPr>
          <w:ilvl w:val="0"/>
          <w:numId w:val="5"/>
        </w:numPr>
        <w:kinsoku/>
        <w:wordWrap/>
        <w:overflowPunct/>
        <w:topLinePunct w:val="0"/>
        <w:autoSpaceDE/>
        <w:autoSpaceDN/>
        <w:bidi w:val="0"/>
        <w:adjustRightInd/>
        <w:snapToGrid/>
        <w:spacing w:line="460" w:lineRule="exact"/>
        <w:ind w:firstLine="392" w:firstLineChars="150"/>
        <w:jc w:val="both"/>
        <w:textAlignment w:val="auto"/>
        <w:rPr>
          <w:rFonts w:hint="eastAsia" w:ascii="Arial" w:hAnsi="宋体" w:cs="Arial"/>
          <w:b/>
          <w:sz w:val="26"/>
          <w:szCs w:val="26"/>
          <w:lang w:val="en-US" w:eastAsia="zh-CN"/>
        </w:rPr>
      </w:pPr>
      <w:r>
        <w:rPr>
          <w:rFonts w:hint="eastAsia" w:ascii="Arial" w:hAnsi="宋体" w:cs="Arial"/>
          <w:b/>
          <w:sz w:val="26"/>
          <w:szCs w:val="26"/>
          <w:lang w:val="en-US" w:eastAsia="zh-CN"/>
        </w:rPr>
        <w:t>对水生维管束植物的影响</w:t>
      </w:r>
    </w:p>
    <w:p w14:paraId="3CEDABA8">
      <w:pPr>
        <w:autoSpaceDE w:val="0"/>
        <w:autoSpaceDN w:val="0"/>
        <w:adjustRightInd w:val="0"/>
        <w:spacing w:line="500" w:lineRule="exact"/>
        <w:ind w:firstLine="480" w:firstLineChars="200"/>
        <w:rPr>
          <w:bCs/>
          <w:kern w:val="0"/>
          <w:sz w:val="24"/>
        </w:rPr>
      </w:pPr>
      <w:r>
        <w:rPr>
          <w:rFonts w:hint="eastAsia"/>
          <w:bCs/>
          <w:kern w:val="0"/>
          <w:sz w:val="24"/>
          <w:lang w:eastAsia="zh-CN"/>
        </w:rPr>
        <w:t>海螺</w:t>
      </w:r>
      <w:r>
        <w:rPr>
          <w:rFonts w:hint="eastAsia"/>
          <w:bCs/>
          <w:kern w:val="0"/>
          <w:sz w:val="24"/>
        </w:rPr>
        <w:t>沟属于典型的山地河流，可供水生维管束植物固着生存的基质少，因此水生维管束植物种类很少，主要有浮萍、</w:t>
      </w:r>
      <w:r>
        <w:rPr>
          <w:bCs/>
          <w:sz w:val="24"/>
        </w:rPr>
        <w:t>石龙芮</w:t>
      </w:r>
      <w:r>
        <w:rPr>
          <w:rFonts w:hint="eastAsia"/>
          <w:bCs/>
          <w:kern w:val="0"/>
          <w:sz w:val="24"/>
        </w:rPr>
        <w:t>等植物。施工期间会造成数量的减少，但均是常见物种，施工结束后采取恢复措施，对水生维管束植物影响较小。</w:t>
      </w:r>
    </w:p>
    <w:p w14:paraId="6A5B801B">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（4）对鱼类资源的影响</w:t>
      </w:r>
    </w:p>
    <w:p w14:paraId="2251ED46">
      <w:pPr>
        <w:pStyle w:val="2113"/>
        <w:spacing w:line="460" w:lineRule="exact"/>
        <w:ind w:firstLine="520"/>
        <w:rPr>
          <w:rFonts w:hint="eastAsia" w:ascii="Arial" w:hAnsi="Arial" w:cs="Arial"/>
          <w:color w:val="auto"/>
          <w:sz w:val="26"/>
          <w:szCs w:val="26"/>
        </w:rPr>
      </w:pPr>
      <w:r>
        <w:rPr>
          <w:rFonts w:hint="eastAsia" w:ascii="Arial" w:hAnsi="Arial" w:cs="Arial"/>
          <w:color w:val="auto"/>
          <w:sz w:val="26"/>
          <w:szCs w:val="26"/>
        </w:rPr>
        <w:t>施工期修建水坝、拦河堰、导流及围堰工程，土石方开挖会使河流水体变得混浊，会对鱼类的生存环境产生一定影响。</w:t>
      </w:r>
      <w:r>
        <w:rPr>
          <w:rFonts w:hint="eastAsia" w:ascii="Arial" w:hAnsi="Arial" w:cs="Arial"/>
          <w:color w:val="auto"/>
          <w:sz w:val="26"/>
          <w:szCs w:val="26"/>
          <w:lang w:eastAsia="zh-CN"/>
        </w:rPr>
        <w:t>施工期导流设施选择在</w:t>
      </w:r>
      <w:r>
        <w:rPr>
          <w:rFonts w:hint="eastAsia" w:ascii="Arial" w:hAnsi="Arial" w:cs="Arial"/>
          <w:color w:val="auto"/>
          <w:sz w:val="26"/>
          <w:szCs w:val="26"/>
        </w:rPr>
        <w:t>枯水期作业，</w:t>
      </w:r>
      <w:r>
        <w:rPr>
          <w:rFonts w:hint="eastAsia" w:ascii="Arial" w:hAnsi="Arial" w:cs="Arial"/>
          <w:color w:val="auto"/>
          <w:sz w:val="26"/>
          <w:szCs w:val="26"/>
          <w:lang w:eastAsia="zh-CN"/>
        </w:rPr>
        <w:t>输水管线跨越河段优先选用顶管、定向钻等不涉水施工工艺</w:t>
      </w:r>
      <w:r>
        <w:rPr>
          <w:rFonts w:hint="eastAsia" w:ascii="Arial" w:hAnsi="Arial" w:cs="Arial"/>
          <w:color w:val="auto"/>
          <w:sz w:val="26"/>
          <w:szCs w:val="26"/>
        </w:rPr>
        <w:t>，同时做好各类污废水的收集处理工作。由于工程施工仅局限在极短的河段，影响范围有限，只要加强施工管理，严禁施工人员随意捕捞鱼类，避开鱼类的繁殖时期施工，严禁向河道倾倒渣土，且根据调查，</w:t>
      </w:r>
      <w:r>
        <w:rPr>
          <w:rFonts w:hint="eastAsia" w:ascii="Arial" w:hAnsi="Arial" w:cs="Arial"/>
          <w:color w:val="auto"/>
          <w:sz w:val="26"/>
          <w:szCs w:val="26"/>
          <w:lang w:eastAsia="zh-CN"/>
        </w:rPr>
        <w:t>海螺沟流域</w:t>
      </w:r>
      <w:r>
        <w:rPr>
          <w:rFonts w:hint="eastAsia" w:ascii="Arial" w:hAnsi="Arial" w:cs="Arial"/>
          <w:color w:val="auto"/>
          <w:sz w:val="26"/>
          <w:szCs w:val="26"/>
        </w:rPr>
        <w:t>内鱼类资源</w:t>
      </w:r>
      <w:r>
        <w:rPr>
          <w:rFonts w:hint="eastAsia" w:ascii="Arial" w:hAnsi="Arial" w:cs="Arial"/>
          <w:color w:val="auto"/>
          <w:sz w:val="26"/>
          <w:szCs w:val="26"/>
          <w:lang w:eastAsia="zh-CN"/>
        </w:rPr>
        <w:t>较少，</w:t>
      </w:r>
      <w:r>
        <w:rPr>
          <w:rFonts w:hint="eastAsia" w:ascii="Arial" w:hAnsi="Arial" w:cs="Arial"/>
          <w:color w:val="auto"/>
          <w:sz w:val="26"/>
          <w:szCs w:val="26"/>
        </w:rPr>
        <w:t>以鲤型目为主，</w:t>
      </w:r>
      <w:r>
        <w:rPr>
          <w:rFonts w:ascii="Arial" w:cs="Arial"/>
          <w:bCs/>
          <w:color w:val="auto"/>
          <w:sz w:val="26"/>
        </w:rPr>
        <w:t>无珍稀鱼类</w:t>
      </w:r>
      <w:r>
        <w:rPr>
          <w:rFonts w:hint="eastAsia" w:ascii="Arial" w:cs="Arial"/>
          <w:bCs/>
          <w:color w:val="auto"/>
          <w:sz w:val="26"/>
        </w:rPr>
        <w:t>、鱼类“三场”</w:t>
      </w:r>
      <w:r>
        <w:rPr>
          <w:rFonts w:ascii="Arial" w:cs="Arial"/>
          <w:bCs/>
          <w:color w:val="auto"/>
          <w:sz w:val="26"/>
        </w:rPr>
        <w:t>分布，</w:t>
      </w:r>
      <w:r>
        <w:rPr>
          <w:rFonts w:hint="eastAsia" w:ascii="Arial" w:cs="Arial"/>
          <w:bCs/>
          <w:color w:val="auto"/>
          <w:sz w:val="26"/>
        </w:rPr>
        <w:t>对环境适应能力强，</w:t>
      </w:r>
      <w:r>
        <w:rPr>
          <w:rFonts w:hint="eastAsia" w:ascii="Arial" w:hAnsi="Arial" w:cs="Arial"/>
          <w:color w:val="auto"/>
          <w:sz w:val="26"/>
          <w:szCs w:val="26"/>
        </w:rPr>
        <w:t>施工对鱼类的影响可减至最低。</w:t>
      </w:r>
    </w:p>
    <w:p w14:paraId="144AF184">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lang w:val="en-US" w:eastAsia="zh-CN"/>
        </w:rPr>
      </w:pPr>
      <w:r>
        <w:rPr>
          <w:rFonts w:hint="eastAsia" w:ascii="Arial" w:hAnsi="Arial" w:eastAsia="宋体" w:cs="Arial"/>
          <w:sz w:val="26"/>
          <w:szCs w:val="26"/>
          <w:lang w:val="en-US" w:eastAsia="zh-CN"/>
        </w:rPr>
        <w:t>5.6环境风险影响评价</w:t>
      </w:r>
    </w:p>
    <w:p w14:paraId="3A1DA65D">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cs="Arial"/>
          <w:b/>
          <w:bCs/>
          <w:kern w:val="0"/>
          <w:sz w:val="26"/>
          <w:szCs w:val="26"/>
          <w:lang w:val="en-US" w:eastAsia="zh-CN"/>
        </w:rPr>
      </w:pPr>
      <w:r>
        <w:rPr>
          <w:rFonts w:hint="eastAsia" w:ascii="Arial" w:hAnsi="Arial" w:cs="Arial"/>
          <w:b/>
          <w:bCs/>
          <w:kern w:val="0"/>
          <w:sz w:val="26"/>
          <w:szCs w:val="26"/>
          <w:lang w:val="en-US" w:eastAsia="zh-CN"/>
        </w:rPr>
        <w:t>5.6.1风险物质识别</w:t>
      </w:r>
    </w:p>
    <w:p w14:paraId="6C0283E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根据本项目施工期所消耗的各类物质情况，对照《建设项目环境风险评价技术导则》（H169-2018）附录B临界量所涉及风险物质以及《危险化学品目录》（2015年版）和《危险化学品重大危险源辨识录》（GB18218-2018）文件，本项目施工期环境风险物质主要考虑柴油、汽油。</w:t>
      </w:r>
    </w:p>
    <w:p w14:paraId="2B9FA48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本项目枢纽工程施工场地内设置有1处油罐区，用于暂存施工燃油机械所需柴油、汽油，容积均为200L/桶，最大储量分别约1.68t、1.44t。</w:t>
      </w:r>
    </w:p>
    <w:p w14:paraId="71489C4E">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cs="Arial"/>
          <w:b/>
          <w:bCs/>
          <w:kern w:val="0"/>
          <w:sz w:val="26"/>
          <w:szCs w:val="26"/>
          <w:lang w:val="en-US" w:eastAsia="zh-CN"/>
        </w:rPr>
      </w:pPr>
      <w:r>
        <w:rPr>
          <w:rFonts w:hint="eastAsia" w:ascii="Arial" w:hAnsi="Arial" w:cs="Arial"/>
          <w:b/>
          <w:bCs/>
          <w:kern w:val="0"/>
          <w:sz w:val="26"/>
          <w:szCs w:val="26"/>
          <w:lang w:val="en-US" w:eastAsia="zh-CN"/>
        </w:rPr>
        <w:t>5.6.2环境风险潜势初判</w:t>
      </w:r>
    </w:p>
    <w:p w14:paraId="0D4C9FD1">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520" w:firstLineChars="200"/>
        <w:textAlignment w:val="auto"/>
        <w:rPr>
          <w:rFonts w:hint="default" w:ascii="Arial" w:hAnsi="Arial" w:eastAsia="宋体" w:cs="Arial"/>
          <w:color w:val="auto"/>
          <w:sz w:val="26"/>
          <w:szCs w:val="26"/>
          <w:highlight w:val="none"/>
          <w:lang w:val="en-US" w:eastAsia="zh-CN"/>
        </w:rPr>
      </w:pPr>
      <w:r>
        <w:rPr>
          <w:rFonts w:hint="default" w:ascii="Arial" w:hAnsi="Arial" w:eastAsia="宋体" w:cs="Arial"/>
          <w:color w:val="auto"/>
          <w:sz w:val="26"/>
          <w:szCs w:val="26"/>
          <w:highlight w:val="none"/>
          <w:lang w:val="en-US" w:eastAsia="zh-CN"/>
        </w:rPr>
        <w:t>根据《建设项目环境风险评价技术导则》（HJ169-2018），当只涉及一种危险物质时，计算该物质的总量与其临界量比值，即为Q；当存在多种危险物质时，则按下式计算物质总量与其临界量比值（Q）：</w:t>
      </w:r>
    </w:p>
    <w:p w14:paraId="0D91A0FB">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480" w:firstLineChars="200"/>
        <w:jc w:val="center"/>
        <w:textAlignment w:val="auto"/>
        <w:rPr>
          <w:rFonts w:hint="default" w:ascii="Arial" w:hAnsi="Arial" w:cs="Arial"/>
          <w:bCs/>
          <w:color w:val="auto"/>
          <w:spacing w:val="-10"/>
          <w:sz w:val="26"/>
          <w:szCs w:val="26"/>
          <w:highlight w:val="none"/>
        </w:rPr>
      </w:pPr>
      <w:r>
        <w:rPr>
          <w:rFonts w:hint="default" w:ascii="Arial" w:hAnsi="Arial" w:cs="Arial"/>
          <w:bCs/>
          <w:color w:val="auto"/>
          <w:spacing w:val="-10"/>
          <w:sz w:val="26"/>
          <w:szCs w:val="26"/>
          <w:highlight w:val="none"/>
        </w:rPr>
        <w:t>Q=q</w:t>
      </w:r>
      <w:r>
        <w:rPr>
          <w:rFonts w:hint="default" w:ascii="Arial" w:hAnsi="Arial" w:cs="Arial"/>
          <w:bCs/>
          <w:color w:val="auto"/>
          <w:spacing w:val="-10"/>
          <w:sz w:val="26"/>
          <w:szCs w:val="26"/>
          <w:highlight w:val="none"/>
          <w:vertAlign w:val="subscript"/>
        </w:rPr>
        <w:t>1</w:t>
      </w:r>
      <w:r>
        <w:rPr>
          <w:rFonts w:hint="default" w:ascii="Arial" w:hAnsi="Arial" w:cs="Arial"/>
          <w:bCs/>
          <w:color w:val="auto"/>
          <w:spacing w:val="-10"/>
          <w:sz w:val="26"/>
          <w:szCs w:val="26"/>
          <w:highlight w:val="none"/>
        </w:rPr>
        <w:t>/Q</w:t>
      </w:r>
      <w:r>
        <w:rPr>
          <w:rFonts w:hint="default" w:ascii="Arial" w:hAnsi="Arial" w:cs="Arial"/>
          <w:bCs/>
          <w:color w:val="auto"/>
          <w:spacing w:val="-10"/>
          <w:sz w:val="26"/>
          <w:szCs w:val="26"/>
          <w:highlight w:val="none"/>
          <w:vertAlign w:val="subscript"/>
        </w:rPr>
        <w:t>1</w:t>
      </w:r>
      <w:r>
        <w:rPr>
          <w:rFonts w:hint="default" w:ascii="Arial" w:hAnsi="Arial" w:cs="Arial"/>
          <w:bCs/>
          <w:color w:val="auto"/>
          <w:spacing w:val="-10"/>
          <w:sz w:val="26"/>
          <w:szCs w:val="26"/>
          <w:highlight w:val="none"/>
        </w:rPr>
        <w:t>+ q</w:t>
      </w:r>
      <w:r>
        <w:rPr>
          <w:rFonts w:hint="default" w:ascii="Arial" w:hAnsi="Arial" w:cs="Arial"/>
          <w:bCs/>
          <w:color w:val="auto"/>
          <w:spacing w:val="-10"/>
          <w:sz w:val="26"/>
          <w:szCs w:val="26"/>
          <w:highlight w:val="none"/>
          <w:vertAlign w:val="subscript"/>
        </w:rPr>
        <w:t>2</w:t>
      </w:r>
      <w:r>
        <w:rPr>
          <w:rFonts w:hint="default" w:ascii="Arial" w:hAnsi="Arial" w:cs="Arial"/>
          <w:bCs/>
          <w:color w:val="auto"/>
          <w:spacing w:val="-10"/>
          <w:sz w:val="26"/>
          <w:szCs w:val="26"/>
          <w:highlight w:val="none"/>
        </w:rPr>
        <w:t>/Q</w:t>
      </w:r>
      <w:r>
        <w:rPr>
          <w:rFonts w:hint="default" w:ascii="Arial" w:hAnsi="Arial" w:cs="Arial"/>
          <w:bCs/>
          <w:color w:val="auto"/>
          <w:spacing w:val="-10"/>
          <w:sz w:val="26"/>
          <w:szCs w:val="26"/>
          <w:highlight w:val="none"/>
          <w:vertAlign w:val="subscript"/>
        </w:rPr>
        <w:t>2</w:t>
      </w:r>
      <w:r>
        <w:rPr>
          <w:rFonts w:hint="default" w:ascii="Arial" w:hAnsi="Arial" w:cs="Arial"/>
          <w:bCs/>
          <w:color w:val="auto"/>
          <w:spacing w:val="-10"/>
          <w:sz w:val="26"/>
          <w:szCs w:val="26"/>
          <w:highlight w:val="none"/>
        </w:rPr>
        <w:t>+……+ q</w:t>
      </w:r>
      <w:r>
        <w:rPr>
          <w:rFonts w:hint="default" w:ascii="Arial" w:hAnsi="Arial" w:cs="Arial"/>
          <w:bCs/>
          <w:color w:val="auto"/>
          <w:spacing w:val="-10"/>
          <w:sz w:val="26"/>
          <w:szCs w:val="26"/>
          <w:highlight w:val="none"/>
          <w:vertAlign w:val="subscript"/>
        </w:rPr>
        <w:t>n</w:t>
      </w:r>
      <w:r>
        <w:rPr>
          <w:rFonts w:hint="default" w:ascii="Arial" w:hAnsi="Arial" w:cs="Arial"/>
          <w:bCs/>
          <w:color w:val="auto"/>
          <w:spacing w:val="-10"/>
          <w:sz w:val="26"/>
          <w:szCs w:val="26"/>
          <w:highlight w:val="none"/>
        </w:rPr>
        <w:t>/Q</w:t>
      </w:r>
      <w:r>
        <w:rPr>
          <w:rFonts w:hint="default" w:ascii="Arial" w:hAnsi="Arial" w:cs="Arial"/>
          <w:bCs/>
          <w:color w:val="auto"/>
          <w:spacing w:val="-10"/>
          <w:sz w:val="26"/>
          <w:szCs w:val="26"/>
          <w:highlight w:val="none"/>
          <w:vertAlign w:val="subscript"/>
        </w:rPr>
        <w:t>n</w:t>
      </w:r>
    </w:p>
    <w:p w14:paraId="41752325">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520" w:firstLineChars="200"/>
        <w:textAlignment w:val="auto"/>
        <w:rPr>
          <w:rFonts w:hint="default" w:ascii="Arial" w:hAnsi="Arial" w:eastAsia="宋体" w:cs="Arial"/>
          <w:color w:val="auto"/>
          <w:sz w:val="26"/>
          <w:szCs w:val="26"/>
          <w:highlight w:val="none"/>
          <w:lang w:val="en-US" w:eastAsia="zh-CN"/>
        </w:rPr>
      </w:pPr>
      <w:r>
        <w:rPr>
          <w:rFonts w:hint="default" w:ascii="Arial" w:hAnsi="Arial" w:eastAsia="宋体" w:cs="Arial"/>
          <w:color w:val="auto"/>
          <w:sz w:val="26"/>
          <w:szCs w:val="26"/>
          <w:highlight w:val="none"/>
          <w:lang w:val="en-US" w:eastAsia="zh-CN"/>
        </w:rPr>
        <w:t>式中：q</w:t>
      </w:r>
      <w:r>
        <w:rPr>
          <w:rFonts w:hint="default" w:ascii="Arial" w:hAnsi="Arial" w:eastAsia="宋体" w:cs="Arial"/>
          <w:color w:val="auto"/>
          <w:sz w:val="26"/>
          <w:szCs w:val="26"/>
          <w:highlight w:val="none"/>
          <w:vertAlign w:val="subscript"/>
          <w:lang w:val="en-US" w:eastAsia="zh-CN"/>
        </w:rPr>
        <w:t>1</w:t>
      </w:r>
      <w:r>
        <w:rPr>
          <w:rFonts w:hint="default" w:ascii="Arial" w:hAnsi="Arial" w:eastAsia="宋体" w:cs="Arial"/>
          <w:color w:val="auto"/>
          <w:sz w:val="26"/>
          <w:szCs w:val="26"/>
          <w:highlight w:val="none"/>
          <w:lang w:val="en-US" w:eastAsia="zh-CN"/>
        </w:rPr>
        <w:t>，q</w:t>
      </w:r>
      <w:r>
        <w:rPr>
          <w:rFonts w:hint="default" w:ascii="Arial" w:hAnsi="Arial" w:eastAsia="宋体" w:cs="Arial"/>
          <w:color w:val="auto"/>
          <w:sz w:val="26"/>
          <w:szCs w:val="26"/>
          <w:highlight w:val="none"/>
          <w:vertAlign w:val="subscript"/>
          <w:lang w:val="en-US" w:eastAsia="zh-CN"/>
        </w:rPr>
        <w:t>2</w:t>
      </w:r>
      <w:r>
        <w:rPr>
          <w:rFonts w:hint="default" w:ascii="Arial" w:hAnsi="Arial" w:eastAsia="宋体" w:cs="Arial"/>
          <w:color w:val="auto"/>
          <w:sz w:val="26"/>
          <w:szCs w:val="26"/>
          <w:highlight w:val="none"/>
          <w:lang w:val="en-US" w:eastAsia="zh-CN"/>
        </w:rPr>
        <w:t>，…，q</w:t>
      </w:r>
      <w:r>
        <w:rPr>
          <w:rFonts w:hint="default" w:ascii="Arial" w:hAnsi="Arial" w:eastAsia="宋体" w:cs="Arial"/>
          <w:color w:val="auto"/>
          <w:sz w:val="26"/>
          <w:szCs w:val="26"/>
          <w:highlight w:val="none"/>
          <w:vertAlign w:val="subscript"/>
          <w:lang w:val="en-US" w:eastAsia="zh-CN"/>
        </w:rPr>
        <w:t>n</w:t>
      </w:r>
      <w:r>
        <w:rPr>
          <w:rFonts w:hint="default" w:ascii="Arial" w:hAnsi="Arial" w:eastAsia="宋体" w:cs="Arial"/>
          <w:color w:val="auto"/>
          <w:sz w:val="26"/>
          <w:szCs w:val="26"/>
          <w:highlight w:val="none"/>
          <w:lang w:val="en-US" w:eastAsia="zh-CN"/>
        </w:rPr>
        <w:t>——每种危险物质的最大存在总量，t；</w:t>
      </w:r>
    </w:p>
    <w:p w14:paraId="3A0C7AD2">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520" w:firstLineChars="200"/>
        <w:textAlignment w:val="auto"/>
        <w:rPr>
          <w:rFonts w:hint="default" w:ascii="Arial" w:hAnsi="Arial" w:eastAsia="宋体" w:cs="Arial"/>
          <w:color w:val="auto"/>
          <w:sz w:val="26"/>
          <w:szCs w:val="26"/>
          <w:highlight w:val="none"/>
          <w:lang w:val="en-US" w:eastAsia="zh-CN"/>
        </w:rPr>
      </w:pPr>
      <w:r>
        <w:rPr>
          <w:rFonts w:hint="default" w:ascii="Arial" w:hAnsi="Arial" w:eastAsia="宋体" w:cs="Arial"/>
          <w:color w:val="auto"/>
          <w:sz w:val="26"/>
          <w:szCs w:val="26"/>
          <w:highlight w:val="none"/>
          <w:lang w:val="en-US" w:eastAsia="zh-CN"/>
        </w:rPr>
        <w:t xml:space="preserve">      Q</w:t>
      </w:r>
      <w:r>
        <w:rPr>
          <w:rFonts w:hint="default" w:ascii="Arial" w:hAnsi="Arial" w:eastAsia="宋体" w:cs="Arial"/>
          <w:color w:val="auto"/>
          <w:sz w:val="26"/>
          <w:szCs w:val="26"/>
          <w:highlight w:val="none"/>
          <w:vertAlign w:val="subscript"/>
          <w:lang w:val="en-US" w:eastAsia="zh-CN"/>
        </w:rPr>
        <w:t>1</w:t>
      </w:r>
      <w:r>
        <w:rPr>
          <w:rFonts w:hint="default" w:ascii="Arial" w:hAnsi="Arial" w:eastAsia="宋体" w:cs="Arial"/>
          <w:color w:val="auto"/>
          <w:sz w:val="26"/>
          <w:szCs w:val="26"/>
          <w:highlight w:val="none"/>
          <w:lang w:val="en-US" w:eastAsia="zh-CN"/>
        </w:rPr>
        <w:t>，Q</w:t>
      </w:r>
      <w:r>
        <w:rPr>
          <w:rFonts w:hint="default" w:ascii="Arial" w:hAnsi="Arial" w:eastAsia="宋体" w:cs="Arial"/>
          <w:color w:val="auto"/>
          <w:sz w:val="26"/>
          <w:szCs w:val="26"/>
          <w:highlight w:val="none"/>
          <w:vertAlign w:val="subscript"/>
          <w:lang w:val="en-US" w:eastAsia="zh-CN"/>
        </w:rPr>
        <w:t>2</w:t>
      </w:r>
      <w:r>
        <w:rPr>
          <w:rFonts w:hint="default" w:ascii="Arial" w:hAnsi="Arial" w:eastAsia="宋体" w:cs="Arial"/>
          <w:color w:val="auto"/>
          <w:sz w:val="26"/>
          <w:szCs w:val="26"/>
          <w:highlight w:val="none"/>
          <w:lang w:val="en-US" w:eastAsia="zh-CN"/>
        </w:rPr>
        <w:t>，…，Q</w:t>
      </w:r>
      <w:r>
        <w:rPr>
          <w:rFonts w:hint="default" w:ascii="Arial" w:hAnsi="Arial" w:eastAsia="宋体" w:cs="Arial"/>
          <w:color w:val="auto"/>
          <w:sz w:val="26"/>
          <w:szCs w:val="26"/>
          <w:highlight w:val="none"/>
          <w:vertAlign w:val="subscript"/>
          <w:lang w:val="en-US" w:eastAsia="zh-CN"/>
        </w:rPr>
        <w:t>n</w:t>
      </w:r>
      <w:r>
        <w:rPr>
          <w:rFonts w:hint="default" w:ascii="Arial" w:hAnsi="Arial" w:eastAsia="宋体" w:cs="Arial"/>
          <w:color w:val="auto"/>
          <w:sz w:val="26"/>
          <w:szCs w:val="26"/>
          <w:highlight w:val="none"/>
          <w:lang w:val="en-US" w:eastAsia="zh-CN"/>
        </w:rPr>
        <w:t>——每种危险物质的临界量，t。</w:t>
      </w:r>
    </w:p>
    <w:p w14:paraId="238DFE40">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520" w:firstLineChars="200"/>
        <w:textAlignment w:val="auto"/>
        <w:rPr>
          <w:rFonts w:hint="default" w:ascii="Arial" w:hAnsi="Arial" w:eastAsia="宋体" w:cs="Arial"/>
          <w:color w:val="auto"/>
          <w:sz w:val="26"/>
          <w:szCs w:val="26"/>
          <w:highlight w:val="none"/>
          <w:lang w:val="en-US" w:eastAsia="zh-CN"/>
        </w:rPr>
      </w:pPr>
      <w:r>
        <w:rPr>
          <w:rFonts w:hint="default" w:ascii="Arial" w:hAnsi="Arial" w:eastAsia="宋体" w:cs="Arial"/>
          <w:color w:val="auto"/>
          <w:sz w:val="26"/>
          <w:szCs w:val="26"/>
          <w:highlight w:val="none"/>
          <w:lang w:val="en-US" w:eastAsia="zh-CN"/>
        </w:rPr>
        <w:t>当Q＜1时，该项目环境风险潜势为I；当Q</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1时，将Q值划分为①1</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Q＜10；②10</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Q＜100；③Q＞100。</w:t>
      </w:r>
    </w:p>
    <w:p w14:paraId="1F335902">
      <w:pPr>
        <w:keepNext w:val="0"/>
        <w:keepLines w:val="0"/>
        <w:pageBreakBefore w:val="0"/>
        <w:widowControl w:val="0"/>
        <w:kinsoku/>
        <w:wordWrap/>
        <w:overflowPunct/>
        <w:topLinePunct w:val="0"/>
        <w:autoSpaceDE/>
        <w:autoSpaceDN/>
        <w:bidi w:val="0"/>
        <w:adjustRightInd w:val="0"/>
        <w:snapToGrid w:val="0"/>
        <w:spacing w:line="460" w:lineRule="exact"/>
        <w:ind w:left="0" w:firstLine="520" w:firstLineChars="200"/>
        <w:textAlignment w:val="auto"/>
        <w:rPr>
          <w:rFonts w:hint="default" w:ascii="Arial" w:hAnsi="Arial" w:cs="Arial"/>
          <w:kern w:val="0"/>
          <w:sz w:val="26"/>
          <w:szCs w:val="26"/>
          <w:lang w:val="en-US" w:eastAsia="zh-CN"/>
        </w:rPr>
      </w:pPr>
      <w:r>
        <w:rPr>
          <w:rFonts w:hint="default" w:ascii="Arial" w:hAnsi="Arial" w:eastAsia="宋体" w:cs="Arial"/>
          <w:color w:val="auto"/>
          <w:sz w:val="26"/>
          <w:szCs w:val="26"/>
          <w:highlight w:val="none"/>
          <w:lang w:val="en-US" w:eastAsia="zh-CN"/>
        </w:rPr>
        <w:t>对照《建设项目环境风险评价技术导则》（H169-2018）附录B所涉及风险物质</w:t>
      </w:r>
      <w:r>
        <w:rPr>
          <w:rFonts w:hint="eastAsia" w:ascii="Arial" w:hAnsi="Arial" w:eastAsia="宋体" w:cs="Arial"/>
          <w:color w:val="auto"/>
          <w:sz w:val="26"/>
          <w:szCs w:val="26"/>
          <w:highlight w:val="none"/>
          <w:lang w:val="en-US" w:eastAsia="zh-CN"/>
        </w:rPr>
        <w:t>的</w:t>
      </w:r>
      <w:r>
        <w:rPr>
          <w:rFonts w:hint="default" w:ascii="Arial" w:hAnsi="Arial" w:eastAsia="宋体" w:cs="Arial"/>
          <w:color w:val="auto"/>
          <w:sz w:val="26"/>
          <w:szCs w:val="26"/>
          <w:highlight w:val="none"/>
          <w:lang w:val="en-US" w:eastAsia="zh-CN"/>
        </w:rPr>
        <w:t>临界量</w:t>
      </w:r>
      <w:r>
        <w:rPr>
          <w:rFonts w:hint="eastAsia" w:ascii="Arial" w:hAnsi="Arial" w:eastAsia="宋体" w:cs="Arial"/>
          <w:color w:val="auto"/>
          <w:sz w:val="26"/>
          <w:szCs w:val="26"/>
          <w:highlight w:val="none"/>
          <w:lang w:val="en-US" w:eastAsia="zh-CN"/>
        </w:rPr>
        <w:t>，</w:t>
      </w:r>
      <w:r>
        <w:rPr>
          <w:rFonts w:hint="default" w:ascii="Arial" w:hAnsi="Arial" w:eastAsia="宋体" w:cs="Arial"/>
          <w:color w:val="auto"/>
          <w:sz w:val="26"/>
          <w:szCs w:val="26"/>
          <w:highlight w:val="none"/>
          <w:lang w:val="en-US" w:eastAsia="zh-CN"/>
        </w:rPr>
        <w:t>计算出危险物质数量与临界量比值</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Q</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，计算结果详见下表。</w:t>
      </w:r>
    </w:p>
    <w:p w14:paraId="76D36CCC">
      <w:pPr>
        <w:pStyle w:val="31"/>
        <w:keepNext w:val="0"/>
        <w:keepLines w:val="0"/>
        <w:pageBreakBefore w:val="0"/>
        <w:widowControl/>
        <w:kinsoku/>
        <w:wordWrap/>
        <w:overflowPunct/>
        <w:topLinePunct w:val="0"/>
        <w:autoSpaceDE/>
        <w:autoSpaceDN/>
        <w:bidi w:val="0"/>
        <w:adjustRightInd/>
        <w:snapToGrid w:val="0"/>
        <w:spacing w:before="0" w:after="0" w:line="460" w:lineRule="exact"/>
        <w:ind w:left="0" w:right="0" w:firstLine="0" w:firstLineChars="0"/>
        <w:jc w:val="center"/>
        <w:textAlignment w:val="auto"/>
        <w:rPr>
          <w:rFonts w:hint="eastAsia" w:ascii="Arial" w:hAnsi="Arial" w:eastAsia="宋体" w:cs="Arial"/>
          <w:b/>
          <w:bCs/>
          <w:color w:val="auto"/>
          <w:sz w:val="26"/>
          <w:szCs w:val="26"/>
          <w:highlight w:val="none"/>
          <w:lang w:val="en-US" w:eastAsia="zh-CN"/>
        </w:rPr>
      </w:pPr>
      <w:r>
        <w:rPr>
          <w:rFonts w:hint="eastAsia" w:ascii="Arial" w:hAnsi="Arial" w:eastAsia="宋体" w:cs="Arial"/>
          <w:b/>
          <w:bCs/>
          <w:color w:val="auto"/>
          <w:sz w:val="26"/>
          <w:szCs w:val="26"/>
          <w:highlight w:val="none"/>
          <w:lang w:val="en-US" w:eastAsia="zh-CN"/>
        </w:rPr>
        <w:t>表5.6-1 环境风险物质单元、设施及物质情况</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530"/>
        <w:gridCol w:w="1509"/>
        <w:gridCol w:w="1212"/>
        <w:gridCol w:w="1631"/>
      </w:tblGrid>
      <w:tr w14:paraId="2ECFB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1995" w:type="dxa"/>
            <w:tcBorders>
              <w:tl2br w:val="nil"/>
              <w:tr2bl w:val="nil"/>
            </w:tcBorders>
            <w:noWrap w:val="0"/>
            <w:vAlign w:val="center"/>
          </w:tcPr>
          <w:p w14:paraId="22AFD692">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风险单元</w:t>
            </w:r>
          </w:p>
        </w:tc>
        <w:tc>
          <w:tcPr>
            <w:tcW w:w="1530" w:type="dxa"/>
            <w:tcBorders>
              <w:tl2br w:val="nil"/>
              <w:tr2bl w:val="nil"/>
            </w:tcBorders>
            <w:noWrap w:val="0"/>
            <w:vAlign w:val="center"/>
          </w:tcPr>
          <w:p w14:paraId="3BADC0BC">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物质名称及存储量</w:t>
            </w:r>
          </w:p>
        </w:tc>
        <w:tc>
          <w:tcPr>
            <w:tcW w:w="1509" w:type="dxa"/>
            <w:tcBorders>
              <w:tl2br w:val="nil"/>
              <w:tr2bl w:val="nil"/>
            </w:tcBorders>
            <w:noWrap w:val="0"/>
            <w:vAlign w:val="center"/>
          </w:tcPr>
          <w:p w14:paraId="719CCCC0">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最大储存量q（t）</w:t>
            </w:r>
          </w:p>
        </w:tc>
        <w:tc>
          <w:tcPr>
            <w:tcW w:w="1212" w:type="dxa"/>
            <w:tcBorders>
              <w:tl2br w:val="nil"/>
              <w:tr2bl w:val="nil"/>
            </w:tcBorders>
            <w:noWrap w:val="0"/>
            <w:vAlign w:val="center"/>
          </w:tcPr>
          <w:p w14:paraId="13F6351E">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临界量Q（t）</w:t>
            </w:r>
          </w:p>
        </w:tc>
        <w:tc>
          <w:tcPr>
            <w:tcW w:w="1631" w:type="dxa"/>
            <w:tcBorders>
              <w:tl2br w:val="nil"/>
              <w:tr2bl w:val="nil"/>
            </w:tcBorders>
            <w:noWrap w:val="0"/>
            <w:vAlign w:val="center"/>
          </w:tcPr>
          <w:p w14:paraId="56D8DC20">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q/Q</w:t>
            </w:r>
          </w:p>
        </w:tc>
      </w:tr>
      <w:tr w14:paraId="609B2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995" w:type="dxa"/>
            <w:vMerge w:val="restart"/>
            <w:tcBorders>
              <w:tl2br w:val="nil"/>
              <w:tr2bl w:val="nil"/>
            </w:tcBorders>
            <w:noWrap w:val="0"/>
            <w:vAlign w:val="center"/>
          </w:tcPr>
          <w:p w14:paraId="76F86AA0">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rightChars="0"/>
              <w:jc w:val="center"/>
              <w:textAlignment w:val="auto"/>
              <w:rPr>
                <w:rFonts w:hint="default" w:ascii="Arial" w:hAnsi="Arial" w:eastAsia="宋体" w:cs="Arial"/>
                <w:color w:val="auto"/>
                <w:sz w:val="22"/>
                <w:szCs w:val="22"/>
                <w:highlight w:val="none"/>
                <w:vertAlign w:val="baseline"/>
                <w:lang w:val="en-US" w:eastAsia="zh-CN"/>
              </w:rPr>
            </w:pPr>
            <w:bookmarkStart w:id="115" w:name="_Hlk2848700"/>
            <w:r>
              <w:rPr>
                <w:rFonts w:hint="eastAsia" w:ascii="Arial" w:hAnsi="Arial" w:eastAsia="宋体" w:cs="Arial"/>
                <w:color w:val="auto"/>
                <w:sz w:val="22"/>
                <w:szCs w:val="22"/>
                <w:highlight w:val="none"/>
                <w:vertAlign w:val="baseline"/>
                <w:lang w:val="en-US" w:eastAsia="zh-CN"/>
              </w:rPr>
              <w:t>油罐区</w:t>
            </w:r>
          </w:p>
        </w:tc>
        <w:tc>
          <w:tcPr>
            <w:tcW w:w="1530" w:type="dxa"/>
            <w:tcBorders>
              <w:tl2br w:val="nil"/>
              <w:tr2bl w:val="nil"/>
            </w:tcBorders>
            <w:noWrap w:val="0"/>
            <w:vAlign w:val="center"/>
          </w:tcPr>
          <w:p w14:paraId="76D40238">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rightChars="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柴油</w:t>
            </w:r>
          </w:p>
        </w:tc>
        <w:tc>
          <w:tcPr>
            <w:tcW w:w="1509" w:type="dxa"/>
            <w:tcBorders>
              <w:tl2br w:val="nil"/>
              <w:tr2bl w:val="nil"/>
            </w:tcBorders>
            <w:noWrap w:val="0"/>
            <w:vAlign w:val="center"/>
          </w:tcPr>
          <w:p w14:paraId="3B61C81D">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1.68</w:t>
            </w:r>
          </w:p>
        </w:tc>
        <w:tc>
          <w:tcPr>
            <w:tcW w:w="1212" w:type="dxa"/>
            <w:tcBorders>
              <w:tl2br w:val="nil"/>
              <w:tr2bl w:val="nil"/>
            </w:tcBorders>
            <w:noWrap w:val="0"/>
            <w:vAlign w:val="center"/>
          </w:tcPr>
          <w:p w14:paraId="5F3894AB">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2500</w:t>
            </w:r>
          </w:p>
        </w:tc>
        <w:tc>
          <w:tcPr>
            <w:tcW w:w="1631" w:type="dxa"/>
            <w:tcBorders>
              <w:tl2br w:val="nil"/>
              <w:tr2bl w:val="nil"/>
            </w:tcBorders>
            <w:noWrap w:val="0"/>
            <w:vAlign w:val="center"/>
          </w:tcPr>
          <w:p w14:paraId="1DE2999D">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0.000672</w:t>
            </w:r>
          </w:p>
        </w:tc>
      </w:tr>
      <w:tr w14:paraId="09629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95" w:type="dxa"/>
            <w:vMerge w:val="continue"/>
            <w:tcBorders>
              <w:tl2br w:val="nil"/>
              <w:tr2bl w:val="nil"/>
            </w:tcBorders>
            <w:noWrap w:val="0"/>
            <w:vAlign w:val="center"/>
          </w:tcPr>
          <w:p w14:paraId="1797787B">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rightChars="0"/>
              <w:jc w:val="center"/>
              <w:textAlignment w:val="auto"/>
              <w:rPr>
                <w:rFonts w:hint="default" w:ascii="Arial" w:hAnsi="Arial" w:eastAsia="宋体" w:cs="Arial"/>
                <w:color w:val="auto"/>
                <w:sz w:val="22"/>
                <w:szCs w:val="22"/>
                <w:highlight w:val="none"/>
                <w:vertAlign w:val="baseline"/>
                <w:lang w:val="en-US" w:eastAsia="zh-CN"/>
              </w:rPr>
            </w:pPr>
          </w:p>
        </w:tc>
        <w:tc>
          <w:tcPr>
            <w:tcW w:w="1530" w:type="dxa"/>
            <w:tcBorders>
              <w:tl2br w:val="nil"/>
              <w:tr2bl w:val="nil"/>
            </w:tcBorders>
            <w:noWrap w:val="0"/>
            <w:vAlign w:val="center"/>
          </w:tcPr>
          <w:p w14:paraId="400FB475">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rightChars="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汽油</w:t>
            </w:r>
          </w:p>
        </w:tc>
        <w:tc>
          <w:tcPr>
            <w:tcW w:w="1509" w:type="dxa"/>
            <w:tcBorders>
              <w:tl2br w:val="nil"/>
              <w:tr2bl w:val="nil"/>
            </w:tcBorders>
            <w:noWrap w:val="0"/>
            <w:vAlign w:val="center"/>
          </w:tcPr>
          <w:p w14:paraId="7EBBB55C">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1.44</w:t>
            </w:r>
          </w:p>
        </w:tc>
        <w:tc>
          <w:tcPr>
            <w:tcW w:w="1212" w:type="dxa"/>
            <w:tcBorders>
              <w:tl2br w:val="nil"/>
              <w:tr2bl w:val="nil"/>
            </w:tcBorders>
            <w:noWrap w:val="0"/>
            <w:vAlign w:val="center"/>
          </w:tcPr>
          <w:p w14:paraId="55DC330C">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2500</w:t>
            </w:r>
          </w:p>
        </w:tc>
        <w:tc>
          <w:tcPr>
            <w:tcW w:w="1631" w:type="dxa"/>
            <w:tcBorders>
              <w:tl2br w:val="nil"/>
              <w:tr2bl w:val="nil"/>
            </w:tcBorders>
            <w:noWrap w:val="0"/>
            <w:vAlign w:val="center"/>
          </w:tcPr>
          <w:p w14:paraId="73C8D034">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0.000576</w:t>
            </w:r>
          </w:p>
        </w:tc>
      </w:tr>
      <w:tr w14:paraId="6FD27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246" w:type="dxa"/>
            <w:gridSpan w:val="4"/>
            <w:tcBorders>
              <w:tl2br w:val="nil"/>
              <w:tr2bl w:val="nil"/>
            </w:tcBorders>
            <w:noWrap w:val="0"/>
            <w:vAlign w:val="center"/>
          </w:tcPr>
          <w:p w14:paraId="50FCB879">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合计</w:t>
            </w:r>
          </w:p>
        </w:tc>
        <w:tc>
          <w:tcPr>
            <w:tcW w:w="1631" w:type="dxa"/>
            <w:tcBorders>
              <w:tl2br w:val="nil"/>
              <w:tr2bl w:val="nil"/>
            </w:tcBorders>
            <w:noWrap w:val="0"/>
            <w:vAlign w:val="center"/>
          </w:tcPr>
          <w:p w14:paraId="277965D9">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0.00125</w:t>
            </w:r>
          </w:p>
        </w:tc>
      </w:tr>
      <w:bookmarkEnd w:id="115"/>
    </w:tbl>
    <w:p w14:paraId="338E622E">
      <w:pPr>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textAlignment w:val="auto"/>
        <w:rPr>
          <w:rFonts w:hint="eastAsia" w:ascii="Arial" w:hAnsi="Arial" w:cs="Arial"/>
          <w:kern w:val="0"/>
          <w:sz w:val="26"/>
          <w:szCs w:val="26"/>
          <w:lang w:val="en-US" w:eastAsia="zh-CN"/>
        </w:rPr>
      </w:pPr>
    </w:p>
    <w:p w14:paraId="71CA1C1F">
      <w:pPr>
        <w:keepNext w:val="0"/>
        <w:keepLines w:val="0"/>
        <w:pageBreakBefore w:val="0"/>
        <w:widowControl w:val="0"/>
        <w:kinsoku/>
        <w:wordWrap/>
        <w:overflowPunct/>
        <w:topLinePunct w:val="0"/>
        <w:autoSpaceDE/>
        <w:autoSpaceDN/>
        <w:bidi w:val="0"/>
        <w:adjustRightInd w:val="0"/>
        <w:snapToGrid w:val="0"/>
        <w:spacing w:line="460" w:lineRule="exact"/>
        <w:ind w:left="0" w:firstLine="520" w:firstLineChars="200"/>
        <w:textAlignment w:val="auto"/>
        <w:rPr>
          <w:rFonts w:hint="eastAsia" w:ascii="Arial" w:hAnsi="Arial" w:eastAsia="宋体" w:cs="Arial"/>
          <w:color w:val="auto"/>
          <w:sz w:val="26"/>
          <w:szCs w:val="26"/>
          <w:highlight w:val="none"/>
          <w:lang w:val="en-US" w:eastAsia="zh-CN"/>
        </w:rPr>
      </w:pPr>
      <w:r>
        <w:rPr>
          <w:rFonts w:hint="eastAsia" w:ascii="Arial" w:hAnsi="Arial" w:eastAsia="宋体" w:cs="Arial"/>
          <w:color w:val="auto"/>
          <w:sz w:val="26"/>
          <w:szCs w:val="26"/>
          <w:highlight w:val="none"/>
          <w:lang w:val="en-US" w:eastAsia="zh-CN"/>
        </w:rPr>
        <w:t>由此可见，本项目施工期枢纽工程施工场地内暂存风险物质的Q值合计为0.00125</w:t>
      </w:r>
      <w:r>
        <w:rPr>
          <w:rFonts w:hint="default" w:ascii="Arial" w:hAnsi="Arial" w:eastAsia="宋体" w:cs="Arial"/>
          <w:color w:val="auto"/>
          <w:sz w:val="26"/>
          <w:szCs w:val="26"/>
          <w:highlight w:val="none"/>
          <w:lang w:val="en-US" w:eastAsia="zh-CN"/>
        </w:rPr>
        <w:t>，小于1</w:t>
      </w:r>
      <w:r>
        <w:rPr>
          <w:rFonts w:hint="eastAsia" w:ascii="Arial" w:hAnsi="Arial" w:eastAsia="宋体" w:cs="Arial"/>
          <w:color w:val="auto"/>
          <w:sz w:val="26"/>
          <w:szCs w:val="26"/>
          <w:highlight w:val="none"/>
          <w:lang w:val="en-US" w:eastAsia="zh-CN"/>
        </w:rPr>
        <w:t>，</w:t>
      </w:r>
      <w:r>
        <w:rPr>
          <w:rFonts w:hint="default" w:ascii="Arial" w:hAnsi="Arial" w:eastAsia="宋体" w:cs="Arial"/>
          <w:color w:val="auto"/>
          <w:sz w:val="26"/>
          <w:szCs w:val="26"/>
          <w:highlight w:val="none"/>
          <w:lang w:val="en-US" w:eastAsia="zh-CN"/>
        </w:rPr>
        <w:t>故环境风险潜势直接判定为I级</w:t>
      </w:r>
      <w:r>
        <w:rPr>
          <w:rFonts w:hint="eastAsia" w:ascii="Arial" w:hAnsi="Arial" w:eastAsia="宋体" w:cs="Arial"/>
          <w:color w:val="auto"/>
          <w:sz w:val="26"/>
          <w:szCs w:val="26"/>
          <w:highlight w:val="none"/>
          <w:lang w:val="en-US" w:eastAsia="zh-CN"/>
        </w:rPr>
        <w:t>，简单分析即可</w:t>
      </w:r>
      <w:r>
        <w:rPr>
          <w:rFonts w:hint="default" w:ascii="Arial" w:hAnsi="Arial" w:eastAsia="宋体" w:cs="Arial"/>
          <w:color w:val="auto"/>
          <w:sz w:val="26"/>
          <w:szCs w:val="26"/>
          <w:highlight w:val="none"/>
          <w:lang w:val="en-US" w:eastAsia="zh-CN"/>
        </w:rPr>
        <w:t>。</w:t>
      </w:r>
    </w:p>
    <w:p w14:paraId="679B6680">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cs="Arial"/>
          <w:b/>
          <w:bCs/>
          <w:kern w:val="0"/>
          <w:sz w:val="26"/>
          <w:szCs w:val="26"/>
          <w:lang w:val="en-US" w:eastAsia="zh-CN"/>
        </w:rPr>
      </w:pPr>
      <w:r>
        <w:rPr>
          <w:rFonts w:hint="eastAsia" w:ascii="Arial" w:hAnsi="Arial" w:cs="Arial"/>
          <w:b/>
          <w:bCs/>
          <w:kern w:val="0"/>
          <w:sz w:val="26"/>
          <w:szCs w:val="26"/>
          <w:lang w:val="en-US" w:eastAsia="zh-CN"/>
        </w:rPr>
        <w:t>5.6.3环境风险事故类型</w:t>
      </w:r>
    </w:p>
    <w:p w14:paraId="333D21B8">
      <w:pPr>
        <w:keepNext w:val="0"/>
        <w:keepLines w:val="0"/>
        <w:pageBreakBefore w:val="0"/>
        <w:widowControl w:val="0"/>
        <w:kinsoku/>
        <w:wordWrap/>
        <w:overflowPunct/>
        <w:topLinePunct w:val="0"/>
        <w:autoSpaceDE/>
        <w:autoSpaceDN/>
        <w:bidi w:val="0"/>
        <w:adjustRightInd w:val="0"/>
        <w:snapToGrid w:val="0"/>
        <w:spacing w:line="460" w:lineRule="exact"/>
        <w:ind w:left="0" w:firstLine="520" w:firstLineChars="200"/>
        <w:textAlignment w:val="auto"/>
        <w:rPr>
          <w:rFonts w:hint="eastAsia" w:ascii="Arial" w:hAnsi="Arial" w:eastAsia="宋体" w:cs="Arial"/>
          <w:color w:val="auto"/>
          <w:sz w:val="26"/>
          <w:szCs w:val="26"/>
          <w:highlight w:val="none"/>
          <w:lang w:val="en-US" w:eastAsia="zh-CN"/>
        </w:rPr>
      </w:pPr>
      <w:r>
        <w:rPr>
          <w:rFonts w:hint="eastAsia" w:ascii="Arial" w:hAnsi="Arial" w:eastAsia="宋体" w:cs="Arial"/>
          <w:color w:val="auto"/>
          <w:sz w:val="26"/>
          <w:szCs w:val="26"/>
          <w:highlight w:val="none"/>
          <w:lang w:val="en-US" w:eastAsia="zh-CN"/>
        </w:rPr>
        <w:t>本项目施工期可能发生的环境风险类型为油料泄漏及火灾、爆炸产生的次生污染物</w:t>
      </w:r>
      <w:r>
        <w:rPr>
          <w:rFonts w:hint="default" w:ascii="Arial" w:hAnsi="Arial" w:eastAsia="宋体" w:cs="Arial"/>
          <w:color w:val="auto"/>
          <w:sz w:val="26"/>
          <w:szCs w:val="26"/>
          <w:highlight w:val="none"/>
          <w:lang w:val="en-US" w:eastAsia="zh-CN"/>
        </w:rPr>
        <w:t>造成的环境污染事件</w:t>
      </w:r>
      <w:r>
        <w:rPr>
          <w:rFonts w:hint="eastAsia" w:ascii="Arial" w:hAnsi="Arial" w:eastAsia="宋体" w:cs="Arial"/>
          <w:color w:val="auto"/>
          <w:sz w:val="26"/>
          <w:szCs w:val="26"/>
          <w:highlight w:val="none"/>
          <w:lang w:val="en-US" w:eastAsia="zh-CN"/>
        </w:rPr>
        <w:t>，可能造成区域大气、水、土壤环境污染。</w:t>
      </w:r>
    </w:p>
    <w:p w14:paraId="154F4E42">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cs="Arial"/>
          <w:kern w:val="0"/>
          <w:sz w:val="26"/>
          <w:szCs w:val="26"/>
          <w:lang w:val="en-US" w:eastAsia="zh-CN"/>
        </w:rPr>
      </w:pPr>
      <w:r>
        <w:rPr>
          <w:rFonts w:hint="eastAsia" w:ascii="Arial" w:hAnsi="Arial" w:cs="Arial"/>
          <w:b/>
          <w:bCs/>
          <w:kern w:val="0"/>
          <w:sz w:val="26"/>
          <w:szCs w:val="26"/>
          <w:lang w:val="en-US" w:eastAsia="zh-CN"/>
        </w:rPr>
        <w:t>5.6.4环境风险分析</w:t>
      </w:r>
    </w:p>
    <w:p w14:paraId="138F1746">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kern w:val="0"/>
          <w:sz w:val="26"/>
          <w:szCs w:val="26"/>
          <w:lang w:val="en-US" w:eastAsia="zh-CN"/>
        </w:rPr>
      </w:pPr>
      <w:r>
        <w:rPr>
          <w:rFonts w:hint="eastAsia" w:ascii="Arial" w:hAnsi="Arial" w:eastAsia="宋体" w:cs="Arial"/>
          <w:b/>
          <w:bCs/>
          <w:kern w:val="0"/>
          <w:sz w:val="26"/>
          <w:szCs w:val="26"/>
          <w:lang w:val="en-US" w:eastAsia="zh-CN"/>
        </w:rPr>
        <w:t>（1）泄漏事故分析</w:t>
      </w:r>
    </w:p>
    <w:p w14:paraId="14C6DD91">
      <w:pPr>
        <w:pStyle w:val="2113"/>
        <w:keepNext w:val="0"/>
        <w:keepLines w:val="0"/>
        <w:pageBreakBefore w:val="0"/>
        <w:widowControl w:val="0"/>
        <w:kinsoku/>
        <w:wordWrap/>
        <w:overflowPunct/>
        <w:topLinePunct w:val="0"/>
        <w:autoSpaceDE/>
        <w:autoSpaceDN/>
        <w:bidi w:val="0"/>
        <w:spacing w:line="460" w:lineRule="exact"/>
        <w:ind w:firstLine="520"/>
        <w:textAlignment w:val="auto"/>
        <w:rPr>
          <w:rFonts w:hint="eastAsia" w:ascii="Arial" w:hAnsi="Arial" w:cs="Arial"/>
          <w:color w:val="auto"/>
          <w:sz w:val="26"/>
          <w:szCs w:val="26"/>
        </w:rPr>
      </w:pPr>
      <w:r>
        <w:rPr>
          <w:rFonts w:hint="eastAsia" w:ascii="Arial" w:hAnsi="Arial" w:eastAsia="宋体" w:cs="Arial"/>
          <w:color w:val="auto"/>
          <w:sz w:val="26"/>
          <w:szCs w:val="26"/>
          <w:highlight w:val="none"/>
          <w:lang w:val="en-US" w:eastAsia="zh-CN"/>
        </w:rPr>
        <w:t>油料泄漏进入地表水体后，</w:t>
      </w:r>
      <w:r>
        <w:rPr>
          <w:rFonts w:hint="eastAsia" w:ascii="Arial" w:hAnsi="Arial" w:cs="Arial"/>
          <w:color w:val="auto"/>
          <w:sz w:val="26"/>
          <w:szCs w:val="26"/>
        </w:rPr>
        <w:t>由于石油类难溶于水，且密度比水小，溢出油会浮于水面上形成油膜，首先造成对河流的景观破坏，产生严重的刺鼻气味；其次油膜使空气与水隔离，造成水中溶解氧浓度降低，逐渐形成死水，致使水中生物死亡；再次，燃料油的主要成分是</w:t>
      </w:r>
      <w:r>
        <w:rPr>
          <w:rFonts w:ascii="Arial" w:hAnsi="Arial" w:cs="Arial"/>
          <w:color w:val="auto"/>
          <w:sz w:val="26"/>
          <w:szCs w:val="26"/>
        </w:rPr>
        <w:t>C4~C9</w:t>
      </w:r>
      <w:r>
        <w:rPr>
          <w:rFonts w:hint="eastAsia" w:ascii="Arial" w:hAnsi="Arial" w:cs="Arial"/>
          <w:color w:val="auto"/>
          <w:sz w:val="26"/>
          <w:szCs w:val="26"/>
        </w:rPr>
        <w:t>的烃类、芳烃类、醇酮类以及卤代烃类有机物，一旦进入水环境，由于可生化性差，可能造成被污染水体长时间得不到净化，造成水体污染。进入土壤层后，使土壤层中吸附大量的燃料油，在土壤团粒中形成膜网结构，环境中的空气难以进入土壤颗粒中，从而造成植物生物的死亡。</w:t>
      </w:r>
    </w:p>
    <w:p w14:paraId="58E1F243">
      <w:pPr>
        <w:pStyle w:val="2113"/>
        <w:keepNext w:val="0"/>
        <w:keepLines w:val="0"/>
        <w:pageBreakBefore w:val="0"/>
        <w:widowControl w:val="0"/>
        <w:kinsoku/>
        <w:wordWrap/>
        <w:overflowPunct/>
        <w:topLinePunct w:val="0"/>
        <w:autoSpaceDE/>
        <w:autoSpaceDN/>
        <w:bidi w:val="0"/>
        <w:spacing w:line="460" w:lineRule="exact"/>
        <w:ind w:firstLine="520"/>
        <w:textAlignment w:val="auto"/>
        <w:rPr>
          <w:rFonts w:hint="eastAsia" w:ascii="Arial" w:hAnsi="Arial" w:eastAsia="宋体" w:cs="Arial"/>
          <w:color w:val="auto"/>
          <w:sz w:val="26"/>
          <w:szCs w:val="26"/>
          <w:lang w:eastAsia="zh-CN"/>
        </w:rPr>
      </w:pPr>
      <w:r>
        <w:rPr>
          <w:rFonts w:hint="eastAsia" w:ascii="Arial" w:hAnsi="Arial" w:cs="Arial"/>
          <w:color w:val="auto"/>
          <w:sz w:val="26"/>
          <w:szCs w:val="26"/>
          <w:lang w:eastAsia="zh-CN"/>
        </w:rPr>
        <w:t>本项目枢纽工程施工场地所设油罐区远离河道，地面采取混凝土硬化，并进行防渗处理，四周修建围堰后，</w:t>
      </w:r>
      <w:r>
        <w:rPr>
          <w:rFonts w:hint="eastAsia" w:ascii="Arial" w:hAnsi="Arial" w:cs="Arial"/>
          <w:color w:val="auto"/>
          <w:sz w:val="26"/>
          <w:szCs w:val="26"/>
        </w:rPr>
        <w:t>油料泄露进入</w:t>
      </w:r>
      <w:r>
        <w:rPr>
          <w:rFonts w:hint="eastAsia" w:ascii="Arial" w:hAnsi="Arial" w:cs="Arial"/>
          <w:color w:val="auto"/>
          <w:sz w:val="26"/>
          <w:szCs w:val="26"/>
          <w:lang w:eastAsia="zh-CN"/>
        </w:rPr>
        <w:t>水、土壤环境的</w:t>
      </w:r>
      <w:r>
        <w:rPr>
          <w:rFonts w:hint="eastAsia" w:ascii="Arial" w:hAnsi="Arial" w:cs="Arial"/>
          <w:color w:val="auto"/>
          <w:sz w:val="26"/>
          <w:szCs w:val="26"/>
        </w:rPr>
        <w:t>可能性较小，</w:t>
      </w:r>
      <w:r>
        <w:rPr>
          <w:rFonts w:hint="eastAsia" w:ascii="Arial" w:hAnsi="Arial" w:cs="Arial"/>
          <w:color w:val="auto"/>
          <w:sz w:val="26"/>
          <w:szCs w:val="26"/>
          <w:lang w:eastAsia="zh-CN"/>
        </w:rPr>
        <w:t>造成污染风险的可能性较小，影响有限</w:t>
      </w:r>
      <w:r>
        <w:rPr>
          <w:rFonts w:hint="eastAsia" w:ascii="Arial" w:hAnsi="Arial" w:cs="Arial"/>
          <w:color w:val="auto"/>
          <w:sz w:val="26"/>
          <w:szCs w:val="26"/>
        </w:rPr>
        <w:t>。</w:t>
      </w:r>
    </w:p>
    <w:p w14:paraId="0D6E0F81">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kern w:val="0"/>
          <w:sz w:val="26"/>
          <w:szCs w:val="26"/>
          <w:lang w:val="en-US" w:eastAsia="zh-CN"/>
        </w:rPr>
      </w:pPr>
      <w:r>
        <w:rPr>
          <w:rFonts w:hint="eastAsia" w:ascii="Arial" w:hAnsi="Arial" w:eastAsia="宋体" w:cs="Arial"/>
          <w:b/>
          <w:bCs/>
          <w:kern w:val="0"/>
          <w:sz w:val="26"/>
          <w:szCs w:val="26"/>
          <w:lang w:val="en-US" w:eastAsia="zh-CN"/>
        </w:rPr>
        <w:t>（2）火灾爆炸事故分析</w:t>
      </w:r>
    </w:p>
    <w:p w14:paraId="43427E48">
      <w:pPr>
        <w:keepNext w:val="0"/>
        <w:keepLines w:val="0"/>
        <w:pageBreakBefore w:val="0"/>
        <w:widowControl w:val="0"/>
        <w:kinsoku/>
        <w:wordWrap/>
        <w:overflowPunct/>
        <w:topLinePunct w:val="0"/>
        <w:autoSpaceDE/>
        <w:autoSpaceDN/>
        <w:bidi w:val="0"/>
        <w:adjustRightInd w:val="0"/>
        <w:snapToGrid w:val="0"/>
        <w:spacing w:line="460" w:lineRule="exact"/>
        <w:ind w:left="0" w:firstLine="520" w:firstLineChars="200"/>
        <w:textAlignment w:val="auto"/>
        <w:rPr>
          <w:rFonts w:hint="default" w:ascii="Arial" w:hAnsi="Arial" w:eastAsia="宋体" w:cs="Arial"/>
          <w:color w:val="auto"/>
          <w:kern w:val="2"/>
          <w:sz w:val="26"/>
          <w:szCs w:val="26"/>
          <w:lang w:val="en-US" w:eastAsia="zh-CN" w:bidi="ar-SA"/>
        </w:rPr>
      </w:pPr>
      <w:r>
        <w:rPr>
          <w:rFonts w:hint="default" w:ascii="Arial" w:hAnsi="Arial" w:eastAsia="宋体" w:cs="Arial"/>
          <w:color w:val="auto"/>
          <w:kern w:val="2"/>
          <w:sz w:val="26"/>
          <w:szCs w:val="26"/>
          <w:lang w:val="en-US" w:eastAsia="zh-CN" w:bidi="ar-SA"/>
        </w:rPr>
        <w:t>主要</w:t>
      </w:r>
      <w:r>
        <w:rPr>
          <w:rFonts w:hint="eastAsia" w:ascii="Arial" w:hAnsi="Arial" w:eastAsia="宋体" w:cs="Arial"/>
          <w:color w:val="auto"/>
          <w:kern w:val="2"/>
          <w:sz w:val="26"/>
          <w:szCs w:val="26"/>
          <w:lang w:val="en-US" w:eastAsia="zh-CN" w:bidi="ar-SA"/>
        </w:rPr>
        <w:t>为油料</w:t>
      </w:r>
      <w:r>
        <w:rPr>
          <w:rFonts w:hint="default" w:ascii="Arial" w:hAnsi="Arial" w:eastAsia="宋体" w:cs="Arial"/>
          <w:color w:val="auto"/>
          <w:kern w:val="2"/>
          <w:sz w:val="26"/>
          <w:szCs w:val="26"/>
          <w:lang w:val="en-US" w:eastAsia="zh-CN" w:bidi="ar-SA"/>
        </w:rPr>
        <w:t>泄漏遇明火或高温引起的火灾及爆炸事故伴生/次生污染</w:t>
      </w:r>
      <w:r>
        <w:rPr>
          <w:rFonts w:hint="eastAsia" w:ascii="Arial" w:hAnsi="Arial" w:eastAsia="宋体" w:cs="Arial"/>
          <w:color w:val="auto"/>
          <w:kern w:val="2"/>
          <w:sz w:val="26"/>
          <w:szCs w:val="26"/>
          <w:lang w:val="en-US" w:eastAsia="zh-CN" w:bidi="ar-SA"/>
        </w:rPr>
        <w:t>，</w:t>
      </w:r>
      <w:r>
        <w:rPr>
          <w:rFonts w:hint="default" w:ascii="Arial" w:hAnsi="Arial" w:eastAsia="宋体" w:cs="Arial"/>
          <w:color w:val="auto"/>
          <w:kern w:val="2"/>
          <w:sz w:val="26"/>
          <w:szCs w:val="26"/>
          <w:lang w:val="en-US" w:eastAsia="zh-CN" w:bidi="ar-SA"/>
        </w:rPr>
        <w:t>燃烧产生的CO可能会</w:t>
      </w:r>
      <w:r>
        <w:rPr>
          <w:rFonts w:hint="eastAsia" w:ascii="Arial" w:hAnsi="Arial" w:eastAsia="宋体" w:cs="Arial"/>
          <w:color w:val="auto"/>
          <w:kern w:val="2"/>
          <w:sz w:val="26"/>
          <w:szCs w:val="26"/>
          <w:lang w:val="en-US" w:eastAsia="zh-CN" w:bidi="ar-SA"/>
        </w:rPr>
        <w:t>对大气环境造成一定的影响。</w:t>
      </w:r>
      <w:r>
        <w:rPr>
          <w:rFonts w:hint="default" w:ascii="Arial" w:hAnsi="Arial" w:eastAsia="宋体" w:cs="Arial"/>
          <w:color w:val="auto"/>
          <w:kern w:val="2"/>
          <w:sz w:val="26"/>
          <w:szCs w:val="26"/>
          <w:lang w:val="en-US" w:eastAsia="zh-CN" w:bidi="ar-SA"/>
        </w:rPr>
        <w:t>此类火灾发生时，在热辐射的作用下，人或设备、设施、建筑物都有可能遭受不同程度的伤害和破坏。</w:t>
      </w:r>
    </w:p>
    <w:p w14:paraId="3E66AB6D">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cs="Arial"/>
          <w:kern w:val="0"/>
          <w:sz w:val="26"/>
          <w:szCs w:val="26"/>
          <w:lang w:val="en-US" w:eastAsia="zh-CN"/>
        </w:rPr>
      </w:pPr>
      <w:r>
        <w:rPr>
          <w:rFonts w:hint="eastAsia" w:ascii="Arial" w:hAnsi="Arial" w:cs="Arial"/>
          <w:b/>
          <w:bCs/>
          <w:kern w:val="0"/>
          <w:sz w:val="26"/>
          <w:szCs w:val="26"/>
          <w:lang w:val="en-US" w:eastAsia="zh-CN"/>
        </w:rPr>
        <w:t>5.6.5环境风险防范措施</w:t>
      </w:r>
    </w:p>
    <w:p w14:paraId="5FFFA185">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eastAsia="宋体" w:cs="Arial"/>
          <w:color w:val="auto"/>
          <w:kern w:val="2"/>
          <w:sz w:val="26"/>
          <w:szCs w:val="26"/>
          <w:lang w:val="en-US" w:eastAsia="zh-CN" w:bidi="ar-SA"/>
        </w:rPr>
      </w:pPr>
      <w:r>
        <w:rPr>
          <w:rFonts w:hint="eastAsia" w:ascii="Arial" w:hAnsi="Arial" w:eastAsia="宋体" w:cs="Arial"/>
          <w:color w:val="auto"/>
          <w:kern w:val="2"/>
          <w:sz w:val="26"/>
          <w:szCs w:val="26"/>
          <w:lang w:val="en-US" w:eastAsia="zh-CN" w:bidi="ar-SA"/>
        </w:rPr>
        <w:t>① 施工期油桶储存区地面采取混凝土进行硬化处置，四周修建围堰，确保事故泄漏的油料全部收集在围堰内，不进入周边外环境。</w:t>
      </w:r>
      <w:r>
        <w:rPr>
          <w:rFonts w:hint="default" w:ascii="Arial" w:hAnsi="Arial" w:eastAsia="宋体" w:cs="Arial"/>
          <w:color w:val="auto"/>
          <w:kern w:val="2"/>
          <w:sz w:val="26"/>
          <w:szCs w:val="26"/>
          <w:lang w:val="en-US" w:eastAsia="zh-CN" w:bidi="ar-SA"/>
        </w:rPr>
        <w:t>远离火种、热 源，防止阳光直射，</w:t>
      </w:r>
      <w:r>
        <w:rPr>
          <w:rFonts w:hint="eastAsia" w:ascii="Arial" w:hAnsi="Arial" w:eastAsia="宋体" w:cs="Arial"/>
          <w:color w:val="auto"/>
          <w:kern w:val="2"/>
          <w:sz w:val="26"/>
          <w:szCs w:val="26"/>
          <w:lang w:val="en-US" w:eastAsia="zh-CN" w:bidi="ar-SA"/>
        </w:rPr>
        <w:t>禁止一切烟火；</w:t>
      </w:r>
      <w:r>
        <w:rPr>
          <w:rFonts w:hint="default" w:ascii="Arial" w:hAnsi="Arial" w:eastAsia="宋体" w:cs="Arial"/>
          <w:color w:val="auto"/>
          <w:kern w:val="2"/>
          <w:sz w:val="26"/>
          <w:szCs w:val="26"/>
          <w:lang w:val="en-US" w:eastAsia="zh-CN" w:bidi="ar-SA"/>
        </w:rPr>
        <w:t>搬运时轻装轻卸，防止</w:t>
      </w:r>
      <w:r>
        <w:rPr>
          <w:rFonts w:hint="eastAsia" w:ascii="Arial" w:hAnsi="Arial" w:eastAsia="宋体" w:cs="Arial"/>
          <w:color w:val="auto"/>
          <w:kern w:val="2"/>
          <w:sz w:val="26"/>
          <w:szCs w:val="26"/>
          <w:lang w:val="en-US" w:eastAsia="zh-CN" w:bidi="ar-SA"/>
        </w:rPr>
        <w:t>储</w:t>
      </w:r>
      <w:r>
        <w:rPr>
          <w:rFonts w:hint="default" w:ascii="Arial" w:hAnsi="Arial" w:eastAsia="宋体" w:cs="Arial"/>
          <w:color w:val="auto"/>
          <w:kern w:val="2"/>
          <w:sz w:val="26"/>
          <w:szCs w:val="26"/>
          <w:lang w:val="en-US" w:eastAsia="zh-CN" w:bidi="ar-SA"/>
        </w:rPr>
        <w:t>桶破损或倾倒</w:t>
      </w:r>
      <w:r>
        <w:rPr>
          <w:rFonts w:hint="eastAsia" w:ascii="Arial" w:hAnsi="Arial" w:eastAsia="宋体" w:cs="Arial"/>
          <w:color w:val="auto"/>
          <w:kern w:val="2"/>
          <w:sz w:val="26"/>
          <w:szCs w:val="26"/>
          <w:lang w:val="en-US" w:eastAsia="zh-CN" w:bidi="ar-SA"/>
        </w:rPr>
        <w:t>，配置铁桶、铁铲、消防砂等应急物资；安排专人管理，加强巡视。</w:t>
      </w:r>
      <w:r>
        <w:rPr>
          <w:rFonts w:hint="eastAsia"/>
          <w:bCs/>
          <w:sz w:val="26"/>
          <w:szCs w:val="26"/>
        </w:rPr>
        <w:t>建立出入库检查、登记制度，做到账目清楚，账物相符。</w:t>
      </w:r>
    </w:p>
    <w:p w14:paraId="125E80B0">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eastAsia="宋体" w:cs="Arial"/>
          <w:color w:val="auto"/>
          <w:kern w:val="2"/>
          <w:sz w:val="26"/>
          <w:szCs w:val="26"/>
          <w:lang w:val="en-US" w:eastAsia="zh-CN" w:bidi="ar-SA"/>
        </w:rPr>
      </w:pPr>
      <w:r>
        <w:rPr>
          <w:rFonts w:hint="eastAsia" w:ascii="Arial" w:hAnsi="Arial" w:eastAsia="宋体" w:cs="Arial"/>
          <w:color w:val="auto"/>
          <w:kern w:val="2"/>
          <w:sz w:val="26"/>
          <w:szCs w:val="26"/>
          <w:lang w:val="en-US" w:eastAsia="zh-CN" w:bidi="ar-SA"/>
        </w:rPr>
        <w:t>② 油料运输司机必须危险品行业从业资格证；严禁违章驾驶、严禁酒后驾车、严禁疲劳驾车，树立良好的安全意识，养成良好的驾驶习惯。随车辆配置的各种消防设施及器材，运输过程中，遇有天气、道路路面状况发生变化，应及时采取安全防护措施。遇有雷雨时，不得在树下、电线杆、高压线、铁塔、高层建筑及容易遇到雷击和产生火花的地点停车。若要避雨时，应选择安全地点停放。遇有泥泞、冰冻、颠簸、狭窄及山崖等路段时，应低速缓慢行驶，防止车辆侧滑、打滑及危险品剧烈震荡等，确保运输安全。</w:t>
      </w:r>
    </w:p>
    <w:p w14:paraId="0A9A54F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eastAsia="宋体" w:cs="Arial"/>
          <w:color w:val="auto"/>
          <w:kern w:val="2"/>
          <w:sz w:val="26"/>
          <w:szCs w:val="26"/>
          <w:lang w:val="en-US" w:eastAsia="zh-CN" w:bidi="ar-SA"/>
        </w:rPr>
      </w:pPr>
      <w:r>
        <w:rPr>
          <w:rFonts w:hint="eastAsia" w:ascii="Arial" w:hAnsi="Arial" w:eastAsia="宋体" w:cs="Arial"/>
          <w:color w:val="auto"/>
          <w:kern w:val="2"/>
          <w:sz w:val="26"/>
          <w:szCs w:val="26"/>
          <w:lang w:val="en-US" w:eastAsia="zh-CN" w:bidi="ar-SA"/>
        </w:rPr>
        <w:t>③ 在工程建设过程中，组建临时安全环保管理机构，配备管理人员，通过技能培训，建立健全环保和安全管理制度。</w:t>
      </w:r>
    </w:p>
    <w:p w14:paraId="396315DA">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cs="Arial"/>
          <w:kern w:val="0"/>
          <w:sz w:val="26"/>
          <w:szCs w:val="26"/>
          <w:lang w:val="en-US" w:eastAsia="zh-CN"/>
        </w:rPr>
      </w:pPr>
      <w:r>
        <w:rPr>
          <w:rFonts w:hint="eastAsia" w:ascii="Arial" w:hAnsi="Arial" w:cs="Arial"/>
          <w:b/>
          <w:bCs/>
          <w:kern w:val="0"/>
          <w:sz w:val="26"/>
          <w:szCs w:val="26"/>
          <w:lang w:val="en-US" w:eastAsia="zh-CN"/>
        </w:rPr>
        <w:t>5.6.6小结</w:t>
      </w:r>
    </w:p>
    <w:p w14:paraId="20FC28EE">
      <w:pPr>
        <w:pStyle w:val="2113"/>
        <w:keepNext w:val="0"/>
        <w:keepLines w:val="0"/>
        <w:pageBreakBefore w:val="0"/>
        <w:widowControl w:val="0"/>
        <w:kinsoku/>
        <w:wordWrap/>
        <w:overflowPunct/>
        <w:topLinePunct w:val="0"/>
        <w:autoSpaceDE/>
        <w:autoSpaceDN/>
        <w:bidi w:val="0"/>
        <w:spacing w:line="460" w:lineRule="exact"/>
        <w:ind w:firstLine="520"/>
        <w:textAlignment w:val="auto"/>
        <w:rPr>
          <w:rFonts w:hint="eastAsia" w:ascii="Arial" w:hAnsi="Arial" w:cs="Arial"/>
          <w:color w:val="auto"/>
          <w:sz w:val="26"/>
          <w:szCs w:val="26"/>
        </w:rPr>
      </w:pPr>
      <w:r>
        <w:rPr>
          <w:rFonts w:hint="eastAsia" w:ascii="Arial" w:hAnsi="Arial" w:cs="Arial"/>
          <w:color w:val="auto"/>
          <w:sz w:val="26"/>
          <w:szCs w:val="26"/>
        </w:rPr>
        <w:t>综上所述，</w:t>
      </w:r>
      <w:r>
        <w:rPr>
          <w:rFonts w:hint="eastAsia" w:ascii="Arial" w:hAnsi="Arial" w:cs="Arial"/>
          <w:color w:val="auto"/>
          <w:sz w:val="26"/>
          <w:szCs w:val="26"/>
          <w:lang w:eastAsia="zh-CN"/>
        </w:rPr>
        <w:t>海螺沟</w:t>
      </w:r>
      <w:r>
        <w:rPr>
          <w:rFonts w:hint="eastAsia" w:ascii="Arial" w:hAnsi="Arial" w:cs="Arial"/>
          <w:color w:val="auto"/>
          <w:sz w:val="26"/>
          <w:szCs w:val="26"/>
        </w:rPr>
        <w:t>水库</w:t>
      </w:r>
      <w:r>
        <w:rPr>
          <w:rFonts w:hint="eastAsia" w:ascii="Arial" w:hAnsi="Arial" w:cs="Arial"/>
          <w:color w:val="auto"/>
          <w:sz w:val="26"/>
          <w:szCs w:val="26"/>
          <w:lang w:eastAsia="zh-CN"/>
        </w:rPr>
        <w:t>在施工过程中</w:t>
      </w:r>
      <w:r>
        <w:rPr>
          <w:rFonts w:hint="eastAsia" w:ascii="Arial" w:hAnsi="Arial" w:cs="Arial"/>
          <w:color w:val="auto"/>
          <w:sz w:val="26"/>
          <w:szCs w:val="26"/>
        </w:rPr>
        <w:t>存在一定的环境风险，但在加强管理，建立健全风险防范措施和应急措施，并予以认真落实和实施的基础上，</w:t>
      </w:r>
      <w:r>
        <w:rPr>
          <w:rFonts w:hint="eastAsia" w:ascii="Arial" w:hAnsi="Arial" w:cs="Arial"/>
          <w:color w:val="auto"/>
          <w:sz w:val="26"/>
          <w:szCs w:val="26"/>
          <w:lang w:eastAsia="zh-CN"/>
        </w:rPr>
        <w:t>施工期的</w:t>
      </w:r>
      <w:r>
        <w:rPr>
          <w:rFonts w:hint="eastAsia" w:ascii="Arial" w:hAnsi="Arial" w:cs="Arial"/>
          <w:color w:val="auto"/>
          <w:sz w:val="26"/>
          <w:szCs w:val="26"/>
        </w:rPr>
        <w:t>环境风险是可以接受的。</w:t>
      </w:r>
    </w:p>
    <w:p w14:paraId="5EFE53CF">
      <w:pPr>
        <w:rPr>
          <w:rFonts w:hint="eastAsia" w:ascii="Arial" w:hAnsi="Arial" w:cs="Arial"/>
          <w:color w:val="auto"/>
          <w:sz w:val="26"/>
          <w:szCs w:val="26"/>
        </w:rPr>
      </w:pPr>
      <w:r>
        <w:rPr>
          <w:rFonts w:hint="eastAsia" w:ascii="Arial" w:hAnsi="Arial" w:cs="Arial"/>
          <w:color w:val="auto"/>
          <w:sz w:val="26"/>
          <w:szCs w:val="26"/>
        </w:rPr>
        <w:br w:type="page"/>
      </w:r>
    </w:p>
    <w:p w14:paraId="7A104AEB">
      <w:pPr>
        <w:pStyle w:val="1873"/>
        <w:keepNext w:val="0"/>
        <w:keepLines w:val="0"/>
        <w:pageBreakBefore w:val="0"/>
        <w:widowControl w:val="0"/>
        <w:kinsoku/>
        <w:wordWrap/>
        <w:overflowPunct/>
        <w:topLinePunct w:val="0"/>
        <w:autoSpaceDE/>
        <w:autoSpaceDN/>
        <w:bidi w:val="0"/>
        <w:adjustRightInd w:val="0"/>
        <w:snapToGrid w:val="0"/>
        <w:spacing w:before="0" w:beforeLines="100" w:after="0" w:afterLines="100" w:line="460" w:lineRule="exact"/>
        <w:ind w:firstLine="0" w:firstLineChars="0"/>
        <w:jc w:val="center"/>
        <w:textAlignment w:val="auto"/>
        <w:outlineLvl w:val="0"/>
        <w:rPr>
          <w:rFonts w:hint="default" w:ascii="Arial" w:hAnsi="Arial" w:cs="Arial"/>
          <w:b/>
          <w:color w:val="auto"/>
          <w:sz w:val="26"/>
          <w:szCs w:val="26"/>
        </w:rPr>
      </w:pPr>
      <w:bookmarkStart w:id="116" w:name="_Toc3224"/>
      <w:r>
        <w:rPr>
          <w:rFonts w:hint="default" w:ascii="Arial" w:hAnsi="Arial" w:cs="Arial"/>
          <w:b/>
          <w:color w:val="auto"/>
          <w:sz w:val="26"/>
          <w:szCs w:val="26"/>
        </w:rPr>
        <w:t>6 营运期环境影响分析</w:t>
      </w:r>
      <w:bookmarkEnd w:id="116"/>
    </w:p>
    <w:p w14:paraId="5755294C">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bookmarkStart w:id="117" w:name="_Toc7071"/>
      <w:r>
        <w:rPr>
          <w:rFonts w:hint="default" w:ascii="Arial" w:hAnsi="Arial" w:cs="Arial"/>
          <w:color w:val="auto"/>
          <w:sz w:val="26"/>
          <w:szCs w:val="26"/>
        </w:rPr>
        <w:t>6.1</w:t>
      </w:r>
      <w:bookmarkEnd w:id="117"/>
      <w:r>
        <w:rPr>
          <w:rFonts w:hint="eastAsia" w:ascii="Arial" w:hAnsi="Arial" w:cs="Arial"/>
          <w:color w:val="auto"/>
          <w:sz w:val="26"/>
          <w:szCs w:val="26"/>
          <w:lang w:eastAsia="zh-CN"/>
        </w:rPr>
        <w:t>环境空气影响分析</w:t>
      </w:r>
    </w:p>
    <w:p w14:paraId="2BE350F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工程营运期间，不产生工艺性大气污染物，管理人员生活用能源采用电能或液化石油天然气，均属于清洁能源，烟尘、SO</w:t>
      </w:r>
      <w:r>
        <w:rPr>
          <w:rFonts w:hint="eastAsia" w:ascii="Arial" w:hAnsi="Arial" w:eastAsia="宋体" w:cs="Arial"/>
          <w:color w:val="000000"/>
          <w:sz w:val="26"/>
          <w:szCs w:val="26"/>
          <w:vertAlign w:val="subscript"/>
          <w:lang w:val="en-US" w:eastAsia="zh-CN"/>
        </w:rPr>
        <w:t>2</w:t>
      </w:r>
      <w:r>
        <w:rPr>
          <w:rFonts w:hint="eastAsia" w:ascii="Arial" w:hAnsi="Arial" w:eastAsia="宋体" w:cs="Arial"/>
          <w:color w:val="000000"/>
          <w:sz w:val="26"/>
          <w:szCs w:val="26"/>
          <w:lang w:val="en-US" w:eastAsia="zh-CN"/>
        </w:rPr>
        <w:t>、NO</w:t>
      </w:r>
      <w:r>
        <w:rPr>
          <w:rFonts w:hint="eastAsia" w:ascii="Arial" w:hAnsi="Arial" w:eastAsia="宋体" w:cs="Arial"/>
          <w:color w:val="000000"/>
          <w:sz w:val="26"/>
          <w:szCs w:val="26"/>
          <w:vertAlign w:val="subscript"/>
          <w:lang w:val="en-US" w:eastAsia="zh-CN"/>
        </w:rPr>
        <w:t>x</w:t>
      </w:r>
      <w:r>
        <w:rPr>
          <w:rFonts w:hint="eastAsia" w:ascii="Arial" w:hAnsi="Arial" w:eastAsia="宋体" w:cs="Arial"/>
          <w:color w:val="000000"/>
          <w:sz w:val="26"/>
          <w:szCs w:val="26"/>
          <w:lang w:val="en-US" w:eastAsia="zh-CN"/>
        </w:rPr>
        <w:t>和油烟等大气污染物产生量极少。食堂仅提供简易工作餐，烹饪油烟采用油烟净化器处理后引至超屋顶排放，对区域环境空气基本无影响。</w:t>
      </w:r>
    </w:p>
    <w:p w14:paraId="40238A91">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r>
        <w:rPr>
          <w:rFonts w:hint="default" w:ascii="Arial" w:hAnsi="Arial" w:cs="Arial"/>
          <w:color w:val="auto"/>
          <w:sz w:val="26"/>
          <w:szCs w:val="26"/>
        </w:rPr>
        <w:t>6.</w:t>
      </w:r>
      <w:r>
        <w:rPr>
          <w:rFonts w:hint="eastAsia" w:ascii="Arial" w:hAnsi="Arial" w:cs="Arial"/>
          <w:color w:val="auto"/>
          <w:sz w:val="26"/>
          <w:szCs w:val="26"/>
          <w:lang w:val="en-US" w:eastAsia="zh-CN"/>
        </w:rPr>
        <w:t>2</w:t>
      </w:r>
      <w:r>
        <w:rPr>
          <w:rFonts w:hint="eastAsia" w:ascii="Arial" w:hAnsi="Arial" w:cs="Arial"/>
          <w:color w:val="auto"/>
          <w:sz w:val="26"/>
          <w:szCs w:val="26"/>
          <w:lang w:eastAsia="zh-CN"/>
        </w:rPr>
        <w:t>声环境影响分析</w:t>
      </w:r>
    </w:p>
    <w:p w14:paraId="3FDC6CA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本工程属水源项目，枢纽工程主要噪声源为闸阀房内控制阀、溢洪道启闭设备运行噪声，属于偶发、瞬时性噪声源，无水泵等固定噪声源，且其四周200m范围内无居民点居住，对外环境影响小。</w:t>
      </w:r>
    </w:p>
    <w:p w14:paraId="22D241B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输水工程均为重力自流，沿线未设置提升泵站等，对外环境影响小。</w:t>
      </w:r>
    </w:p>
    <w:p w14:paraId="2922819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上坝道路主要链接区域已建农村公路、大坝、闸阀房，车流量小，主要为库区人员、物料流动，且距离周边居民点较远，交通噪声对外环境影响小。</w:t>
      </w:r>
    </w:p>
    <w:p w14:paraId="15D49E98">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r>
        <w:rPr>
          <w:rFonts w:hint="default" w:ascii="Arial" w:hAnsi="Arial" w:cs="Arial"/>
          <w:color w:val="auto"/>
          <w:sz w:val="26"/>
          <w:szCs w:val="26"/>
        </w:rPr>
        <w:t>6.</w:t>
      </w:r>
      <w:r>
        <w:rPr>
          <w:rFonts w:hint="eastAsia" w:ascii="Arial" w:hAnsi="Arial" w:cs="Arial"/>
          <w:color w:val="auto"/>
          <w:sz w:val="26"/>
          <w:szCs w:val="26"/>
          <w:lang w:val="en-US" w:eastAsia="zh-CN"/>
        </w:rPr>
        <w:t>3固体废弃物</w:t>
      </w:r>
      <w:r>
        <w:rPr>
          <w:rFonts w:hint="eastAsia" w:ascii="Arial" w:hAnsi="Arial" w:cs="Arial"/>
          <w:color w:val="auto"/>
          <w:sz w:val="26"/>
          <w:szCs w:val="26"/>
          <w:lang w:eastAsia="zh-CN"/>
        </w:rPr>
        <w:t>影响分析</w:t>
      </w:r>
    </w:p>
    <w:p w14:paraId="632C5B0F">
      <w:pPr>
        <w:pStyle w:val="2113"/>
        <w:ind w:firstLine="520"/>
        <w:rPr>
          <w:rFonts w:ascii="Arial" w:hAnsi="宋体" w:cs="Arial"/>
          <w:color w:val="auto"/>
          <w:sz w:val="26"/>
          <w:szCs w:val="26"/>
        </w:rPr>
      </w:pPr>
      <w:r>
        <w:rPr>
          <w:rFonts w:ascii="Arial" w:cs="Arial"/>
          <w:color w:val="auto"/>
          <w:sz w:val="26"/>
          <w:szCs w:val="26"/>
        </w:rPr>
        <w:t>营运期固体废物以管理人员生活垃圾、餐厨垃圾和库内漂浮物为主。生活垃圾、餐厨垃圾产生量</w:t>
      </w:r>
      <w:r>
        <w:rPr>
          <w:rFonts w:hint="eastAsia" w:ascii="Arial" w:cs="Arial"/>
          <w:color w:val="auto"/>
          <w:sz w:val="26"/>
          <w:szCs w:val="26"/>
        </w:rPr>
        <w:t>分别</w:t>
      </w:r>
      <w:r>
        <w:rPr>
          <w:rFonts w:ascii="Arial" w:cs="Arial"/>
          <w:color w:val="auto"/>
          <w:sz w:val="26"/>
          <w:szCs w:val="26"/>
        </w:rPr>
        <w:t>为</w:t>
      </w:r>
      <w:r>
        <w:rPr>
          <w:rFonts w:hint="eastAsia" w:ascii="Arial" w:hAnsi="Arial" w:cs="Arial"/>
          <w:color w:val="auto"/>
          <w:sz w:val="26"/>
          <w:szCs w:val="26"/>
          <w:lang w:val="en-US" w:eastAsia="zh-CN"/>
        </w:rPr>
        <w:t>2</w:t>
      </w:r>
      <w:r>
        <w:rPr>
          <w:rFonts w:ascii="Arial" w:hAnsi="Arial" w:cs="Arial"/>
          <w:color w:val="auto"/>
          <w:sz w:val="26"/>
          <w:szCs w:val="26"/>
        </w:rPr>
        <w:t>kg/d</w:t>
      </w:r>
      <w:r>
        <w:rPr>
          <w:rFonts w:hint="eastAsia" w:ascii="Arial" w:hAnsi="Arial" w:cs="Arial"/>
          <w:color w:val="auto"/>
          <w:sz w:val="26"/>
          <w:szCs w:val="26"/>
        </w:rPr>
        <w:t>（</w:t>
      </w:r>
      <w:r>
        <w:rPr>
          <w:rFonts w:hint="eastAsia" w:ascii="Arial" w:hAnsi="Arial" w:cs="Arial"/>
          <w:color w:val="auto"/>
          <w:sz w:val="26"/>
          <w:szCs w:val="26"/>
          <w:lang w:val="en-US" w:eastAsia="zh-CN"/>
        </w:rPr>
        <w:t>0.73</w:t>
      </w:r>
      <w:r>
        <w:rPr>
          <w:rFonts w:ascii="Arial" w:hAnsi="Arial" w:cs="Arial"/>
          <w:color w:val="auto"/>
          <w:sz w:val="26"/>
          <w:szCs w:val="26"/>
        </w:rPr>
        <w:t>t/a</w:t>
      </w:r>
      <w:r>
        <w:rPr>
          <w:rFonts w:hint="eastAsia" w:ascii="Arial" w:hAnsi="Arial" w:cs="Arial"/>
          <w:color w:val="auto"/>
          <w:sz w:val="26"/>
          <w:szCs w:val="26"/>
        </w:rPr>
        <w:t>）</w:t>
      </w:r>
      <w:r>
        <w:rPr>
          <w:rFonts w:ascii="Arial" w:cs="Arial"/>
          <w:color w:val="auto"/>
          <w:sz w:val="26"/>
          <w:szCs w:val="26"/>
        </w:rPr>
        <w:t>、</w:t>
      </w:r>
      <w:r>
        <w:rPr>
          <w:rFonts w:hint="eastAsia" w:ascii="Arial" w:hAnsi="Arial" w:cs="Arial"/>
          <w:color w:val="auto"/>
          <w:sz w:val="26"/>
          <w:szCs w:val="26"/>
          <w:lang w:val="en-US" w:eastAsia="zh-CN"/>
        </w:rPr>
        <w:t>0.8</w:t>
      </w:r>
      <w:r>
        <w:rPr>
          <w:rFonts w:ascii="Arial" w:hAnsi="Arial" w:cs="Arial"/>
          <w:color w:val="auto"/>
          <w:sz w:val="26"/>
          <w:szCs w:val="26"/>
        </w:rPr>
        <w:t>kg/d</w:t>
      </w:r>
      <w:r>
        <w:rPr>
          <w:rFonts w:hint="eastAsia" w:ascii="Arial" w:hAnsi="Arial" w:cs="Arial"/>
          <w:color w:val="auto"/>
          <w:sz w:val="26"/>
          <w:szCs w:val="26"/>
        </w:rPr>
        <w:t>（</w:t>
      </w:r>
      <w:r>
        <w:rPr>
          <w:rFonts w:hint="eastAsia" w:ascii="Arial" w:hAnsi="Arial" w:cs="Arial"/>
          <w:color w:val="auto"/>
          <w:sz w:val="26"/>
          <w:szCs w:val="26"/>
          <w:lang w:val="en-US" w:eastAsia="zh-CN"/>
        </w:rPr>
        <w:t>0.292</w:t>
      </w:r>
      <w:r>
        <w:rPr>
          <w:rFonts w:ascii="Arial" w:hAnsi="Arial" w:cs="Arial"/>
          <w:color w:val="auto"/>
          <w:sz w:val="26"/>
          <w:szCs w:val="26"/>
        </w:rPr>
        <w:t>t/a</w:t>
      </w:r>
      <w:r>
        <w:rPr>
          <w:rFonts w:hint="eastAsia" w:ascii="Arial" w:hAnsi="Arial" w:cs="Arial"/>
          <w:color w:val="auto"/>
          <w:sz w:val="26"/>
          <w:szCs w:val="26"/>
        </w:rPr>
        <w:t>）</w:t>
      </w:r>
      <w:r>
        <w:rPr>
          <w:rFonts w:hint="eastAsia" w:ascii="Arial" w:cs="Arial"/>
          <w:color w:val="auto"/>
          <w:sz w:val="26"/>
          <w:szCs w:val="26"/>
        </w:rPr>
        <w:t>，</w:t>
      </w:r>
      <w:r>
        <w:rPr>
          <w:rFonts w:ascii="Arial" w:cs="Arial"/>
          <w:color w:val="auto"/>
          <w:sz w:val="26"/>
          <w:szCs w:val="26"/>
        </w:rPr>
        <w:t>生活垃圾</w:t>
      </w:r>
      <w:r>
        <w:rPr>
          <w:rFonts w:hint="eastAsia" w:ascii="Arial" w:cs="Arial"/>
          <w:color w:val="auto"/>
          <w:sz w:val="26"/>
          <w:szCs w:val="26"/>
        </w:rPr>
        <w:t>集中收集后，交当地环卫部门统一清运处置；餐厨垃圾桶装收集后，交有资质单位清运处置</w:t>
      </w:r>
      <w:r>
        <w:rPr>
          <w:rFonts w:hint="eastAsia" w:ascii="Arial" w:hAnsi="宋体" w:cs="Arial"/>
          <w:color w:val="auto"/>
          <w:sz w:val="26"/>
          <w:szCs w:val="26"/>
        </w:rPr>
        <w:t>。</w:t>
      </w:r>
    </w:p>
    <w:p w14:paraId="44E88759">
      <w:pPr>
        <w:pStyle w:val="2113"/>
        <w:ind w:firstLine="520"/>
        <w:rPr>
          <w:rFonts w:ascii="Arial" w:hAnsi="宋体" w:cs="Arial"/>
          <w:color w:val="auto"/>
          <w:sz w:val="26"/>
          <w:szCs w:val="26"/>
        </w:rPr>
      </w:pPr>
      <w:r>
        <w:rPr>
          <w:rFonts w:hint="eastAsia" w:ascii="Arial" w:hAnsi="宋体" w:cs="Arial"/>
          <w:color w:val="auto"/>
          <w:sz w:val="26"/>
          <w:szCs w:val="26"/>
        </w:rPr>
        <w:t>由于水库的筑坝会阻挡水中漂浮物的流动，截流在坝前，影响水质和景观。因此，为了保护水库水质和水库景观，</w:t>
      </w:r>
      <w:r>
        <w:rPr>
          <w:rFonts w:hint="eastAsia" w:ascii="Arial" w:hAnsi="宋体" w:cs="Arial"/>
          <w:color w:val="auto"/>
          <w:sz w:val="26"/>
          <w:szCs w:val="26"/>
          <w:lang w:eastAsia="zh-CN"/>
        </w:rPr>
        <w:t>库区建有环库巡检步道，同时</w:t>
      </w:r>
      <w:r>
        <w:rPr>
          <w:rFonts w:hint="eastAsia" w:ascii="Arial" w:hAnsi="宋体" w:cs="Arial"/>
          <w:color w:val="auto"/>
          <w:sz w:val="26"/>
          <w:szCs w:val="26"/>
        </w:rPr>
        <w:t>配备</w:t>
      </w:r>
      <w:r>
        <w:rPr>
          <w:rFonts w:ascii="Arial" w:hAnsi="宋体" w:cs="Arial"/>
          <w:color w:val="auto"/>
          <w:sz w:val="26"/>
          <w:szCs w:val="26"/>
        </w:rPr>
        <w:t>1-2</w:t>
      </w:r>
      <w:r>
        <w:rPr>
          <w:rFonts w:hint="eastAsia" w:ascii="Arial" w:hAnsi="宋体" w:cs="Arial"/>
          <w:color w:val="auto"/>
          <w:sz w:val="26"/>
          <w:szCs w:val="26"/>
        </w:rPr>
        <w:t>艘打捞船打捞库区漂浮物。打捞出的漂浮物约</w:t>
      </w:r>
      <w:r>
        <w:rPr>
          <w:rFonts w:hint="eastAsia" w:ascii="Arial" w:hAnsi="宋体" w:cs="Arial"/>
          <w:color w:val="auto"/>
          <w:sz w:val="26"/>
          <w:szCs w:val="26"/>
          <w:lang w:val="en-US" w:eastAsia="zh-CN"/>
        </w:rPr>
        <w:t>18</w:t>
      </w:r>
      <w:r>
        <w:rPr>
          <w:rFonts w:ascii="Arial" w:hAnsi="宋体" w:cs="Arial"/>
          <w:color w:val="auto"/>
          <w:sz w:val="26"/>
          <w:szCs w:val="26"/>
        </w:rPr>
        <w:t>0t/a</w:t>
      </w:r>
      <w:r>
        <w:rPr>
          <w:rFonts w:hint="eastAsia" w:ascii="Arial" w:hAnsi="宋体" w:cs="Arial"/>
          <w:color w:val="auto"/>
          <w:sz w:val="26"/>
          <w:szCs w:val="26"/>
        </w:rPr>
        <w:t>，统一收集后</w:t>
      </w:r>
      <w:r>
        <w:rPr>
          <w:rFonts w:hint="eastAsia" w:ascii="Arial" w:hAnsi="宋体" w:cs="Arial"/>
          <w:color w:val="auto"/>
          <w:sz w:val="26"/>
          <w:szCs w:val="26"/>
          <w:lang w:eastAsia="zh-CN"/>
        </w:rPr>
        <w:t>交当地市政环卫部门统一清运处置</w:t>
      </w:r>
      <w:r>
        <w:rPr>
          <w:rFonts w:hint="eastAsia" w:ascii="Arial" w:hAnsi="宋体" w:cs="Arial"/>
          <w:color w:val="auto"/>
          <w:sz w:val="26"/>
          <w:szCs w:val="26"/>
        </w:rPr>
        <w:t>。</w:t>
      </w:r>
    </w:p>
    <w:p w14:paraId="1421316A">
      <w:pPr>
        <w:pStyle w:val="2113"/>
        <w:ind w:firstLine="520"/>
        <w:rPr>
          <w:rFonts w:hint="eastAsia" w:ascii="Arial" w:hAnsi="宋体" w:cs="Arial"/>
          <w:color w:val="auto"/>
          <w:sz w:val="26"/>
          <w:szCs w:val="26"/>
        </w:rPr>
      </w:pPr>
      <w:r>
        <w:rPr>
          <w:rFonts w:hint="eastAsia" w:ascii="Arial" w:hAnsi="宋体" w:cs="Arial"/>
          <w:color w:val="auto"/>
          <w:sz w:val="26"/>
          <w:szCs w:val="26"/>
        </w:rPr>
        <w:t>综上，上述固体废物均得到合理处置，避免了对环境产生二次污染。</w:t>
      </w:r>
    </w:p>
    <w:p w14:paraId="7FDD4F22">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r>
        <w:rPr>
          <w:rFonts w:hint="default" w:ascii="Arial" w:hAnsi="Arial" w:cs="Arial"/>
          <w:color w:val="auto"/>
          <w:sz w:val="26"/>
          <w:szCs w:val="26"/>
        </w:rPr>
        <w:t>6.</w:t>
      </w:r>
      <w:r>
        <w:rPr>
          <w:rFonts w:hint="eastAsia" w:ascii="Arial" w:hAnsi="Arial" w:cs="Arial"/>
          <w:color w:val="auto"/>
          <w:sz w:val="26"/>
          <w:szCs w:val="26"/>
          <w:lang w:val="en-US" w:eastAsia="zh-CN"/>
        </w:rPr>
        <w:t>4地下水环境影响</w:t>
      </w:r>
      <w:r>
        <w:rPr>
          <w:rFonts w:hint="eastAsia" w:ascii="Arial" w:hAnsi="Arial" w:cs="Arial"/>
          <w:color w:val="auto"/>
          <w:sz w:val="26"/>
          <w:szCs w:val="26"/>
          <w:lang w:eastAsia="zh-CN"/>
        </w:rPr>
        <w:t>分析</w:t>
      </w:r>
    </w:p>
    <w:p w14:paraId="33683425">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6.4.1库区对地下水环境的影响分析</w:t>
      </w:r>
    </w:p>
    <w:p w14:paraId="6FA54828">
      <w:pPr>
        <w:pStyle w:val="2113"/>
        <w:ind w:firstLine="520"/>
        <w:rPr>
          <w:rFonts w:hint="eastAsia" w:ascii="Arial" w:cs="Arial"/>
          <w:color w:val="auto"/>
          <w:sz w:val="26"/>
          <w:szCs w:val="26"/>
        </w:rPr>
      </w:pPr>
      <w:r>
        <w:rPr>
          <w:rFonts w:hint="eastAsia" w:ascii="Arial" w:cs="Arial"/>
          <w:color w:val="auto"/>
          <w:sz w:val="26"/>
          <w:szCs w:val="26"/>
        </w:rPr>
        <w:t>水库蓄水后，水面由原来的河流型变为湖泊型，水位抬高，水面面积增大。当地下水位低于水库正常高水位时，如果岩层具有一定的透水性时，水库会发生渗漏，使地下水水位升高造成坝后浸没；水位升高还会导致次生盐渍化、砂土液化、地面不均匀沉降等问题。</w:t>
      </w:r>
    </w:p>
    <w:p w14:paraId="2D8AD59E">
      <w:pPr>
        <w:pStyle w:val="2113"/>
        <w:ind w:firstLine="520"/>
        <w:rPr>
          <w:rFonts w:hint="eastAsia" w:ascii="Arial" w:cs="Arial"/>
          <w:color w:val="auto"/>
          <w:sz w:val="26"/>
          <w:szCs w:val="26"/>
        </w:rPr>
      </w:pPr>
      <w:r>
        <w:rPr>
          <w:rFonts w:hint="eastAsia" w:ascii="Arial" w:cs="Arial"/>
          <w:color w:val="auto"/>
          <w:sz w:val="26"/>
          <w:szCs w:val="26"/>
        </w:rPr>
        <w:t>库区地下水按其埋藏条件和含水层岩性不同，可分为</w:t>
      </w:r>
      <w:r>
        <w:rPr>
          <w:rFonts w:hint="default" w:ascii="Arial" w:hAnsi="Arial" w:cs="Arial"/>
          <w:color w:val="auto"/>
          <w:sz w:val="26"/>
          <w:szCs w:val="26"/>
        </w:rPr>
        <w:t>碳酸盐岩岩溶水、碎屑岩裂隙水、红层裂隙水及松散层孔隙水</w:t>
      </w:r>
      <w:r>
        <w:rPr>
          <w:rFonts w:hint="eastAsia" w:ascii="Arial" w:hAnsi="Arial" w:cs="Arial"/>
          <w:color w:val="auto"/>
          <w:sz w:val="26"/>
          <w:szCs w:val="26"/>
          <w:lang w:eastAsia="zh-CN"/>
        </w:rPr>
        <w:t>，主要</w:t>
      </w:r>
      <w:r>
        <w:rPr>
          <w:rFonts w:hint="default" w:ascii="Arial" w:hAnsi="Arial" w:cs="Arial"/>
          <w:color w:val="auto"/>
          <w:sz w:val="26"/>
          <w:szCs w:val="26"/>
        </w:rPr>
        <w:t>受大气降水或地表水的补给</w:t>
      </w:r>
      <w:r>
        <w:rPr>
          <w:rFonts w:hint="eastAsia" w:ascii="Arial" w:cs="Arial"/>
          <w:color w:val="auto"/>
          <w:sz w:val="26"/>
          <w:szCs w:val="26"/>
        </w:rPr>
        <w:t>，通过两岸及河床岩（土）体的孔隙、裂隙通道径流向</w:t>
      </w:r>
      <w:r>
        <w:rPr>
          <w:rFonts w:hint="eastAsia" w:ascii="Arial" w:cs="Arial"/>
          <w:color w:val="auto"/>
          <w:sz w:val="26"/>
          <w:szCs w:val="26"/>
          <w:lang w:eastAsia="zh-CN"/>
        </w:rPr>
        <w:t>海螺沟</w:t>
      </w:r>
      <w:r>
        <w:rPr>
          <w:rFonts w:hint="eastAsia" w:ascii="Arial" w:cs="Arial"/>
          <w:color w:val="auto"/>
          <w:sz w:val="26"/>
          <w:szCs w:val="26"/>
        </w:rPr>
        <w:t>排泄，</w:t>
      </w:r>
      <w:r>
        <w:rPr>
          <w:rFonts w:hint="eastAsia" w:ascii="Arial" w:cs="Arial"/>
          <w:color w:val="auto"/>
          <w:sz w:val="26"/>
          <w:szCs w:val="26"/>
          <w:lang w:eastAsia="zh-CN"/>
        </w:rPr>
        <w:t>海螺沟</w:t>
      </w:r>
      <w:r>
        <w:rPr>
          <w:rFonts w:hint="eastAsia" w:ascii="Arial" w:cs="Arial"/>
          <w:color w:val="auto"/>
          <w:sz w:val="26"/>
          <w:szCs w:val="26"/>
        </w:rPr>
        <w:t>为本区地下水的最低排泄基准面。</w:t>
      </w:r>
    </w:p>
    <w:p w14:paraId="755FE95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cs="Arial"/>
          <w:color w:val="auto"/>
          <w:sz w:val="26"/>
          <w:szCs w:val="26"/>
        </w:rPr>
        <w:t>库区两岸地形完整，分水岭宽厚，两岸分水岭地带植被发育，地形封闭条件较好，库区两岸均有高于正常蓄水位的地下分水岭存在，水库蓄水后产生渗漏的可能性小。但水库蓄水后，会引起水库周边地下水位雍高。由于水库主要是拦截地表水，不会减少</w:t>
      </w:r>
      <w:r>
        <w:rPr>
          <w:rFonts w:hint="eastAsia" w:ascii="Arial" w:cs="Arial"/>
          <w:color w:val="auto"/>
          <w:sz w:val="26"/>
          <w:szCs w:val="26"/>
          <w:lang w:eastAsia="zh-CN"/>
        </w:rPr>
        <w:t>库区四周</w:t>
      </w:r>
      <w:r>
        <w:rPr>
          <w:rFonts w:hint="eastAsia" w:ascii="Arial" w:cs="Arial"/>
          <w:color w:val="auto"/>
          <w:sz w:val="26"/>
          <w:szCs w:val="26"/>
        </w:rPr>
        <w:t>地下水量，因此不会引起土地沙化。由于库区位于山区丘陵峡谷之中，岸坡高陡，且基岩大面积出露，不会造成盐渍化。</w:t>
      </w:r>
    </w:p>
    <w:p w14:paraId="21059AF2">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6.4.2坝后减水对地下水环境的影响分析</w:t>
      </w:r>
    </w:p>
    <w:p w14:paraId="0A1C262F">
      <w:pPr>
        <w:pStyle w:val="2113"/>
        <w:ind w:firstLine="520"/>
        <w:rPr>
          <w:rFonts w:hint="eastAsia" w:ascii="Arial" w:cs="Arial"/>
          <w:color w:val="auto"/>
          <w:sz w:val="26"/>
          <w:szCs w:val="26"/>
        </w:rPr>
      </w:pPr>
      <w:r>
        <w:rPr>
          <w:rFonts w:hint="eastAsia" w:ascii="Arial" w:cs="Arial"/>
          <w:color w:val="auto"/>
          <w:sz w:val="26"/>
          <w:szCs w:val="26"/>
        </w:rPr>
        <w:t>拟建坝址下会形成</w:t>
      </w:r>
      <w:r>
        <w:rPr>
          <w:rFonts w:hint="eastAsia" w:ascii="Arial" w:cs="Arial"/>
          <w:color w:val="auto"/>
          <w:sz w:val="26"/>
          <w:szCs w:val="26"/>
          <w:lang w:val="en-US" w:eastAsia="zh-CN"/>
        </w:rPr>
        <w:t>1.54</w:t>
      </w:r>
      <w:r>
        <w:rPr>
          <w:rFonts w:ascii="Arial" w:cs="Arial"/>
          <w:color w:val="auto"/>
          <w:sz w:val="26"/>
          <w:szCs w:val="26"/>
        </w:rPr>
        <w:t>km</w:t>
      </w:r>
      <w:r>
        <w:rPr>
          <w:rFonts w:hint="eastAsia" w:ascii="Arial" w:cs="Arial"/>
          <w:color w:val="auto"/>
          <w:sz w:val="26"/>
          <w:szCs w:val="26"/>
        </w:rPr>
        <w:t>的减水河段，但减水河段内无天然地下溶洞、泉眼等出露。根据区域水文地质情况，地下水类型以</w:t>
      </w:r>
      <w:r>
        <w:rPr>
          <w:rFonts w:hint="default" w:ascii="Arial" w:hAnsi="Arial" w:cs="Arial"/>
          <w:color w:val="auto"/>
          <w:sz w:val="26"/>
          <w:szCs w:val="26"/>
        </w:rPr>
        <w:t>碳酸盐岩岩溶水、碎屑岩裂隙水、红层裂隙水及松散层孔隙水</w:t>
      </w:r>
      <w:r>
        <w:rPr>
          <w:rFonts w:hint="eastAsia" w:ascii="Arial" w:cs="Arial"/>
          <w:color w:val="auto"/>
          <w:sz w:val="26"/>
          <w:szCs w:val="26"/>
        </w:rPr>
        <w:t>为主，主要接受大气降水</w:t>
      </w:r>
      <w:r>
        <w:rPr>
          <w:rFonts w:hint="default" w:ascii="Arial" w:hAnsi="Arial" w:cs="Arial"/>
          <w:color w:val="auto"/>
          <w:sz w:val="26"/>
          <w:szCs w:val="26"/>
        </w:rPr>
        <w:t>或地表水的补给</w:t>
      </w:r>
      <w:r>
        <w:rPr>
          <w:rFonts w:hint="eastAsia" w:ascii="Arial" w:cs="Arial"/>
          <w:color w:val="auto"/>
          <w:sz w:val="26"/>
          <w:szCs w:val="26"/>
        </w:rPr>
        <w:t>补给</w:t>
      </w:r>
      <w:r>
        <w:rPr>
          <w:rFonts w:hint="eastAsia" w:ascii="Arial" w:cs="Arial"/>
          <w:color w:val="auto"/>
          <w:sz w:val="26"/>
          <w:szCs w:val="26"/>
          <w:lang w:eastAsia="zh-CN"/>
        </w:rPr>
        <w:t>。下游减水河段内</w:t>
      </w:r>
      <w:r>
        <w:rPr>
          <w:rFonts w:hint="eastAsia" w:ascii="Arial" w:cs="Arial"/>
          <w:color w:val="auto"/>
          <w:sz w:val="26"/>
          <w:szCs w:val="26"/>
        </w:rPr>
        <w:t>地下水接受补给的范围大，含水丰富，水量相对较稳定。坝后多年平均弃水量为</w:t>
      </w:r>
      <w:r>
        <w:rPr>
          <w:rFonts w:hint="eastAsia" w:ascii="Arial" w:cs="Arial"/>
          <w:color w:val="auto"/>
          <w:sz w:val="26"/>
          <w:szCs w:val="26"/>
          <w:lang w:val="en-US" w:eastAsia="zh-CN"/>
        </w:rPr>
        <w:t>12.97</w:t>
      </w:r>
      <w:r>
        <w:rPr>
          <w:rFonts w:hint="eastAsia" w:ascii="Arial" w:cs="Arial"/>
          <w:color w:val="auto"/>
          <w:sz w:val="26"/>
          <w:szCs w:val="26"/>
        </w:rPr>
        <w:t>万</w:t>
      </w:r>
      <w:r>
        <w:rPr>
          <w:rFonts w:ascii="Arial" w:cs="Arial"/>
          <w:color w:val="auto"/>
          <w:sz w:val="26"/>
          <w:szCs w:val="26"/>
        </w:rPr>
        <w:t>m</w:t>
      </w:r>
      <w:r>
        <w:rPr>
          <w:rFonts w:ascii="Arial" w:cs="Arial"/>
          <w:color w:val="auto"/>
          <w:sz w:val="26"/>
          <w:szCs w:val="26"/>
          <w:vertAlign w:val="superscript"/>
        </w:rPr>
        <w:t>3</w:t>
      </w:r>
      <w:r>
        <w:rPr>
          <w:rFonts w:hint="eastAsia" w:ascii="Arial" w:cs="Arial"/>
          <w:color w:val="auto"/>
          <w:sz w:val="26"/>
          <w:szCs w:val="26"/>
        </w:rPr>
        <w:t>，加之生态水量年</w:t>
      </w:r>
      <w:r>
        <w:rPr>
          <w:rFonts w:hint="eastAsia" w:ascii="Arial" w:cs="Arial"/>
          <w:color w:val="auto"/>
          <w:sz w:val="26"/>
          <w:szCs w:val="26"/>
          <w:lang w:val="en-US" w:eastAsia="zh-CN"/>
        </w:rPr>
        <w:t>15.75</w:t>
      </w:r>
      <w:r>
        <w:rPr>
          <w:rFonts w:hint="eastAsia" w:ascii="Arial" w:cs="Arial"/>
          <w:color w:val="auto"/>
          <w:sz w:val="26"/>
          <w:szCs w:val="26"/>
        </w:rPr>
        <w:t>万m</w:t>
      </w:r>
      <w:r>
        <w:rPr>
          <w:rFonts w:hint="eastAsia" w:ascii="Arial" w:cs="Arial"/>
          <w:color w:val="auto"/>
          <w:sz w:val="26"/>
          <w:szCs w:val="26"/>
          <w:vertAlign w:val="superscript"/>
        </w:rPr>
        <w:t>3</w:t>
      </w:r>
      <w:r>
        <w:rPr>
          <w:rFonts w:hint="eastAsia" w:ascii="Arial" w:cs="Arial"/>
          <w:color w:val="auto"/>
          <w:sz w:val="26"/>
          <w:szCs w:val="26"/>
        </w:rPr>
        <w:t>的下渗，评价认为工程建成后虽然在坝后形成减水河段，但有坝后弃水、生态流量下渗以及沿途接受大气降水补给，坝后水量的减少对地下水环境的影响不大。</w:t>
      </w:r>
    </w:p>
    <w:p w14:paraId="499025DF">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b/>
          <w:bCs/>
          <w:color w:val="000000"/>
          <w:sz w:val="26"/>
          <w:szCs w:val="26"/>
          <w:lang w:val="en-US" w:eastAsia="zh-CN"/>
        </w:rPr>
        <w:t>6.4.3灌区对地下水环境的影响分析</w:t>
      </w:r>
    </w:p>
    <w:p w14:paraId="6F7CD1BC">
      <w:pPr>
        <w:pStyle w:val="2113"/>
        <w:ind w:firstLine="520"/>
        <w:rPr>
          <w:rFonts w:ascii="Arial" w:cs="Arial"/>
          <w:color w:val="auto"/>
          <w:sz w:val="26"/>
          <w:szCs w:val="26"/>
        </w:rPr>
      </w:pPr>
      <w:r>
        <w:rPr>
          <w:rFonts w:hint="eastAsia" w:ascii="Arial" w:cs="Arial"/>
          <w:color w:val="auto"/>
          <w:sz w:val="26"/>
          <w:szCs w:val="26"/>
        </w:rPr>
        <w:t>灌区退水少部分经土壤层渗入浅层地下含水层，由于土壤层具有较强的吸附净化能力，灌区退水中</w:t>
      </w:r>
      <w:r>
        <w:rPr>
          <w:rFonts w:ascii="Arial" w:cs="Arial"/>
          <w:color w:val="auto"/>
          <w:sz w:val="26"/>
          <w:szCs w:val="26"/>
        </w:rPr>
        <w:t>N</w:t>
      </w:r>
      <w:r>
        <w:rPr>
          <w:rFonts w:hint="eastAsia" w:ascii="Arial" w:cs="Arial"/>
          <w:color w:val="auto"/>
          <w:sz w:val="26"/>
          <w:szCs w:val="26"/>
        </w:rPr>
        <w:t>、</w:t>
      </w:r>
      <w:r>
        <w:rPr>
          <w:rFonts w:ascii="Arial" w:cs="Arial"/>
          <w:color w:val="auto"/>
          <w:sz w:val="26"/>
          <w:szCs w:val="26"/>
        </w:rPr>
        <w:t>P</w:t>
      </w:r>
      <w:r>
        <w:rPr>
          <w:rFonts w:hint="eastAsia" w:ascii="Arial" w:cs="Arial"/>
          <w:color w:val="auto"/>
          <w:sz w:val="26"/>
          <w:szCs w:val="26"/>
        </w:rPr>
        <w:t>等物质将大部分吸附在土壤层，进入地下含水层量较少，因此灌区退水对地下水水质影响较小。</w:t>
      </w:r>
    </w:p>
    <w:p w14:paraId="128A3C81">
      <w:pPr>
        <w:pStyle w:val="2113"/>
        <w:ind w:firstLine="520"/>
        <w:rPr>
          <w:rFonts w:hint="eastAsia" w:ascii="Arial" w:cs="Arial"/>
          <w:color w:val="auto"/>
          <w:sz w:val="26"/>
          <w:szCs w:val="26"/>
        </w:rPr>
      </w:pPr>
      <w:r>
        <w:rPr>
          <w:rFonts w:hint="eastAsia" w:ascii="Arial" w:cs="Arial"/>
          <w:color w:val="auto"/>
          <w:sz w:val="26"/>
          <w:szCs w:val="26"/>
        </w:rPr>
        <w:t>水库管理人员生活污水由</w:t>
      </w:r>
      <w:r>
        <w:rPr>
          <w:rFonts w:hint="eastAsia" w:ascii="Arial" w:cs="Arial"/>
          <w:color w:val="auto"/>
          <w:sz w:val="26"/>
          <w:szCs w:val="26"/>
          <w:lang w:eastAsia="zh-CN"/>
        </w:rPr>
        <w:t>化粪池</w:t>
      </w:r>
      <w:r>
        <w:rPr>
          <w:rFonts w:hint="eastAsia" w:ascii="Arial" w:cs="Arial"/>
          <w:color w:val="auto"/>
          <w:sz w:val="26"/>
          <w:szCs w:val="26"/>
        </w:rPr>
        <w:t>统一收集</w:t>
      </w:r>
      <w:r>
        <w:rPr>
          <w:rFonts w:hint="eastAsia" w:ascii="Arial" w:cs="Arial"/>
          <w:color w:val="auto"/>
          <w:sz w:val="26"/>
          <w:szCs w:val="26"/>
          <w:lang w:eastAsia="zh-CN"/>
        </w:rPr>
        <w:t>处理</w:t>
      </w:r>
      <w:r>
        <w:rPr>
          <w:rFonts w:hint="eastAsia" w:ascii="Arial" w:cs="Arial"/>
          <w:color w:val="auto"/>
          <w:sz w:val="26"/>
          <w:szCs w:val="26"/>
        </w:rPr>
        <w:t>后，</w:t>
      </w:r>
      <w:r>
        <w:rPr>
          <w:rFonts w:hint="eastAsia" w:ascii="Arial" w:cs="Arial"/>
          <w:color w:val="auto"/>
          <w:sz w:val="26"/>
          <w:szCs w:val="26"/>
          <w:lang w:eastAsia="zh-CN"/>
        </w:rPr>
        <w:t>交附近居民作农肥，不外排</w:t>
      </w:r>
      <w:r>
        <w:rPr>
          <w:rFonts w:hint="eastAsia" w:ascii="Arial" w:cs="Arial"/>
          <w:color w:val="auto"/>
          <w:sz w:val="26"/>
          <w:szCs w:val="26"/>
        </w:rPr>
        <w:t>。生活污水产生量仅为</w:t>
      </w:r>
      <w:r>
        <w:rPr>
          <w:rFonts w:hint="eastAsia" w:ascii="Arial" w:cs="Arial"/>
          <w:color w:val="auto"/>
          <w:sz w:val="26"/>
          <w:szCs w:val="26"/>
          <w:lang w:val="en-US" w:eastAsia="zh-CN"/>
        </w:rPr>
        <w:t>0.54</w:t>
      </w:r>
      <w:r>
        <w:rPr>
          <w:rFonts w:ascii="Arial" w:cs="Arial"/>
          <w:color w:val="auto"/>
          <w:sz w:val="26"/>
          <w:szCs w:val="26"/>
        </w:rPr>
        <w:t>m</w:t>
      </w:r>
      <w:r>
        <w:rPr>
          <w:rFonts w:ascii="Arial" w:cs="Arial"/>
          <w:color w:val="auto"/>
          <w:sz w:val="26"/>
          <w:szCs w:val="26"/>
          <w:vertAlign w:val="superscript"/>
        </w:rPr>
        <w:t>3</w:t>
      </w:r>
      <w:r>
        <w:rPr>
          <w:rFonts w:ascii="Arial" w:cs="Arial"/>
          <w:color w:val="auto"/>
          <w:sz w:val="26"/>
          <w:szCs w:val="26"/>
        </w:rPr>
        <w:t>/d</w:t>
      </w:r>
      <w:r>
        <w:rPr>
          <w:rFonts w:hint="eastAsia" w:ascii="Arial" w:cs="Arial"/>
          <w:color w:val="auto"/>
          <w:sz w:val="26"/>
          <w:szCs w:val="26"/>
        </w:rPr>
        <w:t>，有机污染物、氮元素等经林木吸收后，基本不会对地下水环境造成污染。</w:t>
      </w:r>
    </w:p>
    <w:p w14:paraId="3E46624A">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r>
        <w:rPr>
          <w:rFonts w:hint="default" w:ascii="Arial" w:hAnsi="Arial" w:cs="Arial"/>
          <w:color w:val="auto"/>
          <w:sz w:val="26"/>
          <w:szCs w:val="26"/>
        </w:rPr>
        <w:t>6.</w:t>
      </w:r>
      <w:r>
        <w:rPr>
          <w:rFonts w:hint="eastAsia" w:ascii="Arial" w:hAnsi="Arial" w:cs="Arial"/>
          <w:color w:val="auto"/>
          <w:sz w:val="26"/>
          <w:szCs w:val="26"/>
          <w:lang w:val="en-US" w:eastAsia="zh-CN"/>
        </w:rPr>
        <w:t>5地表水环境影响</w:t>
      </w:r>
      <w:r>
        <w:rPr>
          <w:rFonts w:hint="eastAsia" w:ascii="Arial" w:hAnsi="Arial" w:cs="Arial"/>
          <w:color w:val="auto"/>
          <w:sz w:val="26"/>
          <w:szCs w:val="26"/>
          <w:lang w:eastAsia="zh-CN"/>
        </w:rPr>
        <w:t>分析</w:t>
      </w:r>
    </w:p>
    <w:p w14:paraId="245E86F0">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6.5.1水资源时空分布的影响</w:t>
      </w:r>
    </w:p>
    <w:p w14:paraId="7B7D1C67">
      <w:pPr>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outlineLvl w:val="9"/>
        <w:rPr>
          <w:rFonts w:hint="default" w:ascii="Arial" w:hAnsi="Arial" w:eastAsia="宋体" w:cs="Arial"/>
          <w:b/>
          <w:bCs w:val="0"/>
          <w:snapToGrid w:val="0"/>
          <w:kern w:val="0"/>
          <w:sz w:val="26"/>
          <w:szCs w:val="26"/>
          <w:lang w:val="en-US" w:eastAsia="zh-CN"/>
        </w:rPr>
      </w:pPr>
      <w:r>
        <w:rPr>
          <w:rFonts w:hint="eastAsia" w:ascii="Arial" w:hAnsi="Arial" w:cs="Arial"/>
          <w:b/>
          <w:bCs w:val="0"/>
          <w:snapToGrid w:val="0"/>
          <w:kern w:val="0"/>
          <w:sz w:val="26"/>
          <w:szCs w:val="26"/>
          <w:lang w:eastAsia="zh-CN"/>
        </w:rPr>
        <w:t>（</w:t>
      </w:r>
      <w:r>
        <w:rPr>
          <w:rFonts w:hint="eastAsia" w:ascii="Arial" w:hAnsi="Arial" w:cs="Arial"/>
          <w:b/>
          <w:bCs w:val="0"/>
          <w:snapToGrid w:val="0"/>
          <w:kern w:val="0"/>
          <w:sz w:val="26"/>
          <w:szCs w:val="26"/>
          <w:lang w:val="en-US" w:eastAsia="zh-CN"/>
        </w:rPr>
        <w:t>1）水资源时空分布特点</w:t>
      </w:r>
    </w:p>
    <w:p w14:paraId="344F2517">
      <w:pPr>
        <w:spacing w:line="460" w:lineRule="exact"/>
        <w:ind w:firstLine="520" w:firstLineChars="200"/>
        <w:rPr>
          <w:rFonts w:hint="eastAsia" w:ascii="Arial" w:hAnsi="宋体" w:eastAsia="宋体" w:cs="Arial"/>
          <w:sz w:val="26"/>
          <w:szCs w:val="26"/>
          <w:lang w:eastAsia="zh-CN"/>
        </w:rPr>
      </w:pPr>
      <w:r>
        <w:rPr>
          <w:rFonts w:hint="eastAsia" w:ascii="Arial" w:hAnsi="宋体" w:cs="Arial"/>
          <w:sz w:val="26"/>
          <w:szCs w:val="26"/>
        </w:rPr>
        <w:t>根据项目设计文件径流资料可知，</w:t>
      </w:r>
      <w:r>
        <w:rPr>
          <w:rFonts w:hint="eastAsia" w:ascii="Arial" w:hAnsi="宋体" w:cs="Arial"/>
          <w:sz w:val="26"/>
          <w:szCs w:val="26"/>
          <w:lang w:eastAsia="zh-CN"/>
        </w:rPr>
        <w:t>海螺沟</w:t>
      </w:r>
      <w:r>
        <w:rPr>
          <w:rFonts w:hint="eastAsia" w:ascii="Arial" w:hAnsi="宋体" w:cs="Arial"/>
          <w:sz w:val="26"/>
          <w:szCs w:val="26"/>
        </w:rPr>
        <w:t>水库坝址以上流域内径流量年际年内变化大，时空分配差异大。</w:t>
      </w:r>
      <w:r>
        <w:rPr>
          <w:rFonts w:hint="eastAsia" w:ascii="Arial" w:hAnsi="宋体" w:cs="Arial"/>
          <w:sz w:val="26"/>
          <w:szCs w:val="26"/>
          <w:lang w:eastAsia="zh-CN"/>
        </w:rPr>
        <w:t>海螺沟</w:t>
      </w:r>
      <w:r>
        <w:rPr>
          <w:rFonts w:hint="eastAsia" w:ascii="Arial" w:hAnsi="宋体" w:cs="Arial"/>
          <w:sz w:val="26"/>
          <w:szCs w:val="26"/>
        </w:rPr>
        <w:t>为山溪性河流，河道狭窄，河道内径流受季节影响大，汛期河水陡涨陡落的特点比较明显，径流难以利用；而到枯季，基本无水量。</w:t>
      </w:r>
      <w:r>
        <w:rPr>
          <w:rFonts w:hint="eastAsia" w:ascii="Arial" w:hAnsi="宋体" w:cs="Arial"/>
          <w:sz w:val="26"/>
          <w:szCs w:val="26"/>
          <w:lang w:eastAsia="zh-CN"/>
        </w:rPr>
        <w:t>通过类比两河站径流特点，</w:t>
      </w:r>
      <w:r>
        <w:rPr>
          <w:rFonts w:hint="eastAsia" w:ascii="Arial" w:hAnsi="宋体" w:eastAsia="宋体" w:cs="Arial"/>
          <w:sz w:val="26"/>
          <w:szCs w:val="26"/>
          <w:lang w:eastAsia="zh-CN"/>
        </w:rPr>
        <w:t>求得海螺沟水库坝址年径流为105万m</w:t>
      </w:r>
      <w:r>
        <w:rPr>
          <w:rFonts w:hint="eastAsia" w:ascii="Arial" w:hAnsi="宋体" w:eastAsia="宋体" w:cs="Arial"/>
          <w:sz w:val="26"/>
          <w:szCs w:val="26"/>
          <w:vertAlign w:val="superscript"/>
          <w:lang w:eastAsia="zh-CN"/>
        </w:rPr>
        <w:t>3</w:t>
      </w:r>
      <w:r>
        <w:rPr>
          <w:rFonts w:hint="eastAsia" w:ascii="Arial" w:hAnsi="宋体" w:eastAsia="宋体" w:cs="Arial"/>
          <w:sz w:val="26"/>
          <w:szCs w:val="26"/>
          <w:lang w:eastAsia="zh-CN"/>
        </w:rPr>
        <w:t>，平均流量为0.033m</w:t>
      </w:r>
      <w:r>
        <w:rPr>
          <w:rFonts w:hint="eastAsia" w:ascii="Arial" w:hAnsi="宋体" w:eastAsia="宋体" w:cs="Arial"/>
          <w:sz w:val="26"/>
          <w:szCs w:val="26"/>
          <w:vertAlign w:val="superscript"/>
          <w:lang w:eastAsia="zh-CN"/>
        </w:rPr>
        <w:t>3</w:t>
      </w:r>
      <w:r>
        <w:rPr>
          <w:rFonts w:hint="eastAsia" w:ascii="Arial" w:hAnsi="宋体" w:eastAsia="宋体" w:cs="Arial"/>
          <w:sz w:val="26"/>
          <w:szCs w:val="26"/>
          <w:lang w:eastAsia="zh-CN"/>
        </w:rPr>
        <w:t>/s。按水利年（4月~次年3月）、丰水期（4~10月）、枯水期（11月~次年3月）分别进行统计，其计算成果见表</w:t>
      </w:r>
      <w:r>
        <w:rPr>
          <w:rFonts w:hint="eastAsia" w:ascii="Arial" w:hAnsi="宋体" w:eastAsia="宋体" w:cs="Arial"/>
          <w:sz w:val="26"/>
          <w:szCs w:val="26"/>
          <w:lang w:val="en-US" w:eastAsia="zh-CN"/>
        </w:rPr>
        <w:t>6.5-1所示</w:t>
      </w:r>
      <w:r>
        <w:rPr>
          <w:rFonts w:hint="eastAsia" w:ascii="Arial" w:hAnsi="宋体" w:eastAsia="宋体" w:cs="Arial"/>
          <w:sz w:val="26"/>
          <w:szCs w:val="26"/>
          <w:lang w:eastAsia="zh-CN"/>
        </w:rPr>
        <w:t>。</w:t>
      </w:r>
    </w:p>
    <w:p w14:paraId="24E5155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宋体" w:cs="Arial"/>
          <w:b/>
          <w:bCs/>
          <w:sz w:val="26"/>
          <w:szCs w:val="26"/>
          <w:lang w:val="en-US" w:eastAsia="zh-CN"/>
        </w:rPr>
      </w:pPr>
      <w:r>
        <w:rPr>
          <w:rFonts w:hint="eastAsia" w:ascii="Arial" w:hAnsi="宋体" w:cs="Arial"/>
          <w:b/>
          <w:bCs/>
          <w:sz w:val="26"/>
          <w:szCs w:val="26"/>
          <w:lang w:eastAsia="zh-CN"/>
        </w:rPr>
        <w:t>表</w:t>
      </w:r>
      <w:r>
        <w:rPr>
          <w:rFonts w:hint="eastAsia" w:ascii="Arial" w:hAnsi="宋体" w:cs="Arial"/>
          <w:b/>
          <w:bCs/>
          <w:sz w:val="26"/>
          <w:szCs w:val="26"/>
          <w:lang w:val="en-US" w:eastAsia="zh-CN"/>
        </w:rPr>
        <w:t>6.5-1 海螺沟水库坝址处径流计算成果表</w:t>
      </w:r>
    </w:p>
    <w:tbl>
      <w:tblPr>
        <w:tblStyle w:val="77"/>
        <w:tblW w:w="526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224"/>
        <w:gridCol w:w="1015"/>
        <w:gridCol w:w="676"/>
        <w:gridCol w:w="713"/>
        <w:gridCol w:w="765"/>
        <w:gridCol w:w="820"/>
        <w:gridCol w:w="820"/>
        <w:gridCol w:w="821"/>
        <w:gridCol w:w="820"/>
        <w:gridCol w:w="820"/>
        <w:gridCol w:w="835"/>
      </w:tblGrid>
      <w:tr w14:paraId="18BC84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4" w:hRule="exact"/>
          <w:tblHeader/>
          <w:jc w:val="center"/>
        </w:trPr>
        <w:tc>
          <w:tcPr>
            <w:tcW w:w="656" w:type="pct"/>
            <w:vMerge w:val="restart"/>
            <w:noWrap w:val="0"/>
            <w:vAlign w:val="center"/>
          </w:tcPr>
          <w:p w14:paraId="42E3B5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项目</w:t>
            </w:r>
          </w:p>
        </w:tc>
        <w:tc>
          <w:tcPr>
            <w:tcW w:w="544" w:type="pct"/>
            <w:vMerge w:val="restart"/>
            <w:noWrap w:val="0"/>
            <w:vAlign w:val="center"/>
          </w:tcPr>
          <w:p w14:paraId="540CFE0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均值</w:t>
            </w:r>
          </w:p>
          <w:p w14:paraId="2FA1E95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（m</w:t>
            </w:r>
            <w:r>
              <w:rPr>
                <w:rFonts w:hint="eastAsia" w:ascii="Arial" w:hAnsi="Arial" w:cs="Arial"/>
                <w:sz w:val="22"/>
                <w:szCs w:val="22"/>
                <w:vertAlign w:val="superscript"/>
                <w:lang w:val="en-US" w:eastAsia="zh-CN"/>
              </w:rPr>
              <w:t>3</w:t>
            </w:r>
            <w:r>
              <w:rPr>
                <w:rFonts w:hint="default" w:ascii="Arial" w:hAnsi="Arial" w:cs="Arial"/>
                <w:sz w:val="22"/>
                <w:szCs w:val="22"/>
              </w:rPr>
              <w:t>/s）</w:t>
            </w:r>
          </w:p>
        </w:tc>
        <w:tc>
          <w:tcPr>
            <w:tcW w:w="362" w:type="pct"/>
            <w:vMerge w:val="restart"/>
            <w:noWrap w:val="0"/>
            <w:vAlign w:val="center"/>
          </w:tcPr>
          <w:p w14:paraId="54A1A86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p w14:paraId="1FB888B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Cv</w:t>
            </w:r>
          </w:p>
        </w:tc>
        <w:tc>
          <w:tcPr>
            <w:tcW w:w="382" w:type="pct"/>
            <w:vMerge w:val="restart"/>
            <w:noWrap w:val="0"/>
            <w:vAlign w:val="center"/>
          </w:tcPr>
          <w:p w14:paraId="5DC9A4D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p w14:paraId="038B5A3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Cs/Cv</w:t>
            </w:r>
          </w:p>
        </w:tc>
        <w:tc>
          <w:tcPr>
            <w:tcW w:w="3053" w:type="pct"/>
            <w:gridSpan w:val="7"/>
            <w:noWrap w:val="0"/>
            <w:vAlign w:val="center"/>
          </w:tcPr>
          <w:p w14:paraId="4DE4794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设</w:t>
            </w:r>
            <w:r>
              <w:rPr>
                <w:rFonts w:hint="default" w:ascii="Arial" w:hAnsi="Arial" w:cs="Arial"/>
                <w:sz w:val="22"/>
                <w:szCs w:val="22"/>
              </w:rPr>
              <w:tab/>
            </w:r>
            <w:r>
              <w:rPr>
                <w:rFonts w:hint="default" w:ascii="Arial" w:hAnsi="Arial" w:cs="Arial"/>
                <w:sz w:val="22"/>
                <w:szCs w:val="22"/>
              </w:rPr>
              <w:t>计</w:t>
            </w:r>
            <w:r>
              <w:rPr>
                <w:rFonts w:hint="default" w:ascii="Arial" w:hAnsi="Arial" w:cs="Arial"/>
                <w:sz w:val="22"/>
                <w:szCs w:val="22"/>
              </w:rPr>
              <w:tab/>
            </w:r>
            <w:r>
              <w:rPr>
                <w:rFonts w:hint="default" w:ascii="Arial" w:hAnsi="Arial" w:cs="Arial"/>
                <w:sz w:val="22"/>
                <w:szCs w:val="22"/>
              </w:rPr>
              <w:t>径</w:t>
            </w:r>
            <w:r>
              <w:rPr>
                <w:rFonts w:hint="default" w:ascii="Arial" w:hAnsi="Arial" w:cs="Arial"/>
                <w:sz w:val="22"/>
                <w:szCs w:val="22"/>
              </w:rPr>
              <w:tab/>
            </w:r>
            <w:r>
              <w:rPr>
                <w:rFonts w:hint="default" w:ascii="Arial" w:hAnsi="Arial" w:cs="Arial"/>
                <w:sz w:val="22"/>
                <w:szCs w:val="22"/>
              </w:rPr>
              <w:t>流（m</w:t>
            </w:r>
            <w:r>
              <w:rPr>
                <w:rFonts w:hint="default" w:ascii="Arial" w:hAnsi="Arial" w:cs="Arial"/>
                <w:position w:val="8"/>
                <w:sz w:val="22"/>
                <w:szCs w:val="22"/>
              </w:rPr>
              <w:t>3</w:t>
            </w:r>
            <w:r>
              <w:rPr>
                <w:rFonts w:hint="default" w:ascii="Arial" w:hAnsi="Arial" w:cs="Arial"/>
                <w:sz w:val="22"/>
                <w:szCs w:val="22"/>
              </w:rPr>
              <w:t>/s）</w:t>
            </w:r>
          </w:p>
        </w:tc>
      </w:tr>
      <w:tr w14:paraId="7E74BD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4" w:hRule="exact"/>
          <w:tblHeader/>
          <w:jc w:val="center"/>
        </w:trPr>
        <w:tc>
          <w:tcPr>
            <w:tcW w:w="656" w:type="pct"/>
            <w:vMerge w:val="continue"/>
            <w:noWrap w:val="0"/>
            <w:vAlign w:val="center"/>
          </w:tcPr>
          <w:p w14:paraId="5C68529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544" w:type="pct"/>
            <w:vMerge w:val="continue"/>
            <w:noWrap w:val="0"/>
            <w:vAlign w:val="center"/>
          </w:tcPr>
          <w:p w14:paraId="11FA097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362" w:type="pct"/>
            <w:vMerge w:val="continue"/>
            <w:noWrap w:val="0"/>
            <w:vAlign w:val="center"/>
          </w:tcPr>
          <w:p w14:paraId="3A5A7B7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382" w:type="pct"/>
            <w:vMerge w:val="continue"/>
            <w:noWrap w:val="0"/>
            <w:vAlign w:val="center"/>
          </w:tcPr>
          <w:p w14:paraId="3461E70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410" w:type="pct"/>
            <w:noWrap w:val="0"/>
            <w:vAlign w:val="center"/>
          </w:tcPr>
          <w:p w14:paraId="668EAFA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w:t>
            </w:r>
          </w:p>
        </w:tc>
        <w:tc>
          <w:tcPr>
            <w:tcW w:w="439" w:type="pct"/>
            <w:noWrap w:val="0"/>
            <w:vAlign w:val="center"/>
          </w:tcPr>
          <w:p w14:paraId="2285E50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P=10%</w:t>
            </w:r>
          </w:p>
        </w:tc>
        <w:tc>
          <w:tcPr>
            <w:tcW w:w="439" w:type="pct"/>
            <w:noWrap w:val="0"/>
            <w:vAlign w:val="center"/>
          </w:tcPr>
          <w:p w14:paraId="476C543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P=20%</w:t>
            </w:r>
          </w:p>
        </w:tc>
        <w:tc>
          <w:tcPr>
            <w:tcW w:w="440" w:type="pct"/>
            <w:noWrap w:val="0"/>
            <w:vAlign w:val="center"/>
          </w:tcPr>
          <w:p w14:paraId="4764AFA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P=50%</w:t>
            </w:r>
          </w:p>
        </w:tc>
        <w:tc>
          <w:tcPr>
            <w:tcW w:w="439" w:type="pct"/>
            <w:noWrap w:val="0"/>
            <w:vAlign w:val="center"/>
          </w:tcPr>
          <w:p w14:paraId="6E75D4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P=80%</w:t>
            </w:r>
          </w:p>
        </w:tc>
        <w:tc>
          <w:tcPr>
            <w:tcW w:w="439" w:type="pct"/>
            <w:noWrap w:val="0"/>
            <w:vAlign w:val="center"/>
          </w:tcPr>
          <w:p w14:paraId="3990F99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P=90%</w:t>
            </w:r>
          </w:p>
        </w:tc>
        <w:tc>
          <w:tcPr>
            <w:tcW w:w="444" w:type="pct"/>
            <w:noWrap w:val="0"/>
            <w:vAlign w:val="center"/>
          </w:tcPr>
          <w:p w14:paraId="6A091BD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P=95%</w:t>
            </w:r>
          </w:p>
        </w:tc>
      </w:tr>
      <w:tr w14:paraId="3450CE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4" w:hRule="exact"/>
          <w:jc w:val="center"/>
        </w:trPr>
        <w:tc>
          <w:tcPr>
            <w:tcW w:w="656" w:type="pct"/>
            <w:noWrap w:val="0"/>
            <w:vAlign w:val="center"/>
          </w:tcPr>
          <w:p w14:paraId="549544D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水文年</w:t>
            </w:r>
          </w:p>
        </w:tc>
        <w:tc>
          <w:tcPr>
            <w:tcW w:w="544" w:type="pct"/>
            <w:noWrap w:val="0"/>
            <w:vAlign w:val="center"/>
          </w:tcPr>
          <w:p w14:paraId="0D09731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 xml:space="preserve">0.033 </w:t>
            </w:r>
          </w:p>
        </w:tc>
        <w:tc>
          <w:tcPr>
            <w:tcW w:w="362" w:type="pct"/>
            <w:noWrap w:val="0"/>
            <w:vAlign w:val="center"/>
          </w:tcPr>
          <w:p w14:paraId="77B55C2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0.32</w:t>
            </w:r>
          </w:p>
        </w:tc>
        <w:tc>
          <w:tcPr>
            <w:tcW w:w="382" w:type="pct"/>
            <w:noWrap w:val="0"/>
            <w:vAlign w:val="center"/>
          </w:tcPr>
          <w:p w14:paraId="3DE9738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2.5</w:t>
            </w:r>
          </w:p>
        </w:tc>
        <w:tc>
          <w:tcPr>
            <w:tcW w:w="410" w:type="pct"/>
            <w:noWrap w:val="0"/>
            <w:vAlign w:val="center"/>
          </w:tcPr>
          <w:p w14:paraId="70300F2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 xml:space="preserve">0.0528 </w:t>
            </w:r>
          </w:p>
        </w:tc>
        <w:tc>
          <w:tcPr>
            <w:tcW w:w="439" w:type="pct"/>
            <w:noWrap w:val="0"/>
            <w:vAlign w:val="center"/>
          </w:tcPr>
          <w:p w14:paraId="43ADE70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0.0475 </w:t>
            </w:r>
          </w:p>
        </w:tc>
        <w:tc>
          <w:tcPr>
            <w:tcW w:w="439" w:type="pct"/>
            <w:noWrap w:val="0"/>
            <w:vAlign w:val="center"/>
          </w:tcPr>
          <w:p w14:paraId="52FDA4B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0.0415 </w:t>
            </w:r>
          </w:p>
        </w:tc>
        <w:tc>
          <w:tcPr>
            <w:tcW w:w="440" w:type="pct"/>
            <w:noWrap w:val="0"/>
            <w:vAlign w:val="center"/>
          </w:tcPr>
          <w:p w14:paraId="1A10FA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0.0318 </w:t>
            </w:r>
          </w:p>
        </w:tc>
        <w:tc>
          <w:tcPr>
            <w:tcW w:w="439" w:type="pct"/>
            <w:noWrap w:val="0"/>
            <w:vAlign w:val="center"/>
          </w:tcPr>
          <w:p w14:paraId="22CF9C5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0.0241 </w:t>
            </w:r>
          </w:p>
        </w:tc>
        <w:tc>
          <w:tcPr>
            <w:tcW w:w="439" w:type="pct"/>
            <w:noWrap w:val="0"/>
            <w:vAlign w:val="center"/>
          </w:tcPr>
          <w:p w14:paraId="3D2C930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0.0208 </w:t>
            </w:r>
          </w:p>
        </w:tc>
        <w:tc>
          <w:tcPr>
            <w:tcW w:w="444" w:type="pct"/>
            <w:noWrap w:val="0"/>
            <w:vAlign w:val="center"/>
          </w:tcPr>
          <w:p w14:paraId="4883C7C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0.0186 </w:t>
            </w:r>
          </w:p>
        </w:tc>
      </w:tr>
      <w:tr w14:paraId="471901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4" w:hRule="exact"/>
          <w:jc w:val="center"/>
        </w:trPr>
        <w:tc>
          <w:tcPr>
            <w:tcW w:w="656" w:type="pct"/>
            <w:noWrap w:val="0"/>
            <w:vAlign w:val="center"/>
          </w:tcPr>
          <w:p w14:paraId="7B2C895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4～10月</w:t>
            </w:r>
          </w:p>
        </w:tc>
        <w:tc>
          <w:tcPr>
            <w:tcW w:w="544" w:type="pct"/>
            <w:noWrap w:val="0"/>
            <w:vAlign w:val="center"/>
          </w:tcPr>
          <w:p w14:paraId="7DD3270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0.049 </w:t>
            </w:r>
          </w:p>
        </w:tc>
        <w:tc>
          <w:tcPr>
            <w:tcW w:w="362" w:type="pct"/>
            <w:noWrap w:val="0"/>
            <w:vAlign w:val="center"/>
          </w:tcPr>
          <w:p w14:paraId="245CA26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0.40</w:t>
            </w:r>
          </w:p>
        </w:tc>
        <w:tc>
          <w:tcPr>
            <w:tcW w:w="382" w:type="pct"/>
            <w:noWrap w:val="0"/>
            <w:vAlign w:val="center"/>
          </w:tcPr>
          <w:p w14:paraId="23F5B8D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2.0</w:t>
            </w:r>
          </w:p>
        </w:tc>
        <w:tc>
          <w:tcPr>
            <w:tcW w:w="410" w:type="pct"/>
            <w:noWrap w:val="0"/>
            <w:vAlign w:val="center"/>
          </w:tcPr>
          <w:p w14:paraId="1D1CE95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0.0847 </w:t>
            </w:r>
          </w:p>
        </w:tc>
        <w:tc>
          <w:tcPr>
            <w:tcW w:w="439" w:type="pct"/>
            <w:noWrap w:val="0"/>
            <w:vAlign w:val="center"/>
          </w:tcPr>
          <w:p w14:paraId="01F6F44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0.0750 </w:t>
            </w:r>
          </w:p>
        </w:tc>
        <w:tc>
          <w:tcPr>
            <w:tcW w:w="439" w:type="pct"/>
            <w:noWrap w:val="0"/>
            <w:vAlign w:val="center"/>
          </w:tcPr>
          <w:p w14:paraId="610C2D8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0.0640 </w:t>
            </w:r>
          </w:p>
        </w:tc>
        <w:tc>
          <w:tcPr>
            <w:tcW w:w="440" w:type="pct"/>
            <w:noWrap w:val="0"/>
            <w:vAlign w:val="center"/>
          </w:tcPr>
          <w:p w14:paraId="429B868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0.0462 </w:t>
            </w:r>
          </w:p>
        </w:tc>
        <w:tc>
          <w:tcPr>
            <w:tcW w:w="439" w:type="pct"/>
            <w:noWrap w:val="0"/>
            <w:vAlign w:val="center"/>
          </w:tcPr>
          <w:p w14:paraId="16539EC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0.0322 </w:t>
            </w:r>
          </w:p>
        </w:tc>
        <w:tc>
          <w:tcPr>
            <w:tcW w:w="439" w:type="pct"/>
            <w:noWrap w:val="0"/>
            <w:vAlign w:val="center"/>
          </w:tcPr>
          <w:p w14:paraId="13C1816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0.0260 </w:t>
            </w:r>
          </w:p>
        </w:tc>
        <w:tc>
          <w:tcPr>
            <w:tcW w:w="444" w:type="pct"/>
            <w:noWrap w:val="0"/>
            <w:vAlign w:val="center"/>
          </w:tcPr>
          <w:p w14:paraId="44262D9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0.0218 </w:t>
            </w:r>
          </w:p>
        </w:tc>
      </w:tr>
      <w:tr w14:paraId="0B245A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4" w:hRule="exact"/>
          <w:jc w:val="center"/>
        </w:trPr>
        <w:tc>
          <w:tcPr>
            <w:tcW w:w="656" w:type="pct"/>
            <w:noWrap w:val="0"/>
            <w:vAlign w:val="center"/>
          </w:tcPr>
          <w:p w14:paraId="509B860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11～3月</w:t>
            </w:r>
          </w:p>
        </w:tc>
        <w:tc>
          <w:tcPr>
            <w:tcW w:w="544" w:type="pct"/>
            <w:noWrap w:val="0"/>
            <w:vAlign w:val="center"/>
          </w:tcPr>
          <w:p w14:paraId="6705878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0.011 </w:t>
            </w:r>
          </w:p>
        </w:tc>
        <w:tc>
          <w:tcPr>
            <w:tcW w:w="362" w:type="pct"/>
            <w:noWrap w:val="0"/>
            <w:vAlign w:val="center"/>
          </w:tcPr>
          <w:p w14:paraId="0E35F78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0.46</w:t>
            </w:r>
          </w:p>
        </w:tc>
        <w:tc>
          <w:tcPr>
            <w:tcW w:w="382" w:type="pct"/>
            <w:noWrap w:val="0"/>
            <w:vAlign w:val="center"/>
          </w:tcPr>
          <w:p w14:paraId="2A40D2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2.0</w:t>
            </w:r>
          </w:p>
        </w:tc>
        <w:tc>
          <w:tcPr>
            <w:tcW w:w="410" w:type="pct"/>
            <w:noWrap w:val="0"/>
            <w:vAlign w:val="center"/>
          </w:tcPr>
          <w:p w14:paraId="65FEB8F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0.0209 </w:t>
            </w:r>
          </w:p>
        </w:tc>
        <w:tc>
          <w:tcPr>
            <w:tcW w:w="439" w:type="pct"/>
            <w:noWrap w:val="0"/>
            <w:vAlign w:val="center"/>
          </w:tcPr>
          <w:p w14:paraId="3B74DC0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0.0182 </w:t>
            </w:r>
          </w:p>
        </w:tc>
        <w:tc>
          <w:tcPr>
            <w:tcW w:w="439" w:type="pct"/>
            <w:noWrap w:val="0"/>
            <w:vAlign w:val="center"/>
          </w:tcPr>
          <w:p w14:paraId="16FA08B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0.0152 </w:t>
            </w:r>
          </w:p>
        </w:tc>
        <w:tc>
          <w:tcPr>
            <w:tcW w:w="440" w:type="pct"/>
            <w:noWrap w:val="0"/>
            <w:vAlign w:val="center"/>
          </w:tcPr>
          <w:p w14:paraId="2F4D01D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0.0104 </w:t>
            </w:r>
          </w:p>
        </w:tc>
        <w:tc>
          <w:tcPr>
            <w:tcW w:w="439" w:type="pct"/>
            <w:noWrap w:val="0"/>
            <w:vAlign w:val="center"/>
          </w:tcPr>
          <w:p w14:paraId="0E08340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0.0068 </w:t>
            </w:r>
          </w:p>
        </w:tc>
        <w:tc>
          <w:tcPr>
            <w:tcW w:w="439" w:type="pct"/>
            <w:noWrap w:val="0"/>
            <w:vAlign w:val="center"/>
          </w:tcPr>
          <w:p w14:paraId="4041A92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0.0053 </w:t>
            </w:r>
          </w:p>
        </w:tc>
        <w:tc>
          <w:tcPr>
            <w:tcW w:w="444" w:type="pct"/>
            <w:noWrap w:val="0"/>
            <w:vAlign w:val="center"/>
          </w:tcPr>
          <w:p w14:paraId="5BB3F11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0.0043 </w:t>
            </w:r>
          </w:p>
        </w:tc>
      </w:tr>
    </w:tbl>
    <w:p w14:paraId="0D3EC8B0">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宋体" w:cs="Arial"/>
          <w:sz w:val="26"/>
          <w:szCs w:val="26"/>
          <w:lang w:val="en-US" w:eastAsia="zh-CN"/>
        </w:rPr>
      </w:pPr>
    </w:p>
    <w:p w14:paraId="20A78660">
      <w:pPr>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outlineLvl w:val="9"/>
        <w:rPr>
          <w:rFonts w:hint="default" w:ascii="Arial" w:hAnsi="Arial" w:eastAsia="宋体" w:cs="Arial"/>
          <w:b/>
          <w:bCs w:val="0"/>
          <w:snapToGrid w:val="0"/>
          <w:kern w:val="0"/>
          <w:sz w:val="26"/>
          <w:szCs w:val="26"/>
          <w:lang w:val="en-US" w:eastAsia="zh-CN"/>
        </w:rPr>
      </w:pPr>
      <w:r>
        <w:rPr>
          <w:rFonts w:hint="eastAsia" w:ascii="Arial" w:hAnsi="Arial" w:cs="Arial"/>
          <w:b/>
          <w:bCs w:val="0"/>
          <w:snapToGrid w:val="0"/>
          <w:kern w:val="0"/>
          <w:sz w:val="26"/>
          <w:szCs w:val="26"/>
          <w:lang w:eastAsia="zh-CN"/>
        </w:rPr>
        <w:t>（</w:t>
      </w:r>
      <w:r>
        <w:rPr>
          <w:rFonts w:hint="eastAsia" w:ascii="Arial" w:hAnsi="Arial" w:cs="Arial"/>
          <w:b/>
          <w:bCs w:val="0"/>
          <w:snapToGrid w:val="0"/>
          <w:kern w:val="0"/>
          <w:sz w:val="26"/>
          <w:szCs w:val="26"/>
          <w:lang w:val="en-US" w:eastAsia="zh-CN"/>
        </w:rPr>
        <w:t>2）对上游区域水资源的影响</w:t>
      </w:r>
    </w:p>
    <w:p w14:paraId="3BF60781">
      <w:pPr>
        <w:spacing w:line="460" w:lineRule="exact"/>
        <w:ind w:firstLine="520" w:firstLineChars="200"/>
        <w:rPr>
          <w:rFonts w:hint="eastAsia" w:ascii="Arial" w:hAnsi="宋体" w:cs="Arial"/>
          <w:sz w:val="26"/>
          <w:szCs w:val="26"/>
        </w:rPr>
      </w:pPr>
      <w:r>
        <w:rPr>
          <w:rFonts w:hint="eastAsia" w:ascii="Arial" w:hAnsi="宋体" w:cs="Arial"/>
          <w:sz w:val="26"/>
          <w:szCs w:val="26"/>
          <w:lang w:eastAsia="zh-CN"/>
        </w:rPr>
        <w:t>海螺沟水库具有多年调节能力，</w:t>
      </w:r>
      <w:r>
        <w:rPr>
          <w:rFonts w:hint="eastAsia" w:ascii="Arial" w:hAnsi="宋体" w:cs="Arial"/>
          <w:sz w:val="26"/>
          <w:szCs w:val="26"/>
        </w:rPr>
        <w:t>建成后</w:t>
      </w:r>
      <w:r>
        <w:rPr>
          <w:rFonts w:hint="eastAsia" w:ascii="Arial" w:hAnsi="宋体" w:cs="Arial"/>
          <w:sz w:val="26"/>
          <w:szCs w:val="26"/>
          <w:lang w:eastAsia="zh-CN"/>
        </w:rPr>
        <w:t>通过径流调节</w:t>
      </w:r>
      <w:r>
        <w:rPr>
          <w:rFonts w:hint="eastAsia" w:ascii="Arial" w:hAnsi="宋体" w:cs="Arial"/>
          <w:sz w:val="26"/>
          <w:szCs w:val="26"/>
        </w:rPr>
        <w:t>，一方面在汛期拦截了洪峰，减缓了洪峰速度，解决了因水资源时空分配不均</w:t>
      </w:r>
      <w:r>
        <w:rPr>
          <w:rFonts w:hint="eastAsia" w:ascii="Arial" w:hAnsi="宋体" w:cs="Arial"/>
          <w:sz w:val="26"/>
          <w:szCs w:val="26"/>
          <w:lang w:eastAsia="zh-CN"/>
        </w:rPr>
        <w:t>；</w:t>
      </w:r>
      <w:r>
        <w:rPr>
          <w:rFonts w:hint="eastAsia" w:ascii="Arial" w:hAnsi="宋体" w:cs="Arial"/>
          <w:sz w:val="26"/>
          <w:szCs w:val="26"/>
        </w:rPr>
        <w:t>另一方面，坝址上游来水量仅占</w:t>
      </w:r>
      <w:r>
        <w:rPr>
          <w:rFonts w:hint="eastAsia" w:ascii="Arial" w:hAnsi="宋体" w:cs="Arial"/>
          <w:sz w:val="26"/>
          <w:szCs w:val="26"/>
          <w:lang w:eastAsia="zh-CN"/>
        </w:rPr>
        <w:t>海螺沟</w:t>
      </w:r>
      <w:r>
        <w:rPr>
          <w:rFonts w:hint="eastAsia" w:ascii="Arial" w:hAnsi="宋体" w:cs="Arial"/>
          <w:sz w:val="26"/>
          <w:szCs w:val="26"/>
        </w:rPr>
        <w:t>流域水量的</w:t>
      </w:r>
      <w:r>
        <w:rPr>
          <w:rFonts w:hint="eastAsia" w:ascii="Arial" w:hAnsi="宋体" w:cs="Arial"/>
          <w:sz w:val="26"/>
          <w:szCs w:val="26"/>
          <w:lang w:val="en-US" w:eastAsia="zh-CN"/>
        </w:rPr>
        <w:t>57.29</w:t>
      </w:r>
      <w:r>
        <w:rPr>
          <w:rFonts w:ascii="Arial" w:hAnsi="宋体" w:cs="Arial"/>
          <w:sz w:val="26"/>
          <w:szCs w:val="26"/>
        </w:rPr>
        <w:t>%</w:t>
      </w:r>
      <w:r>
        <w:rPr>
          <w:rFonts w:hint="eastAsia" w:ascii="Arial" w:hAnsi="宋体" w:cs="Arial"/>
          <w:sz w:val="26"/>
          <w:szCs w:val="26"/>
        </w:rPr>
        <w:t>，河道中流量很小，水库通过蓄水及一定的调蓄作用，可将丰水期的部分水量调蓄至枯水期利用，在一定程度上也增加枯水期坝址上游的水资源利用量</w:t>
      </w:r>
      <w:r>
        <w:rPr>
          <w:rFonts w:hint="eastAsia"/>
          <w:sz w:val="26"/>
          <w:szCs w:val="26"/>
        </w:rPr>
        <w:t>，起到蓄丰补枯的作用</w:t>
      </w:r>
      <w:r>
        <w:rPr>
          <w:rFonts w:hint="eastAsia" w:ascii="Arial" w:hAnsi="宋体" w:cs="Arial"/>
          <w:sz w:val="26"/>
          <w:szCs w:val="26"/>
        </w:rPr>
        <w:t>。</w:t>
      </w:r>
    </w:p>
    <w:p w14:paraId="396B357C">
      <w:pPr>
        <w:spacing w:line="460" w:lineRule="exact"/>
        <w:ind w:firstLine="520" w:firstLineChars="200"/>
        <w:rPr>
          <w:rFonts w:hint="eastAsia" w:ascii="Arial" w:hAnsi="宋体" w:cs="Arial"/>
          <w:sz w:val="26"/>
          <w:szCs w:val="26"/>
        </w:rPr>
      </w:pPr>
      <w:r>
        <w:rPr>
          <w:rFonts w:hint="eastAsia" w:ascii="Arial" w:hAnsi="宋体" w:cs="Arial"/>
          <w:sz w:val="26"/>
          <w:szCs w:val="26"/>
        </w:rPr>
        <w:t>水库蓄水后，库区水位明显增高，越靠近坝前，库内流速越小；越靠近库尾，流速越接近天然河流；水域环境总体从河道型转为缓流静水型。当水位达到正常蓄水位4</w:t>
      </w:r>
      <w:r>
        <w:rPr>
          <w:rFonts w:hint="eastAsia" w:ascii="Arial" w:hAnsi="宋体" w:cs="Arial"/>
          <w:sz w:val="26"/>
          <w:szCs w:val="26"/>
          <w:lang w:val="en-US" w:eastAsia="zh-CN"/>
        </w:rPr>
        <w:t>20</w:t>
      </w:r>
      <w:r>
        <w:rPr>
          <w:rFonts w:ascii="Arial" w:hAnsi="宋体" w:cs="Arial"/>
          <w:sz w:val="26"/>
          <w:szCs w:val="26"/>
        </w:rPr>
        <w:t>m</w:t>
      </w:r>
      <w:r>
        <w:rPr>
          <w:rFonts w:hint="eastAsia" w:ascii="Arial" w:hAnsi="宋体" w:cs="Arial"/>
          <w:sz w:val="26"/>
          <w:szCs w:val="26"/>
        </w:rPr>
        <w:t>时，水库回水约</w:t>
      </w:r>
      <w:r>
        <w:rPr>
          <w:rFonts w:hint="eastAsia" w:ascii="Arial" w:hAnsi="宋体" w:cs="Arial"/>
          <w:sz w:val="26"/>
          <w:szCs w:val="26"/>
          <w:lang w:val="en-US" w:eastAsia="zh-CN"/>
        </w:rPr>
        <w:t>0.55</w:t>
      </w:r>
      <w:r>
        <w:rPr>
          <w:rFonts w:ascii="Arial" w:hAnsi="宋体" w:cs="Arial"/>
          <w:sz w:val="26"/>
          <w:szCs w:val="26"/>
        </w:rPr>
        <w:t>km</w:t>
      </w:r>
      <w:r>
        <w:rPr>
          <w:rFonts w:hint="eastAsia" w:ascii="Arial" w:hAnsi="宋体" w:cs="Arial"/>
          <w:sz w:val="26"/>
          <w:szCs w:val="26"/>
        </w:rPr>
        <w:t>，库区水面面积为</w:t>
      </w:r>
      <w:r>
        <w:rPr>
          <w:rFonts w:hint="eastAsia" w:ascii="Arial" w:hAnsi="宋体" w:cs="Arial"/>
          <w:sz w:val="26"/>
          <w:szCs w:val="26"/>
          <w:lang w:val="en-US" w:eastAsia="zh-CN"/>
        </w:rPr>
        <w:t>8.3028</w:t>
      </w:r>
      <w:r>
        <w:rPr>
          <w:rFonts w:hint="eastAsia" w:ascii="Arial" w:hAnsi="宋体" w:cs="Arial"/>
          <w:sz w:val="26"/>
          <w:szCs w:val="26"/>
        </w:rPr>
        <w:t>万</w:t>
      </w:r>
      <w:r>
        <w:rPr>
          <w:rFonts w:ascii="Arial" w:hAnsi="宋体" w:cs="Arial"/>
          <w:sz w:val="26"/>
          <w:szCs w:val="26"/>
        </w:rPr>
        <w:t>m</w:t>
      </w:r>
      <w:r>
        <w:rPr>
          <w:rFonts w:ascii="Arial" w:hAnsi="宋体" w:cs="Arial"/>
          <w:sz w:val="26"/>
          <w:szCs w:val="26"/>
          <w:vertAlign w:val="superscript"/>
        </w:rPr>
        <w:t>2</w:t>
      </w:r>
      <w:r>
        <w:rPr>
          <w:rFonts w:hint="eastAsia" w:ascii="Arial" w:hAnsi="宋体" w:cs="Arial"/>
          <w:sz w:val="26"/>
          <w:szCs w:val="26"/>
        </w:rPr>
        <w:t>，库区滞洪能力明显增强。水库调度运行时，水位在正常蓄水位</w:t>
      </w:r>
      <w:r>
        <w:rPr>
          <w:rFonts w:hint="eastAsia" w:ascii="Arial" w:hAnsi="宋体" w:cs="Arial"/>
          <w:sz w:val="26"/>
          <w:szCs w:val="26"/>
          <w:lang w:val="en-US" w:eastAsia="zh-CN"/>
        </w:rPr>
        <w:t>420</w:t>
      </w:r>
      <w:r>
        <w:rPr>
          <w:rFonts w:ascii="Arial" w:hAnsi="宋体" w:cs="Arial"/>
          <w:sz w:val="26"/>
          <w:szCs w:val="26"/>
        </w:rPr>
        <w:t>m</w:t>
      </w:r>
      <w:r>
        <w:rPr>
          <w:rFonts w:hint="eastAsia" w:ascii="Arial" w:hAnsi="宋体" w:cs="Arial"/>
          <w:sz w:val="26"/>
          <w:szCs w:val="26"/>
        </w:rPr>
        <w:t>与死水位</w:t>
      </w:r>
      <w:r>
        <w:rPr>
          <w:rFonts w:hint="eastAsia" w:ascii="Arial" w:hAnsi="宋体" w:cs="Arial"/>
          <w:sz w:val="26"/>
          <w:szCs w:val="26"/>
          <w:lang w:val="en-US" w:eastAsia="zh-CN"/>
        </w:rPr>
        <w:t>407.5</w:t>
      </w:r>
      <w:r>
        <w:rPr>
          <w:rFonts w:ascii="Arial" w:hAnsi="宋体" w:cs="Arial"/>
          <w:sz w:val="26"/>
          <w:szCs w:val="26"/>
        </w:rPr>
        <w:t>m</w:t>
      </w:r>
      <w:r>
        <w:rPr>
          <w:rFonts w:hint="eastAsia" w:ascii="Arial" w:hAnsi="宋体" w:cs="Arial"/>
          <w:sz w:val="26"/>
          <w:szCs w:val="26"/>
        </w:rPr>
        <w:t>之间变化，水位变幅为</w:t>
      </w:r>
      <w:r>
        <w:rPr>
          <w:rFonts w:hint="eastAsia" w:ascii="Arial" w:hAnsi="宋体" w:cs="Arial"/>
          <w:sz w:val="26"/>
          <w:szCs w:val="26"/>
          <w:lang w:val="en-US" w:eastAsia="zh-CN"/>
        </w:rPr>
        <w:t>12.5</w:t>
      </w:r>
      <w:r>
        <w:rPr>
          <w:rFonts w:ascii="Arial" w:hAnsi="宋体" w:cs="Arial"/>
          <w:sz w:val="26"/>
          <w:szCs w:val="26"/>
        </w:rPr>
        <w:t>m</w:t>
      </w:r>
      <w:r>
        <w:rPr>
          <w:rFonts w:hint="eastAsia" w:ascii="Arial" w:hAnsi="宋体" w:cs="Arial"/>
          <w:sz w:val="26"/>
          <w:szCs w:val="26"/>
        </w:rPr>
        <w:t>，水库水位、水体体积、水面面积均产生相应变化，该变化仅限于坝址至库尾长约</w:t>
      </w:r>
      <w:r>
        <w:rPr>
          <w:rFonts w:hint="eastAsia" w:ascii="Arial" w:hAnsi="宋体" w:cs="Arial"/>
          <w:sz w:val="26"/>
          <w:szCs w:val="26"/>
          <w:lang w:val="en-US" w:eastAsia="zh-CN"/>
        </w:rPr>
        <w:t>0.55</w:t>
      </w:r>
      <w:r>
        <w:rPr>
          <w:rFonts w:ascii="Arial" w:hAnsi="宋体" w:cs="Arial"/>
          <w:sz w:val="26"/>
          <w:szCs w:val="26"/>
        </w:rPr>
        <w:t>km</w:t>
      </w:r>
      <w:r>
        <w:rPr>
          <w:rFonts w:hint="eastAsia" w:ascii="Arial" w:hAnsi="宋体" w:cs="Arial"/>
          <w:sz w:val="26"/>
          <w:szCs w:val="26"/>
        </w:rPr>
        <w:t>的回水河段。</w:t>
      </w:r>
    </w:p>
    <w:p w14:paraId="4D3DA89B">
      <w:pPr>
        <w:spacing w:line="460" w:lineRule="exact"/>
        <w:ind w:firstLine="520" w:firstLineChars="200"/>
        <w:rPr>
          <w:rFonts w:hint="eastAsia" w:ascii="Arial" w:hAnsi="宋体" w:cs="Arial"/>
          <w:sz w:val="26"/>
          <w:szCs w:val="26"/>
        </w:rPr>
      </w:pPr>
      <w:r>
        <w:rPr>
          <w:rFonts w:hint="eastAsia" w:ascii="Arial" w:hAnsi="宋体" w:cs="Arial"/>
          <w:sz w:val="26"/>
          <w:szCs w:val="26"/>
        </w:rPr>
        <w:t>水库建成后，不但减少了流域的洪水灾害的发生，而且形成的水域将会生长多种水生植物和动物，成为人工湿地，为湿地动、植物提供了生存条件。因此，建设项目修建形成的水库，一方面减少了流域的洪水灾害，另一方面也改善了上游区域的水生态环境，有利于上游区域生态环境的改善。</w:t>
      </w:r>
    </w:p>
    <w:p w14:paraId="5EA2A0B2">
      <w:pPr>
        <w:spacing w:line="460" w:lineRule="exact"/>
        <w:ind w:firstLine="392" w:firstLineChars="150"/>
        <w:rPr>
          <w:rFonts w:hint="eastAsia" w:ascii="Arial" w:hAnsi="宋体" w:cs="Arial"/>
          <w:b/>
          <w:sz w:val="26"/>
          <w:szCs w:val="26"/>
        </w:rPr>
      </w:pPr>
      <w:r>
        <w:rPr>
          <w:rFonts w:hint="eastAsia" w:ascii="Arial" w:hAnsi="宋体" w:cs="Arial"/>
          <w:b/>
          <w:sz w:val="26"/>
          <w:szCs w:val="26"/>
        </w:rPr>
        <w:t>（3）对下游区域水资源的影响</w:t>
      </w:r>
    </w:p>
    <w:p w14:paraId="42023C08">
      <w:pPr>
        <w:spacing w:line="460" w:lineRule="exact"/>
        <w:ind w:firstLine="520" w:firstLineChars="200"/>
        <w:rPr>
          <w:rFonts w:ascii="Arial" w:hAnsi="宋体" w:cs="Arial"/>
          <w:sz w:val="26"/>
          <w:szCs w:val="26"/>
        </w:rPr>
      </w:pPr>
      <w:r>
        <w:rPr>
          <w:rFonts w:hint="eastAsia" w:ascii="Arial" w:hAnsi="宋体" w:cs="Arial"/>
          <w:sz w:val="26"/>
          <w:szCs w:val="26"/>
        </w:rPr>
        <w:t>水库通过修建拦水坝将河道中的水蓄入水库，以满足灌区灌溉用水、石林景区居民生活用水、平山组团生产用水，由于拦水坝的修建，导致坝下河道中的水量减小，</w:t>
      </w:r>
      <w:r>
        <w:rPr>
          <w:rFonts w:hint="eastAsia" w:ascii="Arial" w:hAnsi="宋体" w:cs="Arial"/>
          <w:sz w:val="26"/>
          <w:szCs w:val="26"/>
          <w:lang w:eastAsia="zh-CN"/>
        </w:rPr>
        <w:t>改变了下游区域水资源量情势和大小分配，并</w:t>
      </w:r>
      <w:r>
        <w:rPr>
          <w:rFonts w:hint="eastAsia" w:ascii="Arial" w:hAnsi="宋体" w:cs="Arial"/>
          <w:sz w:val="26"/>
          <w:szCs w:val="26"/>
        </w:rPr>
        <w:t>在水库坝址～</w:t>
      </w:r>
      <w:r>
        <w:rPr>
          <w:rFonts w:hint="eastAsia" w:ascii="Arial" w:hAnsi="宋体" w:cs="Arial"/>
          <w:sz w:val="26"/>
          <w:szCs w:val="26"/>
          <w:lang w:eastAsia="zh-CN"/>
        </w:rPr>
        <w:t>高洞桥河</w:t>
      </w:r>
      <w:r>
        <w:rPr>
          <w:rFonts w:hint="eastAsia" w:ascii="Arial" w:hAnsi="宋体" w:cs="Arial"/>
          <w:sz w:val="26"/>
          <w:szCs w:val="26"/>
        </w:rPr>
        <w:t>河口形成长约</w:t>
      </w:r>
      <w:r>
        <w:rPr>
          <w:rFonts w:hint="eastAsia" w:ascii="Arial" w:hAnsi="宋体" w:cs="Arial"/>
          <w:sz w:val="26"/>
          <w:szCs w:val="26"/>
          <w:lang w:val="en-US" w:eastAsia="zh-CN"/>
        </w:rPr>
        <w:t>1.54</w:t>
      </w:r>
      <w:r>
        <w:rPr>
          <w:rFonts w:ascii="Arial" w:hAnsi="宋体" w:cs="Arial"/>
          <w:sz w:val="26"/>
          <w:szCs w:val="26"/>
        </w:rPr>
        <w:t>km</w:t>
      </w:r>
      <w:r>
        <w:rPr>
          <w:rFonts w:hint="eastAsia" w:ascii="Arial" w:hAnsi="宋体" w:cs="Arial"/>
          <w:sz w:val="26"/>
          <w:szCs w:val="26"/>
        </w:rPr>
        <w:t>的减水河段。</w:t>
      </w:r>
    </w:p>
    <w:p w14:paraId="0475E062">
      <w:pPr>
        <w:spacing w:line="460" w:lineRule="exact"/>
        <w:ind w:firstLine="520" w:firstLineChars="200"/>
        <w:rPr>
          <w:rFonts w:hint="default" w:ascii="Arial" w:hAnsi="宋体" w:eastAsia="宋体" w:cs="Arial"/>
          <w:sz w:val="26"/>
          <w:szCs w:val="26"/>
          <w:lang w:val="en-US" w:eastAsia="zh-CN"/>
        </w:rPr>
      </w:pPr>
      <w:r>
        <w:rPr>
          <w:rFonts w:hint="eastAsia" w:ascii="Arial" w:hAnsi="宋体" w:eastAsia="宋体" w:cs="Arial"/>
          <w:sz w:val="26"/>
          <w:szCs w:val="26"/>
          <w:lang w:eastAsia="zh-CN"/>
        </w:rPr>
        <w:t>在枯水期，坝址上游来水量仅占全年来水量的</w:t>
      </w:r>
      <w:r>
        <w:rPr>
          <w:rFonts w:hint="eastAsia" w:ascii="Arial" w:hAnsi="宋体" w:eastAsia="宋体" w:cs="Arial"/>
          <w:sz w:val="26"/>
          <w:szCs w:val="26"/>
          <w:lang w:val="en-US" w:eastAsia="zh-CN"/>
        </w:rPr>
        <w:t>7.78%，这部分水量江北海螺沟水库拦截利用。海螺沟水库坝址下游有1.44km</w:t>
      </w:r>
      <w:r>
        <w:rPr>
          <w:rFonts w:hint="eastAsia" w:ascii="Arial" w:hAnsi="宋体" w:eastAsia="宋体" w:cs="Arial"/>
          <w:sz w:val="26"/>
          <w:szCs w:val="26"/>
          <w:vertAlign w:val="superscript"/>
          <w:lang w:val="en-US" w:eastAsia="zh-CN"/>
        </w:rPr>
        <w:t>2</w:t>
      </w:r>
      <w:r>
        <w:rPr>
          <w:rFonts w:hint="eastAsia" w:ascii="Arial" w:hAnsi="宋体" w:eastAsia="宋体" w:cs="Arial"/>
          <w:sz w:val="26"/>
          <w:szCs w:val="26"/>
          <w:lang w:val="en-US" w:eastAsia="zh-CN"/>
        </w:rPr>
        <w:t>的集雨面积产流、汇流，维持坝址下游的水资源量，使得本项目取水对下游的影响得到一定的缓解。</w:t>
      </w:r>
    </w:p>
    <w:p w14:paraId="292E1187">
      <w:pPr>
        <w:spacing w:line="460" w:lineRule="exact"/>
        <w:ind w:firstLine="520" w:firstLineChars="200"/>
        <w:rPr>
          <w:rFonts w:hint="eastAsia" w:ascii="Arial" w:hAnsi="宋体" w:cs="Arial"/>
          <w:color w:val="auto"/>
          <w:sz w:val="26"/>
          <w:szCs w:val="26"/>
        </w:rPr>
      </w:pPr>
      <w:r>
        <w:rPr>
          <w:rFonts w:hint="eastAsia" w:ascii="Arial" w:hAnsi="宋体" w:cs="Arial"/>
          <w:color w:val="auto"/>
          <w:sz w:val="26"/>
          <w:szCs w:val="26"/>
        </w:rPr>
        <w:t>另一方面，为保证减水河段河道生态用水，本工程设计下泄必要的生态流量</w:t>
      </w:r>
      <w:r>
        <w:rPr>
          <w:rFonts w:hint="eastAsia" w:ascii="Arial" w:hAnsi="宋体" w:cs="Arial"/>
          <w:color w:val="auto"/>
          <w:sz w:val="26"/>
          <w:szCs w:val="26"/>
          <w:lang w:eastAsia="zh-CN"/>
        </w:rPr>
        <w:t>，</w:t>
      </w:r>
      <w:r>
        <w:rPr>
          <w:rFonts w:hint="eastAsia" w:ascii="Arial" w:hAnsi="宋体" w:cs="Arial"/>
          <w:color w:val="auto"/>
          <w:sz w:val="26"/>
          <w:szCs w:val="26"/>
        </w:rPr>
        <w:t>为</w:t>
      </w:r>
      <w:r>
        <w:rPr>
          <w:rFonts w:hint="eastAsia" w:ascii="Arial" w:hAnsi="宋体" w:cs="Arial"/>
          <w:color w:val="auto"/>
          <w:sz w:val="26"/>
          <w:szCs w:val="26"/>
          <w:lang w:val="en-US" w:eastAsia="zh-CN"/>
        </w:rPr>
        <w:t>0.005</w:t>
      </w:r>
      <w:r>
        <w:rPr>
          <w:rFonts w:ascii="Arial" w:hAnsi="宋体" w:cs="Arial"/>
          <w:color w:val="auto"/>
          <w:sz w:val="26"/>
          <w:szCs w:val="26"/>
        </w:rPr>
        <w:t>m</w:t>
      </w:r>
      <w:r>
        <w:rPr>
          <w:rFonts w:ascii="Arial" w:hAnsi="宋体" w:cs="Arial"/>
          <w:color w:val="auto"/>
          <w:sz w:val="26"/>
          <w:szCs w:val="26"/>
          <w:vertAlign w:val="superscript"/>
        </w:rPr>
        <w:t>3</w:t>
      </w:r>
      <w:r>
        <w:rPr>
          <w:rFonts w:ascii="Arial" w:hAnsi="宋体" w:cs="Arial"/>
          <w:color w:val="auto"/>
          <w:sz w:val="26"/>
          <w:szCs w:val="26"/>
        </w:rPr>
        <w:t>/s</w:t>
      </w:r>
      <w:r>
        <w:rPr>
          <w:rFonts w:hint="eastAsia" w:ascii="Arial" w:hAnsi="宋体" w:cs="Arial"/>
          <w:color w:val="auto"/>
          <w:sz w:val="26"/>
          <w:szCs w:val="26"/>
        </w:rPr>
        <w:t>，</w:t>
      </w:r>
      <w:r>
        <w:rPr>
          <w:rFonts w:ascii="Arial" w:hAnsi="宋体" w:cs="Arial"/>
          <w:color w:val="auto"/>
          <w:sz w:val="26"/>
          <w:szCs w:val="26"/>
        </w:rPr>
        <w:t>多年平均生态流量为</w:t>
      </w:r>
      <w:r>
        <w:rPr>
          <w:rFonts w:hint="eastAsia" w:ascii="Arial" w:hAnsi="宋体" w:cs="Arial"/>
          <w:color w:val="auto"/>
          <w:sz w:val="26"/>
          <w:szCs w:val="26"/>
          <w:lang w:val="en-US" w:eastAsia="zh-CN"/>
        </w:rPr>
        <w:t>15.75</w:t>
      </w:r>
      <w:r>
        <w:rPr>
          <w:rFonts w:ascii="Arial" w:hAnsi="宋体" w:cs="Arial"/>
          <w:color w:val="auto"/>
          <w:sz w:val="26"/>
          <w:szCs w:val="26"/>
        </w:rPr>
        <w:t>万m</w:t>
      </w:r>
      <w:r>
        <w:rPr>
          <w:rFonts w:ascii="Arial" w:hAnsi="宋体" w:cs="Arial"/>
          <w:color w:val="auto"/>
          <w:sz w:val="26"/>
          <w:szCs w:val="26"/>
          <w:vertAlign w:val="superscript"/>
        </w:rPr>
        <w:t>3</w:t>
      </w:r>
      <w:r>
        <w:rPr>
          <w:rFonts w:hint="eastAsia" w:ascii="Arial" w:hAnsi="宋体" w:cs="Arial"/>
          <w:color w:val="auto"/>
          <w:sz w:val="26"/>
          <w:szCs w:val="26"/>
        </w:rPr>
        <w:t>，能够满足坝址下游减水河段的用水需求。</w:t>
      </w:r>
      <w:r>
        <w:rPr>
          <w:rFonts w:hint="eastAsia" w:ascii="Arial" w:hAnsi="宋体" w:cs="Arial"/>
          <w:color w:val="auto"/>
          <w:sz w:val="26"/>
          <w:szCs w:val="26"/>
          <w:lang w:eastAsia="zh-CN"/>
        </w:rPr>
        <w:t>海螺沟</w:t>
      </w:r>
      <w:r>
        <w:rPr>
          <w:rFonts w:hint="eastAsia" w:ascii="Arial" w:hAnsi="宋体" w:cs="Arial"/>
          <w:color w:val="auto"/>
          <w:sz w:val="26"/>
          <w:szCs w:val="26"/>
        </w:rPr>
        <w:t>水库建成后，坝后多年平均弃水量为</w:t>
      </w:r>
      <w:r>
        <w:rPr>
          <w:rFonts w:hint="eastAsia" w:ascii="Arial" w:hAnsi="宋体" w:cs="Arial"/>
          <w:color w:val="auto"/>
          <w:sz w:val="26"/>
          <w:szCs w:val="26"/>
          <w:lang w:val="en-US" w:eastAsia="zh-CN"/>
        </w:rPr>
        <w:t>12.97</w:t>
      </w:r>
      <w:r>
        <w:rPr>
          <w:rFonts w:hint="eastAsia" w:ascii="Arial" w:hAnsi="宋体" w:cs="Arial"/>
          <w:color w:val="auto"/>
          <w:sz w:val="26"/>
          <w:szCs w:val="26"/>
        </w:rPr>
        <w:t>万</w:t>
      </w:r>
      <w:r>
        <w:rPr>
          <w:rFonts w:ascii="Arial" w:hAnsi="宋体" w:cs="Arial"/>
          <w:color w:val="auto"/>
          <w:sz w:val="26"/>
          <w:szCs w:val="26"/>
        </w:rPr>
        <w:t>m</w:t>
      </w:r>
      <w:r>
        <w:rPr>
          <w:rFonts w:ascii="Arial" w:hAnsi="宋体" w:cs="Arial"/>
          <w:color w:val="auto"/>
          <w:sz w:val="26"/>
          <w:szCs w:val="26"/>
          <w:vertAlign w:val="superscript"/>
        </w:rPr>
        <w:t>3</w:t>
      </w:r>
      <w:r>
        <w:rPr>
          <w:rFonts w:hint="eastAsia" w:ascii="Arial" w:hAnsi="宋体" w:cs="Arial"/>
          <w:color w:val="auto"/>
          <w:sz w:val="26"/>
          <w:szCs w:val="26"/>
        </w:rPr>
        <w:t>，加之生态泄流量</w:t>
      </w:r>
      <w:r>
        <w:rPr>
          <w:rFonts w:hint="eastAsia" w:ascii="Arial" w:hAnsi="宋体" w:cs="Arial"/>
          <w:color w:val="auto"/>
          <w:sz w:val="26"/>
          <w:szCs w:val="26"/>
          <w:lang w:eastAsia="zh-CN"/>
        </w:rPr>
        <w:t>的下泄</w:t>
      </w:r>
      <w:r>
        <w:rPr>
          <w:rFonts w:hint="eastAsia" w:ascii="Arial" w:hAnsi="宋体" w:cs="Arial"/>
          <w:color w:val="auto"/>
          <w:sz w:val="26"/>
          <w:szCs w:val="26"/>
        </w:rPr>
        <w:t>，</w:t>
      </w:r>
      <w:r>
        <w:rPr>
          <w:rFonts w:hint="eastAsia" w:ascii="Arial" w:hAnsi="宋体" w:cs="Arial"/>
          <w:color w:val="auto"/>
          <w:sz w:val="26"/>
          <w:szCs w:val="26"/>
          <w:lang w:eastAsia="zh-CN"/>
        </w:rPr>
        <w:t>海螺沟</w:t>
      </w:r>
      <w:r>
        <w:rPr>
          <w:rFonts w:hint="eastAsia" w:ascii="Arial" w:hAnsi="宋体" w:cs="Arial"/>
          <w:color w:val="auto"/>
          <w:sz w:val="26"/>
          <w:szCs w:val="26"/>
        </w:rPr>
        <w:t>水库工程取水对下游减水河段的不利影响可得到进一步的缓解。</w:t>
      </w:r>
    </w:p>
    <w:p w14:paraId="1FFFD076">
      <w:pPr>
        <w:spacing w:line="460" w:lineRule="exact"/>
        <w:ind w:firstLine="520" w:firstLineChars="200"/>
        <w:rPr>
          <w:rFonts w:hint="eastAsia" w:ascii="Arial" w:hAnsi="宋体" w:cs="Arial"/>
          <w:sz w:val="26"/>
          <w:szCs w:val="26"/>
        </w:rPr>
      </w:pPr>
      <w:r>
        <w:rPr>
          <w:rFonts w:hint="eastAsia" w:ascii="Arial" w:hAnsi="宋体" w:cs="Arial"/>
          <w:sz w:val="26"/>
          <w:szCs w:val="26"/>
        </w:rPr>
        <w:t>水库投运后，经水库调节，坝址下游</w:t>
      </w:r>
      <w:r>
        <w:rPr>
          <w:rFonts w:hint="eastAsia" w:ascii="Arial" w:hAnsi="宋体" w:cs="Arial"/>
          <w:sz w:val="26"/>
          <w:szCs w:val="26"/>
          <w:lang w:val="en-US" w:eastAsia="zh-CN"/>
        </w:rPr>
        <w:t>1.54</w:t>
      </w:r>
      <w:r>
        <w:rPr>
          <w:rFonts w:ascii="Arial" w:hAnsi="宋体" w:cs="Arial"/>
          <w:sz w:val="26"/>
          <w:szCs w:val="26"/>
        </w:rPr>
        <w:t>km</w:t>
      </w:r>
      <w:r>
        <w:rPr>
          <w:rFonts w:hint="eastAsia" w:ascii="Arial" w:hAnsi="宋体" w:cs="Arial"/>
          <w:sz w:val="26"/>
          <w:szCs w:val="26"/>
        </w:rPr>
        <w:t>减水河段内，枯水期下泄生态流量可在一定程度上改善坝后河段减水现象，对坝后生态用水有利；丰水期雨量丰沛，进入坝后河道的地表径流流量增加，同时下放生态流量后，可进一步减缓对生态用水的影响。</w:t>
      </w:r>
    </w:p>
    <w:p w14:paraId="44336AFD">
      <w:pPr>
        <w:spacing w:line="460" w:lineRule="exact"/>
        <w:ind w:firstLine="522" w:firstLineChars="200"/>
        <w:rPr>
          <w:rFonts w:hint="eastAsia" w:ascii="Arial" w:hAnsi="宋体" w:cs="Arial"/>
          <w:sz w:val="26"/>
          <w:szCs w:val="26"/>
        </w:rPr>
      </w:pPr>
      <w:r>
        <w:rPr>
          <w:rFonts w:hint="eastAsia" w:ascii="Arial" w:hAnsi="Arial" w:eastAsia="宋体" w:cs="Arial"/>
          <w:b/>
          <w:bCs/>
          <w:color w:val="000000"/>
          <w:sz w:val="26"/>
          <w:szCs w:val="26"/>
          <w:lang w:val="en-US" w:eastAsia="zh-CN"/>
        </w:rPr>
        <w:t>6.5.2对水文情势的影响</w:t>
      </w:r>
    </w:p>
    <w:p w14:paraId="3A3406B8">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1</w:t>
      </w:r>
      <w:r>
        <w:rPr>
          <w:rFonts w:hint="eastAsia" w:ascii="Arial" w:hAnsi="宋体" w:cs="Arial"/>
          <w:b/>
          <w:sz w:val="26"/>
          <w:szCs w:val="26"/>
        </w:rPr>
        <w:t>）</w:t>
      </w:r>
      <w:r>
        <w:rPr>
          <w:rFonts w:hint="eastAsia" w:ascii="Arial" w:hAnsi="宋体" w:cs="Arial"/>
          <w:b/>
          <w:sz w:val="26"/>
          <w:szCs w:val="26"/>
          <w:lang w:eastAsia="zh-CN"/>
        </w:rPr>
        <w:t>初期蓄水对水文情势的影响</w:t>
      </w:r>
    </w:p>
    <w:p w14:paraId="51146E65">
      <w:pPr>
        <w:spacing w:line="460" w:lineRule="exact"/>
        <w:ind w:firstLine="520" w:firstLineChars="200"/>
        <w:rPr>
          <w:rFonts w:hint="default" w:ascii="Arial" w:hAnsi="Arial" w:eastAsia="宋体" w:cs="Arial"/>
          <w:bCs/>
          <w:sz w:val="26"/>
          <w:szCs w:val="26"/>
          <w:lang w:val="en-US" w:eastAsia="zh-CN"/>
        </w:rPr>
      </w:pPr>
      <w:r>
        <w:rPr>
          <w:rFonts w:hint="eastAsia" w:ascii="Arial" w:hAnsi="Arial" w:cs="Arial"/>
          <w:bCs/>
          <w:sz w:val="26"/>
          <w:szCs w:val="26"/>
        </w:rPr>
        <w:t>在</w:t>
      </w:r>
      <w:r>
        <w:rPr>
          <w:rFonts w:hint="eastAsia" w:ascii="Arial" w:hAnsi="Arial" w:cs="Arial"/>
          <w:bCs/>
          <w:sz w:val="26"/>
          <w:szCs w:val="26"/>
          <w:lang w:eastAsia="zh-CN"/>
        </w:rPr>
        <w:t>海螺沟</w:t>
      </w:r>
      <w:r>
        <w:rPr>
          <w:rFonts w:hint="eastAsia" w:ascii="Arial" w:hAnsi="Arial" w:cs="Arial"/>
          <w:bCs/>
          <w:sz w:val="26"/>
          <w:szCs w:val="26"/>
        </w:rPr>
        <w:t>水库建成后，</w:t>
      </w:r>
      <w:r>
        <w:rPr>
          <w:rFonts w:hint="eastAsia" w:ascii="Arial" w:hAnsi="Arial" w:cs="Arial"/>
          <w:bCs/>
          <w:sz w:val="26"/>
          <w:szCs w:val="26"/>
          <w:lang w:eastAsia="zh-CN"/>
        </w:rPr>
        <w:t>当坝址来水小于生态流量</w:t>
      </w:r>
      <w:r>
        <w:rPr>
          <w:rFonts w:hint="eastAsia" w:ascii="Arial" w:hAnsi="Arial" w:cs="Arial"/>
          <w:bCs/>
          <w:sz w:val="26"/>
          <w:szCs w:val="26"/>
          <w:lang w:val="en-US" w:eastAsia="zh-CN"/>
        </w:rPr>
        <w:t>0.005m</w:t>
      </w:r>
      <w:r>
        <w:rPr>
          <w:rFonts w:hint="eastAsia" w:ascii="Arial" w:hAnsi="Arial" w:cs="Arial"/>
          <w:bCs/>
          <w:sz w:val="26"/>
          <w:szCs w:val="26"/>
          <w:vertAlign w:val="superscript"/>
          <w:lang w:val="en-US" w:eastAsia="zh-CN"/>
        </w:rPr>
        <w:t>3</w:t>
      </w:r>
      <w:r>
        <w:rPr>
          <w:rFonts w:hint="eastAsia" w:ascii="Arial" w:hAnsi="Arial" w:cs="Arial"/>
          <w:bCs/>
          <w:sz w:val="26"/>
          <w:szCs w:val="26"/>
          <w:lang w:val="en-US" w:eastAsia="zh-CN"/>
        </w:rPr>
        <w:t>/s时不蓄水，保证下游河道的生态用水；</w:t>
      </w:r>
      <w:r>
        <w:rPr>
          <w:rFonts w:hint="eastAsia" w:ascii="Arial" w:hAnsi="Arial" w:cs="Arial"/>
          <w:bCs/>
          <w:sz w:val="26"/>
          <w:szCs w:val="26"/>
        </w:rPr>
        <w:t>封堵导流设施蓄水至死水位</w:t>
      </w:r>
      <w:r>
        <w:rPr>
          <w:rFonts w:hint="eastAsia" w:ascii="Arial" w:hAnsi="Arial" w:cs="Arial"/>
          <w:bCs/>
          <w:sz w:val="26"/>
          <w:szCs w:val="26"/>
          <w:lang w:val="en-US" w:eastAsia="zh-CN"/>
        </w:rPr>
        <w:t>407.5</w:t>
      </w:r>
      <w:r>
        <w:rPr>
          <w:rFonts w:ascii="Arial" w:hAnsi="Arial" w:cs="Arial"/>
          <w:bCs/>
          <w:sz w:val="26"/>
          <w:szCs w:val="26"/>
        </w:rPr>
        <w:t>m</w:t>
      </w:r>
      <w:r>
        <w:rPr>
          <w:rFonts w:hint="eastAsia" w:ascii="Arial" w:hAnsi="Arial" w:cs="Arial"/>
          <w:bCs/>
          <w:sz w:val="26"/>
          <w:szCs w:val="26"/>
          <w:lang w:eastAsia="zh-CN"/>
        </w:rPr>
        <w:t>时</w:t>
      </w:r>
      <w:r>
        <w:rPr>
          <w:rFonts w:hint="eastAsia" w:ascii="Arial" w:hAnsi="Arial" w:cs="Arial"/>
          <w:bCs/>
          <w:sz w:val="26"/>
          <w:szCs w:val="26"/>
        </w:rPr>
        <w:t>，</w:t>
      </w:r>
      <w:r>
        <w:rPr>
          <w:rFonts w:hint="eastAsia" w:ascii="Arial" w:hAnsi="Arial" w:cs="Arial"/>
          <w:bCs/>
          <w:sz w:val="26"/>
          <w:szCs w:val="26"/>
          <w:lang w:eastAsia="zh-CN"/>
        </w:rPr>
        <w:t>通过水泵抽水来满足下游河道的生态蓄水；当水位在</w:t>
      </w:r>
      <w:r>
        <w:rPr>
          <w:rFonts w:hint="eastAsia" w:ascii="Arial" w:hAnsi="Arial" w:cs="Arial"/>
          <w:bCs/>
          <w:sz w:val="26"/>
          <w:szCs w:val="26"/>
          <w:lang w:val="en-US" w:eastAsia="zh-CN"/>
        </w:rPr>
        <w:t>407.5m~420m之间时，直接通过生</w:t>
      </w:r>
      <w:r>
        <w:rPr>
          <w:rFonts w:hint="eastAsia" w:ascii="Arial" w:hAnsi="Arial" w:eastAsia="宋体" w:cs="Arial"/>
          <w:bCs/>
          <w:sz w:val="26"/>
          <w:szCs w:val="26"/>
          <w:lang w:val="en-US" w:eastAsia="zh-CN"/>
        </w:rPr>
        <w:t>态放流管下泄生态流量。</w:t>
      </w:r>
      <w:r>
        <w:rPr>
          <w:rFonts w:hint="eastAsia" w:ascii="Arial" w:hAnsi="Arial" w:eastAsia="宋体" w:cs="Arial"/>
          <w:bCs/>
          <w:sz w:val="26"/>
          <w:szCs w:val="26"/>
          <w:lang w:eastAsia="zh-CN"/>
        </w:rPr>
        <w:t>海螺沟</w:t>
      </w:r>
      <w:r>
        <w:rPr>
          <w:rFonts w:hint="default" w:ascii="Arial" w:hAnsi="Arial" w:eastAsia="宋体" w:cs="Arial"/>
          <w:bCs/>
          <w:sz w:val="26"/>
          <w:szCs w:val="26"/>
        </w:rPr>
        <w:t>水库生态放水采用内径D100×8mm钢管，管道长15.0m，从取水闸阀房中控制分水，沿消力池左边墙外侧埋地铺设，出口置于护坦上放水。</w:t>
      </w:r>
    </w:p>
    <w:p w14:paraId="06173B5D">
      <w:pPr>
        <w:spacing w:line="460" w:lineRule="exact"/>
        <w:ind w:firstLine="520" w:firstLineChars="200"/>
        <w:rPr>
          <w:rFonts w:hint="eastAsia" w:ascii="Arial" w:hAnsi="Arial" w:eastAsia="宋体" w:cs="Arial"/>
          <w:bCs/>
          <w:sz w:val="26"/>
          <w:szCs w:val="26"/>
        </w:rPr>
      </w:pPr>
      <w:r>
        <w:rPr>
          <w:rFonts w:hint="eastAsia" w:ascii="Arial" w:hAnsi="Arial" w:eastAsia="宋体" w:cs="Arial"/>
          <w:bCs/>
          <w:sz w:val="26"/>
          <w:szCs w:val="26"/>
        </w:rPr>
        <w:t>在采取调度下泄生态流量措施后，不会造成坝后</w:t>
      </w:r>
      <w:r>
        <w:rPr>
          <w:rFonts w:hint="eastAsia" w:ascii="Arial" w:hAnsi="Arial" w:eastAsia="宋体" w:cs="Arial"/>
          <w:bCs/>
          <w:sz w:val="26"/>
          <w:szCs w:val="26"/>
          <w:lang w:eastAsia="zh-CN"/>
        </w:rPr>
        <w:t>河段流量骤减，也不会形成</w:t>
      </w:r>
      <w:r>
        <w:rPr>
          <w:rFonts w:hint="eastAsia" w:ascii="Arial" w:hAnsi="Arial" w:eastAsia="宋体" w:cs="Arial"/>
          <w:bCs/>
          <w:sz w:val="26"/>
          <w:szCs w:val="26"/>
        </w:rPr>
        <w:t>脱水河段</w:t>
      </w:r>
      <w:r>
        <w:rPr>
          <w:rFonts w:hint="eastAsia" w:ascii="Arial" w:hAnsi="Arial" w:eastAsia="宋体" w:cs="Arial"/>
          <w:bCs/>
          <w:sz w:val="26"/>
          <w:szCs w:val="26"/>
          <w:lang w:eastAsia="zh-CN"/>
        </w:rPr>
        <w:t>，对坝后水文情势影响小</w:t>
      </w:r>
      <w:r>
        <w:rPr>
          <w:rFonts w:hint="eastAsia" w:ascii="Arial" w:hAnsi="Arial" w:eastAsia="宋体" w:cs="Arial"/>
          <w:bCs/>
          <w:sz w:val="26"/>
          <w:szCs w:val="26"/>
        </w:rPr>
        <w:t>。</w:t>
      </w:r>
    </w:p>
    <w:p w14:paraId="522B4622">
      <w:pPr>
        <w:spacing w:line="460" w:lineRule="exact"/>
        <w:ind w:firstLine="520" w:firstLineChars="200"/>
        <w:rPr>
          <w:rFonts w:hint="eastAsia" w:ascii="Arial" w:hAnsi="Arial" w:eastAsia="宋体" w:cs="Arial"/>
          <w:bCs/>
          <w:sz w:val="26"/>
          <w:szCs w:val="26"/>
        </w:rPr>
      </w:pPr>
      <w:r>
        <w:rPr>
          <w:rFonts w:hint="eastAsia" w:ascii="Arial" w:hAnsi="Arial" w:eastAsia="宋体" w:cs="Arial"/>
          <w:bCs/>
          <w:sz w:val="26"/>
          <w:szCs w:val="26"/>
        </w:rPr>
        <w:t>此外，由于初期蓄水过程中，岸边原有松散物质易冲入水库，影响水质，因此评价要求蓄水前清库工作严格按照《长江三峡水库库底固体废物清理技术规范》</w:t>
      </w:r>
      <w:r>
        <w:rPr>
          <w:rFonts w:hint="eastAsia" w:ascii="Arial" w:hAnsi="Arial" w:eastAsia="宋体" w:cs="Arial"/>
          <w:bCs/>
          <w:sz w:val="26"/>
          <w:szCs w:val="26"/>
          <w:lang w:eastAsia="zh-CN"/>
        </w:rPr>
        <w:t>（</w:t>
      </w:r>
      <w:r>
        <w:rPr>
          <w:rFonts w:hint="eastAsia" w:ascii="Arial" w:hAnsi="Arial" w:eastAsia="宋体" w:cs="Arial"/>
          <w:bCs/>
          <w:sz w:val="26"/>
          <w:szCs w:val="26"/>
        </w:rPr>
        <w:t>HJ85-2005</w:t>
      </w:r>
      <w:r>
        <w:rPr>
          <w:rFonts w:hint="eastAsia" w:ascii="Arial" w:hAnsi="Arial" w:eastAsia="宋体" w:cs="Arial"/>
          <w:bCs/>
          <w:sz w:val="26"/>
          <w:szCs w:val="26"/>
          <w:lang w:eastAsia="zh-CN"/>
        </w:rPr>
        <w:t>）</w:t>
      </w:r>
      <w:r>
        <w:rPr>
          <w:rFonts w:hint="eastAsia" w:ascii="Arial" w:hAnsi="Arial" w:eastAsia="宋体" w:cs="Arial"/>
          <w:bCs/>
          <w:sz w:val="26"/>
          <w:szCs w:val="26"/>
        </w:rPr>
        <w:t>、《长江三峡水库库底卫生清理规范》</w:t>
      </w:r>
      <w:r>
        <w:rPr>
          <w:rFonts w:hint="eastAsia" w:ascii="Arial" w:hAnsi="Arial" w:eastAsia="宋体" w:cs="Arial"/>
          <w:bCs/>
          <w:sz w:val="26"/>
          <w:szCs w:val="26"/>
          <w:lang w:eastAsia="zh-CN"/>
        </w:rPr>
        <w:t>（</w:t>
      </w:r>
      <w:r>
        <w:rPr>
          <w:rFonts w:hint="eastAsia" w:ascii="Arial" w:hAnsi="Arial" w:eastAsia="宋体" w:cs="Arial"/>
          <w:bCs/>
          <w:sz w:val="26"/>
          <w:szCs w:val="26"/>
        </w:rPr>
        <w:t>卫疾控发</w:t>
      </w:r>
      <w:r>
        <w:rPr>
          <w:rFonts w:hint="eastAsia" w:ascii="宋体" w:hAnsi="宋体" w:eastAsia="宋体" w:cs="宋体"/>
          <w:bCs/>
          <w:sz w:val="26"/>
          <w:szCs w:val="26"/>
        </w:rPr>
        <w:t>〔</w:t>
      </w:r>
      <w:r>
        <w:rPr>
          <w:rFonts w:hint="eastAsia" w:ascii="Arial" w:hAnsi="Arial" w:eastAsia="宋体" w:cs="Arial"/>
          <w:bCs/>
          <w:sz w:val="26"/>
          <w:szCs w:val="26"/>
        </w:rPr>
        <w:t>2005</w:t>
      </w:r>
      <w:r>
        <w:rPr>
          <w:rFonts w:hint="eastAsia" w:ascii="宋体" w:hAnsi="宋体" w:eastAsia="宋体" w:cs="宋体"/>
          <w:bCs/>
          <w:sz w:val="26"/>
          <w:szCs w:val="26"/>
        </w:rPr>
        <w:t>〕</w:t>
      </w:r>
      <w:r>
        <w:rPr>
          <w:rFonts w:hint="eastAsia" w:ascii="Arial" w:hAnsi="Arial" w:eastAsia="宋体" w:cs="Arial"/>
          <w:bCs/>
          <w:sz w:val="26"/>
          <w:szCs w:val="26"/>
        </w:rPr>
        <w:t>261号</w:t>
      </w:r>
      <w:r>
        <w:rPr>
          <w:rFonts w:hint="eastAsia" w:ascii="Arial" w:hAnsi="Arial" w:eastAsia="宋体" w:cs="Arial"/>
          <w:bCs/>
          <w:sz w:val="26"/>
          <w:szCs w:val="26"/>
          <w:lang w:eastAsia="zh-CN"/>
        </w:rPr>
        <w:t>）</w:t>
      </w:r>
      <w:r>
        <w:rPr>
          <w:rFonts w:hint="eastAsia" w:ascii="Arial" w:hAnsi="Arial" w:eastAsia="宋体" w:cs="Arial"/>
          <w:bCs/>
          <w:sz w:val="26"/>
          <w:szCs w:val="26"/>
        </w:rPr>
        <w:t>等要求进行；蓄水后，及时对库区漂浮物进行打捞，避免影响水库水质。</w:t>
      </w:r>
    </w:p>
    <w:p w14:paraId="49B4660D">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2</w:t>
      </w:r>
      <w:r>
        <w:rPr>
          <w:rFonts w:hint="eastAsia" w:ascii="Arial" w:hAnsi="宋体" w:cs="Arial"/>
          <w:b/>
          <w:sz w:val="26"/>
          <w:szCs w:val="26"/>
        </w:rPr>
        <w:t>）</w:t>
      </w:r>
      <w:r>
        <w:rPr>
          <w:rFonts w:hint="eastAsia" w:ascii="Arial" w:hAnsi="宋体" w:cs="Arial"/>
          <w:b/>
          <w:sz w:val="26"/>
          <w:szCs w:val="26"/>
          <w:lang w:eastAsia="zh-CN"/>
        </w:rPr>
        <w:t>运营期对水文情势的影响</w:t>
      </w:r>
    </w:p>
    <w:p w14:paraId="64408900">
      <w:pPr>
        <w:spacing w:line="460" w:lineRule="exact"/>
        <w:ind w:firstLine="522" w:firstLineChars="200"/>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①库区水文情势影响分析</w:t>
      </w:r>
    </w:p>
    <w:p w14:paraId="5EC6B791">
      <w:pPr>
        <w:spacing w:line="460" w:lineRule="exact"/>
        <w:ind w:firstLine="520" w:firstLineChars="200"/>
        <w:rPr>
          <w:rFonts w:hint="eastAsia" w:ascii="Arial" w:hAnsi="Arial" w:eastAsia="宋体" w:cs="Arial"/>
          <w:bCs/>
          <w:sz w:val="26"/>
          <w:szCs w:val="26"/>
          <w:lang w:eastAsia="zh-CN"/>
        </w:rPr>
      </w:pPr>
      <w:r>
        <w:rPr>
          <w:rFonts w:hint="eastAsia" w:ascii="Arial" w:hAnsi="Arial" w:eastAsia="宋体" w:cs="Arial"/>
          <w:bCs/>
          <w:sz w:val="26"/>
          <w:szCs w:val="26"/>
        </w:rPr>
        <w:t>水库蓄水水位达到正常蓄水位4</w:t>
      </w:r>
      <w:r>
        <w:rPr>
          <w:rFonts w:hint="eastAsia" w:ascii="Arial" w:hAnsi="Arial" w:eastAsia="宋体" w:cs="Arial"/>
          <w:bCs/>
          <w:sz w:val="26"/>
          <w:szCs w:val="26"/>
          <w:lang w:val="en-US" w:eastAsia="zh-CN"/>
        </w:rPr>
        <w:t>20</w:t>
      </w:r>
      <w:r>
        <w:rPr>
          <w:rFonts w:hint="eastAsia" w:ascii="Arial" w:hAnsi="Arial" w:eastAsia="宋体" w:cs="Arial"/>
          <w:bCs/>
          <w:sz w:val="26"/>
          <w:szCs w:val="26"/>
        </w:rPr>
        <w:t>m时，水库回水约</w:t>
      </w:r>
      <w:r>
        <w:rPr>
          <w:rFonts w:hint="eastAsia" w:ascii="Arial" w:hAnsi="Arial" w:eastAsia="宋体" w:cs="Arial"/>
          <w:bCs/>
          <w:sz w:val="26"/>
          <w:szCs w:val="26"/>
          <w:lang w:val="en-US" w:eastAsia="zh-CN"/>
        </w:rPr>
        <w:t>0.55</w:t>
      </w:r>
      <w:r>
        <w:rPr>
          <w:rFonts w:hint="eastAsia" w:ascii="Arial" w:hAnsi="Arial" w:eastAsia="宋体" w:cs="Arial"/>
          <w:bCs/>
          <w:sz w:val="26"/>
          <w:szCs w:val="26"/>
        </w:rPr>
        <w:t>km，</w:t>
      </w:r>
      <w:r>
        <w:rPr>
          <w:rFonts w:hint="eastAsia" w:ascii="Arial" w:hAnsi="Arial" w:eastAsia="宋体" w:cs="Arial"/>
          <w:bCs/>
          <w:sz w:val="26"/>
          <w:szCs w:val="26"/>
          <w:lang w:eastAsia="zh-CN"/>
        </w:rPr>
        <w:t>各典型断面水文情势变化情况详见表</w:t>
      </w:r>
      <w:r>
        <w:rPr>
          <w:rFonts w:hint="eastAsia" w:ascii="Arial" w:hAnsi="Arial" w:eastAsia="宋体" w:cs="Arial"/>
          <w:bCs/>
          <w:sz w:val="26"/>
          <w:szCs w:val="26"/>
          <w:lang w:val="en-US" w:eastAsia="zh-CN"/>
        </w:rPr>
        <w:t>6.5-2所示</w:t>
      </w:r>
      <w:r>
        <w:rPr>
          <w:rFonts w:hint="eastAsia" w:ascii="Arial" w:hAnsi="Arial" w:eastAsia="宋体" w:cs="Arial"/>
          <w:bCs/>
          <w:sz w:val="26"/>
          <w:szCs w:val="26"/>
          <w:lang w:eastAsia="zh-CN"/>
        </w:rPr>
        <w:t>。</w:t>
      </w:r>
    </w:p>
    <w:p w14:paraId="272FAFB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Arial" w:hAnsi="宋体" w:cs="Arial"/>
          <w:b/>
          <w:bCs/>
          <w:sz w:val="26"/>
          <w:szCs w:val="26"/>
          <w:lang w:val="en-US" w:eastAsia="zh-CN"/>
        </w:rPr>
      </w:pPr>
      <w:r>
        <w:rPr>
          <w:rFonts w:hint="eastAsia" w:ascii="Arial" w:hAnsi="宋体" w:cs="Arial"/>
          <w:b/>
          <w:bCs/>
          <w:sz w:val="26"/>
          <w:szCs w:val="26"/>
          <w:lang w:eastAsia="zh-CN"/>
        </w:rPr>
        <w:t>表</w:t>
      </w:r>
      <w:r>
        <w:rPr>
          <w:rFonts w:hint="eastAsia" w:ascii="Arial" w:hAnsi="宋体" w:cs="Arial"/>
          <w:b/>
          <w:bCs/>
          <w:sz w:val="26"/>
          <w:szCs w:val="26"/>
          <w:lang w:val="en-US" w:eastAsia="zh-CN"/>
        </w:rPr>
        <w:t>6.5-2 海螺沟水库库区各断面回水成果表  单位：m</w:t>
      </w:r>
    </w:p>
    <w:tbl>
      <w:tblPr>
        <w:tblStyle w:val="77"/>
        <w:tblW w:w="478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0"/>
        <w:gridCol w:w="830"/>
        <w:gridCol w:w="830"/>
        <w:gridCol w:w="830"/>
        <w:gridCol w:w="830"/>
        <w:gridCol w:w="967"/>
        <w:gridCol w:w="830"/>
        <w:gridCol w:w="967"/>
        <w:gridCol w:w="830"/>
        <w:gridCol w:w="963"/>
      </w:tblGrid>
      <w:tr w14:paraId="3E065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455" w:type="pct"/>
            <w:vMerge w:val="restart"/>
            <w:noWrap w:val="0"/>
            <w:vAlign w:val="center"/>
          </w:tcPr>
          <w:p w14:paraId="6A18DCC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断面</w:t>
            </w:r>
          </w:p>
          <w:p w14:paraId="2AB9A34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编号</w:t>
            </w:r>
          </w:p>
        </w:tc>
        <w:tc>
          <w:tcPr>
            <w:tcW w:w="478" w:type="pct"/>
            <w:vMerge w:val="restart"/>
            <w:noWrap w:val="0"/>
            <w:vAlign w:val="center"/>
          </w:tcPr>
          <w:p w14:paraId="770DD65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里程</w:t>
            </w:r>
          </w:p>
        </w:tc>
        <w:tc>
          <w:tcPr>
            <w:tcW w:w="957" w:type="pct"/>
            <w:gridSpan w:val="2"/>
            <w:noWrap w:val="0"/>
            <w:vAlign w:val="center"/>
          </w:tcPr>
          <w:p w14:paraId="0C7BA5E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P=5%</w:t>
            </w:r>
            <w:r>
              <w:rPr>
                <w:rFonts w:hint="eastAsia" w:ascii="Arial" w:hAnsi="Arial" w:cs="Arial"/>
                <w:color w:val="auto"/>
                <w:sz w:val="18"/>
                <w:szCs w:val="18"/>
                <w:lang w:eastAsia="zh-CN"/>
              </w:rPr>
              <w:t>、</w:t>
            </w:r>
            <w:r>
              <w:rPr>
                <w:rFonts w:hint="default" w:ascii="Arial" w:hAnsi="Arial" w:cs="Arial"/>
                <w:color w:val="auto"/>
                <w:sz w:val="18"/>
                <w:szCs w:val="18"/>
              </w:rPr>
              <w:t>Qp=38.5m</w:t>
            </w:r>
            <w:r>
              <w:rPr>
                <w:rFonts w:hint="eastAsia" w:ascii="Arial" w:hAnsi="Arial" w:cs="Arial"/>
                <w:color w:val="auto"/>
                <w:sz w:val="18"/>
                <w:szCs w:val="18"/>
                <w:vertAlign w:val="superscript"/>
                <w:lang w:val="en-US" w:eastAsia="zh-CN"/>
              </w:rPr>
              <w:t>3</w:t>
            </w:r>
            <w:r>
              <w:rPr>
                <w:rFonts w:hint="default" w:ascii="Arial" w:hAnsi="Arial" w:cs="Arial"/>
                <w:color w:val="auto"/>
                <w:sz w:val="18"/>
                <w:szCs w:val="18"/>
              </w:rPr>
              <w:t>/s</w:t>
            </w:r>
          </w:p>
        </w:tc>
        <w:tc>
          <w:tcPr>
            <w:tcW w:w="1036" w:type="pct"/>
            <w:gridSpan w:val="2"/>
            <w:noWrap w:val="0"/>
            <w:vAlign w:val="center"/>
          </w:tcPr>
          <w:p w14:paraId="2B4D0D4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P=10%</w:t>
            </w:r>
            <w:r>
              <w:rPr>
                <w:rFonts w:hint="eastAsia" w:ascii="Arial" w:hAnsi="Arial" w:cs="Arial"/>
                <w:color w:val="auto"/>
                <w:sz w:val="18"/>
                <w:szCs w:val="18"/>
                <w:lang w:eastAsia="zh-CN"/>
              </w:rPr>
              <w:t>、</w:t>
            </w:r>
            <w:r>
              <w:rPr>
                <w:rFonts w:hint="default" w:ascii="Arial" w:hAnsi="Arial" w:cs="Arial"/>
                <w:color w:val="auto"/>
                <w:sz w:val="18"/>
                <w:szCs w:val="18"/>
              </w:rPr>
              <w:t>Qp=32.7m</w:t>
            </w:r>
            <w:r>
              <w:rPr>
                <w:rFonts w:hint="default" w:ascii="Arial" w:hAnsi="Arial" w:cs="Arial"/>
                <w:color w:val="auto"/>
                <w:sz w:val="18"/>
                <w:szCs w:val="18"/>
                <w:vertAlign w:val="superscript"/>
              </w:rPr>
              <w:t>3</w:t>
            </w:r>
            <w:r>
              <w:rPr>
                <w:rFonts w:hint="default" w:ascii="Arial" w:hAnsi="Arial" w:cs="Arial"/>
                <w:color w:val="auto"/>
                <w:sz w:val="18"/>
                <w:szCs w:val="18"/>
              </w:rPr>
              <w:t>/s</w:t>
            </w:r>
          </w:p>
        </w:tc>
        <w:tc>
          <w:tcPr>
            <w:tcW w:w="1036" w:type="pct"/>
            <w:gridSpan w:val="2"/>
            <w:noWrap w:val="0"/>
            <w:vAlign w:val="center"/>
          </w:tcPr>
          <w:p w14:paraId="65A3AE8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P=20%</w:t>
            </w:r>
            <w:r>
              <w:rPr>
                <w:rFonts w:hint="eastAsia" w:ascii="Arial" w:hAnsi="Arial" w:cs="Arial"/>
                <w:color w:val="auto"/>
                <w:sz w:val="18"/>
                <w:szCs w:val="18"/>
                <w:lang w:eastAsia="zh-CN"/>
              </w:rPr>
              <w:t>、</w:t>
            </w:r>
            <w:r>
              <w:rPr>
                <w:rFonts w:hint="default" w:ascii="Arial" w:hAnsi="Arial" w:cs="Arial"/>
                <w:color w:val="auto"/>
                <w:sz w:val="18"/>
                <w:szCs w:val="18"/>
              </w:rPr>
              <w:t>Qp=26.2m</w:t>
            </w:r>
            <w:r>
              <w:rPr>
                <w:rFonts w:hint="default" w:ascii="Arial" w:hAnsi="Arial" w:cs="Arial"/>
                <w:color w:val="auto"/>
                <w:sz w:val="18"/>
                <w:szCs w:val="18"/>
                <w:vertAlign w:val="superscript"/>
              </w:rPr>
              <w:t>3</w:t>
            </w:r>
            <w:r>
              <w:rPr>
                <w:rFonts w:hint="default" w:ascii="Arial" w:hAnsi="Arial" w:cs="Arial"/>
                <w:color w:val="auto"/>
                <w:sz w:val="18"/>
                <w:szCs w:val="18"/>
              </w:rPr>
              <w:t>/s</w:t>
            </w:r>
          </w:p>
        </w:tc>
        <w:tc>
          <w:tcPr>
            <w:tcW w:w="478" w:type="pct"/>
            <w:vMerge w:val="restart"/>
            <w:noWrap w:val="0"/>
            <w:vAlign w:val="center"/>
          </w:tcPr>
          <w:p w14:paraId="78F8292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河底</w:t>
            </w:r>
            <w:r>
              <w:rPr>
                <w:rFonts w:hint="eastAsia" w:ascii="Arial" w:hAnsi="Arial" w:cs="Arial"/>
                <w:color w:val="auto"/>
                <w:sz w:val="18"/>
                <w:szCs w:val="18"/>
                <w:lang w:eastAsia="zh-CN"/>
              </w:rPr>
              <w:t>天然</w:t>
            </w:r>
            <w:r>
              <w:rPr>
                <w:rFonts w:hint="default" w:ascii="Arial" w:hAnsi="Arial" w:cs="Arial"/>
                <w:color w:val="auto"/>
                <w:sz w:val="18"/>
                <w:szCs w:val="18"/>
              </w:rPr>
              <w:t>高程</w:t>
            </w:r>
          </w:p>
        </w:tc>
        <w:tc>
          <w:tcPr>
            <w:tcW w:w="555" w:type="pct"/>
            <w:vMerge w:val="restart"/>
            <w:noWrap w:val="0"/>
            <w:vAlign w:val="center"/>
          </w:tcPr>
          <w:p w14:paraId="3D1C3BD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淤积后河底高程</w:t>
            </w:r>
          </w:p>
        </w:tc>
      </w:tr>
      <w:tr w14:paraId="321C3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blHeader/>
          <w:jc w:val="center"/>
        </w:trPr>
        <w:tc>
          <w:tcPr>
            <w:tcW w:w="455" w:type="pct"/>
            <w:vMerge w:val="continue"/>
            <w:noWrap w:val="0"/>
            <w:vAlign w:val="center"/>
          </w:tcPr>
          <w:p w14:paraId="124E646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p>
        </w:tc>
        <w:tc>
          <w:tcPr>
            <w:tcW w:w="478" w:type="pct"/>
            <w:vMerge w:val="continue"/>
            <w:noWrap w:val="0"/>
            <w:vAlign w:val="center"/>
          </w:tcPr>
          <w:p w14:paraId="0A4A235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p>
        </w:tc>
        <w:tc>
          <w:tcPr>
            <w:tcW w:w="478" w:type="pct"/>
            <w:noWrap w:val="0"/>
            <w:vAlign w:val="center"/>
          </w:tcPr>
          <w:p w14:paraId="6B94560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建库前</w:t>
            </w:r>
          </w:p>
        </w:tc>
        <w:tc>
          <w:tcPr>
            <w:tcW w:w="478" w:type="pct"/>
            <w:noWrap w:val="0"/>
            <w:vAlign w:val="center"/>
          </w:tcPr>
          <w:p w14:paraId="3153945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建库后</w:t>
            </w:r>
          </w:p>
        </w:tc>
        <w:tc>
          <w:tcPr>
            <w:tcW w:w="478" w:type="pct"/>
            <w:noWrap w:val="0"/>
            <w:vAlign w:val="center"/>
          </w:tcPr>
          <w:p w14:paraId="38A9042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建库前</w:t>
            </w:r>
          </w:p>
        </w:tc>
        <w:tc>
          <w:tcPr>
            <w:tcW w:w="557" w:type="pct"/>
            <w:noWrap w:val="0"/>
            <w:vAlign w:val="center"/>
          </w:tcPr>
          <w:p w14:paraId="55D2BFD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建库后</w:t>
            </w:r>
          </w:p>
        </w:tc>
        <w:tc>
          <w:tcPr>
            <w:tcW w:w="478" w:type="pct"/>
            <w:noWrap w:val="0"/>
            <w:vAlign w:val="center"/>
          </w:tcPr>
          <w:p w14:paraId="618DB8A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建库前</w:t>
            </w:r>
          </w:p>
        </w:tc>
        <w:tc>
          <w:tcPr>
            <w:tcW w:w="557" w:type="pct"/>
            <w:noWrap w:val="0"/>
            <w:vAlign w:val="center"/>
          </w:tcPr>
          <w:p w14:paraId="24C7D06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建库后</w:t>
            </w:r>
          </w:p>
        </w:tc>
        <w:tc>
          <w:tcPr>
            <w:tcW w:w="478" w:type="pct"/>
            <w:vMerge w:val="continue"/>
            <w:noWrap w:val="0"/>
            <w:vAlign w:val="center"/>
          </w:tcPr>
          <w:p w14:paraId="326DFB1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p>
        </w:tc>
        <w:tc>
          <w:tcPr>
            <w:tcW w:w="555" w:type="pct"/>
            <w:vMerge w:val="continue"/>
            <w:noWrap w:val="0"/>
            <w:vAlign w:val="center"/>
          </w:tcPr>
          <w:p w14:paraId="5360B52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p>
        </w:tc>
      </w:tr>
      <w:tr w14:paraId="09EA4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2D280FE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kern w:val="0"/>
                <w:sz w:val="18"/>
                <w:szCs w:val="18"/>
              </w:rPr>
            </w:pPr>
            <w:r>
              <w:rPr>
                <w:rFonts w:hint="default" w:ascii="Arial" w:hAnsi="Arial" w:cs="Arial"/>
                <w:color w:val="auto"/>
                <w:sz w:val="18"/>
                <w:szCs w:val="18"/>
              </w:rPr>
              <w:t>CS1</w:t>
            </w:r>
          </w:p>
        </w:tc>
        <w:tc>
          <w:tcPr>
            <w:tcW w:w="478" w:type="pct"/>
            <w:noWrap w:val="0"/>
            <w:vAlign w:val="center"/>
          </w:tcPr>
          <w:p w14:paraId="12D9197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0+000</w:t>
            </w:r>
          </w:p>
        </w:tc>
        <w:tc>
          <w:tcPr>
            <w:tcW w:w="478" w:type="pct"/>
            <w:noWrap w:val="0"/>
            <w:vAlign w:val="center"/>
          </w:tcPr>
          <w:p w14:paraId="49AEEEB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402.22</w:t>
            </w:r>
          </w:p>
        </w:tc>
        <w:tc>
          <w:tcPr>
            <w:tcW w:w="478" w:type="pct"/>
            <w:noWrap w:val="0"/>
            <w:vAlign w:val="center"/>
          </w:tcPr>
          <w:p w14:paraId="680E11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2784BC5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402.11</w:t>
            </w:r>
          </w:p>
        </w:tc>
        <w:tc>
          <w:tcPr>
            <w:tcW w:w="557" w:type="pct"/>
            <w:noWrap w:val="0"/>
            <w:vAlign w:val="center"/>
          </w:tcPr>
          <w:p w14:paraId="7D0BC41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3696A4B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401.98</w:t>
            </w:r>
          </w:p>
        </w:tc>
        <w:tc>
          <w:tcPr>
            <w:tcW w:w="557" w:type="pct"/>
            <w:noWrap w:val="0"/>
            <w:vAlign w:val="center"/>
          </w:tcPr>
          <w:p w14:paraId="59CEF41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373DF64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399.3</w:t>
            </w:r>
          </w:p>
        </w:tc>
        <w:tc>
          <w:tcPr>
            <w:tcW w:w="555" w:type="pct"/>
            <w:noWrap w:val="0"/>
            <w:vAlign w:val="center"/>
          </w:tcPr>
          <w:p w14:paraId="708D74A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404.70 </w:t>
            </w:r>
          </w:p>
        </w:tc>
      </w:tr>
      <w:tr w14:paraId="77EE7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794D68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CS2</w:t>
            </w:r>
          </w:p>
        </w:tc>
        <w:tc>
          <w:tcPr>
            <w:tcW w:w="478" w:type="pct"/>
            <w:noWrap w:val="0"/>
            <w:vAlign w:val="center"/>
          </w:tcPr>
          <w:p w14:paraId="7D8BE9F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0+026</w:t>
            </w:r>
          </w:p>
        </w:tc>
        <w:tc>
          <w:tcPr>
            <w:tcW w:w="478" w:type="pct"/>
            <w:noWrap w:val="0"/>
            <w:vAlign w:val="center"/>
          </w:tcPr>
          <w:p w14:paraId="0A24C3B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402.38</w:t>
            </w:r>
          </w:p>
        </w:tc>
        <w:tc>
          <w:tcPr>
            <w:tcW w:w="478" w:type="pct"/>
            <w:noWrap w:val="0"/>
            <w:vAlign w:val="center"/>
          </w:tcPr>
          <w:p w14:paraId="1B1DEA8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42B13DE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402.28</w:t>
            </w:r>
          </w:p>
        </w:tc>
        <w:tc>
          <w:tcPr>
            <w:tcW w:w="557" w:type="pct"/>
            <w:noWrap w:val="0"/>
            <w:vAlign w:val="center"/>
          </w:tcPr>
          <w:p w14:paraId="74AD609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0E9F5A6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402.16</w:t>
            </w:r>
          </w:p>
        </w:tc>
        <w:tc>
          <w:tcPr>
            <w:tcW w:w="557" w:type="pct"/>
            <w:noWrap w:val="0"/>
            <w:vAlign w:val="center"/>
          </w:tcPr>
          <w:p w14:paraId="28711E8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1578D06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399.7</w:t>
            </w:r>
          </w:p>
        </w:tc>
        <w:tc>
          <w:tcPr>
            <w:tcW w:w="555" w:type="pct"/>
            <w:noWrap w:val="0"/>
            <w:vAlign w:val="center"/>
          </w:tcPr>
          <w:p w14:paraId="65AC532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405.57 </w:t>
            </w:r>
          </w:p>
        </w:tc>
      </w:tr>
      <w:tr w14:paraId="12BD4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18667C9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CS3</w:t>
            </w:r>
          </w:p>
        </w:tc>
        <w:tc>
          <w:tcPr>
            <w:tcW w:w="478" w:type="pct"/>
            <w:noWrap w:val="0"/>
            <w:vAlign w:val="center"/>
          </w:tcPr>
          <w:p w14:paraId="565380F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0+079</w:t>
            </w:r>
          </w:p>
        </w:tc>
        <w:tc>
          <w:tcPr>
            <w:tcW w:w="478" w:type="pct"/>
            <w:noWrap w:val="0"/>
            <w:vAlign w:val="center"/>
          </w:tcPr>
          <w:p w14:paraId="54DEDCB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402.82</w:t>
            </w:r>
          </w:p>
        </w:tc>
        <w:tc>
          <w:tcPr>
            <w:tcW w:w="478" w:type="pct"/>
            <w:noWrap w:val="0"/>
            <w:vAlign w:val="center"/>
          </w:tcPr>
          <w:p w14:paraId="6D34C0D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0DFA716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402.73</w:t>
            </w:r>
          </w:p>
        </w:tc>
        <w:tc>
          <w:tcPr>
            <w:tcW w:w="557" w:type="pct"/>
            <w:noWrap w:val="0"/>
            <w:vAlign w:val="center"/>
          </w:tcPr>
          <w:p w14:paraId="40EA3B5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710C7F8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402.62</w:t>
            </w:r>
          </w:p>
        </w:tc>
        <w:tc>
          <w:tcPr>
            <w:tcW w:w="557" w:type="pct"/>
            <w:noWrap w:val="0"/>
            <w:vAlign w:val="center"/>
          </w:tcPr>
          <w:p w14:paraId="30990D4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2A16518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400.6</w:t>
            </w:r>
          </w:p>
        </w:tc>
        <w:tc>
          <w:tcPr>
            <w:tcW w:w="555" w:type="pct"/>
            <w:noWrap w:val="0"/>
            <w:vAlign w:val="center"/>
          </w:tcPr>
          <w:p w14:paraId="3061315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407.36 </w:t>
            </w:r>
          </w:p>
        </w:tc>
      </w:tr>
      <w:tr w14:paraId="519A6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53895F6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CS4</w:t>
            </w:r>
          </w:p>
        </w:tc>
        <w:tc>
          <w:tcPr>
            <w:tcW w:w="478" w:type="pct"/>
            <w:noWrap w:val="0"/>
            <w:vAlign w:val="center"/>
          </w:tcPr>
          <w:p w14:paraId="3C6A3FD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0+134</w:t>
            </w:r>
          </w:p>
        </w:tc>
        <w:tc>
          <w:tcPr>
            <w:tcW w:w="478" w:type="pct"/>
            <w:noWrap w:val="0"/>
            <w:vAlign w:val="center"/>
          </w:tcPr>
          <w:p w14:paraId="0F85478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403.51</w:t>
            </w:r>
          </w:p>
        </w:tc>
        <w:tc>
          <w:tcPr>
            <w:tcW w:w="478" w:type="pct"/>
            <w:noWrap w:val="0"/>
            <w:vAlign w:val="center"/>
          </w:tcPr>
          <w:p w14:paraId="5123F7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77DD524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403.42</w:t>
            </w:r>
          </w:p>
        </w:tc>
        <w:tc>
          <w:tcPr>
            <w:tcW w:w="557" w:type="pct"/>
            <w:noWrap w:val="0"/>
            <w:vAlign w:val="center"/>
          </w:tcPr>
          <w:p w14:paraId="3A06F2E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65997CD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403.32</w:t>
            </w:r>
          </w:p>
        </w:tc>
        <w:tc>
          <w:tcPr>
            <w:tcW w:w="557" w:type="pct"/>
            <w:noWrap w:val="0"/>
            <w:vAlign w:val="center"/>
          </w:tcPr>
          <w:p w14:paraId="2C1789A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7F8EC26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401.4</w:t>
            </w:r>
          </w:p>
        </w:tc>
        <w:tc>
          <w:tcPr>
            <w:tcW w:w="555" w:type="pct"/>
            <w:noWrap w:val="0"/>
            <w:vAlign w:val="center"/>
          </w:tcPr>
          <w:p w14:paraId="4D60AA7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409.21 </w:t>
            </w:r>
          </w:p>
        </w:tc>
      </w:tr>
      <w:tr w14:paraId="15B9F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2C0852B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CS5</w:t>
            </w:r>
          </w:p>
        </w:tc>
        <w:tc>
          <w:tcPr>
            <w:tcW w:w="478" w:type="pct"/>
            <w:noWrap w:val="0"/>
            <w:vAlign w:val="center"/>
          </w:tcPr>
          <w:p w14:paraId="4FC7FA2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0+206</w:t>
            </w:r>
          </w:p>
        </w:tc>
        <w:tc>
          <w:tcPr>
            <w:tcW w:w="478" w:type="pct"/>
            <w:noWrap w:val="0"/>
            <w:vAlign w:val="center"/>
          </w:tcPr>
          <w:p w14:paraId="0712A94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404.14</w:t>
            </w:r>
          </w:p>
        </w:tc>
        <w:tc>
          <w:tcPr>
            <w:tcW w:w="478" w:type="pct"/>
            <w:noWrap w:val="0"/>
            <w:vAlign w:val="center"/>
          </w:tcPr>
          <w:p w14:paraId="0653270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13F9D48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404.06</w:t>
            </w:r>
          </w:p>
        </w:tc>
        <w:tc>
          <w:tcPr>
            <w:tcW w:w="557" w:type="pct"/>
            <w:noWrap w:val="0"/>
            <w:vAlign w:val="center"/>
          </w:tcPr>
          <w:p w14:paraId="11C83B6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42186E4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403.96</w:t>
            </w:r>
          </w:p>
        </w:tc>
        <w:tc>
          <w:tcPr>
            <w:tcW w:w="557" w:type="pct"/>
            <w:noWrap w:val="0"/>
            <w:vAlign w:val="center"/>
          </w:tcPr>
          <w:p w14:paraId="40FB00E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7FA6A92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402.3</w:t>
            </w:r>
          </w:p>
        </w:tc>
        <w:tc>
          <w:tcPr>
            <w:tcW w:w="555" w:type="pct"/>
            <w:noWrap w:val="0"/>
            <w:vAlign w:val="center"/>
          </w:tcPr>
          <w:p w14:paraId="7276965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411.63 </w:t>
            </w:r>
          </w:p>
        </w:tc>
      </w:tr>
      <w:tr w14:paraId="10D47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455" w:type="pct"/>
            <w:noWrap w:val="0"/>
            <w:vAlign w:val="center"/>
          </w:tcPr>
          <w:p w14:paraId="4DA83A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CS6</w:t>
            </w:r>
          </w:p>
        </w:tc>
        <w:tc>
          <w:tcPr>
            <w:tcW w:w="478" w:type="pct"/>
            <w:noWrap w:val="0"/>
            <w:vAlign w:val="center"/>
          </w:tcPr>
          <w:p w14:paraId="0B4BEAB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0+295</w:t>
            </w:r>
          </w:p>
        </w:tc>
        <w:tc>
          <w:tcPr>
            <w:tcW w:w="478" w:type="pct"/>
            <w:noWrap w:val="0"/>
            <w:vAlign w:val="center"/>
          </w:tcPr>
          <w:p w14:paraId="51E7051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404.96</w:t>
            </w:r>
          </w:p>
        </w:tc>
        <w:tc>
          <w:tcPr>
            <w:tcW w:w="478" w:type="pct"/>
            <w:noWrap w:val="0"/>
            <w:vAlign w:val="center"/>
          </w:tcPr>
          <w:p w14:paraId="4468624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181E8AF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404.87</w:t>
            </w:r>
          </w:p>
        </w:tc>
        <w:tc>
          <w:tcPr>
            <w:tcW w:w="557" w:type="pct"/>
            <w:noWrap w:val="0"/>
            <w:vAlign w:val="center"/>
          </w:tcPr>
          <w:p w14:paraId="04EA45A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2C825A1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404.76</w:t>
            </w:r>
          </w:p>
        </w:tc>
        <w:tc>
          <w:tcPr>
            <w:tcW w:w="557" w:type="pct"/>
            <w:noWrap w:val="0"/>
            <w:vAlign w:val="center"/>
          </w:tcPr>
          <w:p w14:paraId="62BDAED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6844E88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402.82</w:t>
            </w:r>
          </w:p>
        </w:tc>
        <w:tc>
          <w:tcPr>
            <w:tcW w:w="555" w:type="pct"/>
            <w:noWrap w:val="0"/>
            <w:vAlign w:val="center"/>
          </w:tcPr>
          <w:p w14:paraId="737C96D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414.62 </w:t>
            </w:r>
          </w:p>
        </w:tc>
      </w:tr>
      <w:tr w14:paraId="6387E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412AD8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CS7</w:t>
            </w:r>
          </w:p>
        </w:tc>
        <w:tc>
          <w:tcPr>
            <w:tcW w:w="478" w:type="pct"/>
            <w:noWrap w:val="0"/>
            <w:vAlign w:val="center"/>
          </w:tcPr>
          <w:p w14:paraId="4E79AE8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0+337</w:t>
            </w:r>
          </w:p>
        </w:tc>
        <w:tc>
          <w:tcPr>
            <w:tcW w:w="478" w:type="pct"/>
            <w:noWrap w:val="0"/>
            <w:vAlign w:val="center"/>
          </w:tcPr>
          <w:p w14:paraId="45BD8CA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405.98</w:t>
            </w:r>
          </w:p>
        </w:tc>
        <w:tc>
          <w:tcPr>
            <w:tcW w:w="478" w:type="pct"/>
            <w:noWrap w:val="0"/>
            <w:vAlign w:val="center"/>
          </w:tcPr>
          <w:p w14:paraId="7D88A8E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10118DB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405.89</w:t>
            </w:r>
          </w:p>
        </w:tc>
        <w:tc>
          <w:tcPr>
            <w:tcW w:w="557" w:type="pct"/>
            <w:noWrap w:val="0"/>
            <w:vAlign w:val="center"/>
          </w:tcPr>
          <w:p w14:paraId="7647143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7BE01EB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405.77</w:t>
            </w:r>
          </w:p>
        </w:tc>
        <w:tc>
          <w:tcPr>
            <w:tcW w:w="557" w:type="pct"/>
            <w:noWrap w:val="0"/>
            <w:vAlign w:val="center"/>
          </w:tcPr>
          <w:p w14:paraId="2DD1F60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0B43D95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403.8</w:t>
            </w:r>
          </w:p>
        </w:tc>
        <w:tc>
          <w:tcPr>
            <w:tcW w:w="555" w:type="pct"/>
            <w:noWrap w:val="0"/>
            <w:vAlign w:val="center"/>
          </w:tcPr>
          <w:p w14:paraId="7413DE1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416.03 </w:t>
            </w:r>
          </w:p>
        </w:tc>
      </w:tr>
      <w:tr w14:paraId="50A66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6AE85BB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CS8</w:t>
            </w:r>
          </w:p>
        </w:tc>
        <w:tc>
          <w:tcPr>
            <w:tcW w:w="478" w:type="pct"/>
            <w:noWrap w:val="0"/>
            <w:vAlign w:val="center"/>
          </w:tcPr>
          <w:p w14:paraId="7044282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0+370</w:t>
            </w:r>
          </w:p>
        </w:tc>
        <w:tc>
          <w:tcPr>
            <w:tcW w:w="478" w:type="pct"/>
            <w:noWrap w:val="0"/>
            <w:vAlign w:val="center"/>
          </w:tcPr>
          <w:p w14:paraId="3DE133A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407.33</w:t>
            </w:r>
          </w:p>
        </w:tc>
        <w:tc>
          <w:tcPr>
            <w:tcW w:w="478" w:type="pct"/>
            <w:noWrap w:val="0"/>
            <w:vAlign w:val="center"/>
          </w:tcPr>
          <w:p w14:paraId="4CCC3B0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4148A9F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407.2</w:t>
            </w:r>
          </w:p>
        </w:tc>
        <w:tc>
          <w:tcPr>
            <w:tcW w:w="557" w:type="pct"/>
            <w:noWrap w:val="0"/>
            <w:vAlign w:val="center"/>
          </w:tcPr>
          <w:p w14:paraId="32A8237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5F68DD8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407.05</w:t>
            </w:r>
          </w:p>
        </w:tc>
        <w:tc>
          <w:tcPr>
            <w:tcW w:w="557" w:type="pct"/>
            <w:noWrap w:val="0"/>
            <w:vAlign w:val="center"/>
          </w:tcPr>
          <w:p w14:paraId="3F4AAB3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64A44CE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405.6</w:t>
            </w:r>
          </w:p>
        </w:tc>
        <w:tc>
          <w:tcPr>
            <w:tcW w:w="555" w:type="pct"/>
            <w:noWrap w:val="0"/>
            <w:vAlign w:val="center"/>
          </w:tcPr>
          <w:p w14:paraId="4C369E6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417.14 </w:t>
            </w:r>
          </w:p>
        </w:tc>
      </w:tr>
      <w:tr w14:paraId="0AB20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0B54A23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CS9</w:t>
            </w:r>
          </w:p>
        </w:tc>
        <w:tc>
          <w:tcPr>
            <w:tcW w:w="478" w:type="pct"/>
            <w:noWrap w:val="0"/>
            <w:vAlign w:val="center"/>
          </w:tcPr>
          <w:p w14:paraId="0ABB8C4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0+407</w:t>
            </w:r>
          </w:p>
        </w:tc>
        <w:tc>
          <w:tcPr>
            <w:tcW w:w="478" w:type="pct"/>
            <w:noWrap w:val="0"/>
            <w:vAlign w:val="center"/>
          </w:tcPr>
          <w:p w14:paraId="7AEC428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409.74</w:t>
            </w:r>
          </w:p>
        </w:tc>
        <w:tc>
          <w:tcPr>
            <w:tcW w:w="478" w:type="pct"/>
            <w:noWrap w:val="0"/>
            <w:vAlign w:val="center"/>
          </w:tcPr>
          <w:p w14:paraId="6111D23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72010CA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409.62</w:t>
            </w:r>
          </w:p>
        </w:tc>
        <w:tc>
          <w:tcPr>
            <w:tcW w:w="557" w:type="pct"/>
            <w:noWrap w:val="0"/>
            <w:vAlign w:val="center"/>
          </w:tcPr>
          <w:p w14:paraId="7D6C602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7701A93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409.46</w:t>
            </w:r>
          </w:p>
        </w:tc>
        <w:tc>
          <w:tcPr>
            <w:tcW w:w="557" w:type="pct"/>
            <w:noWrap w:val="0"/>
            <w:vAlign w:val="center"/>
          </w:tcPr>
          <w:p w14:paraId="7C86773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21DAC5E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407.7</w:t>
            </w:r>
          </w:p>
        </w:tc>
        <w:tc>
          <w:tcPr>
            <w:tcW w:w="555" w:type="pct"/>
            <w:noWrap w:val="0"/>
            <w:vAlign w:val="center"/>
          </w:tcPr>
          <w:p w14:paraId="79E0F64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418.38 </w:t>
            </w:r>
          </w:p>
        </w:tc>
      </w:tr>
      <w:tr w14:paraId="4CC68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3299F3C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CS10</w:t>
            </w:r>
          </w:p>
        </w:tc>
        <w:tc>
          <w:tcPr>
            <w:tcW w:w="478" w:type="pct"/>
            <w:noWrap w:val="0"/>
            <w:vAlign w:val="center"/>
          </w:tcPr>
          <w:p w14:paraId="79D3023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0+448</w:t>
            </w:r>
          </w:p>
        </w:tc>
        <w:tc>
          <w:tcPr>
            <w:tcW w:w="478" w:type="pct"/>
            <w:noWrap w:val="0"/>
            <w:vAlign w:val="center"/>
          </w:tcPr>
          <w:p w14:paraId="1EE826C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413.6</w:t>
            </w:r>
          </w:p>
        </w:tc>
        <w:tc>
          <w:tcPr>
            <w:tcW w:w="478" w:type="pct"/>
            <w:noWrap w:val="0"/>
            <w:vAlign w:val="center"/>
          </w:tcPr>
          <w:p w14:paraId="5A7BE6D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3527F7A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413.53</w:t>
            </w:r>
          </w:p>
        </w:tc>
        <w:tc>
          <w:tcPr>
            <w:tcW w:w="557" w:type="pct"/>
            <w:noWrap w:val="0"/>
            <w:vAlign w:val="center"/>
          </w:tcPr>
          <w:p w14:paraId="78301A8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389FCAA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413.43</w:t>
            </w:r>
          </w:p>
        </w:tc>
        <w:tc>
          <w:tcPr>
            <w:tcW w:w="557" w:type="pct"/>
            <w:noWrap w:val="0"/>
            <w:vAlign w:val="center"/>
          </w:tcPr>
          <w:p w14:paraId="136695B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492F89A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411</w:t>
            </w:r>
          </w:p>
        </w:tc>
        <w:tc>
          <w:tcPr>
            <w:tcW w:w="555" w:type="pct"/>
            <w:noWrap w:val="0"/>
            <w:vAlign w:val="center"/>
          </w:tcPr>
          <w:p w14:paraId="3766E2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419.76 </w:t>
            </w:r>
          </w:p>
        </w:tc>
      </w:tr>
      <w:tr w14:paraId="1A08C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369A05F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CS11</w:t>
            </w:r>
          </w:p>
        </w:tc>
        <w:tc>
          <w:tcPr>
            <w:tcW w:w="478" w:type="pct"/>
            <w:noWrap w:val="0"/>
            <w:vAlign w:val="center"/>
          </w:tcPr>
          <w:p w14:paraId="4E227BA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0+475</w:t>
            </w:r>
          </w:p>
        </w:tc>
        <w:tc>
          <w:tcPr>
            <w:tcW w:w="478" w:type="pct"/>
            <w:noWrap w:val="0"/>
            <w:vAlign w:val="center"/>
          </w:tcPr>
          <w:p w14:paraId="721840A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416.54</w:t>
            </w:r>
          </w:p>
        </w:tc>
        <w:tc>
          <w:tcPr>
            <w:tcW w:w="478" w:type="pct"/>
            <w:noWrap w:val="0"/>
            <w:vAlign w:val="center"/>
          </w:tcPr>
          <w:p w14:paraId="3632330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5D0319C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416.45</w:t>
            </w:r>
          </w:p>
        </w:tc>
        <w:tc>
          <w:tcPr>
            <w:tcW w:w="557" w:type="pct"/>
            <w:noWrap w:val="0"/>
            <w:vAlign w:val="center"/>
          </w:tcPr>
          <w:p w14:paraId="2ADB445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3634AD3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416.33</w:t>
            </w:r>
          </w:p>
        </w:tc>
        <w:tc>
          <w:tcPr>
            <w:tcW w:w="557" w:type="pct"/>
            <w:noWrap w:val="0"/>
            <w:vAlign w:val="center"/>
          </w:tcPr>
          <w:p w14:paraId="449FAF7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65F126F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414.6</w:t>
            </w:r>
          </w:p>
        </w:tc>
        <w:tc>
          <w:tcPr>
            <w:tcW w:w="555" w:type="pct"/>
            <w:noWrap w:val="0"/>
            <w:vAlign w:val="center"/>
          </w:tcPr>
          <w:p w14:paraId="3803CF0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420.67 </w:t>
            </w:r>
          </w:p>
        </w:tc>
      </w:tr>
      <w:tr w14:paraId="504108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31C8676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CS12</w:t>
            </w:r>
          </w:p>
        </w:tc>
        <w:tc>
          <w:tcPr>
            <w:tcW w:w="478" w:type="pct"/>
            <w:noWrap w:val="0"/>
            <w:vAlign w:val="center"/>
          </w:tcPr>
          <w:p w14:paraId="254EB6A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0+511</w:t>
            </w:r>
          </w:p>
        </w:tc>
        <w:tc>
          <w:tcPr>
            <w:tcW w:w="478" w:type="pct"/>
            <w:noWrap w:val="0"/>
            <w:vAlign w:val="center"/>
          </w:tcPr>
          <w:p w14:paraId="11B2CF7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422.81</w:t>
            </w:r>
          </w:p>
        </w:tc>
        <w:tc>
          <w:tcPr>
            <w:tcW w:w="478" w:type="pct"/>
            <w:noWrap w:val="0"/>
            <w:vAlign w:val="center"/>
          </w:tcPr>
          <w:p w14:paraId="44E8D4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422.93</w:t>
            </w:r>
          </w:p>
        </w:tc>
        <w:tc>
          <w:tcPr>
            <w:tcW w:w="478" w:type="pct"/>
            <w:noWrap w:val="0"/>
            <w:vAlign w:val="center"/>
          </w:tcPr>
          <w:p w14:paraId="4D2DED6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422.78</w:t>
            </w:r>
          </w:p>
        </w:tc>
        <w:tc>
          <w:tcPr>
            <w:tcW w:w="557" w:type="pct"/>
            <w:noWrap w:val="0"/>
            <w:vAlign w:val="center"/>
          </w:tcPr>
          <w:p w14:paraId="3480EB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422.88</w:t>
            </w:r>
          </w:p>
        </w:tc>
        <w:tc>
          <w:tcPr>
            <w:tcW w:w="478" w:type="pct"/>
            <w:noWrap w:val="0"/>
            <w:vAlign w:val="center"/>
          </w:tcPr>
          <w:p w14:paraId="551E7E6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422.73</w:t>
            </w:r>
          </w:p>
        </w:tc>
        <w:tc>
          <w:tcPr>
            <w:tcW w:w="557" w:type="pct"/>
            <w:noWrap w:val="0"/>
            <w:vAlign w:val="center"/>
          </w:tcPr>
          <w:p w14:paraId="13D70D1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422.82</w:t>
            </w:r>
          </w:p>
        </w:tc>
        <w:tc>
          <w:tcPr>
            <w:tcW w:w="478" w:type="pct"/>
            <w:noWrap w:val="0"/>
            <w:vAlign w:val="center"/>
          </w:tcPr>
          <w:p w14:paraId="0C41405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421.88</w:t>
            </w:r>
          </w:p>
        </w:tc>
        <w:tc>
          <w:tcPr>
            <w:tcW w:w="555" w:type="pct"/>
            <w:noWrap w:val="0"/>
            <w:vAlign w:val="center"/>
          </w:tcPr>
          <w:p w14:paraId="028246F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421.88 </w:t>
            </w:r>
          </w:p>
        </w:tc>
      </w:tr>
      <w:tr w14:paraId="74957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0F63E6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CS13</w:t>
            </w:r>
          </w:p>
        </w:tc>
        <w:tc>
          <w:tcPr>
            <w:tcW w:w="478" w:type="pct"/>
            <w:noWrap w:val="0"/>
            <w:vAlign w:val="center"/>
          </w:tcPr>
          <w:p w14:paraId="5D268DF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0+533</w:t>
            </w:r>
          </w:p>
        </w:tc>
        <w:tc>
          <w:tcPr>
            <w:tcW w:w="478" w:type="pct"/>
            <w:noWrap w:val="0"/>
            <w:vAlign w:val="center"/>
          </w:tcPr>
          <w:p w14:paraId="72CD920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425.77</w:t>
            </w:r>
          </w:p>
        </w:tc>
        <w:tc>
          <w:tcPr>
            <w:tcW w:w="478" w:type="pct"/>
            <w:noWrap w:val="0"/>
            <w:vAlign w:val="center"/>
          </w:tcPr>
          <w:p w14:paraId="0AB6E01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425.77</w:t>
            </w:r>
          </w:p>
        </w:tc>
        <w:tc>
          <w:tcPr>
            <w:tcW w:w="478" w:type="pct"/>
            <w:noWrap w:val="0"/>
            <w:vAlign w:val="center"/>
          </w:tcPr>
          <w:p w14:paraId="32950EA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425.73</w:t>
            </w:r>
          </w:p>
        </w:tc>
        <w:tc>
          <w:tcPr>
            <w:tcW w:w="557" w:type="pct"/>
            <w:noWrap w:val="0"/>
            <w:vAlign w:val="center"/>
          </w:tcPr>
          <w:p w14:paraId="2A2F75C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425.73</w:t>
            </w:r>
          </w:p>
        </w:tc>
        <w:tc>
          <w:tcPr>
            <w:tcW w:w="478" w:type="pct"/>
            <w:noWrap w:val="0"/>
            <w:vAlign w:val="center"/>
          </w:tcPr>
          <w:p w14:paraId="5EBA883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425.6</w:t>
            </w:r>
          </w:p>
        </w:tc>
        <w:tc>
          <w:tcPr>
            <w:tcW w:w="557" w:type="pct"/>
            <w:noWrap w:val="0"/>
            <w:vAlign w:val="center"/>
          </w:tcPr>
          <w:p w14:paraId="2237298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425.6</w:t>
            </w:r>
          </w:p>
        </w:tc>
        <w:tc>
          <w:tcPr>
            <w:tcW w:w="478" w:type="pct"/>
            <w:noWrap w:val="0"/>
            <w:vAlign w:val="center"/>
          </w:tcPr>
          <w:p w14:paraId="797A701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424.2</w:t>
            </w:r>
          </w:p>
        </w:tc>
        <w:tc>
          <w:tcPr>
            <w:tcW w:w="555" w:type="pct"/>
            <w:noWrap w:val="0"/>
            <w:vAlign w:val="center"/>
          </w:tcPr>
          <w:p w14:paraId="6C3C0FE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424.20 </w:t>
            </w:r>
          </w:p>
        </w:tc>
      </w:tr>
    </w:tbl>
    <w:p w14:paraId="4DF664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Arial" w:hAnsi="宋体" w:cs="Arial"/>
          <w:b/>
          <w:bCs/>
          <w:sz w:val="26"/>
          <w:szCs w:val="26"/>
          <w:lang w:val="en-US" w:eastAsia="zh-CN"/>
        </w:rPr>
      </w:pPr>
    </w:p>
    <w:p w14:paraId="4080E4E8">
      <w:pPr>
        <w:spacing w:line="460" w:lineRule="exact"/>
        <w:ind w:firstLine="520" w:firstLineChars="200"/>
        <w:rPr>
          <w:rFonts w:hint="default" w:ascii="Arial" w:hAnsi="Arial" w:eastAsia="宋体" w:cs="Arial"/>
          <w:bCs/>
          <w:sz w:val="26"/>
          <w:szCs w:val="26"/>
          <w:lang w:val="en-US"/>
        </w:rPr>
      </w:pPr>
      <w:r>
        <w:rPr>
          <w:rFonts w:hint="eastAsia" w:ascii="Arial" w:hAnsi="Arial" w:eastAsia="宋体" w:cs="Arial"/>
          <w:bCs/>
          <w:sz w:val="26"/>
          <w:szCs w:val="26"/>
          <w:lang w:eastAsia="zh-CN"/>
        </w:rPr>
        <w:t>水库建成后，</w:t>
      </w:r>
      <w:r>
        <w:rPr>
          <w:rFonts w:hint="eastAsia" w:ascii="Arial" w:hAnsi="Arial" w:eastAsia="宋体" w:cs="Arial"/>
          <w:bCs/>
          <w:sz w:val="26"/>
          <w:szCs w:val="26"/>
        </w:rPr>
        <w:t>库区河段水位均较原水位有不同程度的抬升，越靠近坝址抬升越明显</w:t>
      </w:r>
      <w:r>
        <w:rPr>
          <w:rFonts w:hint="eastAsia" w:ascii="Arial" w:hAnsi="Arial" w:eastAsia="宋体" w:cs="Arial"/>
          <w:bCs/>
          <w:sz w:val="26"/>
          <w:szCs w:val="26"/>
          <w:lang w:eastAsia="zh-CN"/>
        </w:rPr>
        <w:t>。因水位抬升，坝前水深增加、水面变宽，水面抬升</w:t>
      </w:r>
      <w:r>
        <w:rPr>
          <w:rFonts w:hint="eastAsia" w:ascii="Arial" w:hAnsi="Arial" w:eastAsia="宋体" w:cs="Arial"/>
          <w:bCs/>
          <w:sz w:val="26"/>
          <w:szCs w:val="26"/>
          <w:lang w:val="en-US" w:eastAsia="zh-CN"/>
        </w:rPr>
        <w:t>0~12.23m。断面平均流速也将减小，越靠近坝址减缓越明显，至坝前接近为0。</w:t>
      </w:r>
    </w:p>
    <w:p w14:paraId="57370902">
      <w:pPr>
        <w:spacing w:line="460" w:lineRule="exact"/>
        <w:ind w:firstLine="522" w:firstLineChars="200"/>
        <w:rPr>
          <w:rFonts w:hint="eastAsia" w:ascii="Arial" w:hAnsi="Arial" w:eastAsia="宋体" w:cs="Arial"/>
          <w:b/>
          <w:bCs/>
          <w:color w:val="000000"/>
          <w:sz w:val="26"/>
          <w:szCs w:val="26"/>
          <w:highlight w:val="none"/>
          <w:lang w:val="en-US" w:eastAsia="zh-CN"/>
        </w:rPr>
      </w:pPr>
      <w:r>
        <w:rPr>
          <w:rFonts w:hint="default" w:ascii="Arial" w:hAnsi="Arial" w:eastAsia="宋体" w:cs="Arial"/>
          <w:b/>
          <w:bCs/>
          <w:color w:val="000000"/>
          <w:sz w:val="26"/>
          <w:szCs w:val="26"/>
          <w:highlight w:val="none"/>
          <w:lang w:val="en-US" w:eastAsia="zh-CN"/>
        </w:rPr>
        <w:t>②</w:t>
      </w:r>
      <w:r>
        <w:rPr>
          <w:rFonts w:hint="eastAsia" w:ascii="Arial" w:hAnsi="Arial" w:eastAsia="宋体" w:cs="Arial"/>
          <w:b/>
          <w:bCs/>
          <w:color w:val="000000"/>
          <w:sz w:val="26"/>
          <w:szCs w:val="26"/>
          <w:highlight w:val="none"/>
          <w:lang w:val="en-US" w:eastAsia="zh-CN"/>
        </w:rPr>
        <w:t>坝址下游水文情势影响分析</w:t>
      </w:r>
    </w:p>
    <w:p w14:paraId="5F12715A">
      <w:pPr>
        <w:spacing w:line="460" w:lineRule="exact"/>
        <w:ind w:firstLine="520" w:firstLineChars="200"/>
        <w:rPr>
          <w:rFonts w:hint="eastAsia" w:ascii="Arial" w:hAnsi="Arial" w:eastAsia="宋体" w:cs="Arial"/>
          <w:bCs/>
          <w:sz w:val="26"/>
          <w:szCs w:val="26"/>
          <w:lang w:eastAsia="zh-CN"/>
        </w:rPr>
      </w:pPr>
      <w:r>
        <w:rPr>
          <w:rFonts w:hint="eastAsia" w:ascii="Arial" w:hAnsi="Arial" w:eastAsia="宋体" w:cs="Arial"/>
          <w:bCs/>
          <w:sz w:val="26"/>
          <w:szCs w:val="26"/>
          <w:lang w:eastAsia="zh-CN"/>
        </w:rPr>
        <w:t xml:space="preserve">工程建成运行后，将会改变水库大坝下游的水文情势，水库坝下将形成约 </w:t>
      </w:r>
      <w:r>
        <w:rPr>
          <w:rFonts w:hint="eastAsia" w:ascii="Arial" w:hAnsi="Arial" w:eastAsia="宋体" w:cs="Arial"/>
          <w:bCs/>
          <w:sz w:val="26"/>
          <w:szCs w:val="26"/>
          <w:lang w:val="en-US" w:eastAsia="zh-CN"/>
        </w:rPr>
        <w:t>1.54</w:t>
      </w:r>
      <w:r>
        <w:rPr>
          <w:rFonts w:hint="eastAsia" w:ascii="Arial" w:hAnsi="Arial" w:eastAsia="宋体" w:cs="Arial"/>
          <w:bCs/>
          <w:sz w:val="26"/>
          <w:szCs w:val="26"/>
          <w:lang w:eastAsia="zh-CN"/>
        </w:rPr>
        <w:t>km长的减水河段。减水河段沿河两岸主要为林地、耕地，无居民居住，河道内无取水口分布，对河流水文情势影响较小，其水文情势主要受水库的调蓄作用影响。为减缓水库运行对坝址下游减水段水文情势影响，保护水生生态环境，本项目采取了生态流量下放措施，下泄生态流量</w:t>
      </w:r>
      <w:r>
        <w:rPr>
          <w:rFonts w:hint="eastAsia" w:ascii="Arial" w:hAnsi="Arial" w:eastAsia="宋体" w:cs="Arial"/>
          <w:bCs/>
          <w:sz w:val="26"/>
          <w:szCs w:val="26"/>
          <w:lang w:val="en-US" w:eastAsia="zh-CN"/>
        </w:rPr>
        <w:t>0.005</w:t>
      </w:r>
      <w:r>
        <w:rPr>
          <w:rFonts w:hint="eastAsia" w:ascii="Arial" w:hAnsi="Arial" w:eastAsia="宋体" w:cs="Arial"/>
          <w:bCs/>
          <w:sz w:val="26"/>
          <w:szCs w:val="26"/>
          <w:lang w:eastAsia="zh-CN"/>
        </w:rPr>
        <w:t>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eastAsia="zh-CN"/>
        </w:rPr>
        <w:t>/s。设置闸阀房和控制阀，可保证任意时段均能下泄流量，因此不会造成减水河段断流情况。</w:t>
      </w:r>
    </w:p>
    <w:p w14:paraId="36D96C31">
      <w:pPr>
        <w:spacing w:line="460" w:lineRule="exact"/>
        <w:ind w:firstLine="522" w:firstLineChars="200"/>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③洪水</w:t>
      </w:r>
    </w:p>
    <w:p w14:paraId="37AD1EA0">
      <w:pPr>
        <w:spacing w:line="460" w:lineRule="exact"/>
        <w:ind w:firstLine="520" w:firstLineChars="200"/>
        <w:rPr>
          <w:rFonts w:hint="eastAsia" w:ascii="Arial" w:hAnsi="Arial" w:eastAsia="宋体" w:cs="Arial"/>
          <w:bCs/>
          <w:sz w:val="26"/>
          <w:szCs w:val="26"/>
          <w:lang w:eastAsia="zh-CN"/>
        </w:rPr>
      </w:pPr>
      <w:r>
        <w:rPr>
          <w:rFonts w:hint="eastAsia" w:ascii="Arial" w:hAnsi="Arial" w:eastAsia="宋体" w:cs="Arial"/>
          <w:bCs/>
          <w:sz w:val="26"/>
          <w:szCs w:val="26"/>
          <w:lang w:eastAsia="zh-CN"/>
        </w:rPr>
        <w:t>本工程无防洪任务，</w:t>
      </w:r>
      <w:r>
        <w:rPr>
          <w:rFonts w:hint="eastAsia" w:ascii="Arial" w:hAnsi="Arial" w:cs="Arial"/>
          <w:bCs/>
          <w:sz w:val="26"/>
          <w:szCs w:val="26"/>
          <w:lang w:eastAsia="zh-CN"/>
        </w:rPr>
        <w:t>海螺沟</w:t>
      </w:r>
      <w:r>
        <w:rPr>
          <w:rFonts w:hint="eastAsia" w:ascii="Arial" w:hAnsi="Arial" w:eastAsia="宋体" w:cs="Arial"/>
          <w:bCs/>
          <w:sz w:val="26"/>
          <w:szCs w:val="26"/>
          <w:lang w:eastAsia="zh-CN"/>
        </w:rPr>
        <w:t>水库洪水计算的起调水位为正常蓄水位</w:t>
      </w:r>
      <w:r>
        <w:rPr>
          <w:rFonts w:hint="eastAsia" w:ascii="Arial" w:hAnsi="Arial" w:cs="Arial"/>
          <w:bCs/>
          <w:sz w:val="26"/>
          <w:szCs w:val="26"/>
          <w:lang w:val="en-US" w:eastAsia="zh-CN"/>
        </w:rPr>
        <w:t>420m</w:t>
      </w:r>
      <w:r>
        <w:rPr>
          <w:rFonts w:hint="eastAsia" w:ascii="Arial" w:hAnsi="Arial" w:eastAsia="宋体" w:cs="Arial"/>
          <w:bCs/>
          <w:sz w:val="26"/>
          <w:szCs w:val="26"/>
          <w:lang w:eastAsia="zh-CN"/>
        </w:rPr>
        <w:t>，</w:t>
      </w:r>
      <w:r>
        <w:rPr>
          <w:rFonts w:hint="eastAsia" w:ascii="Arial" w:hAnsi="Arial" w:cs="Arial"/>
          <w:bCs/>
          <w:sz w:val="26"/>
          <w:szCs w:val="26"/>
          <w:lang w:eastAsia="zh-CN"/>
        </w:rPr>
        <w:t>修建开敞式</w:t>
      </w:r>
      <w:r>
        <w:rPr>
          <w:rFonts w:hint="eastAsia" w:ascii="Arial" w:hAnsi="宋体" w:cs="Arial"/>
          <w:sz w:val="26"/>
          <w:szCs w:val="26"/>
        </w:rPr>
        <w:t>无闸溢流坝泄洪</w:t>
      </w:r>
      <w:r>
        <w:rPr>
          <w:rFonts w:hint="eastAsia" w:ascii="Arial" w:hAnsi="宋体" w:cs="Arial"/>
          <w:sz w:val="26"/>
          <w:szCs w:val="26"/>
          <w:lang w:eastAsia="zh-CN"/>
        </w:rPr>
        <w:t>，溢洪坝</w:t>
      </w:r>
      <w:r>
        <w:rPr>
          <w:rFonts w:hint="default" w:ascii="Arial" w:hAnsi="Arial" w:cs="Arial"/>
          <w:sz w:val="26"/>
          <w:szCs w:val="26"/>
        </w:rPr>
        <w:t>位于河床中部</w:t>
      </w:r>
      <w:r>
        <w:rPr>
          <w:rFonts w:hint="eastAsia" w:ascii="Arial" w:hAnsi="Arial" w:cs="Arial"/>
          <w:sz w:val="26"/>
          <w:szCs w:val="26"/>
          <w:lang w:eastAsia="zh-CN"/>
        </w:rPr>
        <w:t>，溢流净宽</w:t>
      </w:r>
      <w:r>
        <w:rPr>
          <w:rFonts w:hint="eastAsia" w:ascii="Arial" w:hAnsi="Arial" w:cs="Arial"/>
          <w:sz w:val="26"/>
          <w:szCs w:val="26"/>
          <w:lang w:val="en-US" w:eastAsia="zh-CN"/>
        </w:rPr>
        <w:t>9m，2孔布置，</w:t>
      </w:r>
      <w:r>
        <w:rPr>
          <w:rFonts w:hint="eastAsia" w:ascii="Arial" w:hAnsi="Arial" w:cs="Arial"/>
          <w:sz w:val="26"/>
          <w:szCs w:val="26"/>
          <w:lang w:eastAsia="zh-CN"/>
        </w:rPr>
        <w:t>坝顶</w:t>
      </w:r>
      <w:r>
        <w:rPr>
          <w:rFonts w:hint="default" w:ascii="Arial" w:hAnsi="Arial" w:cs="Arial"/>
          <w:sz w:val="26"/>
          <w:szCs w:val="26"/>
        </w:rPr>
        <w:t>高程420m</w:t>
      </w:r>
      <w:r>
        <w:rPr>
          <w:rFonts w:hint="eastAsia" w:ascii="Arial" w:hAnsi="Arial" w:eastAsia="宋体" w:cs="Arial"/>
          <w:bCs/>
          <w:sz w:val="26"/>
          <w:szCs w:val="26"/>
          <w:lang w:eastAsia="zh-CN"/>
        </w:rPr>
        <w:t>。根据</w:t>
      </w:r>
      <w:r>
        <w:rPr>
          <w:rFonts w:hint="eastAsia" w:ascii="Arial" w:hAnsi="Arial" w:cs="Arial"/>
          <w:bCs/>
          <w:sz w:val="26"/>
          <w:szCs w:val="26"/>
          <w:lang w:eastAsia="zh-CN"/>
        </w:rPr>
        <w:t>海螺沟</w:t>
      </w:r>
      <w:r>
        <w:rPr>
          <w:rFonts w:hint="eastAsia" w:ascii="Arial" w:hAnsi="Arial" w:eastAsia="宋体" w:cs="Arial"/>
          <w:bCs/>
          <w:sz w:val="26"/>
          <w:szCs w:val="26"/>
          <w:lang w:eastAsia="zh-CN"/>
        </w:rPr>
        <w:t>水库建筑物设计标准和相应洪水调节计算结果，</w:t>
      </w:r>
      <w:r>
        <w:rPr>
          <w:rFonts w:hint="eastAsia" w:ascii="Arial" w:hAnsi="Arial" w:cs="Arial"/>
          <w:bCs/>
          <w:sz w:val="26"/>
          <w:szCs w:val="26"/>
          <w:lang w:eastAsia="zh-CN"/>
        </w:rPr>
        <w:t>水库调节库容</w:t>
      </w:r>
      <w:r>
        <w:rPr>
          <w:rFonts w:hint="eastAsia" w:ascii="Arial" w:hAnsi="Arial" w:cs="Arial"/>
          <w:bCs/>
          <w:sz w:val="26"/>
          <w:szCs w:val="26"/>
          <w:lang w:val="en-US" w:eastAsia="zh-CN"/>
        </w:rPr>
        <w:t>59.74万m</w:t>
      </w:r>
      <w:r>
        <w:rPr>
          <w:rFonts w:hint="eastAsia" w:ascii="Arial" w:hAnsi="Arial" w:cs="Arial"/>
          <w:bCs/>
          <w:sz w:val="26"/>
          <w:szCs w:val="26"/>
          <w:vertAlign w:val="superscript"/>
          <w:lang w:val="en-US" w:eastAsia="zh-CN"/>
        </w:rPr>
        <w:t>3</w:t>
      </w:r>
      <w:r>
        <w:rPr>
          <w:rFonts w:hint="eastAsia" w:ascii="Arial" w:hAnsi="Arial" w:cs="Arial"/>
          <w:bCs/>
          <w:sz w:val="26"/>
          <w:szCs w:val="26"/>
          <w:lang w:val="en-US" w:eastAsia="zh-CN"/>
        </w:rPr>
        <w:t>，及</w:t>
      </w:r>
      <w:r>
        <w:rPr>
          <w:rFonts w:hint="eastAsia" w:ascii="Arial" w:hAnsi="Arial" w:eastAsia="宋体" w:cs="Arial"/>
          <w:bCs/>
          <w:sz w:val="26"/>
          <w:szCs w:val="26"/>
          <w:lang w:eastAsia="zh-CN"/>
        </w:rPr>
        <w:t>蓄水期间将会对洪水起到拦蓄、削峰作用，下游河道洪水有所削弱；待水库蓄水完成保持正常蓄水位后，下游河道洪水基本保持天然状态。</w:t>
      </w:r>
    </w:p>
    <w:p w14:paraId="01DC8291">
      <w:pPr>
        <w:spacing w:line="460" w:lineRule="exact"/>
        <w:ind w:firstLine="522" w:firstLineChars="200"/>
        <w:rPr>
          <w:rFonts w:hint="default"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④泥沙淤积</w:t>
      </w:r>
    </w:p>
    <w:p w14:paraId="60237CAA">
      <w:pPr>
        <w:spacing w:line="460" w:lineRule="exact"/>
        <w:ind w:firstLine="520" w:firstLineChars="200"/>
        <w:rPr>
          <w:rFonts w:hint="default" w:ascii="Arial" w:hAnsi="Arial" w:eastAsia="宋体" w:cs="Arial"/>
          <w:bCs/>
          <w:sz w:val="26"/>
          <w:szCs w:val="26"/>
          <w:lang w:val="en-US" w:eastAsia="zh-CN"/>
        </w:rPr>
      </w:pPr>
      <w:r>
        <w:rPr>
          <w:rFonts w:hint="eastAsia" w:ascii="Arial" w:hAnsi="Arial" w:cs="Arial"/>
          <w:bCs/>
          <w:sz w:val="26"/>
          <w:szCs w:val="26"/>
          <w:lang w:val="en-US" w:eastAsia="zh-CN"/>
        </w:rPr>
        <w:t>根据现场勘查，海螺沟水库坝址上游集雨范围内，多为林地和耕地，零星有乡村分布，人类活动以农业为主，水土流失现状不明显，泥沙主要来源于岩石风化和地表侵蚀。根据项目初设报告，项目建成后库区将形成0.55km的回水区，</w:t>
      </w:r>
      <w:r>
        <w:rPr>
          <w:rFonts w:ascii="Arial" w:hAnsi="Arial" w:cs="Arial"/>
          <w:sz w:val="26"/>
          <w:szCs w:val="26"/>
        </w:rPr>
        <w:t>由于水库的作用改变了水沙的特性，使泥沙在库中淤积</w:t>
      </w:r>
      <w:r>
        <w:rPr>
          <w:rFonts w:hint="eastAsia" w:ascii="Arial" w:hAnsi="Arial" w:cs="Arial"/>
          <w:sz w:val="26"/>
          <w:szCs w:val="26"/>
          <w:lang w:eastAsia="zh-CN"/>
        </w:rPr>
        <w:t>，</w:t>
      </w:r>
      <w:r>
        <w:rPr>
          <w:rFonts w:hint="eastAsia" w:ascii="Arial" w:hAnsi="Arial" w:cs="Arial"/>
          <w:bCs/>
          <w:sz w:val="26"/>
          <w:szCs w:val="26"/>
          <w:lang w:val="en-US" w:eastAsia="zh-CN"/>
        </w:rPr>
        <w:t>坝址处多年平均输沙总量为703.8t。</w:t>
      </w:r>
    </w:p>
    <w:p w14:paraId="66E41A44">
      <w:pPr>
        <w:spacing w:line="460" w:lineRule="exact"/>
        <w:ind w:firstLine="520" w:firstLineChars="200"/>
        <w:rPr>
          <w:rFonts w:hint="eastAsia" w:ascii="Arial" w:hAnsi="Arial" w:cs="Arial"/>
          <w:sz w:val="26"/>
          <w:szCs w:val="26"/>
        </w:rPr>
      </w:pPr>
      <w:r>
        <w:rPr>
          <w:rFonts w:ascii="Arial" w:hAnsi="Arial" w:cs="Arial"/>
          <w:sz w:val="26"/>
          <w:szCs w:val="26"/>
        </w:rPr>
        <w:t>泥沙淤积会对水库产生一定的影响</w:t>
      </w:r>
      <w:r>
        <w:rPr>
          <w:rFonts w:hint="eastAsia" w:ascii="Arial" w:hAnsi="Arial" w:cs="Arial"/>
          <w:sz w:val="26"/>
          <w:szCs w:val="26"/>
        </w:rPr>
        <w:t>。</w:t>
      </w:r>
      <w:r>
        <w:rPr>
          <w:rFonts w:ascii="Arial" w:hAnsi="Arial" w:cs="Arial"/>
          <w:sz w:val="26"/>
          <w:szCs w:val="26"/>
        </w:rPr>
        <w:t>因此项目建成后应加强上游的泥沙观测，视上游水情、沙情决定冲砂塔开启情况，尽可能减小坝前泥沙淤积影响，并延长水库使用年限。</w:t>
      </w:r>
    </w:p>
    <w:p w14:paraId="6DDF271D">
      <w:pPr>
        <w:spacing w:line="460" w:lineRule="exact"/>
        <w:ind w:firstLine="520" w:firstLineChars="200"/>
        <w:rPr>
          <w:rFonts w:ascii="Arial" w:hAnsi="Arial" w:cs="Arial"/>
          <w:sz w:val="26"/>
          <w:szCs w:val="26"/>
        </w:rPr>
      </w:pPr>
      <w:r>
        <w:rPr>
          <w:rFonts w:ascii="Arial" w:hAnsi="Arial" w:cs="Arial"/>
          <w:sz w:val="26"/>
          <w:szCs w:val="26"/>
        </w:rPr>
        <w:t>项目建成后将大部分泥沙拦蓄在坝前库区，出库的少量泥沙多为细颗粒悬沙，不易在坝下河段产生淤积影响。</w:t>
      </w:r>
    </w:p>
    <w:p w14:paraId="30D48B66">
      <w:pPr>
        <w:spacing w:line="460" w:lineRule="exact"/>
        <w:ind w:firstLine="522" w:firstLineChars="200"/>
        <w:rPr>
          <w:rFonts w:hint="eastAsia" w:ascii="Arial" w:hAnsi="Arial" w:eastAsia="宋体" w:cs="Arial"/>
          <w:b/>
          <w:bCs/>
          <w:color w:val="000000"/>
          <w:sz w:val="26"/>
          <w:szCs w:val="26"/>
          <w:lang w:val="en-US" w:eastAsia="zh-CN"/>
        </w:rPr>
      </w:pPr>
      <w:r>
        <w:rPr>
          <w:rFonts w:hint="eastAsia" w:ascii="宋体" w:hAnsi="宋体" w:eastAsia="宋体" w:cs="宋体"/>
          <w:b/>
          <w:bCs/>
          <w:color w:val="000000"/>
          <w:sz w:val="26"/>
          <w:szCs w:val="26"/>
          <w:lang w:val="en-US" w:eastAsia="zh-CN"/>
        </w:rPr>
        <w:t>⑤</w:t>
      </w:r>
      <w:r>
        <w:rPr>
          <w:rFonts w:hint="eastAsia" w:ascii="Arial" w:hAnsi="Arial" w:eastAsia="宋体" w:cs="Arial"/>
          <w:b/>
          <w:bCs/>
          <w:color w:val="000000"/>
          <w:sz w:val="26"/>
          <w:szCs w:val="26"/>
          <w:lang w:val="en-US" w:eastAsia="zh-CN"/>
        </w:rPr>
        <w:t>排沙</w:t>
      </w:r>
    </w:p>
    <w:p w14:paraId="60ECD1BF">
      <w:pPr>
        <w:spacing w:line="460" w:lineRule="exact"/>
        <w:ind w:firstLine="520" w:firstLineChars="200"/>
        <w:rPr>
          <w:rFonts w:hint="default" w:ascii="Arial" w:hAnsi="Arial" w:eastAsia="宋体" w:cs="Arial"/>
          <w:bCs/>
          <w:sz w:val="26"/>
          <w:szCs w:val="26"/>
          <w:lang w:val="en-US" w:eastAsia="zh-CN"/>
        </w:rPr>
      </w:pPr>
      <w:r>
        <w:rPr>
          <w:rFonts w:hint="default" w:ascii="Arial" w:hAnsi="Arial" w:eastAsia="宋体" w:cs="Arial"/>
          <w:bCs/>
          <w:sz w:val="26"/>
          <w:szCs w:val="26"/>
          <w:lang w:val="en-US" w:eastAsia="zh-CN"/>
        </w:rPr>
        <w:t>坝址下游河段由于平时来水含沙量减少，在水库汛期泄洪时将受到水流的冲刷作用，冲刷区河段覆盖层被冲走，其总的演变趋势为河床高程逐渐降低。</w:t>
      </w:r>
      <w:r>
        <w:rPr>
          <w:rFonts w:hint="eastAsia" w:ascii="Arial" w:hAnsi="Arial" w:eastAsia="宋体" w:cs="Arial"/>
          <w:bCs/>
          <w:sz w:val="26"/>
          <w:szCs w:val="26"/>
          <w:lang w:val="en-US" w:eastAsia="zh-CN"/>
        </w:rPr>
        <w:t>盖石</w:t>
      </w:r>
      <w:r>
        <w:rPr>
          <w:rFonts w:hint="default" w:ascii="Arial" w:hAnsi="Arial" w:eastAsia="宋体" w:cs="Arial"/>
          <w:bCs/>
          <w:sz w:val="26"/>
          <w:szCs w:val="26"/>
          <w:lang w:val="en-US" w:eastAsia="zh-CN"/>
        </w:rPr>
        <w:t>沟河道下部岩体为硬质岩，抗冲刷能力较好，河床段冲刷降低至一定高程后将会停止下降达到平衡。</w:t>
      </w:r>
    </w:p>
    <w:p w14:paraId="41F30C7E">
      <w:pPr>
        <w:spacing w:line="460" w:lineRule="exact"/>
        <w:ind w:firstLine="520" w:firstLineChars="200"/>
        <w:rPr>
          <w:rFonts w:hint="default" w:ascii="Arial" w:hAnsi="Arial" w:eastAsia="宋体" w:cs="Arial"/>
          <w:bCs/>
          <w:sz w:val="26"/>
          <w:szCs w:val="26"/>
          <w:lang w:val="en-US" w:eastAsia="zh-CN"/>
        </w:rPr>
      </w:pPr>
      <w:r>
        <w:rPr>
          <w:rFonts w:hint="default" w:ascii="Arial" w:hAnsi="Arial" w:eastAsia="宋体" w:cs="Arial"/>
          <w:bCs/>
          <w:sz w:val="26"/>
          <w:szCs w:val="26"/>
          <w:lang w:val="en-US" w:eastAsia="zh-CN"/>
        </w:rPr>
        <w:t>水库内泥沙对污染物有一定的吸附作用，有利于水质改善，但相应增加了其在底泥中的含量。在水库泄洪冲沙期间，大量泥沙下泄会增加下游河段浊度，影响水体感观性状，但历时较短，一般3~5日即可恢复清澈水体。</w:t>
      </w:r>
    </w:p>
    <w:p w14:paraId="1966A02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宋体" w:eastAsia="宋体" w:cs="Arial"/>
          <w:b/>
          <w:sz w:val="26"/>
          <w:szCs w:val="26"/>
          <w:lang w:eastAsia="zh-CN"/>
        </w:rPr>
      </w:pPr>
      <w:r>
        <w:rPr>
          <w:rFonts w:hint="eastAsia" w:ascii="Arial" w:hAnsi="Arial" w:eastAsia="宋体" w:cs="Arial"/>
          <w:b/>
          <w:bCs/>
          <w:color w:val="000000"/>
          <w:sz w:val="26"/>
          <w:szCs w:val="26"/>
          <w:lang w:val="en-US" w:eastAsia="zh-CN"/>
        </w:rPr>
        <w:t>6.5.3</w:t>
      </w:r>
      <w:r>
        <w:rPr>
          <w:rFonts w:hint="eastAsia" w:ascii="Arial" w:hAnsi="宋体" w:cs="Arial"/>
          <w:b/>
          <w:sz w:val="26"/>
          <w:szCs w:val="26"/>
          <w:lang w:eastAsia="zh-CN"/>
        </w:rPr>
        <w:t>下泄流量论证</w:t>
      </w:r>
    </w:p>
    <w:p w14:paraId="09B01129">
      <w:pPr>
        <w:spacing w:line="460" w:lineRule="exact"/>
        <w:ind w:firstLine="520" w:firstLineChars="200"/>
        <w:rPr>
          <w:rFonts w:hint="eastAsia" w:ascii="Arial" w:hAnsi="Arial" w:cs="Arial"/>
          <w:bCs/>
          <w:sz w:val="26"/>
          <w:szCs w:val="26"/>
          <w:lang w:val="en-US" w:eastAsia="zh-CN"/>
        </w:rPr>
      </w:pPr>
      <w:r>
        <w:rPr>
          <w:rFonts w:hint="eastAsia" w:ascii="Arial" w:hAnsi="Arial" w:cs="Arial"/>
          <w:bCs/>
          <w:sz w:val="26"/>
          <w:szCs w:val="26"/>
          <w:lang w:val="en-US" w:eastAsia="zh-CN"/>
        </w:rPr>
        <w:t>海螺沟水库建成后，由于拦坝蓄水，将在坝址下游~汇入高洞桥河河口间形成长约1.54km的减水河段。</w:t>
      </w:r>
    </w:p>
    <w:p w14:paraId="1F09F4A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（1）用水量需求初步判断</w:t>
      </w:r>
    </w:p>
    <w:p w14:paraId="4C386BC8">
      <w:pPr>
        <w:spacing w:line="460" w:lineRule="exact"/>
        <w:ind w:firstLine="520" w:firstLineChars="200"/>
        <w:rPr>
          <w:rFonts w:hint="default" w:ascii="Arial" w:hAnsi="Arial" w:eastAsia="宋体" w:cs="Arial"/>
          <w:bCs/>
          <w:sz w:val="26"/>
          <w:szCs w:val="26"/>
          <w:lang w:val="en-US" w:eastAsia="zh-CN"/>
        </w:rPr>
      </w:pPr>
      <w:r>
        <w:rPr>
          <w:rFonts w:hint="eastAsia" w:ascii="Arial" w:hAnsi="Arial" w:eastAsia="宋体" w:cs="Arial"/>
          <w:bCs/>
          <w:sz w:val="26"/>
          <w:szCs w:val="26"/>
          <w:lang w:val="en-US" w:eastAsia="zh-CN"/>
        </w:rPr>
        <w:t>本次评价按《环境影响评价技术导则 地表水环境》（HJ2.3-2018）、《环境影响评价技术导则 水利水电工程》（HJ/T88-2003）、《水电水利建设项目河道生态用水、低温水和过鱼设施环境影响评价技术指</w:t>
      </w:r>
      <w:r>
        <w:rPr>
          <w:rFonts w:hint="eastAsia" w:ascii="宋体" w:hAnsi="宋体" w:eastAsia="宋体" w:cs="宋体"/>
          <w:bCs/>
          <w:sz w:val="26"/>
          <w:szCs w:val="26"/>
          <w:lang w:val="en-US" w:eastAsia="zh-CN"/>
        </w:rPr>
        <w:t>南(试行)》(</w:t>
      </w:r>
      <w:r>
        <w:rPr>
          <w:rFonts w:hint="eastAsia" w:ascii="Arial" w:hAnsi="Arial" w:eastAsia="宋体" w:cs="Arial"/>
          <w:bCs/>
          <w:sz w:val="26"/>
          <w:szCs w:val="26"/>
          <w:lang w:val="en-US" w:eastAsia="zh-CN"/>
        </w:rPr>
        <w:t>环评函</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2006</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4号）等来确定本项目的生态流量。河流生态环境需水包括水生生态需水、水环境需水、湿地需水、景观需水、河口压咸需水等；其他需水主要包括冲沙需水、河道蒸发和渗漏需水等；生态流量的组成包括生态基流和敏感期生态流量，工程影响河段范围无敏感生态保护对象的，生态流量为生态基流。</w:t>
      </w:r>
    </w:p>
    <w:p w14:paraId="02511149">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①水生生态需水</w:t>
      </w:r>
    </w:p>
    <w:p w14:paraId="12CCE5AF">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本项目所在海螺沟河段属于典型的山区型河流，</w:t>
      </w:r>
      <w:r>
        <w:rPr>
          <w:rFonts w:hint="eastAsia" w:ascii="Arial" w:hAnsi="Arial" w:eastAsia="宋体" w:cs="Arial"/>
          <w:color w:val="auto"/>
          <w:sz w:val="26"/>
          <w:szCs w:val="26"/>
          <w:lang w:eastAsia="zh-CN"/>
        </w:rPr>
        <w:t>鱼类资源匮乏，种类少，</w:t>
      </w:r>
      <w:r>
        <w:rPr>
          <w:rFonts w:hint="eastAsia" w:ascii="Arial" w:hAnsi="Arial" w:cs="Arial"/>
          <w:color w:val="auto"/>
          <w:sz w:val="26"/>
          <w:szCs w:val="26"/>
          <w:lang w:eastAsia="zh-CN"/>
        </w:rPr>
        <w:t>无珍稀濒危保护型鱼类分布，无鱼类“三场”</w:t>
      </w:r>
      <w:r>
        <w:rPr>
          <w:rFonts w:hint="eastAsia" w:ascii="Arial" w:hAnsi="Arial" w:eastAsia="宋体" w:cs="Arial"/>
          <w:bCs/>
          <w:sz w:val="26"/>
          <w:szCs w:val="26"/>
          <w:lang w:val="en-US" w:eastAsia="zh-CN"/>
        </w:rPr>
        <w:t>。本项目弃水量为12.96万m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/a，占坝址处多年平均来水量的12.34%，且下游河段两岸植被覆盖度高，水源涵养能力强，加上1.44km</w:t>
      </w:r>
      <w:r>
        <w:rPr>
          <w:rFonts w:hint="eastAsia" w:ascii="Arial" w:hAnsi="Arial" w:eastAsia="宋体" w:cs="Arial"/>
          <w:bCs/>
          <w:sz w:val="26"/>
          <w:szCs w:val="26"/>
          <w:vertAlign w:val="superscript"/>
          <w:lang w:val="en-US" w:eastAsia="zh-CN"/>
        </w:rPr>
        <w:t>2</w:t>
      </w:r>
      <w:r>
        <w:rPr>
          <w:rFonts w:hint="eastAsia" w:ascii="Arial" w:hAnsi="Arial" w:eastAsia="宋体" w:cs="Arial"/>
          <w:bCs/>
          <w:sz w:val="26"/>
          <w:szCs w:val="26"/>
          <w:lang w:val="en-US" w:eastAsia="zh-CN"/>
        </w:rPr>
        <w:t>集雨面积的产流、汇流，项目建设对减水河段水生生态影响小。但是，为了维护水生生物生态系统的稳定，必须考虑坝后下泄一定的生态基流量。</w:t>
      </w:r>
    </w:p>
    <w:p w14:paraId="5FF6A6F4">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②水环境需水</w:t>
      </w:r>
    </w:p>
    <w:p w14:paraId="57150182">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应根据水环境功能区或水功能区确定控制断面水质目标。根据现状调查，本项目坝址下游减水河段内无集中污染源排放，且未规划布置集中式工业园区、大型工矿企业，不会新增大型入河排污口，流域内污染源主要为农业面源、农村生活污染源。且根据现状监测结果可知，海螺沟流域枯水期、丰水期各监测断面各监测因子浓度均可满足</w:t>
      </w:r>
      <w:r>
        <w:rPr>
          <w:rFonts w:hint="eastAsia" w:ascii="Arial" w:hAnsi="Arial" w:eastAsia="宋体" w:cs="Arial"/>
          <w:bCs/>
          <w:sz w:val="26"/>
          <w:szCs w:val="26"/>
          <w:lang w:val="zh-CN" w:eastAsia="zh-CN"/>
        </w:rPr>
        <w:t>《地表水环境质量标准》（GB3838-2002）Ⅲ类水域标准。在采取库区水质保护、流域农业面源和生活污染源控制等措施后，</w:t>
      </w:r>
      <w:r>
        <w:rPr>
          <w:rFonts w:hint="eastAsia" w:ascii="Arial" w:hAnsi="Arial" w:eastAsia="宋体" w:cs="Arial"/>
          <w:bCs/>
          <w:sz w:val="26"/>
          <w:szCs w:val="26"/>
          <w:lang w:val="en-US" w:eastAsia="zh-CN"/>
        </w:rPr>
        <w:t>入河污染物大幅度削减，海螺沟流域内水质将进一步改善。本项目本项目弃水量为12.96万m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/a，占坝址处多年平均来水量的12.34%，且坝后减水河段两岸植被覆盖度高，水源涵养能力强，加上1.44km</w:t>
      </w:r>
      <w:r>
        <w:rPr>
          <w:rFonts w:hint="eastAsia" w:ascii="Arial" w:hAnsi="Arial" w:eastAsia="宋体" w:cs="Arial"/>
          <w:bCs/>
          <w:sz w:val="26"/>
          <w:szCs w:val="26"/>
          <w:vertAlign w:val="superscript"/>
          <w:lang w:val="en-US" w:eastAsia="zh-CN"/>
        </w:rPr>
        <w:t>2</w:t>
      </w:r>
      <w:r>
        <w:rPr>
          <w:rFonts w:hint="eastAsia" w:ascii="Arial" w:hAnsi="Arial" w:eastAsia="宋体" w:cs="Arial"/>
          <w:bCs/>
          <w:sz w:val="26"/>
          <w:szCs w:val="26"/>
          <w:lang w:val="en-US" w:eastAsia="zh-CN"/>
        </w:rPr>
        <w:t>集雨面积的产流、汇流，坝后减水河段不会出现水质恶化现象，无需额外增加污染物稀释、自净的环境功能用水量。</w:t>
      </w:r>
    </w:p>
    <w:p w14:paraId="2FBA0B44">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③湿地需水、景观需水和河口压咸需水</w:t>
      </w:r>
    </w:p>
    <w:p w14:paraId="16F8E425">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根据调查，本项目坝后减水河段内无自然保护区、风景名胜区、森林公园、旅游景区等，景观主要以河谷和水体为载体，视觉景观不敏感。</w:t>
      </w:r>
    </w:p>
    <w:p w14:paraId="50D3EBA2">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因此，本项目坝后不涉及湿地、景观和河口需水。</w:t>
      </w:r>
    </w:p>
    <w:p w14:paraId="7812720A">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④其他需水</w:t>
      </w:r>
    </w:p>
    <w:p w14:paraId="73298A1C">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根据水文地质调查，坝后减水段不涉及渗漏通道；项目区域降雨量大于蒸发量，同时减水河段水面蒸发消耗水量对于河道流量而言很少，由此引起的水量损耗不予考虑。</w:t>
      </w:r>
    </w:p>
    <w:p w14:paraId="2EFDB4D4">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因此坝后减水河段不涉及冲砂需水、河道蒸发和渗漏需水。</w:t>
      </w:r>
    </w:p>
    <w:p w14:paraId="6971B563">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⑤小结</w:t>
      </w:r>
    </w:p>
    <w:p w14:paraId="18CA02EC">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综上所述，海螺沟水库工程减水河段最小生态环境需水量主要考虑因素为维持水生生物生态系统稳定所需要的水生生态需水。</w:t>
      </w:r>
    </w:p>
    <w:p w14:paraId="301017BC">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（2）最低生态用水量计算</w:t>
      </w:r>
    </w:p>
    <w:p w14:paraId="4BB25723">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根据《水电水利建设项目河道生态用水、低温水和过鱼设施环境影响评价技术指</w:t>
      </w:r>
      <w:r>
        <w:rPr>
          <w:rFonts w:hint="eastAsia" w:ascii="宋体" w:hAnsi="宋体" w:eastAsia="宋体" w:cs="宋体"/>
          <w:bCs/>
          <w:sz w:val="26"/>
          <w:szCs w:val="26"/>
          <w:lang w:val="en-US" w:eastAsia="zh-CN"/>
        </w:rPr>
        <w:t>南(试行)》(环</w:t>
      </w:r>
      <w:r>
        <w:rPr>
          <w:rFonts w:hint="eastAsia" w:ascii="Arial" w:hAnsi="Arial" w:eastAsia="宋体" w:cs="Arial"/>
          <w:bCs/>
          <w:sz w:val="26"/>
          <w:szCs w:val="26"/>
          <w:lang w:val="en-US" w:eastAsia="zh-CN"/>
        </w:rPr>
        <w:t>评函</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2006</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4号）、《环境影响评价技术导则 地表水环境》（HJ2.3-2018）、《水利水电工程生态流量计算与泄放设计规范</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LT820 -2023），对生态基流下泄指标有多种计算方法，如下表所示：</w:t>
      </w:r>
    </w:p>
    <w:p w14:paraId="2C1D4F35">
      <w:pPr>
        <w:spacing w:line="460" w:lineRule="exact"/>
        <w:ind w:firstLine="520" w:firstLineChars="200"/>
        <w:rPr>
          <w:rFonts w:hint="eastAsia" w:ascii="Arial" w:hAnsi="Arial" w:eastAsia="宋体" w:cs="Arial"/>
          <w:bCs/>
          <w:sz w:val="26"/>
          <w:szCs w:val="26"/>
          <w:lang w:val="en-US" w:eastAsia="zh-CN"/>
        </w:rPr>
      </w:pPr>
    </w:p>
    <w:p w14:paraId="3654173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表6.5-6 生态基流指标计算方法</w:t>
      </w:r>
    </w:p>
    <w:tbl>
      <w:tblPr>
        <w:tblStyle w:val="189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1279"/>
        <w:gridCol w:w="719"/>
        <w:gridCol w:w="3176"/>
        <w:gridCol w:w="3142"/>
      </w:tblGrid>
      <w:tr w14:paraId="0A938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684" w:type="dxa"/>
            <w:vAlign w:val="center"/>
          </w:tcPr>
          <w:p w14:paraId="7FF8401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序号</w:t>
            </w:r>
          </w:p>
        </w:tc>
        <w:tc>
          <w:tcPr>
            <w:tcW w:w="1279" w:type="dxa"/>
            <w:vAlign w:val="center"/>
          </w:tcPr>
          <w:p w14:paraId="4AE9181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方法</w:t>
            </w:r>
          </w:p>
        </w:tc>
        <w:tc>
          <w:tcPr>
            <w:tcW w:w="719" w:type="dxa"/>
            <w:vAlign w:val="center"/>
          </w:tcPr>
          <w:p w14:paraId="26ED171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方法</w:t>
            </w:r>
          </w:p>
        </w:tc>
        <w:tc>
          <w:tcPr>
            <w:tcW w:w="3176" w:type="dxa"/>
            <w:vAlign w:val="center"/>
          </w:tcPr>
          <w:p w14:paraId="1607577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指标表达</w:t>
            </w:r>
          </w:p>
        </w:tc>
        <w:tc>
          <w:tcPr>
            <w:tcW w:w="3142" w:type="dxa"/>
            <w:vAlign w:val="center"/>
          </w:tcPr>
          <w:p w14:paraId="3F82443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适用条件及特点</w:t>
            </w:r>
          </w:p>
        </w:tc>
      </w:tr>
      <w:tr w14:paraId="65416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84" w:type="dxa"/>
            <w:vAlign w:val="center"/>
          </w:tcPr>
          <w:p w14:paraId="221721C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1</w:t>
            </w:r>
          </w:p>
        </w:tc>
        <w:tc>
          <w:tcPr>
            <w:tcW w:w="1279" w:type="dxa"/>
            <w:vAlign w:val="center"/>
          </w:tcPr>
          <w:p w14:paraId="59AB1FF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Tennant法</w:t>
            </w:r>
          </w:p>
        </w:tc>
        <w:tc>
          <w:tcPr>
            <w:tcW w:w="719" w:type="dxa"/>
            <w:vAlign w:val="center"/>
          </w:tcPr>
          <w:p w14:paraId="516348E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3A6DC69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将多年评价流量的10%-30%作为</w:t>
            </w:r>
            <w:r>
              <w:rPr>
                <w:rFonts w:hint="default" w:ascii="Arial" w:hAnsi="Arial" w:cs="Arial"/>
                <w:spacing w:val="9"/>
                <w:sz w:val="22"/>
                <w:szCs w:val="22"/>
              </w:rPr>
              <w:t xml:space="preserve"> </w:t>
            </w:r>
            <w:r>
              <w:rPr>
                <w:rFonts w:hint="default" w:ascii="Arial" w:hAnsi="Arial" w:cs="Arial"/>
                <w:spacing w:val="-2"/>
                <w:sz w:val="22"/>
                <w:szCs w:val="22"/>
              </w:rPr>
              <w:t>生态基流</w:t>
            </w:r>
          </w:p>
        </w:tc>
        <w:tc>
          <w:tcPr>
            <w:tcW w:w="3142" w:type="dxa"/>
            <w:vAlign w:val="center"/>
          </w:tcPr>
          <w:p w14:paraId="72BFE60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适用于流量较大的河流；拥有长</w:t>
            </w:r>
          </w:p>
          <w:p w14:paraId="088AA14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序列水文资料。方法简单快速</w:t>
            </w:r>
          </w:p>
        </w:tc>
      </w:tr>
      <w:tr w14:paraId="3B61D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684" w:type="dxa"/>
            <w:vAlign w:val="center"/>
          </w:tcPr>
          <w:p w14:paraId="09EFDD5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2</w:t>
            </w:r>
          </w:p>
        </w:tc>
        <w:tc>
          <w:tcPr>
            <w:tcW w:w="1279" w:type="dxa"/>
            <w:vAlign w:val="center"/>
          </w:tcPr>
          <w:p w14:paraId="36074C3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90%保证率</w:t>
            </w:r>
            <w:r>
              <w:rPr>
                <w:rFonts w:hint="default" w:ascii="Arial" w:hAnsi="Arial" w:cs="Arial"/>
                <w:spacing w:val="1"/>
                <w:sz w:val="22"/>
                <w:szCs w:val="22"/>
              </w:rPr>
              <w:t xml:space="preserve"> </w:t>
            </w:r>
            <w:r>
              <w:rPr>
                <w:rFonts w:hint="default" w:ascii="Arial" w:hAnsi="Arial" w:cs="Arial"/>
                <w:sz w:val="22"/>
                <w:szCs w:val="22"/>
              </w:rPr>
              <w:t>法</w:t>
            </w:r>
          </w:p>
        </w:tc>
        <w:tc>
          <w:tcPr>
            <w:tcW w:w="719" w:type="dxa"/>
            <w:vAlign w:val="center"/>
          </w:tcPr>
          <w:p w14:paraId="6496F2D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009F7A1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90%保证率最枯月平均流量</w:t>
            </w:r>
          </w:p>
        </w:tc>
        <w:tc>
          <w:tcPr>
            <w:tcW w:w="3142" w:type="dxa"/>
            <w:vAlign w:val="center"/>
          </w:tcPr>
          <w:p w14:paraId="05E7CAB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适合水资源量小，且开发利用程</w:t>
            </w:r>
          </w:p>
          <w:p w14:paraId="3F4FCDF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度已经较高的河流；要求拥有长</w:t>
            </w:r>
          </w:p>
          <w:p w14:paraId="25B3D43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序列水文资料。</w:t>
            </w:r>
          </w:p>
        </w:tc>
      </w:tr>
      <w:tr w14:paraId="52467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84" w:type="dxa"/>
            <w:vAlign w:val="center"/>
          </w:tcPr>
          <w:p w14:paraId="5472722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3</w:t>
            </w:r>
          </w:p>
        </w:tc>
        <w:tc>
          <w:tcPr>
            <w:tcW w:w="1279" w:type="dxa"/>
            <w:vAlign w:val="center"/>
          </w:tcPr>
          <w:p w14:paraId="5F98484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近十年最枯</w:t>
            </w:r>
          </w:p>
          <w:p w14:paraId="73C7015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月流量法</w:t>
            </w:r>
          </w:p>
        </w:tc>
        <w:tc>
          <w:tcPr>
            <w:tcW w:w="719" w:type="dxa"/>
            <w:vAlign w:val="center"/>
          </w:tcPr>
          <w:p w14:paraId="7AE3215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4F0DB0B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近十年最枯月平均流量</w:t>
            </w:r>
          </w:p>
        </w:tc>
        <w:tc>
          <w:tcPr>
            <w:tcW w:w="3142" w:type="dxa"/>
            <w:vAlign w:val="center"/>
          </w:tcPr>
          <w:p w14:paraId="2C3DE1C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与90%保证率法相同，均用于纳</w:t>
            </w:r>
            <w:r>
              <w:rPr>
                <w:rFonts w:hint="default" w:ascii="Arial" w:hAnsi="Arial" w:cs="Arial"/>
                <w:spacing w:val="13"/>
                <w:sz w:val="22"/>
                <w:szCs w:val="22"/>
              </w:rPr>
              <w:t xml:space="preserve"> </w:t>
            </w:r>
            <w:r>
              <w:rPr>
                <w:rFonts w:hint="default" w:ascii="Arial" w:hAnsi="Arial" w:cs="Arial"/>
                <w:spacing w:val="2"/>
                <w:sz w:val="22"/>
                <w:szCs w:val="22"/>
              </w:rPr>
              <w:t>污能力计算</w:t>
            </w:r>
          </w:p>
        </w:tc>
      </w:tr>
      <w:tr w14:paraId="5C1C2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84" w:type="dxa"/>
            <w:vAlign w:val="center"/>
          </w:tcPr>
          <w:p w14:paraId="0935011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4</w:t>
            </w:r>
          </w:p>
        </w:tc>
        <w:tc>
          <w:tcPr>
            <w:tcW w:w="1279" w:type="dxa"/>
            <w:vAlign w:val="center"/>
          </w:tcPr>
          <w:p w14:paraId="5370C87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5"/>
                <w:sz w:val="22"/>
                <w:szCs w:val="22"/>
              </w:rPr>
              <w:t>流量历时曲</w:t>
            </w:r>
            <w:r>
              <w:rPr>
                <w:rFonts w:hint="default" w:ascii="Arial" w:hAnsi="Arial" w:cs="Arial"/>
                <w:sz w:val="22"/>
                <w:szCs w:val="22"/>
              </w:rPr>
              <w:t xml:space="preserve"> </w:t>
            </w:r>
            <w:r>
              <w:rPr>
                <w:rFonts w:hint="default" w:ascii="Arial" w:hAnsi="Arial" w:cs="Arial"/>
                <w:spacing w:val="-3"/>
                <w:sz w:val="22"/>
                <w:szCs w:val="22"/>
              </w:rPr>
              <w:t>线法</w:t>
            </w:r>
          </w:p>
        </w:tc>
        <w:tc>
          <w:tcPr>
            <w:tcW w:w="719" w:type="dxa"/>
            <w:vAlign w:val="center"/>
          </w:tcPr>
          <w:p w14:paraId="46C8FD6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2CEA17B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利用历史流量资料构建各月流量</w:t>
            </w:r>
          </w:p>
          <w:p w14:paraId="357ED6B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历时曲线，以90%保证率对应流</w:t>
            </w:r>
          </w:p>
          <w:p w14:paraId="379188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量作为生态基流</w:t>
            </w:r>
          </w:p>
        </w:tc>
        <w:tc>
          <w:tcPr>
            <w:tcW w:w="3142" w:type="dxa"/>
            <w:vAlign w:val="center"/>
          </w:tcPr>
          <w:p w14:paraId="0F82FDC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简单快速，同时考虑了各个月份</w:t>
            </w:r>
          </w:p>
          <w:p w14:paraId="540CEF9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流量的差异。需分析至少20年</w:t>
            </w:r>
          </w:p>
          <w:p w14:paraId="2AF880D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的日均流量资料</w:t>
            </w:r>
          </w:p>
        </w:tc>
      </w:tr>
      <w:tr w14:paraId="67611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jc w:val="center"/>
        </w:trPr>
        <w:tc>
          <w:tcPr>
            <w:tcW w:w="684" w:type="dxa"/>
            <w:vAlign w:val="center"/>
          </w:tcPr>
          <w:p w14:paraId="1FA5955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5</w:t>
            </w:r>
          </w:p>
        </w:tc>
        <w:tc>
          <w:tcPr>
            <w:tcW w:w="1279" w:type="dxa"/>
            <w:vAlign w:val="center"/>
          </w:tcPr>
          <w:p w14:paraId="3C5BAC0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7Q10法</w:t>
            </w:r>
          </w:p>
        </w:tc>
        <w:tc>
          <w:tcPr>
            <w:tcW w:w="719" w:type="dxa"/>
            <w:vAlign w:val="center"/>
          </w:tcPr>
          <w:p w14:paraId="2BF2A9A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5A15595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90%保证率最枯连续7天的平均</w:t>
            </w:r>
            <w:r>
              <w:rPr>
                <w:rFonts w:hint="default" w:ascii="Arial" w:hAnsi="Arial" w:cs="Arial"/>
                <w:spacing w:val="13"/>
                <w:sz w:val="22"/>
                <w:szCs w:val="22"/>
              </w:rPr>
              <w:t xml:space="preserve"> </w:t>
            </w:r>
            <w:r>
              <w:rPr>
                <w:rFonts w:hint="default" w:ascii="Arial" w:hAnsi="Arial" w:cs="Arial"/>
                <w:spacing w:val="-3"/>
                <w:sz w:val="22"/>
                <w:szCs w:val="22"/>
              </w:rPr>
              <w:t>流量</w:t>
            </w:r>
          </w:p>
        </w:tc>
        <w:tc>
          <w:tcPr>
            <w:tcW w:w="3142" w:type="dxa"/>
            <w:vAlign w:val="center"/>
          </w:tcPr>
          <w:p w14:paraId="5A05D8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水资源量小，且开发利用程度已</w:t>
            </w:r>
          </w:p>
          <w:p w14:paraId="5D25C33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经较高的河流；拥有长序列水文</w:t>
            </w:r>
          </w:p>
          <w:p w14:paraId="3AF1653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资料</w:t>
            </w:r>
          </w:p>
        </w:tc>
      </w:tr>
      <w:tr w14:paraId="29B48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684" w:type="dxa"/>
            <w:vAlign w:val="center"/>
          </w:tcPr>
          <w:p w14:paraId="31B1919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6</w:t>
            </w:r>
          </w:p>
        </w:tc>
        <w:tc>
          <w:tcPr>
            <w:tcW w:w="1279" w:type="dxa"/>
            <w:vAlign w:val="center"/>
          </w:tcPr>
          <w:p w14:paraId="69AB100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R2-Cross</w:t>
            </w:r>
            <w:r>
              <w:rPr>
                <w:rFonts w:hint="default" w:ascii="Arial" w:hAnsi="Arial" w:cs="Arial"/>
                <w:sz w:val="22"/>
                <w:szCs w:val="22"/>
              </w:rPr>
              <w:t xml:space="preserve"> 法</w:t>
            </w:r>
          </w:p>
        </w:tc>
        <w:tc>
          <w:tcPr>
            <w:tcW w:w="719" w:type="dxa"/>
            <w:vAlign w:val="center"/>
          </w:tcPr>
          <w:p w14:paraId="447798E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9"/>
                <w:sz w:val="22"/>
                <w:szCs w:val="22"/>
              </w:rPr>
              <w:t>水力</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7871FB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以河流平均水深、流速及湿周率</w:t>
            </w:r>
          </w:p>
          <w:p w14:paraId="1A10C91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等水力生境参数评估鱼类生境状</w:t>
            </w:r>
          </w:p>
          <w:p w14:paraId="09185DA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况，可用于计算分析小型河流的</w:t>
            </w:r>
          </w:p>
          <w:p w14:paraId="733C315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水生生物生态基流</w:t>
            </w:r>
          </w:p>
        </w:tc>
        <w:tc>
          <w:tcPr>
            <w:tcW w:w="3142" w:type="dxa"/>
            <w:vAlign w:val="center"/>
          </w:tcPr>
          <w:p w14:paraId="52B6D59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7CC5498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需要测量大断面地形；适用于非</w:t>
            </w:r>
            <w:r>
              <w:rPr>
                <w:rFonts w:hint="default" w:ascii="Arial" w:hAnsi="Arial" w:cs="Arial"/>
                <w:spacing w:val="8"/>
                <w:sz w:val="22"/>
                <w:szCs w:val="22"/>
              </w:rPr>
              <w:t xml:space="preserve"> </w:t>
            </w:r>
            <w:r>
              <w:rPr>
                <w:rFonts w:hint="default" w:ascii="Arial" w:hAnsi="Arial" w:cs="Arial"/>
                <w:spacing w:val="-2"/>
                <w:sz w:val="22"/>
                <w:szCs w:val="22"/>
              </w:rPr>
              <w:t>季节性中小河流</w:t>
            </w:r>
          </w:p>
        </w:tc>
      </w:tr>
      <w:tr w14:paraId="24CF3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jc w:val="center"/>
        </w:trPr>
        <w:tc>
          <w:tcPr>
            <w:tcW w:w="684" w:type="dxa"/>
            <w:vAlign w:val="center"/>
          </w:tcPr>
          <w:p w14:paraId="236ECD8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7</w:t>
            </w:r>
          </w:p>
        </w:tc>
        <w:tc>
          <w:tcPr>
            <w:tcW w:w="1279" w:type="dxa"/>
            <w:vAlign w:val="center"/>
          </w:tcPr>
          <w:p w14:paraId="4BFFA38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湿周法</w:t>
            </w:r>
          </w:p>
        </w:tc>
        <w:tc>
          <w:tcPr>
            <w:tcW w:w="719" w:type="dxa"/>
            <w:vAlign w:val="center"/>
          </w:tcPr>
          <w:p w14:paraId="51D6EAE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9"/>
                <w:sz w:val="22"/>
                <w:szCs w:val="22"/>
              </w:rPr>
              <w:t>水力</w:t>
            </w:r>
            <w:r>
              <w:rPr>
                <w:rFonts w:hint="default" w:ascii="Arial" w:hAnsi="Arial" w:cs="Arial"/>
                <w:sz w:val="22"/>
                <w:szCs w:val="22"/>
              </w:rPr>
              <w:t xml:space="preserve"> </w:t>
            </w:r>
            <w:r>
              <w:rPr>
                <w:rFonts w:hint="default" w:ascii="Arial" w:hAnsi="Arial" w:cs="Arial"/>
                <w:spacing w:val="3"/>
                <w:sz w:val="22"/>
                <w:szCs w:val="22"/>
              </w:rPr>
              <w:t>学法</w:t>
            </w:r>
          </w:p>
        </w:tc>
        <w:tc>
          <w:tcPr>
            <w:tcW w:w="3176" w:type="dxa"/>
            <w:vAlign w:val="center"/>
          </w:tcPr>
          <w:p w14:paraId="6F277D1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采用湿周作为评价水生生物栖息</w:t>
            </w:r>
          </w:p>
          <w:p w14:paraId="686FFF9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地质量的制备，通过</w:t>
            </w:r>
            <w:r>
              <w:rPr>
                <w:rFonts w:hint="default" w:ascii="Arial" w:hAnsi="Arial" w:cs="Arial"/>
                <w:spacing w:val="1"/>
                <w:sz w:val="22"/>
                <w:szCs w:val="22"/>
                <w:u w:val="single" w:color="auto"/>
              </w:rPr>
              <w:t>建</w:t>
            </w:r>
            <w:r>
              <w:rPr>
                <w:rFonts w:hint="default" w:ascii="Arial" w:hAnsi="Arial" w:cs="Arial"/>
                <w:spacing w:val="1"/>
                <w:sz w:val="22"/>
                <w:szCs w:val="22"/>
              </w:rPr>
              <w:t>立湿周与</w:t>
            </w:r>
          </w:p>
          <w:p w14:paraId="7327278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流量之间的关系曲线进行评估。</w:t>
            </w:r>
          </w:p>
          <w:p w14:paraId="4E9A631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可根据湿周流量关系曲线的转</w:t>
            </w:r>
          </w:p>
          <w:p w14:paraId="1E7344B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折点确定水生生物生态基流</w:t>
            </w:r>
          </w:p>
        </w:tc>
        <w:tc>
          <w:tcPr>
            <w:tcW w:w="3142" w:type="dxa"/>
            <w:vAlign w:val="center"/>
          </w:tcPr>
          <w:p w14:paraId="70AF2A9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730EDC7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适用于河床性状稳定的宽浅矩</w:t>
            </w:r>
            <w:r>
              <w:rPr>
                <w:rFonts w:hint="default" w:ascii="Arial" w:hAnsi="Arial" w:cs="Arial"/>
                <w:spacing w:val="3"/>
                <w:sz w:val="22"/>
                <w:szCs w:val="22"/>
              </w:rPr>
              <w:t xml:space="preserve"> </w:t>
            </w:r>
            <w:r>
              <w:rPr>
                <w:rFonts w:hint="default" w:ascii="Arial" w:hAnsi="Arial" w:cs="Arial"/>
                <w:sz w:val="22"/>
                <w:szCs w:val="22"/>
              </w:rPr>
              <w:t>形和抛物线型断面的河道</w:t>
            </w:r>
          </w:p>
        </w:tc>
      </w:tr>
    </w:tbl>
    <w:p w14:paraId="0D83FBC4">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eastAsia="宋体" w:cs="Arial"/>
          <w:bCs/>
          <w:sz w:val="26"/>
          <w:szCs w:val="26"/>
          <w:lang w:val="en-US" w:eastAsia="zh-CN"/>
        </w:rPr>
      </w:pPr>
    </w:p>
    <w:p w14:paraId="7FCF615D">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由项目所在河流特征，以及掌握的水文资料，本次评价分别采用Tennant法 、90%保证率法、近十年最枯月流量法进行计算分析。</w:t>
      </w:r>
    </w:p>
    <w:p w14:paraId="4D5E9A3E">
      <w:pPr>
        <w:keepNext w:val="0"/>
        <w:keepLines w:val="0"/>
        <w:pageBreakBefore w:val="0"/>
        <w:widowControl w:val="0"/>
        <w:kinsoku/>
        <w:wordWrap/>
        <w:overflowPunct/>
        <w:topLinePunct w:val="0"/>
        <w:bidi w:val="0"/>
        <w:snapToGrid/>
        <w:spacing w:line="460" w:lineRule="exact"/>
        <w:ind w:firstLine="522" w:firstLineChars="200"/>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①Tennant法</w:t>
      </w:r>
    </w:p>
    <w:p w14:paraId="53D64910">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Arial" w:hAnsi="Arial" w:eastAsia="宋体" w:cs="Arial"/>
          <w:bCs/>
          <w:sz w:val="26"/>
          <w:szCs w:val="26"/>
          <w:lang w:val="en-US" w:eastAsia="zh-CN"/>
        </w:rPr>
      </w:pPr>
      <w:r>
        <w:rPr>
          <w:rFonts w:hint="eastAsia" w:ascii="Arial" w:hAnsi="Arial" w:eastAsia="宋体" w:cs="Arial"/>
          <w:bCs/>
          <w:sz w:val="26"/>
          <w:szCs w:val="26"/>
          <w:lang w:val="en-US" w:eastAsia="zh-CN"/>
        </w:rPr>
        <w:t>Tennant法将多年平均流量的10%作为最小生态基流，海螺沟水库坝址处多年平均流量为0.033m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/s，则下泄生态流量不应小于0.0033m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w:t>
      </w:r>
    </w:p>
    <w:p w14:paraId="28A7E889">
      <w:pPr>
        <w:keepNext w:val="0"/>
        <w:keepLines w:val="0"/>
        <w:pageBreakBefore w:val="0"/>
        <w:widowControl w:val="0"/>
        <w:kinsoku/>
        <w:wordWrap/>
        <w:overflowPunct/>
        <w:topLinePunct w:val="0"/>
        <w:bidi w:val="0"/>
        <w:snapToGrid/>
        <w:spacing w:line="460" w:lineRule="exact"/>
        <w:ind w:firstLine="522" w:firstLineChars="200"/>
        <w:textAlignment w:val="auto"/>
        <w:rPr>
          <w:rFonts w:hint="default" w:ascii="Arial" w:hAnsi="Arial" w:eastAsia="宋体" w:cs="Arial"/>
          <w:b/>
          <w:bCs w:val="0"/>
          <w:sz w:val="26"/>
          <w:szCs w:val="26"/>
          <w:lang w:val="en-US" w:eastAsia="zh-CN"/>
        </w:rPr>
      </w:pPr>
      <w:r>
        <w:rPr>
          <w:rFonts w:hint="default" w:ascii="Arial" w:hAnsi="Arial" w:eastAsia="宋体" w:cs="Arial"/>
          <w:b/>
          <w:bCs w:val="0"/>
          <w:sz w:val="26"/>
          <w:szCs w:val="26"/>
          <w:lang w:val="en-US" w:eastAsia="zh-CN"/>
        </w:rPr>
        <w:t>②</w:t>
      </w:r>
      <w:r>
        <w:rPr>
          <w:rFonts w:hint="eastAsia" w:ascii="Arial" w:hAnsi="Arial" w:eastAsia="宋体" w:cs="Arial"/>
          <w:b/>
          <w:bCs w:val="0"/>
          <w:sz w:val="26"/>
          <w:szCs w:val="26"/>
          <w:lang w:val="en-US" w:eastAsia="zh-CN"/>
        </w:rPr>
        <w:t>90%保证率法</w:t>
      </w:r>
    </w:p>
    <w:p w14:paraId="4481E8D5">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90%保证率法是以长系列（n≥30年）天然月平均流量、月平均水位或径流量为基础，用每年的最枯月排频，选择不同频率下的最枯月平均流量、月平均水位或径流量作为基本生态环境需水量的最小值。</w:t>
      </w:r>
    </w:p>
    <w:p w14:paraId="367D3C18">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Arial" w:hAnsi="Arial" w:eastAsia="宋体" w:cs="Arial"/>
          <w:bCs/>
          <w:sz w:val="26"/>
          <w:szCs w:val="26"/>
          <w:lang w:val="en-US" w:eastAsia="zh-CN"/>
        </w:rPr>
      </w:pPr>
      <w:r>
        <w:rPr>
          <w:rFonts w:hint="eastAsia" w:ascii="Arial" w:hAnsi="Arial" w:eastAsia="宋体" w:cs="Arial"/>
          <w:bCs/>
          <w:sz w:val="26"/>
          <w:szCs w:val="26"/>
          <w:lang w:val="en-US" w:eastAsia="zh-CN"/>
        </w:rPr>
        <w:t>本项目径流计算以两河水文站为参证站，通过面积比并考虑降雨量修正推求海螺沟水库径流。将两河水文站1959~2018年径流系列按水利年（4月~次年3月）进行统计，经计算，海螺沟水库坝址处P=10%（丰）、P=50%（平）、P=90%（枯）三个代表年的径流量分别为0.0182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/s、0.0104m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/s、0.0043m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/s。则按照90%保证率法计算，海螺沟水库坝址处下泄生态流量不应小于0.0043m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w:t>
      </w:r>
    </w:p>
    <w:p w14:paraId="1EBF3B3D">
      <w:pPr>
        <w:keepNext w:val="0"/>
        <w:keepLines w:val="0"/>
        <w:pageBreakBefore w:val="0"/>
        <w:widowControl w:val="0"/>
        <w:kinsoku/>
        <w:wordWrap/>
        <w:overflowPunct/>
        <w:topLinePunct w:val="0"/>
        <w:bidi w:val="0"/>
        <w:snapToGrid/>
        <w:spacing w:line="460" w:lineRule="exact"/>
        <w:ind w:firstLine="522" w:firstLineChars="200"/>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③近十年最枯月平均法</w:t>
      </w:r>
    </w:p>
    <w:p w14:paraId="72284DED">
      <w:pPr>
        <w:keepNext w:val="0"/>
        <w:keepLines w:val="0"/>
        <w:pageBreakBefore w:val="0"/>
        <w:widowControl w:val="0"/>
        <w:kinsoku/>
        <w:wordWrap/>
        <w:overflowPunct/>
        <w:topLinePunct w:val="0"/>
        <w:autoSpaceDE w:val="0"/>
        <w:autoSpaceDN w:val="0"/>
        <w:bidi w:val="0"/>
        <w:adjustRightInd w:val="0"/>
        <w:snapToGrid/>
        <w:spacing w:line="460" w:lineRule="exact"/>
        <w:ind w:firstLine="544" w:firstLineChars="200"/>
        <w:textAlignment w:val="auto"/>
        <w:rPr>
          <w:rFonts w:hint="eastAsia" w:ascii="Arial" w:cs="Arial"/>
          <w:sz w:val="26"/>
          <w:szCs w:val="26"/>
          <w:lang w:val="en-US" w:eastAsia="zh-CN"/>
        </w:rPr>
      </w:pPr>
      <w:r>
        <w:rPr>
          <w:rFonts w:ascii="Arial" w:cs="Arial"/>
          <w:spacing w:val="6"/>
          <w:sz w:val="26"/>
          <w:szCs w:val="26"/>
        </w:rPr>
        <w:t>在缺乏长系列水文资料时，可用近</w:t>
      </w:r>
      <w:r>
        <w:rPr>
          <w:rFonts w:ascii="Arial" w:hAnsi="Arial" w:cs="Arial"/>
          <w:spacing w:val="6"/>
          <w:sz w:val="26"/>
          <w:szCs w:val="26"/>
        </w:rPr>
        <w:t>10</w:t>
      </w:r>
      <w:r>
        <w:rPr>
          <w:rFonts w:ascii="Arial" w:cs="Arial"/>
          <w:spacing w:val="6"/>
          <w:sz w:val="26"/>
          <w:szCs w:val="26"/>
        </w:rPr>
        <w:t>年最枯月平均流量、月平均水位或径流量，即</w:t>
      </w:r>
      <w:r>
        <w:rPr>
          <w:rFonts w:ascii="Arial" w:hAnsi="Arial" w:cs="Arial"/>
          <w:spacing w:val="6"/>
          <w:sz w:val="26"/>
          <w:szCs w:val="26"/>
        </w:rPr>
        <w:t>10</w:t>
      </w:r>
      <w:r>
        <w:rPr>
          <w:rFonts w:ascii="Arial" w:cs="Arial"/>
          <w:spacing w:val="6"/>
          <w:sz w:val="26"/>
          <w:szCs w:val="26"/>
        </w:rPr>
        <w:t>年</w:t>
      </w:r>
      <w:r>
        <w:rPr>
          <w:rFonts w:hint="eastAsia" w:ascii="Arial" w:cs="Arial"/>
          <w:spacing w:val="6"/>
          <w:sz w:val="26"/>
          <w:szCs w:val="26"/>
        </w:rPr>
        <w:t>中</w:t>
      </w:r>
      <w:r>
        <w:rPr>
          <w:rFonts w:ascii="Arial" w:cs="Arial"/>
          <w:spacing w:val="6"/>
          <w:sz w:val="26"/>
          <w:szCs w:val="26"/>
        </w:rPr>
        <w:t>的最小值，作为基本生态环境需水量的最小值，</w:t>
      </w:r>
      <w:r>
        <w:rPr>
          <w:rFonts w:ascii="Arial" w:cs="Arial"/>
          <w:sz w:val="26"/>
          <w:szCs w:val="26"/>
        </w:rPr>
        <w:t>此方法适用于水资源量小，且开发利用程度已经较高，水文资料系列较短的河流。</w:t>
      </w:r>
      <w:r>
        <w:rPr>
          <w:rFonts w:hint="eastAsia" w:ascii="Arial" w:cs="Arial"/>
          <w:sz w:val="26"/>
          <w:szCs w:val="26"/>
          <w:lang w:eastAsia="zh-CN"/>
        </w:rPr>
        <w:t>根据项目初设报告，海螺沟水库</w:t>
      </w:r>
      <w:r>
        <w:rPr>
          <w:rFonts w:hint="eastAsia" w:ascii="Arial" w:cs="Arial"/>
          <w:sz w:val="26"/>
          <w:szCs w:val="26"/>
          <w:lang w:val="en-US" w:eastAsia="zh-CN"/>
        </w:rPr>
        <w:t>坝址处</w:t>
      </w:r>
      <w:r>
        <w:rPr>
          <w:rFonts w:hint="eastAsia" w:ascii="Arial" w:cs="Arial"/>
          <w:sz w:val="26"/>
          <w:szCs w:val="26"/>
          <w:lang w:eastAsia="zh-CN"/>
        </w:rPr>
        <w:t>近</w:t>
      </w:r>
      <w:r>
        <w:rPr>
          <w:rFonts w:hint="eastAsia" w:ascii="Arial" w:cs="Arial"/>
          <w:sz w:val="26"/>
          <w:szCs w:val="26"/>
          <w:lang w:val="en-US" w:eastAsia="zh-CN"/>
        </w:rPr>
        <w:t>10年流量计算成果详见表6.5-7所示。</w:t>
      </w:r>
    </w:p>
    <w:p w14:paraId="28D54C40">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rPr>
          <w:rFonts w:hint="default" w:ascii="Arial" w:cs="Arial"/>
          <w:sz w:val="26"/>
          <w:szCs w:val="26"/>
          <w:lang w:val="en-US" w:eastAsia="zh-CN"/>
        </w:rPr>
      </w:pPr>
      <w:r>
        <w:rPr>
          <w:rFonts w:hint="eastAsia" w:ascii="Arial" w:cs="Arial"/>
          <w:b/>
          <w:bCs/>
          <w:sz w:val="26"/>
          <w:szCs w:val="26"/>
          <w:lang w:val="en-US" w:eastAsia="zh-CN"/>
        </w:rPr>
        <w:t>表6.5-7 海螺沟水库坝址近10年的月径流计算成果表  单位：m</w:t>
      </w:r>
      <w:r>
        <w:rPr>
          <w:rFonts w:hint="eastAsia" w:ascii="Arial" w:cs="Arial"/>
          <w:b/>
          <w:bCs/>
          <w:sz w:val="26"/>
          <w:szCs w:val="26"/>
          <w:vertAlign w:val="superscript"/>
          <w:lang w:val="en-US" w:eastAsia="zh-CN"/>
        </w:rPr>
        <w:t>3</w:t>
      </w:r>
      <w:r>
        <w:rPr>
          <w:rFonts w:hint="eastAsia" w:ascii="Arial" w:cs="Arial"/>
          <w:b/>
          <w:bCs/>
          <w:sz w:val="26"/>
          <w:szCs w:val="26"/>
          <w:lang w:val="en-US" w:eastAsia="zh-CN"/>
        </w:rPr>
        <w:t>/s</w:t>
      </w:r>
    </w:p>
    <w:tbl>
      <w:tblPr>
        <w:tblStyle w:val="77"/>
        <w:tblW w:w="520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670"/>
        <w:gridCol w:w="670"/>
        <w:gridCol w:w="670"/>
        <w:gridCol w:w="670"/>
        <w:gridCol w:w="670"/>
        <w:gridCol w:w="670"/>
        <w:gridCol w:w="670"/>
        <w:gridCol w:w="670"/>
        <w:gridCol w:w="670"/>
        <w:gridCol w:w="670"/>
        <w:gridCol w:w="671"/>
        <w:gridCol w:w="671"/>
        <w:gridCol w:w="768"/>
      </w:tblGrid>
      <w:tr w14:paraId="06BF8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exact"/>
          <w:tblHeader/>
          <w:jc w:val="center"/>
        </w:trPr>
        <w:tc>
          <w:tcPr>
            <w:tcW w:w="326" w:type="pct"/>
            <w:noWrap/>
            <w:vAlign w:val="center"/>
          </w:tcPr>
          <w:p w14:paraId="0B6DC19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年份</w:t>
            </w:r>
          </w:p>
        </w:tc>
        <w:tc>
          <w:tcPr>
            <w:tcW w:w="355" w:type="pct"/>
            <w:noWrap/>
            <w:vAlign w:val="center"/>
          </w:tcPr>
          <w:p w14:paraId="0816128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4月</w:t>
            </w:r>
          </w:p>
        </w:tc>
        <w:tc>
          <w:tcPr>
            <w:tcW w:w="355" w:type="pct"/>
            <w:noWrap/>
            <w:vAlign w:val="center"/>
          </w:tcPr>
          <w:p w14:paraId="5644B0F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5月</w:t>
            </w:r>
          </w:p>
        </w:tc>
        <w:tc>
          <w:tcPr>
            <w:tcW w:w="355" w:type="pct"/>
            <w:noWrap/>
            <w:vAlign w:val="center"/>
          </w:tcPr>
          <w:p w14:paraId="6B2213C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6月</w:t>
            </w:r>
          </w:p>
        </w:tc>
        <w:tc>
          <w:tcPr>
            <w:tcW w:w="355" w:type="pct"/>
            <w:noWrap/>
            <w:vAlign w:val="center"/>
          </w:tcPr>
          <w:p w14:paraId="19433F1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7月</w:t>
            </w:r>
          </w:p>
        </w:tc>
        <w:tc>
          <w:tcPr>
            <w:tcW w:w="355" w:type="pct"/>
            <w:noWrap/>
            <w:vAlign w:val="center"/>
          </w:tcPr>
          <w:p w14:paraId="7A3610A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8月</w:t>
            </w:r>
          </w:p>
        </w:tc>
        <w:tc>
          <w:tcPr>
            <w:tcW w:w="355" w:type="pct"/>
            <w:noWrap/>
            <w:vAlign w:val="center"/>
          </w:tcPr>
          <w:p w14:paraId="605F297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9月</w:t>
            </w:r>
          </w:p>
        </w:tc>
        <w:tc>
          <w:tcPr>
            <w:tcW w:w="355" w:type="pct"/>
            <w:noWrap/>
            <w:vAlign w:val="center"/>
          </w:tcPr>
          <w:p w14:paraId="0BFC1B8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10月</w:t>
            </w:r>
          </w:p>
        </w:tc>
        <w:tc>
          <w:tcPr>
            <w:tcW w:w="355" w:type="pct"/>
            <w:noWrap/>
            <w:vAlign w:val="center"/>
          </w:tcPr>
          <w:p w14:paraId="75EDD64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11月</w:t>
            </w:r>
          </w:p>
        </w:tc>
        <w:tc>
          <w:tcPr>
            <w:tcW w:w="355" w:type="pct"/>
            <w:noWrap/>
            <w:vAlign w:val="center"/>
          </w:tcPr>
          <w:p w14:paraId="3122912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12月</w:t>
            </w:r>
          </w:p>
        </w:tc>
        <w:tc>
          <w:tcPr>
            <w:tcW w:w="355" w:type="pct"/>
            <w:noWrap/>
            <w:vAlign w:val="center"/>
          </w:tcPr>
          <w:p w14:paraId="76D7169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1月</w:t>
            </w:r>
          </w:p>
        </w:tc>
        <w:tc>
          <w:tcPr>
            <w:tcW w:w="355" w:type="pct"/>
            <w:noWrap/>
            <w:vAlign w:val="center"/>
          </w:tcPr>
          <w:p w14:paraId="4E22EDA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2月</w:t>
            </w:r>
          </w:p>
        </w:tc>
        <w:tc>
          <w:tcPr>
            <w:tcW w:w="355" w:type="pct"/>
            <w:noWrap/>
            <w:vAlign w:val="center"/>
          </w:tcPr>
          <w:p w14:paraId="062D789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3月</w:t>
            </w:r>
          </w:p>
        </w:tc>
        <w:tc>
          <w:tcPr>
            <w:tcW w:w="406" w:type="pct"/>
            <w:noWrap/>
            <w:vAlign w:val="center"/>
          </w:tcPr>
          <w:p w14:paraId="297FC9F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color w:val="auto"/>
                <w:sz w:val="18"/>
                <w:szCs w:val="18"/>
                <w:lang w:eastAsia="zh-CN"/>
              </w:rPr>
            </w:pPr>
            <w:r>
              <w:rPr>
                <w:rFonts w:hint="eastAsia" w:ascii="Arial" w:hAnsi="Arial" w:cs="Arial"/>
                <w:color w:val="auto"/>
                <w:sz w:val="18"/>
                <w:szCs w:val="18"/>
                <w:lang w:eastAsia="zh-CN"/>
              </w:rPr>
              <w:t>最枯月</w:t>
            </w:r>
          </w:p>
        </w:tc>
      </w:tr>
      <w:tr w14:paraId="3574B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0CA013D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2007</w:t>
            </w:r>
          </w:p>
        </w:tc>
        <w:tc>
          <w:tcPr>
            <w:tcW w:w="355" w:type="pct"/>
            <w:shd w:val="clear" w:color="auto" w:fill="auto"/>
            <w:noWrap/>
            <w:vAlign w:val="center"/>
          </w:tcPr>
          <w:p w14:paraId="7DD42CE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0.038</w:t>
            </w:r>
          </w:p>
        </w:tc>
        <w:tc>
          <w:tcPr>
            <w:tcW w:w="355" w:type="pct"/>
            <w:shd w:val="clear" w:color="auto" w:fill="auto"/>
            <w:noWrap/>
            <w:vAlign w:val="center"/>
          </w:tcPr>
          <w:p w14:paraId="126A150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0.070</w:t>
            </w:r>
          </w:p>
        </w:tc>
        <w:tc>
          <w:tcPr>
            <w:tcW w:w="355" w:type="pct"/>
            <w:shd w:val="clear" w:color="auto" w:fill="auto"/>
            <w:noWrap/>
            <w:vAlign w:val="center"/>
          </w:tcPr>
          <w:p w14:paraId="4A3CCFB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0.076</w:t>
            </w:r>
          </w:p>
        </w:tc>
        <w:tc>
          <w:tcPr>
            <w:tcW w:w="355" w:type="pct"/>
            <w:shd w:val="clear" w:color="auto" w:fill="auto"/>
            <w:noWrap/>
            <w:vAlign w:val="center"/>
          </w:tcPr>
          <w:p w14:paraId="2AAC39B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0.071</w:t>
            </w:r>
          </w:p>
        </w:tc>
        <w:tc>
          <w:tcPr>
            <w:tcW w:w="355" w:type="pct"/>
            <w:shd w:val="clear" w:color="auto" w:fill="auto"/>
            <w:noWrap/>
            <w:vAlign w:val="center"/>
          </w:tcPr>
          <w:p w14:paraId="6341D6F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0.038</w:t>
            </w:r>
          </w:p>
        </w:tc>
        <w:tc>
          <w:tcPr>
            <w:tcW w:w="355" w:type="pct"/>
            <w:shd w:val="clear" w:color="auto" w:fill="auto"/>
            <w:noWrap/>
            <w:vAlign w:val="center"/>
          </w:tcPr>
          <w:p w14:paraId="27D066B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0.036</w:t>
            </w:r>
          </w:p>
        </w:tc>
        <w:tc>
          <w:tcPr>
            <w:tcW w:w="355" w:type="pct"/>
            <w:shd w:val="clear" w:color="auto" w:fill="auto"/>
            <w:noWrap/>
            <w:vAlign w:val="center"/>
          </w:tcPr>
          <w:p w14:paraId="43A6B04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0.034</w:t>
            </w:r>
          </w:p>
        </w:tc>
        <w:tc>
          <w:tcPr>
            <w:tcW w:w="355" w:type="pct"/>
            <w:shd w:val="clear" w:color="auto" w:fill="auto"/>
            <w:noWrap/>
            <w:vAlign w:val="center"/>
          </w:tcPr>
          <w:p w14:paraId="6F836E5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0.027</w:t>
            </w:r>
          </w:p>
        </w:tc>
        <w:tc>
          <w:tcPr>
            <w:tcW w:w="355" w:type="pct"/>
            <w:shd w:val="clear" w:color="auto" w:fill="auto"/>
            <w:noWrap/>
            <w:vAlign w:val="center"/>
          </w:tcPr>
          <w:p w14:paraId="51BEFEF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0.009</w:t>
            </w:r>
          </w:p>
        </w:tc>
        <w:tc>
          <w:tcPr>
            <w:tcW w:w="355" w:type="pct"/>
            <w:shd w:val="clear" w:color="auto" w:fill="auto"/>
            <w:noWrap/>
            <w:vAlign w:val="center"/>
          </w:tcPr>
          <w:p w14:paraId="76F0CD3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0.007</w:t>
            </w:r>
          </w:p>
        </w:tc>
        <w:tc>
          <w:tcPr>
            <w:tcW w:w="355" w:type="pct"/>
            <w:shd w:val="clear" w:color="auto" w:fill="auto"/>
            <w:noWrap/>
            <w:vAlign w:val="center"/>
          </w:tcPr>
          <w:p w14:paraId="0E38A92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0.007</w:t>
            </w:r>
          </w:p>
        </w:tc>
        <w:tc>
          <w:tcPr>
            <w:tcW w:w="355" w:type="pct"/>
            <w:shd w:val="clear" w:color="auto" w:fill="auto"/>
            <w:noWrap/>
            <w:vAlign w:val="center"/>
          </w:tcPr>
          <w:p w14:paraId="6499525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0.010</w:t>
            </w:r>
          </w:p>
        </w:tc>
        <w:tc>
          <w:tcPr>
            <w:tcW w:w="406" w:type="pct"/>
            <w:shd w:val="clear" w:color="auto" w:fill="auto"/>
            <w:noWrap/>
            <w:vAlign w:val="center"/>
          </w:tcPr>
          <w:p w14:paraId="3520552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cs="Arial"/>
                <w:color w:val="000000"/>
                <w:kern w:val="2"/>
                <w:sz w:val="18"/>
                <w:szCs w:val="18"/>
                <w:lang w:val="en-US" w:eastAsia="zh-CN" w:bidi="ar-SA"/>
              </w:rPr>
            </w:pPr>
            <w:r>
              <w:rPr>
                <w:rFonts w:hint="eastAsia" w:ascii="Arial" w:hAnsi="Arial" w:cs="Arial"/>
                <w:color w:val="000000"/>
                <w:kern w:val="2"/>
                <w:sz w:val="18"/>
                <w:szCs w:val="18"/>
                <w:lang w:val="en-US" w:eastAsia="zh-CN" w:bidi="ar-SA"/>
              </w:rPr>
              <w:t>0.007</w:t>
            </w:r>
          </w:p>
          <w:p w14:paraId="11CB94CD">
            <w:pPr>
              <w:rPr>
                <w:rFonts w:hint="default"/>
                <w:lang w:val="en-US" w:eastAsia="zh-CN"/>
              </w:rPr>
            </w:pPr>
          </w:p>
        </w:tc>
      </w:tr>
      <w:tr w14:paraId="2E34C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46BF99F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2008</w:t>
            </w:r>
          </w:p>
        </w:tc>
        <w:tc>
          <w:tcPr>
            <w:tcW w:w="355" w:type="pct"/>
            <w:shd w:val="clear" w:color="auto" w:fill="auto"/>
            <w:noWrap/>
            <w:vAlign w:val="center"/>
          </w:tcPr>
          <w:p w14:paraId="586E69F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0.050</w:t>
            </w:r>
          </w:p>
        </w:tc>
        <w:tc>
          <w:tcPr>
            <w:tcW w:w="355" w:type="pct"/>
            <w:shd w:val="clear" w:color="auto" w:fill="auto"/>
            <w:noWrap/>
            <w:vAlign w:val="center"/>
          </w:tcPr>
          <w:p w14:paraId="5AF2C5A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0.029</w:t>
            </w:r>
          </w:p>
        </w:tc>
        <w:tc>
          <w:tcPr>
            <w:tcW w:w="355" w:type="pct"/>
            <w:shd w:val="clear" w:color="auto" w:fill="auto"/>
            <w:noWrap/>
            <w:vAlign w:val="center"/>
          </w:tcPr>
          <w:p w14:paraId="60C4B84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0.045</w:t>
            </w:r>
          </w:p>
        </w:tc>
        <w:tc>
          <w:tcPr>
            <w:tcW w:w="355" w:type="pct"/>
            <w:shd w:val="clear" w:color="auto" w:fill="auto"/>
            <w:noWrap/>
            <w:vAlign w:val="center"/>
          </w:tcPr>
          <w:p w14:paraId="40FF05D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0.017</w:t>
            </w:r>
          </w:p>
        </w:tc>
        <w:tc>
          <w:tcPr>
            <w:tcW w:w="355" w:type="pct"/>
            <w:shd w:val="clear" w:color="auto" w:fill="auto"/>
            <w:noWrap/>
            <w:vAlign w:val="center"/>
          </w:tcPr>
          <w:p w14:paraId="2387285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0.140</w:t>
            </w:r>
          </w:p>
        </w:tc>
        <w:tc>
          <w:tcPr>
            <w:tcW w:w="355" w:type="pct"/>
            <w:shd w:val="clear" w:color="auto" w:fill="auto"/>
            <w:noWrap/>
            <w:vAlign w:val="center"/>
          </w:tcPr>
          <w:p w14:paraId="7BCF7D2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0.022</w:t>
            </w:r>
          </w:p>
        </w:tc>
        <w:tc>
          <w:tcPr>
            <w:tcW w:w="355" w:type="pct"/>
            <w:shd w:val="clear" w:color="auto" w:fill="auto"/>
            <w:noWrap/>
            <w:vAlign w:val="center"/>
          </w:tcPr>
          <w:p w14:paraId="66508A5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0.039</w:t>
            </w:r>
          </w:p>
        </w:tc>
        <w:tc>
          <w:tcPr>
            <w:tcW w:w="355" w:type="pct"/>
            <w:shd w:val="clear" w:color="auto" w:fill="auto"/>
            <w:noWrap/>
            <w:vAlign w:val="center"/>
          </w:tcPr>
          <w:p w14:paraId="6180E3C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0.044</w:t>
            </w:r>
          </w:p>
        </w:tc>
        <w:tc>
          <w:tcPr>
            <w:tcW w:w="355" w:type="pct"/>
            <w:shd w:val="clear" w:color="auto" w:fill="auto"/>
            <w:noWrap/>
            <w:vAlign w:val="center"/>
          </w:tcPr>
          <w:p w14:paraId="4E30379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4F009EA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5A80BBF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6C666AAF">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406" w:type="pct"/>
            <w:shd w:val="clear" w:color="auto" w:fill="auto"/>
            <w:noWrap/>
            <w:vAlign w:val="center"/>
          </w:tcPr>
          <w:p w14:paraId="724926D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0.004</w:t>
            </w:r>
          </w:p>
        </w:tc>
      </w:tr>
      <w:tr w14:paraId="44A07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15BB0F4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2009</w:t>
            </w:r>
          </w:p>
        </w:tc>
        <w:tc>
          <w:tcPr>
            <w:tcW w:w="355" w:type="pct"/>
            <w:shd w:val="clear" w:color="auto" w:fill="auto"/>
            <w:noWrap/>
            <w:vAlign w:val="center"/>
          </w:tcPr>
          <w:p w14:paraId="4FC7C57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0.033</w:t>
            </w:r>
          </w:p>
        </w:tc>
        <w:tc>
          <w:tcPr>
            <w:tcW w:w="355" w:type="pct"/>
            <w:shd w:val="clear" w:color="auto" w:fill="auto"/>
            <w:noWrap/>
            <w:vAlign w:val="center"/>
          </w:tcPr>
          <w:p w14:paraId="07B7E45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0.061</w:t>
            </w:r>
          </w:p>
        </w:tc>
        <w:tc>
          <w:tcPr>
            <w:tcW w:w="355" w:type="pct"/>
            <w:shd w:val="clear" w:color="auto" w:fill="auto"/>
            <w:noWrap/>
            <w:vAlign w:val="center"/>
          </w:tcPr>
          <w:p w14:paraId="5839FBA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0.098</w:t>
            </w:r>
          </w:p>
        </w:tc>
        <w:tc>
          <w:tcPr>
            <w:tcW w:w="355" w:type="pct"/>
            <w:shd w:val="clear" w:color="auto" w:fill="auto"/>
            <w:noWrap/>
            <w:vAlign w:val="center"/>
          </w:tcPr>
          <w:p w14:paraId="073A8F3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0.011</w:t>
            </w:r>
          </w:p>
        </w:tc>
        <w:tc>
          <w:tcPr>
            <w:tcW w:w="355" w:type="pct"/>
            <w:shd w:val="clear" w:color="auto" w:fill="auto"/>
            <w:noWrap/>
            <w:vAlign w:val="center"/>
          </w:tcPr>
          <w:p w14:paraId="049A13C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0.028</w:t>
            </w:r>
          </w:p>
        </w:tc>
        <w:tc>
          <w:tcPr>
            <w:tcW w:w="355" w:type="pct"/>
            <w:shd w:val="clear" w:color="auto" w:fill="auto"/>
            <w:noWrap/>
            <w:vAlign w:val="center"/>
          </w:tcPr>
          <w:p w14:paraId="7E7F914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0.010</w:t>
            </w:r>
          </w:p>
        </w:tc>
        <w:tc>
          <w:tcPr>
            <w:tcW w:w="355" w:type="pct"/>
            <w:shd w:val="clear" w:color="auto" w:fill="auto"/>
            <w:noWrap/>
            <w:vAlign w:val="center"/>
          </w:tcPr>
          <w:p w14:paraId="28A5758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0.014</w:t>
            </w:r>
          </w:p>
        </w:tc>
        <w:tc>
          <w:tcPr>
            <w:tcW w:w="355" w:type="pct"/>
            <w:shd w:val="clear" w:color="auto" w:fill="auto"/>
            <w:noWrap/>
            <w:vAlign w:val="center"/>
          </w:tcPr>
          <w:p w14:paraId="2617B9D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0.016</w:t>
            </w:r>
          </w:p>
        </w:tc>
        <w:tc>
          <w:tcPr>
            <w:tcW w:w="355" w:type="pct"/>
            <w:shd w:val="clear" w:color="auto" w:fill="auto"/>
            <w:noWrap/>
            <w:vAlign w:val="center"/>
          </w:tcPr>
          <w:p w14:paraId="61A4CA9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2ABAB7E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7385FE1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3C069E5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0.009</w:t>
            </w:r>
          </w:p>
        </w:tc>
        <w:tc>
          <w:tcPr>
            <w:tcW w:w="406" w:type="pct"/>
            <w:shd w:val="clear" w:color="auto" w:fill="auto"/>
            <w:noWrap/>
            <w:vAlign w:val="center"/>
          </w:tcPr>
          <w:p w14:paraId="4828630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0.002</w:t>
            </w:r>
          </w:p>
        </w:tc>
      </w:tr>
      <w:tr w14:paraId="093E3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6A515E7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2010</w:t>
            </w:r>
          </w:p>
        </w:tc>
        <w:tc>
          <w:tcPr>
            <w:tcW w:w="355" w:type="pct"/>
            <w:shd w:val="clear" w:color="auto" w:fill="auto"/>
            <w:noWrap/>
            <w:vAlign w:val="center"/>
          </w:tcPr>
          <w:p w14:paraId="7886F87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0.040</w:t>
            </w:r>
          </w:p>
        </w:tc>
        <w:tc>
          <w:tcPr>
            <w:tcW w:w="355" w:type="pct"/>
            <w:shd w:val="clear" w:color="auto" w:fill="auto"/>
            <w:noWrap/>
            <w:vAlign w:val="center"/>
          </w:tcPr>
          <w:p w14:paraId="577FAE0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0.067</w:t>
            </w:r>
          </w:p>
        </w:tc>
        <w:tc>
          <w:tcPr>
            <w:tcW w:w="355" w:type="pct"/>
            <w:shd w:val="clear" w:color="auto" w:fill="auto"/>
            <w:noWrap/>
            <w:vAlign w:val="center"/>
          </w:tcPr>
          <w:p w14:paraId="424D001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0.028</w:t>
            </w:r>
          </w:p>
        </w:tc>
        <w:tc>
          <w:tcPr>
            <w:tcW w:w="355" w:type="pct"/>
            <w:shd w:val="clear" w:color="auto" w:fill="auto"/>
            <w:noWrap/>
            <w:vAlign w:val="center"/>
          </w:tcPr>
          <w:p w14:paraId="268821A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0.100</w:t>
            </w:r>
          </w:p>
        </w:tc>
        <w:tc>
          <w:tcPr>
            <w:tcW w:w="355" w:type="pct"/>
            <w:shd w:val="clear" w:color="auto" w:fill="auto"/>
            <w:noWrap/>
            <w:vAlign w:val="center"/>
          </w:tcPr>
          <w:p w14:paraId="54A5837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0.019</w:t>
            </w:r>
          </w:p>
        </w:tc>
        <w:tc>
          <w:tcPr>
            <w:tcW w:w="355" w:type="pct"/>
            <w:shd w:val="clear" w:color="auto" w:fill="auto"/>
            <w:noWrap/>
            <w:vAlign w:val="center"/>
          </w:tcPr>
          <w:p w14:paraId="5D81289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0.032</w:t>
            </w:r>
          </w:p>
        </w:tc>
        <w:tc>
          <w:tcPr>
            <w:tcW w:w="355" w:type="pct"/>
            <w:shd w:val="clear" w:color="auto" w:fill="auto"/>
            <w:noWrap/>
            <w:vAlign w:val="center"/>
          </w:tcPr>
          <w:p w14:paraId="3255727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0.015</w:t>
            </w:r>
          </w:p>
        </w:tc>
        <w:tc>
          <w:tcPr>
            <w:tcW w:w="355" w:type="pct"/>
            <w:shd w:val="clear" w:color="auto" w:fill="auto"/>
            <w:noWrap/>
            <w:vAlign w:val="center"/>
          </w:tcPr>
          <w:p w14:paraId="0AD3E0D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0.015</w:t>
            </w:r>
          </w:p>
        </w:tc>
        <w:tc>
          <w:tcPr>
            <w:tcW w:w="355" w:type="pct"/>
            <w:shd w:val="clear" w:color="auto" w:fill="auto"/>
            <w:noWrap/>
            <w:vAlign w:val="center"/>
          </w:tcPr>
          <w:p w14:paraId="4C81349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790D86F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0402DE3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0B72E4B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0.019</w:t>
            </w:r>
          </w:p>
        </w:tc>
        <w:tc>
          <w:tcPr>
            <w:tcW w:w="406" w:type="pct"/>
            <w:shd w:val="clear" w:color="auto" w:fill="auto"/>
            <w:noWrap/>
            <w:vAlign w:val="center"/>
          </w:tcPr>
          <w:p w14:paraId="7A75A42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0.003</w:t>
            </w:r>
          </w:p>
        </w:tc>
      </w:tr>
      <w:tr w14:paraId="5C013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0C0ABC1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2011</w:t>
            </w:r>
          </w:p>
        </w:tc>
        <w:tc>
          <w:tcPr>
            <w:tcW w:w="355" w:type="pct"/>
            <w:shd w:val="clear" w:color="auto" w:fill="auto"/>
            <w:noWrap/>
            <w:vAlign w:val="center"/>
          </w:tcPr>
          <w:p w14:paraId="229E560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0.037</w:t>
            </w:r>
          </w:p>
        </w:tc>
        <w:tc>
          <w:tcPr>
            <w:tcW w:w="355" w:type="pct"/>
            <w:shd w:val="clear" w:color="auto" w:fill="auto"/>
            <w:noWrap/>
            <w:vAlign w:val="center"/>
          </w:tcPr>
          <w:p w14:paraId="341402C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0.043</w:t>
            </w:r>
          </w:p>
        </w:tc>
        <w:tc>
          <w:tcPr>
            <w:tcW w:w="355" w:type="pct"/>
            <w:shd w:val="clear" w:color="auto" w:fill="auto"/>
            <w:noWrap/>
            <w:vAlign w:val="center"/>
          </w:tcPr>
          <w:p w14:paraId="4D055EF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0.044</w:t>
            </w:r>
          </w:p>
        </w:tc>
        <w:tc>
          <w:tcPr>
            <w:tcW w:w="355" w:type="pct"/>
            <w:shd w:val="clear" w:color="auto" w:fill="auto"/>
            <w:noWrap/>
            <w:vAlign w:val="center"/>
          </w:tcPr>
          <w:p w14:paraId="2ACF4AD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72642B7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11D23B8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4622202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0.049</w:t>
            </w:r>
          </w:p>
        </w:tc>
        <w:tc>
          <w:tcPr>
            <w:tcW w:w="355" w:type="pct"/>
            <w:shd w:val="clear" w:color="auto" w:fill="auto"/>
            <w:noWrap/>
            <w:vAlign w:val="center"/>
          </w:tcPr>
          <w:p w14:paraId="711F2CD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0.094</w:t>
            </w:r>
          </w:p>
        </w:tc>
        <w:tc>
          <w:tcPr>
            <w:tcW w:w="355" w:type="pct"/>
            <w:shd w:val="clear" w:color="auto" w:fill="auto"/>
            <w:noWrap/>
            <w:vAlign w:val="center"/>
          </w:tcPr>
          <w:p w14:paraId="1883205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0.028</w:t>
            </w:r>
          </w:p>
        </w:tc>
        <w:tc>
          <w:tcPr>
            <w:tcW w:w="355" w:type="pct"/>
            <w:shd w:val="clear" w:color="auto" w:fill="auto"/>
            <w:noWrap/>
            <w:vAlign w:val="center"/>
          </w:tcPr>
          <w:p w14:paraId="1565567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0.007</w:t>
            </w:r>
          </w:p>
        </w:tc>
        <w:tc>
          <w:tcPr>
            <w:tcW w:w="355" w:type="pct"/>
            <w:shd w:val="clear" w:color="auto" w:fill="auto"/>
            <w:noWrap/>
            <w:vAlign w:val="center"/>
          </w:tcPr>
          <w:p w14:paraId="03B986D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2B1241F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406" w:type="pct"/>
            <w:shd w:val="clear" w:color="auto" w:fill="auto"/>
            <w:noWrap/>
            <w:vAlign w:val="center"/>
          </w:tcPr>
          <w:p w14:paraId="4C6E97A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0.004</w:t>
            </w:r>
          </w:p>
        </w:tc>
      </w:tr>
      <w:tr w14:paraId="13455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339F0FC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2012</w:t>
            </w:r>
          </w:p>
        </w:tc>
        <w:tc>
          <w:tcPr>
            <w:tcW w:w="355" w:type="pct"/>
            <w:shd w:val="clear" w:color="auto" w:fill="auto"/>
            <w:noWrap/>
            <w:vAlign w:val="center"/>
          </w:tcPr>
          <w:p w14:paraId="6582BCE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0.021</w:t>
            </w:r>
          </w:p>
        </w:tc>
        <w:tc>
          <w:tcPr>
            <w:tcW w:w="355" w:type="pct"/>
            <w:shd w:val="clear" w:color="auto" w:fill="auto"/>
            <w:noWrap/>
            <w:vAlign w:val="center"/>
          </w:tcPr>
          <w:p w14:paraId="1A823D2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0.066</w:t>
            </w:r>
          </w:p>
        </w:tc>
        <w:tc>
          <w:tcPr>
            <w:tcW w:w="355" w:type="pct"/>
            <w:shd w:val="clear" w:color="auto" w:fill="auto"/>
            <w:noWrap/>
            <w:vAlign w:val="center"/>
          </w:tcPr>
          <w:p w14:paraId="4B08CC2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0.014</w:t>
            </w:r>
          </w:p>
        </w:tc>
        <w:tc>
          <w:tcPr>
            <w:tcW w:w="355" w:type="pct"/>
            <w:shd w:val="clear" w:color="auto" w:fill="auto"/>
            <w:noWrap/>
            <w:vAlign w:val="center"/>
          </w:tcPr>
          <w:p w14:paraId="770315C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0.026</w:t>
            </w:r>
          </w:p>
        </w:tc>
        <w:tc>
          <w:tcPr>
            <w:tcW w:w="355" w:type="pct"/>
            <w:shd w:val="clear" w:color="auto" w:fill="auto"/>
            <w:noWrap/>
            <w:vAlign w:val="center"/>
          </w:tcPr>
          <w:p w14:paraId="3458677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3F327CB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0.041</w:t>
            </w:r>
          </w:p>
        </w:tc>
        <w:tc>
          <w:tcPr>
            <w:tcW w:w="355" w:type="pct"/>
            <w:shd w:val="clear" w:color="auto" w:fill="auto"/>
            <w:noWrap/>
            <w:vAlign w:val="center"/>
          </w:tcPr>
          <w:p w14:paraId="0544231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0.025</w:t>
            </w:r>
          </w:p>
        </w:tc>
        <w:tc>
          <w:tcPr>
            <w:tcW w:w="355" w:type="pct"/>
            <w:shd w:val="clear" w:color="auto" w:fill="auto"/>
            <w:noWrap/>
            <w:vAlign w:val="center"/>
          </w:tcPr>
          <w:p w14:paraId="170B473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0.011</w:t>
            </w:r>
          </w:p>
        </w:tc>
        <w:tc>
          <w:tcPr>
            <w:tcW w:w="355" w:type="pct"/>
            <w:shd w:val="clear" w:color="auto" w:fill="auto"/>
            <w:noWrap/>
            <w:vAlign w:val="center"/>
          </w:tcPr>
          <w:p w14:paraId="3D965B4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4CDF4E8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41E840C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323352A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406" w:type="pct"/>
            <w:shd w:val="clear" w:color="auto" w:fill="auto"/>
            <w:noWrap/>
            <w:vAlign w:val="center"/>
          </w:tcPr>
          <w:p w14:paraId="37D3A38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0.002</w:t>
            </w:r>
          </w:p>
        </w:tc>
      </w:tr>
      <w:tr w14:paraId="55E4F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5E157BD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2013</w:t>
            </w:r>
          </w:p>
        </w:tc>
        <w:tc>
          <w:tcPr>
            <w:tcW w:w="355" w:type="pct"/>
            <w:shd w:val="clear" w:color="auto" w:fill="auto"/>
            <w:noWrap/>
            <w:vAlign w:val="center"/>
          </w:tcPr>
          <w:p w14:paraId="2ADEE81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4A21DCE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0.173</w:t>
            </w:r>
          </w:p>
        </w:tc>
        <w:tc>
          <w:tcPr>
            <w:tcW w:w="355" w:type="pct"/>
            <w:shd w:val="clear" w:color="auto" w:fill="auto"/>
            <w:noWrap/>
            <w:vAlign w:val="center"/>
          </w:tcPr>
          <w:p w14:paraId="1F76FCF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0.089</w:t>
            </w:r>
          </w:p>
        </w:tc>
        <w:tc>
          <w:tcPr>
            <w:tcW w:w="355" w:type="pct"/>
            <w:shd w:val="clear" w:color="auto" w:fill="auto"/>
            <w:noWrap/>
            <w:vAlign w:val="center"/>
          </w:tcPr>
          <w:p w14:paraId="3AE6D3B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7541F23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2FFA31E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64415E9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14D253A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44AF147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212187A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0EFA51D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1ACB61E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406" w:type="pct"/>
            <w:shd w:val="clear" w:color="auto" w:fill="auto"/>
            <w:noWrap/>
            <w:vAlign w:val="center"/>
          </w:tcPr>
          <w:p w14:paraId="28CD693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0.001</w:t>
            </w:r>
          </w:p>
        </w:tc>
      </w:tr>
      <w:tr w14:paraId="40998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55283A4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2014</w:t>
            </w:r>
          </w:p>
        </w:tc>
        <w:tc>
          <w:tcPr>
            <w:tcW w:w="355" w:type="pct"/>
            <w:shd w:val="clear" w:color="auto" w:fill="auto"/>
            <w:noWrap/>
            <w:vAlign w:val="center"/>
          </w:tcPr>
          <w:p w14:paraId="44C7FAB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0.037</w:t>
            </w:r>
          </w:p>
        </w:tc>
        <w:tc>
          <w:tcPr>
            <w:tcW w:w="355" w:type="pct"/>
            <w:shd w:val="clear" w:color="auto" w:fill="auto"/>
            <w:noWrap/>
            <w:vAlign w:val="center"/>
          </w:tcPr>
          <w:p w14:paraId="1D046B2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0.050</w:t>
            </w:r>
          </w:p>
        </w:tc>
        <w:tc>
          <w:tcPr>
            <w:tcW w:w="355" w:type="pct"/>
            <w:shd w:val="clear" w:color="auto" w:fill="auto"/>
            <w:noWrap/>
            <w:vAlign w:val="center"/>
          </w:tcPr>
          <w:p w14:paraId="12D42A3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0.112</w:t>
            </w:r>
          </w:p>
        </w:tc>
        <w:tc>
          <w:tcPr>
            <w:tcW w:w="355" w:type="pct"/>
            <w:shd w:val="clear" w:color="auto" w:fill="auto"/>
            <w:noWrap/>
            <w:vAlign w:val="center"/>
          </w:tcPr>
          <w:p w14:paraId="7719104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0.052</w:t>
            </w:r>
          </w:p>
        </w:tc>
        <w:tc>
          <w:tcPr>
            <w:tcW w:w="355" w:type="pct"/>
            <w:shd w:val="clear" w:color="auto" w:fill="auto"/>
            <w:noWrap/>
            <w:vAlign w:val="center"/>
          </w:tcPr>
          <w:p w14:paraId="20D158D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0.034</w:t>
            </w:r>
          </w:p>
        </w:tc>
        <w:tc>
          <w:tcPr>
            <w:tcW w:w="355" w:type="pct"/>
            <w:shd w:val="clear" w:color="auto" w:fill="auto"/>
            <w:noWrap/>
            <w:vAlign w:val="center"/>
          </w:tcPr>
          <w:p w14:paraId="6874986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0.091</w:t>
            </w:r>
          </w:p>
        </w:tc>
        <w:tc>
          <w:tcPr>
            <w:tcW w:w="355" w:type="pct"/>
            <w:shd w:val="clear" w:color="auto" w:fill="auto"/>
            <w:noWrap/>
            <w:vAlign w:val="center"/>
          </w:tcPr>
          <w:p w14:paraId="6B06B6F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0.022</w:t>
            </w:r>
          </w:p>
        </w:tc>
        <w:tc>
          <w:tcPr>
            <w:tcW w:w="355" w:type="pct"/>
            <w:shd w:val="clear" w:color="auto" w:fill="auto"/>
            <w:noWrap/>
            <w:vAlign w:val="center"/>
          </w:tcPr>
          <w:p w14:paraId="64919E6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0.027</w:t>
            </w:r>
          </w:p>
        </w:tc>
        <w:tc>
          <w:tcPr>
            <w:tcW w:w="355" w:type="pct"/>
            <w:shd w:val="clear" w:color="auto" w:fill="auto"/>
            <w:noWrap/>
            <w:vAlign w:val="center"/>
          </w:tcPr>
          <w:p w14:paraId="4378A18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0.016</w:t>
            </w:r>
          </w:p>
        </w:tc>
        <w:tc>
          <w:tcPr>
            <w:tcW w:w="355" w:type="pct"/>
            <w:shd w:val="clear" w:color="auto" w:fill="auto"/>
            <w:noWrap/>
            <w:vAlign w:val="center"/>
          </w:tcPr>
          <w:p w14:paraId="650BE80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0.014</w:t>
            </w:r>
          </w:p>
        </w:tc>
        <w:tc>
          <w:tcPr>
            <w:tcW w:w="355" w:type="pct"/>
            <w:shd w:val="clear" w:color="auto" w:fill="auto"/>
            <w:noWrap/>
            <w:vAlign w:val="center"/>
          </w:tcPr>
          <w:p w14:paraId="0FE201C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2029CBB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406" w:type="pct"/>
            <w:shd w:val="clear" w:color="auto" w:fill="auto"/>
            <w:noWrap/>
            <w:vAlign w:val="center"/>
          </w:tcPr>
          <w:p w14:paraId="5F2E5EA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0.004</w:t>
            </w:r>
          </w:p>
        </w:tc>
      </w:tr>
      <w:tr w14:paraId="12CCA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66648BC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2015</w:t>
            </w:r>
          </w:p>
        </w:tc>
        <w:tc>
          <w:tcPr>
            <w:tcW w:w="355" w:type="pct"/>
            <w:shd w:val="clear" w:color="auto" w:fill="auto"/>
            <w:noWrap/>
            <w:vAlign w:val="center"/>
          </w:tcPr>
          <w:p w14:paraId="4A487C9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0.011</w:t>
            </w:r>
          </w:p>
        </w:tc>
        <w:tc>
          <w:tcPr>
            <w:tcW w:w="355" w:type="pct"/>
            <w:shd w:val="clear" w:color="auto" w:fill="auto"/>
            <w:noWrap/>
            <w:vAlign w:val="center"/>
          </w:tcPr>
          <w:p w14:paraId="6D9C412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0.018</w:t>
            </w:r>
          </w:p>
        </w:tc>
        <w:tc>
          <w:tcPr>
            <w:tcW w:w="355" w:type="pct"/>
            <w:shd w:val="clear" w:color="auto" w:fill="auto"/>
            <w:noWrap/>
            <w:vAlign w:val="center"/>
          </w:tcPr>
          <w:p w14:paraId="14CA707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0.094</w:t>
            </w:r>
          </w:p>
        </w:tc>
        <w:tc>
          <w:tcPr>
            <w:tcW w:w="355" w:type="pct"/>
            <w:shd w:val="clear" w:color="auto" w:fill="auto"/>
            <w:noWrap/>
            <w:vAlign w:val="center"/>
          </w:tcPr>
          <w:p w14:paraId="1148387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0.058</w:t>
            </w:r>
          </w:p>
        </w:tc>
        <w:tc>
          <w:tcPr>
            <w:tcW w:w="355" w:type="pct"/>
            <w:shd w:val="clear" w:color="auto" w:fill="auto"/>
            <w:noWrap/>
            <w:vAlign w:val="center"/>
          </w:tcPr>
          <w:p w14:paraId="1DE8A27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0.028</w:t>
            </w:r>
          </w:p>
        </w:tc>
        <w:tc>
          <w:tcPr>
            <w:tcW w:w="355" w:type="pct"/>
            <w:shd w:val="clear" w:color="auto" w:fill="auto"/>
            <w:noWrap/>
            <w:vAlign w:val="center"/>
          </w:tcPr>
          <w:p w14:paraId="4D687C9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0.066</w:t>
            </w:r>
          </w:p>
        </w:tc>
        <w:tc>
          <w:tcPr>
            <w:tcW w:w="355" w:type="pct"/>
            <w:shd w:val="clear" w:color="auto" w:fill="auto"/>
            <w:noWrap/>
            <w:vAlign w:val="center"/>
          </w:tcPr>
          <w:p w14:paraId="2FBCEEA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0.022</w:t>
            </w:r>
          </w:p>
        </w:tc>
        <w:tc>
          <w:tcPr>
            <w:tcW w:w="355" w:type="pct"/>
            <w:shd w:val="clear" w:color="auto" w:fill="auto"/>
            <w:noWrap/>
            <w:vAlign w:val="center"/>
          </w:tcPr>
          <w:p w14:paraId="44135C4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3C9B9D2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4F347FB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0.009</w:t>
            </w:r>
          </w:p>
        </w:tc>
        <w:tc>
          <w:tcPr>
            <w:tcW w:w="355" w:type="pct"/>
            <w:shd w:val="clear" w:color="auto" w:fill="auto"/>
            <w:noWrap/>
            <w:vAlign w:val="center"/>
          </w:tcPr>
          <w:p w14:paraId="6937293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5F86CF7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0.009</w:t>
            </w:r>
          </w:p>
        </w:tc>
        <w:tc>
          <w:tcPr>
            <w:tcW w:w="406" w:type="pct"/>
            <w:shd w:val="clear" w:color="auto" w:fill="auto"/>
            <w:noWrap/>
            <w:vAlign w:val="center"/>
          </w:tcPr>
          <w:p w14:paraId="3C5DEA2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0.006</w:t>
            </w:r>
          </w:p>
        </w:tc>
      </w:tr>
      <w:tr w14:paraId="31AD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4CD0BCC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2016</w:t>
            </w:r>
          </w:p>
        </w:tc>
        <w:tc>
          <w:tcPr>
            <w:tcW w:w="355" w:type="pct"/>
            <w:shd w:val="clear" w:color="auto" w:fill="auto"/>
            <w:noWrap/>
            <w:vAlign w:val="center"/>
          </w:tcPr>
          <w:p w14:paraId="4CEBBE4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0.015</w:t>
            </w:r>
          </w:p>
        </w:tc>
        <w:tc>
          <w:tcPr>
            <w:tcW w:w="355" w:type="pct"/>
            <w:shd w:val="clear" w:color="auto" w:fill="auto"/>
            <w:noWrap/>
            <w:vAlign w:val="center"/>
          </w:tcPr>
          <w:p w14:paraId="3E8873C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0.035</w:t>
            </w:r>
          </w:p>
        </w:tc>
        <w:tc>
          <w:tcPr>
            <w:tcW w:w="355" w:type="pct"/>
            <w:shd w:val="clear" w:color="auto" w:fill="auto"/>
            <w:noWrap/>
            <w:vAlign w:val="center"/>
          </w:tcPr>
          <w:p w14:paraId="4519307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0.078</w:t>
            </w:r>
          </w:p>
        </w:tc>
        <w:tc>
          <w:tcPr>
            <w:tcW w:w="355" w:type="pct"/>
            <w:shd w:val="clear" w:color="auto" w:fill="auto"/>
            <w:noWrap/>
            <w:vAlign w:val="center"/>
          </w:tcPr>
          <w:p w14:paraId="5194413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0.032</w:t>
            </w:r>
          </w:p>
        </w:tc>
        <w:tc>
          <w:tcPr>
            <w:tcW w:w="355" w:type="pct"/>
            <w:shd w:val="clear" w:color="auto" w:fill="auto"/>
            <w:noWrap/>
            <w:vAlign w:val="center"/>
          </w:tcPr>
          <w:p w14:paraId="3D76863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0C6FB85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1DC91A3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0D84910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0.058</w:t>
            </w:r>
          </w:p>
        </w:tc>
        <w:tc>
          <w:tcPr>
            <w:tcW w:w="355" w:type="pct"/>
            <w:shd w:val="clear" w:color="auto" w:fill="auto"/>
            <w:noWrap/>
            <w:vAlign w:val="center"/>
          </w:tcPr>
          <w:p w14:paraId="331360B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2A5F759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4B076CB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29945E1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0.015</w:t>
            </w:r>
          </w:p>
        </w:tc>
        <w:tc>
          <w:tcPr>
            <w:tcW w:w="406" w:type="pct"/>
            <w:shd w:val="clear" w:color="auto" w:fill="auto"/>
            <w:noWrap/>
            <w:vAlign w:val="center"/>
          </w:tcPr>
          <w:p w14:paraId="5452FA9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0.003</w:t>
            </w:r>
          </w:p>
        </w:tc>
      </w:tr>
      <w:tr w14:paraId="34597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exact"/>
          <w:tblHeader/>
          <w:jc w:val="center"/>
        </w:trPr>
        <w:tc>
          <w:tcPr>
            <w:tcW w:w="0" w:type="auto"/>
            <w:shd w:val="clear" w:color="auto" w:fill="auto"/>
            <w:vAlign w:val="center"/>
          </w:tcPr>
          <w:p w14:paraId="76FFCB5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2017</w:t>
            </w:r>
          </w:p>
        </w:tc>
        <w:tc>
          <w:tcPr>
            <w:tcW w:w="0" w:type="auto"/>
            <w:shd w:val="clear" w:color="auto" w:fill="auto"/>
            <w:vAlign w:val="center"/>
          </w:tcPr>
          <w:p w14:paraId="4867278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0.077</w:t>
            </w:r>
          </w:p>
        </w:tc>
        <w:tc>
          <w:tcPr>
            <w:tcW w:w="0" w:type="auto"/>
            <w:shd w:val="clear" w:color="auto" w:fill="auto"/>
            <w:vAlign w:val="center"/>
          </w:tcPr>
          <w:p w14:paraId="184C36F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0.112</w:t>
            </w:r>
          </w:p>
        </w:tc>
        <w:tc>
          <w:tcPr>
            <w:tcW w:w="0" w:type="auto"/>
            <w:shd w:val="clear" w:color="auto" w:fill="auto"/>
            <w:vAlign w:val="center"/>
          </w:tcPr>
          <w:p w14:paraId="4815629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0.111</w:t>
            </w:r>
          </w:p>
        </w:tc>
        <w:tc>
          <w:tcPr>
            <w:tcW w:w="0" w:type="auto"/>
            <w:shd w:val="clear" w:color="auto" w:fill="auto"/>
            <w:vAlign w:val="center"/>
          </w:tcPr>
          <w:p w14:paraId="2476EAF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0.010</w:t>
            </w:r>
          </w:p>
        </w:tc>
        <w:tc>
          <w:tcPr>
            <w:tcW w:w="0" w:type="auto"/>
            <w:shd w:val="clear" w:color="auto" w:fill="auto"/>
            <w:vAlign w:val="center"/>
          </w:tcPr>
          <w:p w14:paraId="11561CC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0" w:type="auto"/>
            <w:shd w:val="clear" w:color="auto" w:fill="auto"/>
            <w:vAlign w:val="center"/>
          </w:tcPr>
          <w:p w14:paraId="131F592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0.067</w:t>
            </w:r>
          </w:p>
        </w:tc>
        <w:tc>
          <w:tcPr>
            <w:tcW w:w="0" w:type="auto"/>
            <w:shd w:val="clear" w:color="auto" w:fill="auto"/>
            <w:vAlign w:val="center"/>
          </w:tcPr>
          <w:p w14:paraId="3A24E0F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0.139</w:t>
            </w:r>
          </w:p>
        </w:tc>
        <w:tc>
          <w:tcPr>
            <w:tcW w:w="0" w:type="auto"/>
            <w:shd w:val="clear" w:color="auto" w:fill="auto"/>
            <w:vAlign w:val="center"/>
          </w:tcPr>
          <w:p w14:paraId="4CA96F2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0.011</w:t>
            </w:r>
          </w:p>
        </w:tc>
        <w:tc>
          <w:tcPr>
            <w:tcW w:w="0" w:type="auto"/>
            <w:shd w:val="clear" w:color="auto" w:fill="auto"/>
            <w:vAlign w:val="center"/>
          </w:tcPr>
          <w:p w14:paraId="73565C5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vAlign w:val="center"/>
          </w:tcPr>
          <w:p w14:paraId="2389C3F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vAlign w:val="center"/>
          </w:tcPr>
          <w:p w14:paraId="5E0B564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0" w:type="auto"/>
            <w:shd w:val="clear" w:color="auto" w:fill="auto"/>
            <w:vAlign w:val="center"/>
          </w:tcPr>
          <w:p w14:paraId="49FC067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0.012</w:t>
            </w:r>
          </w:p>
        </w:tc>
        <w:tc>
          <w:tcPr>
            <w:tcW w:w="0" w:type="auto"/>
            <w:shd w:val="clear" w:color="auto" w:fill="auto"/>
            <w:vAlign w:val="center"/>
          </w:tcPr>
          <w:p w14:paraId="5756BD3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0.004</w:t>
            </w:r>
          </w:p>
        </w:tc>
      </w:tr>
    </w:tbl>
    <w:p w14:paraId="2AE44A0C">
      <w:pPr>
        <w:keepNext w:val="0"/>
        <w:keepLines w:val="0"/>
        <w:pageBreakBefore w:val="0"/>
        <w:widowControl w:val="0"/>
        <w:kinsoku/>
        <w:wordWrap/>
        <w:overflowPunct/>
        <w:topLinePunct w:val="0"/>
        <w:autoSpaceDE w:val="0"/>
        <w:autoSpaceDN w:val="0"/>
        <w:bidi w:val="0"/>
        <w:adjustRightInd w:val="0"/>
        <w:snapToGrid/>
        <w:spacing w:line="240" w:lineRule="exact"/>
        <w:ind w:firstLine="480" w:firstLineChars="200"/>
        <w:textAlignment w:val="auto"/>
        <w:rPr>
          <w:kern w:val="0"/>
          <w:sz w:val="24"/>
        </w:rPr>
      </w:pPr>
    </w:p>
    <w:p w14:paraId="4DFA53DA">
      <w:pPr>
        <w:keepNext w:val="0"/>
        <w:keepLines w:val="0"/>
        <w:pageBreakBefore w:val="0"/>
        <w:widowControl w:val="0"/>
        <w:kinsoku/>
        <w:wordWrap/>
        <w:overflowPunct/>
        <w:topLinePunct w:val="0"/>
        <w:autoSpaceDE w:val="0"/>
        <w:autoSpaceDN w:val="0"/>
        <w:bidi w:val="0"/>
        <w:adjustRightInd w:val="0"/>
        <w:snapToGrid/>
        <w:spacing w:line="460" w:lineRule="exact"/>
        <w:ind w:firstLine="544" w:firstLineChars="200"/>
        <w:textAlignment w:val="auto"/>
        <w:rPr>
          <w:rFonts w:hint="default" w:ascii="Arial" w:hAnsi="Times New Roman" w:eastAsia="宋体" w:cs="Arial"/>
          <w:spacing w:val="6"/>
          <w:sz w:val="26"/>
          <w:szCs w:val="26"/>
          <w:lang w:val="en-US" w:eastAsia="zh-CN"/>
        </w:rPr>
      </w:pPr>
      <w:r>
        <w:rPr>
          <w:rFonts w:hint="eastAsia" w:ascii="Arial" w:hAnsi="Times New Roman" w:eastAsia="宋体" w:cs="Arial"/>
          <w:spacing w:val="6"/>
          <w:sz w:val="26"/>
          <w:szCs w:val="26"/>
          <w:lang w:eastAsia="zh-CN"/>
        </w:rPr>
        <w:t>经计算，海螺沟水库坝址处近</w:t>
      </w:r>
      <w:r>
        <w:rPr>
          <w:rFonts w:hint="eastAsia" w:ascii="Arial" w:hAnsi="Times New Roman" w:eastAsia="宋体" w:cs="Arial"/>
          <w:spacing w:val="6"/>
          <w:sz w:val="26"/>
          <w:szCs w:val="26"/>
          <w:lang w:val="en-US" w:eastAsia="zh-CN"/>
        </w:rPr>
        <w:t>10年最枯月平均径流量为0.004</w:t>
      </w:r>
      <w:r>
        <w:rPr>
          <w:rFonts w:hint="eastAsia" w:ascii="Arial" w:hAnsi="Arial" w:eastAsia="宋体" w:cs="Arial"/>
          <w:bCs/>
          <w:sz w:val="26"/>
          <w:szCs w:val="26"/>
          <w:lang w:val="en-US" w:eastAsia="zh-CN"/>
        </w:rPr>
        <w:t>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/s。则按照近十年最枯月平均法计算，海螺沟水库坝址处下泄生态流量不应小于0.004m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w:t>
      </w:r>
    </w:p>
    <w:p w14:paraId="3CBEFA9C">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（3）生态流量的确定</w:t>
      </w:r>
    </w:p>
    <w:p w14:paraId="0FEF961C">
      <w:pPr>
        <w:keepNext w:val="0"/>
        <w:keepLines w:val="0"/>
        <w:pageBreakBefore w:val="0"/>
        <w:widowControl w:val="0"/>
        <w:kinsoku/>
        <w:wordWrap/>
        <w:overflowPunct/>
        <w:topLinePunct w:val="0"/>
        <w:autoSpaceDE w:val="0"/>
        <w:autoSpaceDN w:val="0"/>
        <w:bidi w:val="0"/>
        <w:adjustRightInd w:val="0"/>
        <w:snapToGrid/>
        <w:spacing w:line="460" w:lineRule="exact"/>
        <w:ind w:firstLine="544" w:firstLineChars="200"/>
        <w:textAlignment w:val="auto"/>
        <w:rPr>
          <w:rFonts w:hint="eastAsia" w:ascii="Arial" w:hAnsi="Times New Roman" w:eastAsia="宋体" w:cs="Arial"/>
          <w:spacing w:val="6"/>
          <w:sz w:val="26"/>
          <w:szCs w:val="26"/>
          <w:lang w:eastAsia="zh-CN"/>
        </w:rPr>
      </w:pPr>
      <w:r>
        <w:rPr>
          <w:rFonts w:hint="eastAsia" w:ascii="Arial" w:hAnsi="Times New Roman" w:eastAsia="宋体" w:cs="Arial"/>
          <w:spacing w:val="6"/>
          <w:sz w:val="26"/>
          <w:szCs w:val="26"/>
          <w:lang w:eastAsia="zh-CN"/>
        </w:rPr>
        <w:t>根据Tennant法、90%保证率法、近十年最枯月流量法计算，海螺沟水库最小生态基流分别为</w:t>
      </w:r>
      <w:r>
        <w:rPr>
          <w:rFonts w:hint="eastAsia" w:ascii="Arial" w:hAnsi="Times New Roman" w:eastAsia="宋体" w:cs="Arial"/>
          <w:spacing w:val="6"/>
          <w:sz w:val="26"/>
          <w:szCs w:val="26"/>
          <w:lang w:val="en-US" w:eastAsia="zh-CN"/>
        </w:rPr>
        <w:t>0.0033</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val="en-US" w:eastAsia="zh-CN"/>
        </w:rPr>
        <w:t>3</w:t>
      </w:r>
      <w:r>
        <w:rPr>
          <w:rFonts w:hint="eastAsia" w:ascii="Arial" w:hAnsi="Times New Roman" w:eastAsia="宋体" w:cs="Arial"/>
          <w:spacing w:val="6"/>
          <w:sz w:val="26"/>
          <w:szCs w:val="26"/>
          <w:lang w:eastAsia="zh-CN"/>
        </w:rPr>
        <w:t>/s、</w:t>
      </w:r>
      <w:r>
        <w:rPr>
          <w:rFonts w:hint="eastAsia" w:ascii="Arial" w:hAnsi="Times New Roman" w:eastAsia="宋体" w:cs="Arial"/>
          <w:spacing w:val="6"/>
          <w:sz w:val="26"/>
          <w:szCs w:val="26"/>
          <w:lang w:val="en-US" w:eastAsia="zh-CN"/>
        </w:rPr>
        <w:t>0.0043</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val="en-US" w:eastAsia="zh-CN"/>
        </w:rPr>
        <w:t>3</w:t>
      </w:r>
      <w:r>
        <w:rPr>
          <w:rFonts w:hint="eastAsia" w:ascii="Arial" w:hAnsi="Times New Roman" w:eastAsia="宋体" w:cs="Arial"/>
          <w:spacing w:val="6"/>
          <w:sz w:val="26"/>
          <w:szCs w:val="26"/>
          <w:lang w:eastAsia="zh-CN"/>
        </w:rPr>
        <w:t>/s、0.0</w:t>
      </w:r>
      <w:r>
        <w:rPr>
          <w:rFonts w:hint="eastAsia" w:ascii="Arial" w:hAnsi="Times New Roman" w:eastAsia="宋体" w:cs="Arial"/>
          <w:spacing w:val="6"/>
          <w:sz w:val="26"/>
          <w:szCs w:val="26"/>
          <w:lang w:val="en-US" w:eastAsia="zh-CN"/>
        </w:rPr>
        <w:t>04</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val="en-US" w:eastAsia="zh-CN"/>
        </w:rPr>
        <w:t>3</w:t>
      </w:r>
      <w:r>
        <w:rPr>
          <w:rFonts w:hint="eastAsia" w:ascii="Arial" w:hAnsi="Times New Roman" w:eastAsia="宋体" w:cs="Arial"/>
          <w:spacing w:val="6"/>
          <w:sz w:val="26"/>
          <w:szCs w:val="26"/>
          <w:lang w:eastAsia="zh-CN"/>
        </w:rPr>
        <w:t>/s，本次评价取最大值，即</w:t>
      </w:r>
      <w:r>
        <w:rPr>
          <w:rFonts w:hint="eastAsia" w:ascii="Arial" w:hAnsi="Times New Roman" w:eastAsia="宋体" w:cs="Arial"/>
          <w:spacing w:val="6"/>
          <w:sz w:val="26"/>
          <w:szCs w:val="26"/>
          <w:lang w:val="en-US" w:eastAsia="zh-CN"/>
        </w:rPr>
        <w:t>0.0043</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val="en-US" w:eastAsia="zh-CN"/>
        </w:rPr>
        <w:t>3</w:t>
      </w:r>
      <w:r>
        <w:rPr>
          <w:rFonts w:hint="eastAsia" w:ascii="Arial" w:hAnsi="Times New Roman" w:eastAsia="宋体" w:cs="Arial"/>
          <w:spacing w:val="6"/>
          <w:sz w:val="26"/>
          <w:szCs w:val="26"/>
          <w:lang w:eastAsia="zh-CN"/>
        </w:rPr>
        <w:t>/s。</w:t>
      </w:r>
    </w:p>
    <w:p w14:paraId="25DBEA89">
      <w:pPr>
        <w:keepNext w:val="0"/>
        <w:keepLines w:val="0"/>
        <w:pageBreakBefore w:val="0"/>
        <w:widowControl w:val="0"/>
        <w:kinsoku/>
        <w:wordWrap/>
        <w:overflowPunct/>
        <w:topLinePunct w:val="0"/>
        <w:autoSpaceDE w:val="0"/>
        <w:autoSpaceDN w:val="0"/>
        <w:bidi w:val="0"/>
        <w:adjustRightInd w:val="0"/>
        <w:snapToGrid/>
        <w:spacing w:line="460" w:lineRule="exact"/>
        <w:ind w:firstLine="544" w:firstLineChars="200"/>
        <w:textAlignment w:val="auto"/>
        <w:rPr>
          <w:rFonts w:hint="eastAsia" w:ascii="Arial" w:hAnsi="Times New Roman" w:eastAsia="宋体" w:cs="Arial"/>
          <w:spacing w:val="6"/>
          <w:sz w:val="26"/>
          <w:szCs w:val="26"/>
          <w:lang w:eastAsia="zh-CN"/>
        </w:rPr>
      </w:pPr>
      <w:r>
        <w:rPr>
          <w:rFonts w:hint="eastAsia" w:ascii="Arial" w:hAnsi="Times New Roman" w:eastAsia="宋体" w:cs="Arial"/>
          <w:spacing w:val="6"/>
          <w:sz w:val="26"/>
          <w:szCs w:val="26"/>
          <w:lang w:eastAsia="zh-CN"/>
        </w:rPr>
        <w:t>《重庆市渠溪河流域综合规划环境影响报告书》（报批版）指出，根据《长江经济带生态环境保护规划》（环规财</w:t>
      </w:r>
      <w:r>
        <w:rPr>
          <w:rFonts w:hint="eastAsia" w:ascii="宋体" w:hAnsi="宋体" w:eastAsia="宋体" w:cs="宋体"/>
          <w:spacing w:val="6"/>
          <w:sz w:val="26"/>
          <w:szCs w:val="26"/>
          <w:lang w:eastAsia="zh-CN"/>
        </w:rPr>
        <w:t>〔</w:t>
      </w:r>
      <w:r>
        <w:rPr>
          <w:rFonts w:hint="eastAsia" w:ascii="Arial" w:hAnsi="Times New Roman" w:eastAsia="宋体" w:cs="Arial"/>
          <w:spacing w:val="6"/>
          <w:sz w:val="26"/>
          <w:szCs w:val="26"/>
          <w:lang w:eastAsia="zh-CN"/>
        </w:rPr>
        <w:t>2017</w:t>
      </w:r>
      <w:r>
        <w:rPr>
          <w:rFonts w:hint="eastAsia" w:ascii="宋体" w:hAnsi="宋体" w:eastAsia="宋体" w:cs="宋体"/>
          <w:spacing w:val="6"/>
          <w:sz w:val="26"/>
          <w:szCs w:val="26"/>
          <w:lang w:eastAsia="zh-CN"/>
        </w:rPr>
        <w:t>〕</w:t>
      </w:r>
      <w:r>
        <w:rPr>
          <w:rFonts w:hint="eastAsia" w:ascii="Arial" w:hAnsi="Times New Roman" w:eastAsia="宋体" w:cs="Arial"/>
          <w:spacing w:val="6"/>
          <w:sz w:val="26"/>
          <w:szCs w:val="26"/>
          <w:lang w:eastAsia="zh-CN"/>
        </w:rPr>
        <w:t>88号），保障长江干支流58个主要控制节点生态基流占多年平均流量比例在15%左右，其中干流在20%以上。海螺沟水库所在海螺沟为渠溪河左岸三级支流，不属于长江的主要支流，为保障下游生态流量，提出海螺沟水库下泄生态流量按坝址处多年平均流量15%执行，为</w:t>
      </w:r>
      <w:r>
        <w:rPr>
          <w:rFonts w:hint="eastAsia" w:ascii="Arial" w:hAnsi="Times New Roman" w:eastAsia="宋体" w:cs="Arial"/>
          <w:spacing w:val="6"/>
          <w:sz w:val="26"/>
          <w:szCs w:val="26"/>
          <w:lang w:val="en-US" w:eastAsia="zh-CN"/>
        </w:rPr>
        <w:t>0.005</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eastAsia="zh-CN"/>
        </w:rPr>
        <w:t>3</w:t>
      </w:r>
      <w:r>
        <w:rPr>
          <w:rFonts w:hint="eastAsia" w:ascii="Arial" w:hAnsi="Times New Roman" w:eastAsia="宋体" w:cs="Arial"/>
          <w:spacing w:val="6"/>
          <w:sz w:val="26"/>
          <w:szCs w:val="26"/>
          <w:lang w:eastAsia="zh-CN"/>
        </w:rPr>
        <w:t>/s。</w:t>
      </w:r>
    </w:p>
    <w:p w14:paraId="65130A8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Arial" w:hAnsi="Times New Roman" w:eastAsia="宋体" w:cs="Arial"/>
          <w:spacing w:val="6"/>
          <w:sz w:val="26"/>
          <w:szCs w:val="26"/>
          <w:lang w:eastAsia="zh-CN"/>
        </w:rPr>
      </w:pPr>
      <w:r>
        <w:rPr>
          <w:rFonts w:hint="eastAsia"/>
          <w:kern w:val="0"/>
          <w:sz w:val="26"/>
          <w:szCs w:val="26"/>
          <w:lang w:eastAsia="zh-CN"/>
        </w:rPr>
        <w:t>综上所述，海螺沟水库运营期下泄生态流量为</w:t>
      </w:r>
      <w:r>
        <w:rPr>
          <w:rFonts w:hint="eastAsia" w:ascii="Arial" w:hAnsi="Times New Roman" w:eastAsia="宋体" w:cs="Arial"/>
          <w:spacing w:val="6"/>
          <w:sz w:val="26"/>
          <w:szCs w:val="26"/>
          <w:lang w:val="en-US" w:eastAsia="zh-CN"/>
        </w:rPr>
        <w:t>0.005</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eastAsia="zh-CN"/>
        </w:rPr>
        <w:t>3</w:t>
      </w:r>
      <w:r>
        <w:rPr>
          <w:rFonts w:hint="eastAsia" w:ascii="Arial" w:hAnsi="Times New Roman" w:eastAsia="宋体" w:cs="Arial"/>
          <w:spacing w:val="6"/>
          <w:sz w:val="26"/>
          <w:szCs w:val="26"/>
          <w:lang w:eastAsia="zh-CN"/>
        </w:rPr>
        <w:t>/s。</w:t>
      </w:r>
    </w:p>
    <w:p w14:paraId="70A9B21D">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（4）生态流量泄放措施</w:t>
      </w:r>
    </w:p>
    <w:p w14:paraId="3D19652C">
      <w:pPr>
        <w:autoSpaceDE w:val="0"/>
        <w:autoSpaceDN w:val="0"/>
        <w:adjustRightInd w:val="0"/>
        <w:spacing w:line="500" w:lineRule="exact"/>
        <w:ind w:firstLine="520" w:firstLineChars="200"/>
        <w:rPr>
          <w:rFonts w:hint="eastAsia" w:ascii="Arial" w:hAnsi="Times New Roman" w:eastAsia="宋体" w:cs="Arial"/>
          <w:sz w:val="26"/>
          <w:szCs w:val="26"/>
          <w:lang w:eastAsia="zh-CN"/>
        </w:rPr>
      </w:pPr>
      <w:r>
        <w:rPr>
          <w:rFonts w:hint="eastAsia" w:ascii="Arial" w:hAnsi="Times New Roman" w:eastAsia="宋体" w:cs="Arial"/>
          <w:sz w:val="26"/>
          <w:szCs w:val="26"/>
          <w:lang w:eastAsia="zh-CN"/>
        </w:rPr>
        <w:t>根据项目初设报告，本项目放水设施兼有下放生态流量的功能，水库利用</w:t>
      </w:r>
      <w:r>
        <w:rPr>
          <w:rFonts w:hint="eastAsia" w:ascii="Arial" w:hAnsi="Times New Roman" w:eastAsia="宋体" w:cs="Arial"/>
          <w:sz w:val="26"/>
          <w:szCs w:val="26"/>
          <w:lang w:val="en-US" w:eastAsia="zh-CN"/>
        </w:rPr>
        <w:t>5层取水管取水后，</w:t>
      </w:r>
      <w:r>
        <w:rPr>
          <w:rFonts w:hint="default" w:ascii="Arial" w:hAnsi="Times New Roman" w:eastAsia="宋体" w:cs="Arial"/>
          <w:sz w:val="26"/>
          <w:szCs w:val="26"/>
          <w:lang w:eastAsia="zh-CN"/>
        </w:rPr>
        <w:t>汇合成一根引水管，引水管沿大坝下游坝坡左侧坝脚布置，</w:t>
      </w:r>
      <w:r>
        <w:rPr>
          <w:rFonts w:hint="eastAsia" w:ascii="Arial" w:hAnsi="Times New Roman" w:eastAsia="宋体" w:cs="Arial"/>
          <w:sz w:val="26"/>
          <w:szCs w:val="26"/>
          <w:lang w:eastAsia="zh-CN"/>
        </w:rPr>
        <w:t>引入闸阀房内，充分混合后，根据用水性质分类，室内分设3根管道，其中一根为DN</w:t>
      </w:r>
      <w:r>
        <w:rPr>
          <w:rFonts w:hint="eastAsia" w:ascii="Arial" w:hAnsi="Times New Roman" w:eastAsia="宋体" w:cs="Arial"/>
          <w:sz w:val="26"/>
          <w:szCs w:val="26"/>
          <w:lang w:val="en-US" w:eastAsia="zh-CN"/>
        </w:rPr>
        <w:t>1</w:t>
      </w:r>
      <w:r>
        <w:rPr>
          <w:rFonts w:hint="eastAsia" w:ascii="Arial" w:hAnsi="Times New Roman" w:eastAsia="宋体" w:cs="Arial"/>
          <w:sz w:val="26"/>
          <w:szCs w:val="26"/>
          <w:lang w:eastAsia="zh-CN"/>
        </w:rPr>
        <w:t>00生态放水管。</w:t>
      </w:r>
    </w:p>
    <w:p w14:paraId="76C3AA48">
      <w:pPr>
        <w:autoSpaceDE w:val="0"/>
        <w:autoSpaceDN w:val="0"/>
        <w:adjustRightInd w:val="0"/>
        <w:spacing w:line="500" w:lineRule="exact"/>
        <w:ind w:firstLine="520" w:firstLineChars="200"/>
        <w:rPr>
          <w:rFonts w:hint="eastAsia" w:ascii="Arial" w:hAnsi="Times New Roman" w:eastAsia="宋体" w:cs="Arial"/>
          <w:sz w:val="26"/>
          <w:szCs w:val="26"/>
          <w:lang w:eastAsia="zh-CN"/>
        </w:rPr>
      </w:pPr>
      <w:r>
        <w:rPr>
          <w:rFonts w:hint="eastAsia" w:ascii="Arial" w:hAnsi="Times New Roman" w:eastAsia="宋体" w:cs="Arial"/>
          <w:sz w:val="26"/>
          <w:szCs w:val="26"/>
          <w:lang w:eastAsia="zh-CN"/>
        </w:rPr>
        <w:t>为了保证下游河道生态用水量，生态放水管的控制阀应常年开启，同时在下泄流量措施处设置一套监控设施，确保生态流量不小于0.00</w:t>
      </w:r>
      <w:r>
        <w:rPr>
          <w:rFonts w:hint="eastAsia" w:ascii="Arial" w:hAnsi="Times New Roman" w:eastAsia="宋体" w:cs="Arial"/>
          <w:sz w:val="26"/>
          <w:szCs w:val="26"/>
          <w:lang w:val="en-US" w:eastAsia="zh-CN"/>
        </w:rPr>
        <w:t>5</w:t>
      </w:r>
      <w:r>
        <w:rPr>
          <w:rFonts w:hint="eastAsia" w:ascii="Arial" w:hAnsi="Times New Roman" w:eastAsia="宋体" w:cs="Arial"/>
          <w:sz w:val="26"/>
          <w:szCs w:val="26"/>
          <w:lang w:eastAsia="zh-CN"/>
        </w:rPr>
        <w:t>m</w:t>
      </w:r>
      <w:r>
        <w:rPr>
          <w:rFonts w:hint="eastAsia" w:ascii="Arial" w:hAnsi="Times New Roman" w:eastAsia="宋体" w:cs="Arial"/>
          <w:sz w:val="26"/>
          <w:szCs w:val="26"/>
          <w:vertAlign w:val="superscript"/>
          <w:lang w:eastAsia="zh-CN"/>
        </w:rPr>
        <w:t>3</w:t>
      </w:r>
      <w:r>
        <w:rPr>
          <w:rFonts w:hint="eastAsia" w:ascii="Arial" w:hAnsi="Times New Roman" w:eastAsia="宋体" w:cs="Arial"/>
          <w:sz w:val="26"/>
          <w:szCs w:val="26"/>
          <w:lang w:eastAsia="zh-CN"/>
        </w:rPr>
        <w:t>/s。生态流量下泄监控设备预留数据传输接口，以便生态流量监控网络建成后接入系统，供生态环境主管部门实时监控、监督和检查。</w:t>
      </w:r>
    </w:p>
    <w:p w14:paraId="5056377A">
      <w:pPr>
        <w:spacing w:line="460" w:lineRule="exact"/>
        <w:ind w:firstLine="522" w:firstLineChars="200"/>
        <w:rPr>
          <w:rFonts w:hint="eastAsia" w:ascii="Arial" w:hAnsi="宋体" w:cs="Arial"/>
          <w:sz w:val="26"/>
          <w:szCs w:val="26"/>
        </w:rPr>
      </w:pPr>
      <w:r>
        <w:rPr>
          <w:rFonts w:hint="eastAsia" w:ascii="Arial" w:hAnsi="Arial" w:eastAsia="宋体" w:cs="Arial"/>
          <w:b/>
          <w:bCs/>
          <w:color w:val="000000"/>
          <w:sz w:val="26"/>
          <w:szCs w:val="26"/>
          <w:lang w:val="en-US" w:eastAsia="zh-CN"/>
        </w:rPr>
        <w:t>6.5.</w:t>
      </w:r>
      <w:r>
        <w:rPr>
          <w:rFonts w:hint="eastAsia" w:ascii="Arial" w:hAnsi="Arial" w:cs="Arial"/>
          <w:b/>
          <w:bCs/>
          <w:color w:val="000000"/>
          <w:sz w:val="26"/>
          <w:szCs w:val="26"/>
          <w:lang w:val="en-US" w:eastAsia="zh-CN"/>
        </w:rPr>
        <w:t>4</w:t>
      </w:r>
      <w:r>
        <w:rPr>
          <w:rFonts w:hint="eastAsia" w:ascii="Arial" w:hAnsi="Arial" w:eastAsia="宋体" w:cs="Arial"/>
          <w:b/>
          <w:bCs/>
          <w:color w:val="000000"/>
          <w:sz w:val="26"/>
          <w:szCs w:val="26"/>
          <w:lang w:val="en-US" w:eastAsia="zh-CN"/>
        </w:rPr>
        <w:t>对</w:t>
      </w:r>
      <w:r>
        <w:rPr>
          <w:rFonts w:hint="eastAsia" w:ascii="Arial" w:hAnsi="Arial" w:cs="Arial"/>
          <w:b/>
          <w:bCs/>
          <w:color w:val="000000"/>
          <w:sz w:val="26"/>
          <w:szCs w:val="26"/>
          <w:lang w:val="en-US" w:eastAsia="zh-CN"/>
        </w:rPr>
        <w:t>水温</w:t>
      </w:r>
      <w:r>
        <w:rPr>
          <w:rFonts w:hint="eastAsia" w:ascii="Arial" w:hAnsi="Arial" w:eastAsia="宋体" w:cs="Arial"/>
          <w:b/>
          <w:bCs/>
          <w:color w:val="000000"/>
          <w:sz w:val="26"/>
          <w:szCs w:val="26"/>
          <w:lang w:val="en-US" w:eastAsia="zh-CN"/>
        </w:rPr>
        <w:t>的影响</w:t>
      </w:r>
    </w:p>
    <w:p w14:paraId="46ACBE97">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1</w:t>
      </w:r>
      <w:r>
        <w:rPr>
          <w:rFonts w:hint="eastAsia" w:ascii="Arial" w:hAnsi="宋体" w:cs="Arial"/>
          <w:b/>
          <w:sz w:val="26"/>
          <w:szCs w:val="26"/>
        </w:rPr>
        <w:t>）</w:t>
      </w:r>
      <w:r>
        <w:rPr>
          <w:rFonts w:hint="eastAsia" w:ascii="Arial" w:hAnsi="宋体" w:cs="Arial"/>
          <w:b/>
          <w:sz w:val="26"/>
          <w:szCs w:val="26"/>
          <w:lang w:eastAsia="zh-CN"/>
        </w:rPr>
        <w:t>水库水温分布类型判别</w:t>
      </w:r>
    </w:p>
    <w:p w14:paraId="24D4CD9E">
      <w:pPr>
        <w:spacing w:line="460" w:lineRule="exact"/>
        <w:ind w:firstLine="520" w:firstLineChars="200"/>
        <w:rPr>
          <w:rFonts w:ascii="Arial" w:hAnsi="Arial" w:cs="Arial"/>
          <w:sz w:val="26"/>
          <w:szCs w:val="26"/>
        </w:rPr>
      </w:pPr>
      <w:r>
        <w:rPr>
          <w:rFonts w:ascii="Arial" w:cs="Arial"/>
          <w:sz w:val="26"/>
          <w:szCs w:val="26"/>
        </w:rPr>
        <w:t>项目建成蓄水后，坝前水体温度将会发生改变，影响水库水温发生变化的因素除水文、气候变化，水体内部热能交换，还与水库特性和水库运行调度有关。</w:t>
      </w:r>
    </w:p>
    <w:p w14:paraId="29A1DC1F">
      <w:pPr>
        <w:spacing w:line="460" w:lineRule="exact"/>
        <w:ind w:firstLine="520" w:firstLineChars="200"/>
        <w:rPr>
          <w:rFonts w:ascii="Arial" w:hAnsi="Arial" w:cs="Arial"/>
          <w:sz w:val="26"/>
          <w:szCs w:val="26"/>
        </w:rPr>
      </w:pPr>
      <w:r>
        <w:rPr>
          <w:rFonts w:ascii="Arial" w:cs="Arial"/>
          <w:sz w:val="26"/>
          <w:szCs w:val="26"/>
        </w:rPr>
        <w:t>水库水体温度受上述诸多因素制约，按其垂直结构形式分为分层型、混合型、过渡型。一般较完整的水库分层判别方法是通过水库流态的数值分析法来进行预测，但由于有关水库水温影响因素实测资料较少，直接对水库流态进行数值分析较困难，故采用《水利水电工程水文计算规范》（</w:t>
      </w:r>
      <w:r>
        <w:rPr>
          <w:rFonts w:ascii="Arial" w:hAnsi="Arial" w:cs="Arial"/>
          <w:sz w:val="26"/>
          <w:szCs w:val="26"/>
        </w:rPr>
        <w:t>SL278-2002</w:t>
      </w:r>
      <w:r>
        <w:rPr>
          <w:rFonts w:ascii="Arial" w:cs="Arial"/>
          <w:sz w:val="26"/>
          <w:szCs w:val="26"/>
        </w:rPr>
        <w:t>）中推荐的判别公式对水库水温结构进行判别：</w:t>
      </w:r>
    </w:p>
    <w:p w14:paraId="4F6381B1">
      <w:pPr>
        <w:spacing w:line="460" w:lineRule="exact"/>
        <w:jc w:val="center"/>
        <w:rPr>
          <w:rFonts w:ascii="Arial" w:hAnsi="Arial" w:cs="Arial"/>
          <w:sz w:val="26"/>
          <w:szCs w:val="26"/>
        </w:rPr>
      </w:pPr>
      <w:r>
        <w:rPr>
          <w:rFonts w:ascii="Arial" w:hAnsi="Arial" w:cs="Arial"/>
          <w:sz w:val="26"/>
          <w:szCs w:val="26"/>
        </w:rPr>
        <w:t>α=W</w:t>
      </w:r>
      <w:r>
        <w:rPr>
          <w:rFonts w:ascii="Arial" w:hAnsi="Arial" w:cs="Arial"/>
          <w:sz w:val="26"/>
          <w:szCs w:val="26"/>
          <w:vertAlign w:val="subscript"/>
        </w:rPr>
        <w:t>年</w:t>
      </w:r>
      <w:r>
        <w:rPr>
          <w:rFonts w:ascii="Arial" w:hAnsi="Arial" w:cs="Arial"/>
          <w:sz w:val="26"/>
          <w:szCs w:val="26"/>
        </w:rPr>
        <w:t>/V</w:t>
      </w:r>
      <w:r>
        <w:rPr>
          <w:rFonts w:ascii="Arial" w:hAnsi="Arial" w:cs="Arial"/>
          <w:sz w:val="26"/>
          <w:szCs w:val="26"/>
          <w:vertAlign w:val="subscript"/>
        </w:rPr>
        <w:t>总</w:t>
      </w:r>
      <w:r>
        <w:rPr>
          <w:rFonts w:ascii="Arial" w:hAnsi="Arial" w:cs="Arial"/>
          <w:sz w:val="26"/>
          <w:szCs w:val="26"/>
        </w:rPr>
        <w:t>；    β=W</w:t>
      </w:r>
      <w:r>
        <w:rPr>
          <w:rFonts w:ascii="Arial" w:hAnsi="Arial" w:cs="Arial"/>
          <w:sz w:val="26"/>
          <w:szCs w:val="26"/>
          <w:vertAlign w:val="subscript"/>
        </w:rPr>
        <w:t>洪</w:t>
      </w:r>
      <w:r>
        <w:rPr>
          <w:rFonts w:ascii="Arial" w:hAnsi="Arial" w:cs="Arial"/>
          <w:sz w:val="26"/>
          <w:szCs w:val="26"/>
        </w:rPr>
        <w:t>/V</w:t>
      </w:r>
      <w:r>
        <w:rPr>
          <w:rFonts w:ascii="Arial" w:hAnsi="Arial" w:cs="Arial"/>
          <w:sz w:val="26"/>
          <w:szCs w:val="26"/>
          <w:vertAlign w:val="subscript"/>
        </w:rPr>
        <w:t>总</w:t>
      </w:r>
    </w:p>
    <w:p w14:paraId="03A4DB43">
      <w:pPr>
        <w:spacing w:line="460" w:lineRule="exact"/>
        <w:ind w:firstLine="520" w:firstLineChars="200"/>
        <w:rPr>
          <w:rFonts w:ascii="Arial" w:hAnsi="Arial" w:cs="Arial"/>
          <w:sz w:val="26"/>
          <w:szCs w:val="26"/>
        </w:rPr>
      </w:pPr>
      <w:r>
        <w:rPr>
          <w:rFonts w:ascii="Arial" w:hAnsi="Arial" w:cs="Arial"/>
          <w:sz w:val="26"/>
          <w:szCs w:val="26"/>
        </w:rPr>
        <w:t>其中：</w:t>
      </w:r>
    </w:p>
    <w:p w14:paraId="07B2AA2E">
      <w:pPr>
        <w:spacing w:line="460" w:lineRule="exact"/>
        <w:ind w:firstLine="1300" w:firstLineChars="500"/>
        <w:rPr>
          <w:rFonts w:ascii="Arial" w:hAnsi="Arial" w:cs="Arial"/>
          <w:sz w:val="26"/>
          <w:szCs w:val="26"/>
        </w:rPr>
      </w:pPr>
      <w:r>
        <w:rPr>
          <w:rFonts w:ascii="Arial" w:hAnsi="Arial" w:cs="Arial"/>
          <w:sz w:val="26"/>
          <w:szCs w:val="26"/>
        </w:rPr>
        <w:t>W</w:t>
      </w:r>
      <w:r>
        <w:rPr>
          <w:rFonts w:ascii="Arial" w:hAnsi="Arial" w:cs="Arial"/>
          <w:sz w:val="26"/>
          <w:szCs w:val="26"/>
          <w:vertAlign w:val="subscript"/>
        </w:rPr>
        <w:t>年</w:t>
      </w:r>
      <w:r>
        <w:rPr>
          <w:rFonts w:ascii="Arial" w:hAnsi="Arial" w:cs="Arial"/>
          <w:sz w:val="26"/>
          <w:szCs w:val="26"/>
        </w:rPr>
        <w:t>——年总入流量，10</w:t>
      </w:r>
      <w:r>
        <w:rPr>
          <w:rFonts w:ascii="Arial" w:hAnsi="Arial" w:cs="Arial"/>
          <w:sz w:val="26"/>
          <w:szCs w:val="26"/>
          <w:vertAlign w:val="superscript"/>
        </w:rPr>
        <w:t>6</w:t>
      </w:r>
      <w:r>
        <w:rPr>
          <w:rFonts w:ascii="Arial" w:hAnsi="Arial" w:cs="Arial"/>
          <w:sz w:val="26"/>
          <w:szCs w:val="26"/>
        </w:rPr>
        <w:t>m</w:t>
      </w:r>
      <w:r>
        <w:rPr>
          <w:rFonts w:ascii="Arial" w:hAnsi="Arial" w:cs="Arial"/>
          <w:sz w:val="26"/>
          <w:szCs w:val="26"/>
          <w:vertAlign w:val="superscript"/>
        </w:rPr>
        <w:t>3</w:t>
      </w:r>
    </w:p>
    <w:p w14:paraId="2092661A">
      <w:pPr>
        <w:spacing w:line="460" w:lineRule="exact"/>
        <w:ind w:firstLine="1300" w:firstLineChars="500"/>
        <w:rPr>
          <w:rFonts w:ascii="Arial" w:hAnsi="Arial" w:cs="Arial"/>
          <w:sz w:val="26"/>
          <w:szCs w:val="26"/>
        </w:rPr>
      </w:pPr>
      <w:r>
        <w:rPr>
          <w:rFonts w:ascii="Arial" w:hAnsi="Arial" w:cs="Arial"/>
          <w:sz w:val="26"/>
          <w:szCs w:val="26"/>
        </w:rPr>
        <w:t>V</w:t>
      </w:r>
      <w:r>
        <w:rPr>
          <w:rFonts w:ascii="Arial" w:hAnsi="Arial" w:cs="Arial"/>
          <w:sz w:val="26"/>
          <w:szCs w:val="26"/>
          <w:vertAlign w:val="subscript"/>
        </w:rPr>
        <w:t>总</w:t>
      </w:r>
      <w:r>
        <w:rPr>
          <w:rFonts w:ascii="Arial" w:hAnsi="Arial" w:cs="Arial"/>
          <w:sz w:val="26"/>
          <w:szCs w:val="26"/>
        </w:rPr>
        <w:t>——水库总库容，10</w:t>
      </w:r>
      <w:r>
        <w:rPr>
          <w:rFonts w:ascii="Arial" w:hAnsi="Arial" w:cs="Arial"/>
          <w:sz w:val="26"/>
          <w:szCs w:val="26"/>
          <w:vertAlign w:val="superscript"/>
        </w:rPr>
        <w:t>6</w:t>
      </w:r>
      <w:r>
        <w:rPr>
          <w:rFonts w:ascii="Arial" w:hAnsi="Arial" w:cs="Arial"/>
          <w:sz w:val="26"/>
          <w:szCs w:val="26"/>
        </w:rPr>
        <w:t>m</w:t>
      </w:r>
      <w:r>
        <w:rPr>
          <w:rFonts w:ascii="Arial" w:hAnsi="Arial" w:cs="Arial"/>
          <w:sz w:val="26"/>
          <w:szCs w:val="26"/>
          <w:vertAlign w:val="superscript"/>
        </w:rPr>
        <w:t>3</w:t>
      </w:r>
    </w:p>
    <w:p w14:paraId="2E14B0F8">
      <w:pPr>
        <w:spacing w:line="460" w:lineRule="exact"/>
        <w:ind w:firstLine="1300" w:firstLineChars="500"/>
        <w:rPr>
          <w:rFonts w:ascii="Arial" w:hAnsi="Arial" w:cs="Arial"/>
          <w:sz w:val="26"/>
          <w:szCs w:val="26"/>
          <w:vertAlign w:val="superscript"/>
        </w:rPr>
      </w:pPr>
      <w:r>
        <w:rPr>
          <w:rFonts w:ascii="Arial" w:hAnsi="Arial" w:cs="Arial"/>
          <w:sz w:val="26"/>
          <w:szCs w:val="26"/>
        </w:rPr>
        <w:t>W</w:t>
      </w:r>
      <w:r>
        <w:rPr>
          <w:rFonts w:ascii="Arial" w:hAnsi="Arial" w:cs="Arial"/>
          <w:sz w:val="26"/>
          <w:szCs w:val="26"/>
          <w:vertAlign w:val="subscript"/>
        </w:rPr>
        <w:t>洪</w:t>
      </w:r>
      <w:r>
        <w:rPr>
          <w:rFonts w:ascii="Arial" w:hAnsi="Arial" w:cs="Arial"/>
          <w:sz w:val="26"/>
          <w:szCs w:val="26"/>
        </w:rPr>
        <w:t>——一次洪水入库水量，10</w:t>
      </w:r>
      <w:r>
        <w:rPr>
          <w:rFonts w:ascii="Arial" w:hAnsi="Arial" w:cs="Arial"/>
          <w:sz w:val="26"/>
          <w:szCs w:val="26"/>
          <w:vertAlign w:val="superscript"/>
        </w:rPr>
        <w:t>6</w:t>
      </w:r>
      <w:r>
        <w:rPr>
          <w:rFonts w:ascii="Arial" w:hAnsi="Arial" w:cs="Arial"/>
          <w:sz w:val="26"/>
          <w:szCs w:val="26"/>
        </w:rPr>
        <w:t>m</w:t>
      </w:r>
      <w:r>
        <w:rPr>
          <w:rFonts w:ascii="Arial" w:hAnsi="Arial" w:cs="Arial"/>
          <w:sz w:val="26"/>
          <w:szCs w:val="26"/>
          <w:vertAlign w:val="superscript"/>
        </w:rPr>
        <w:t>3</w:t>
      </w:r>
    </w:p>
    <w:p w14:paraId="6B7D1EF6">
      <w:pPr>
        <w:spacing w:line="460" w:lineRule="exact"/>
        <w:ind w:firstLine="520" w:firstLineChars="200"/>
        <w:rPr>
          <w:rFonts w:ascii="Arial" w:hAnsi="Arial" w:cs="Arial"/>
          <w:sz w:val="26"/>
          <w:szCs w:val="26"/>
        </w:rPr>
      </w:pPr>
      <w:r>
        <w:rPr>
          <w:rFonts w:ascii="Arial" w:hAnsi="Arial" w:cs="Arial"/>
          <w:sz w:val="26"/>
          <w:szCs w:val="26"/>
        </w:rPr>
        <w:t>判别标准：</w:t>
      </w:r>
    </w:p>
    <w:p w14:paraId="20606ABD">
      <w:pPr>
        <w:spacing w:line="460" w:lineRule="exact"/>
        <w:ind w:firstLine="520" w:firstLineChars="200"/>
        <w:rPr>
          <w:rFonts w:ascii="Arial" w:hAnsi="Arial" w:cs="Arial"/>
          <w:sz w:val="26"/>
          <w:szCs w:val="26"/>
        </w:rPr>
      </w:pPr>
      <w:r>
        <w:rPr>
          <w:rFonts w:ascii="Arial" w:hAnsi="Arial" w:cs="Arial"/>
          <w:sz w:val="26"/>
          <w:szCs w:val="26"/>
        </w:rPr>
        <w:t>α＜10，水库水温为分层型，此时，若β＞1则为临时性的混合型，若β＜0.5，洪水对水温结构没有影响。</w:t>
      </w:r>
    </w:p>
    <w:p w14:paraId="36D75946">
      <w:pPr>
        <w:spacing w:line="460" w:lineRule="exact"/>
        <w:ind w:firstLine="520" w:firstLineChars="200"/>
        <w:rPr>
          <w:rFonts w:ascii="Arial" w:hAnsi="Arial" w:cs="Arial"/>
          <w:sz w:val="26"/>
          <w:szCs w:val="26"/>
        </w:rPr>
      </w:pPr>
      <w:r>
        <w:rPr>
          <w:rFonts w:ascii="Arial" w:hAnsi="Arial" w:cs="Arial"/>
          <w:sz w:val="26"/>
          <w:szCs w:val="26"/>
        </w:rPr>
        <w:t>α＞20，水库水温为混合型。</w:t>
      </w:r>
    </w:p>
    <w:p w14:paraId="0B4F4DAE">
      <w:pPr>
        <w:spacing w:line="460" w:lineRule="exact"/>
        <w:ind w:firstLine="520" w:firstLineChars="200"/>
        <w:rPr>
          <w:rFonts w:ascii="Arial" w:hAnsi="Arial" w:cs="Arial"/>
          <w:sz w:val="26"/>
          <w:szCs w:val="26"/>
        </w:rPr>
      </w:pPr>
      <w:r>
        <w:rPr>
          <w:rFonts w:ascii="Arial" w:hAnsi="Arial" w:cs="Arial"/>
          <w:sz w:val="26"/>
          <w:szCs w:val="26"/>
        </w:rPr>
        <w:t>10＜α＜20，水库水温随水库库容的不同可能为分层型也可能为混合型。</w:t>
      </w:r>
    </w:p>
    <w:p w14:paraId="6967A80F">
      <w:pPr>
        <w:spacing w:line="460" w:lineRule="exact"/>
        <w:ind w:firstLine="520" w:firstLineChars="200"/>
        <w:rPr>
          <w:rFonts w:hint="default" w:ascii="Arial" w:hAnsi="Arial" w:eastAsia="宋体" w:cs="Arial"/>
          <w:bCs/>
          <w:sz w:val="26"/>
          <w:szCs w:val="26"/>
          <w:lang w:val="en-US" w:eastAsia="zh-CN"/>
        </w:rPr>
      </w:pPr>
      <w:r>
        <w:rPr>
          <w:rFonts w:ascii="Arial" w:hAnsi="Arial" w:cs="Arial"/>
          <w:sz w:val="26"/>
          <w:szCs w:val="26"/>
        </w:rPr>
        <w:t>本工程多年平均入库径流量</w:t>
      </w:r>
      <w:r>
        <w:rPr>
          <w:rFonts w:hint="eastAsia" w:ascii="Arial" w:hAnsi="Arial" w:cs="Arial"/>
          <w:sz w:val="26"/>
          <w:szCs w:val="26"/>
          <w:lang w:val="en-US" w:eastAsia="zh-CN"/>
        </w:rPr>
        <w:t>105</w:t>
      </w:r>
      <w:r>
        <w:rPr>
          <w:rFonts w:ascii="Arial" w:hAnsi="Arial" w:cs="Arial"/>
          <w:sz w:val="26"/>
          <w:szCs w:val="26"/>
        </w:rPr>
        <w:t>万m</w:t>
      </w:r>
      <w:r>
        <w:rPr>
          <w:rFonts w:hint="eastAsia" w:ascii="Arial" w:hAnsi="Arial" w:cs="Arial"/>
          <w:sz w:val="26"/>
          <w:szCs w:val="26"/>
          <w:vertAlign w:val="superscript"/>
        </w:rPr>
        <w:t>3</w:t>
      </w:r>
      <w:r>
        <w:rPr>
          <w:rFonts w:ascii="Arial" w:hAnsi="Arial" w:cs="Arial"/>
          <w:sz w:val="26"/>
          <w:szCs w:val="26"/>
        </w:rPr>
        <w:t>，总库容</w:t>
      </w:r>
      <w:r>
        <w:rPr>
          <w:rFonts w:hint="eastAsia" w:ascii="Arial" w:hAnsi="Arial" w:cs="Arial"/>
          <w:sz w:val="26"/>
          <w:szCs w:val="26"/>
          <w:lang w:val="en-US" w:eastAsia="zh-CN"/>
        </w:rPr>
        <w:t>80.51</w:t>
      </w:r>
      <w:r>
        <w:rPr>
          <w:rFonts w:ascii="Arial" w:hAnsi="Arial" w:cs="Arial"/>
          <w:sz w:val="26"/>
          <w:szCs w:val="26"/>
        </w:rPr>
        <w:t>万m</w:t>
      </w:r>
      <w:r>
        <w:rPr>
          <w:rFonts w:hint="eastAsia" w:ascii="Arial" w:hAnsi="Arial" w:cs="Arial"/>
          <w:sz w:val="26"/>
          <w:szCs w:val="26"/>
          <w:vertAlign w:val="superscript"/>
        </w:rPr>
        <w:t>3</w:t>
      </w:r>
      <w:r>
        <w:rPr>
          <w:rFonts w:ascii="Arial" w:hAnsi="Arial" w:cs="Arial"/>
          <w:sz w:val="26"/>
          <w:szCs w:val="26"/>
        </w:rPr>
        <w:t>，α=</w:t>
      </w:r>
      <w:r>
        <w:rPr>
          <w:rFonts w:hint="eastAsia" w:ascii="Arial" w:hAnsi="Arial" w:cs="Arial"/>
          <w:sz w:val="26"/>
          <w:szCs w:val="26"/>
          <w:lang w:val="en-US" w:eastAsia="zh-CN"/>
        </w:rPr>
        <w:t>1.3</w:t>
      </w:r>
      <w:r>
        <w:rPr>
          <w:rFonts w:ascii="Arial" w:hAnsi="Arial" w:cs="Arial"/>
          <w:sz w:val="26"/>
          <w:szCs w:val="26"/>
        </w:rPr>
        <w:t>&lt;10，因此判定</w:t>
      </w:r>
      <w:r>
        <w:rPr>
          <w:rFonts w:hint="eastAsia" w:ascii="Arial" w:hAnsi="Arial" w:cs="Arial"/>
          <w:sz w:val="26"/>
          <w:szCs w:val="26"/>
          <w:lang w:eastAsia="zh-CN"/>
        </w:rPr>
        <w:t>海螺沟</w:t>
      </w:r>
      <w:r>
        <w:rPr>
          <w:rFonts w:ascii="Arial" w:hAnsi="Arial" w:cs="Arial"/>
          <w:sz w:val="26"/>
          <w:szCs w:val="26"/>
        </w:rPr>
        <w:t>水库水温的垂直结构为分层型。Β</w:t>
      </w:r>
      <w:r>
        <w:rPr>
          <w:rFonts w:hint="eastAsia" w:ascii="Arial" w:hAnsi="Arial" w:cs="Arial"/>
          <w:sz w:val="26"/>
          <w:szCs w:val="26"/>
          <w:lang w:val="en-US" w:eastAsia="zh-CN"/>
        </w:rPr>
        <w:t>=0.3，</w:t>
      </w:r>
      <w:r>
        <w:rPr>
          <w:rFonts w:ascii="Arial" w:hAnsi="Arial" w:cs="Arial"/>
          <w:sz w:val="26"/>
          <w:szCs w:val="26"/>
        </w:rPr>
        <w:t>洪水对水温结构没有影响。</w:t>
      </w:r>
    </w:p>
    <w:p w14:paraId="2A04E989">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2</w:t>
      </w:r>
      <w:r>
        <w:rPr>
          <w:rFonts w:hint="eastAsia" w:ascii="Arial" w:hAnsi="宋体" w:cs="Arial"/>
          <w:b/>
          <w:sz w:val="26"/>
          <w:szCs w:val="26"/>
        </w:rPr>
        <w:t>）</w:t>
      </w:r>
      <w:r>
        <w:rPr>
          <w:rFonts w:hint="eastAsia" w:ascii="Arial" w:hAnsi="宋体" w:cs="Arial"/>
          <w:b/>
          <w:sz w:val="26"/>
          <w:szCs w:val="26"/>
          <w:lang w:eastAsia="zh-CN"/>
        </w:rPr>
        <w:t>水库垂直水温分布预测</w:t>
      </w:r>
    </w:p>
    <w:p w14:paraId="1635C760">
      <w:pPr>
        <w:spacing w:line="460" w:lineRule="exact"/>
        <w:ind w:firstLine="522" w:firstLineChars="200"/>
        <w:rPr>
          <w:rFonts w:hint="eastAsia" w:ascii="Arial" w:hAnsi="Arial" w:eastAsia="宋体" w:cs="Arial"/>
          <w:b/>
          <w:bCs/>
          <w:color w:val="000000"/>
          <w:sz w:val="26"/>
          <w:szCs w:val="26"/>
          <w:lang w:val="en-US" w:eastAsia="zh-CN"/>
        </w:rPr>
      </w:pPr>
      <w:r>
        <w:rPr>
          <w:rFonts w:hint="default" w:ascii="Arial" w:hAnsi="Arial" w:eastAsia="宋体" w:cs="Arial"/>
          <w:b/>
          <w:bCs/>
          <w:color w:val="000000"/>
          <w:sz w:val="26"/>
          <w:szCs w:val="26"/>
          <w:lang w:val="en-US" w:eastAsia="zh-CN"/>
        </w:rPr>
        <w:t>①</w:t>
      </w:r>
      <w:r>
        <w:rPr>
          <w:rFonts w:hint="eastAsia" w:ascii="Arial" w:hAnsi="Arial" w:eastAsia="宋体" w:cs="Arial"/>
          <w:b/>
          <w:bCs/>
          <w:color w:val="000000"/>
          <w:sz w:val="26"/>
          <w:szCs w:val="26"/>
          <w:lang w:val="en-US" w:eastAsia="zh-CN"/>
        </w:rPr>
        <w:t>预测公式</w:t>
      </w:r>
    </w:p>
    <w:p w14:paraId="5AD51930">
      <w:pPr>
        <w:spacing w:line="460" w:lineRule="exact"/>
        <w:ind w:firstLine="520" w:firstLineChars="200"/>
        <w:rPr>
          <w:rFonts w:hint="default" w:ascii="Arial" w:hAnsi="Arial" w:eastAsia="宋体" w:cs="Arial"/>
          <w:bCs/>
          <w:sz w:val="26"/>
          <w:szCs w:val="26"/>
          <w:lang w:val="en-US" w:eastAsia="zh-CN"/>
        </w:rPr>
      </w:pPr>
      <w:r>
        <w:rPr>
          <w:rFonts w:hint="eastAsia" w:ascii="Arial" w:hAnsi="Arial" w:cs="Arial"/>
          <w:bCs/>
          <w:sz w:val="26"/>
          <w:szCs w:val="26"/>
          <w:lang w:eastAsia="zh-CN"/>
        </w:rPr>
        <w:t>根据《水电工程水温计算规范》（NB/T 35094-2017）附录</w:t>
      </w:r>
      <w:r>
        <w:rPr>
          <w:rFonts w:hint="eastAsia" w:ascii="Arial" w:hAnsi="Arial" w:cs="Arial"/>
          <w:bCs/>
          <w:sz w:val="26"/>
          <w:szCs w:val="26"/>
          <w:lang w:val="en-US" w:eastAsia="zh-CN"/>
        </w:rPr>
        <w:t>C，水库坝前垂直水温计算公式如下：</w:t>
      </w:r>
    </w:p>
    <w:p w14:paraId="05D651B4">
      <w:pPr>
        <w:adjustRightInd w:val="0"/>
        <w:snapToGrid w:val="0"/>
        <w:ind w:firstLine="520"/>
        <w:jc w:val="center"/>
        <w:rPr>
          <w:rFonts w:ascii="Arial" w:hAnsi="Arial" w:cs="Arial"/>
          <w:sz w:val="26"/>
          <w:szCs w:val="26"/>
        </w:rPr>
      </w:pPr>
      <w:r>
        <w:rPr>
          <w:rFonts w:ascii="Arial" w:hAnsi="Arial" w:cs="Arial"/>
          <w:position w:val="-14"/>
          <w:sz w:val="26"/>
          <w:szCs w:val="26"/>
        </w:rPr>
        <w:drawing>
          <wp:inline distT="0" distB="0" distL="114300" distR="114300">
            <wp:extent cx="1626235" cy="276225"/>
            <wp:effectExtent l="0" t="0" r="12065" b="762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3"/>
                    <a:stretch>
                      <a:fillRect/>
                    </a:stretch>
                  </pic:blipFill>
                  <pic:spPr>
                    <a:xfrm>
                      <a:off x="0" y="0"/>
                      <a:ext cx="1626235" cy="276225"/>
                    </a:xfrm>
                    <a:prstGeom prst="rect">
                      <a:avLst/>
                    </a:prstGeom>
                    <a:noFill/>
                    <a:ln>
                      <a:noFill/>
                    </a:ln>
                  </pic:spPr>
                </pic:pic>
              </a:graphicData>
            </a:graphic>
          </wp:inline>
        </w:drawing>
      </w:r>
      <w:r>
        <w:rPr>
          <w:rFonts w:ascii="Arial" w:hAnsi="Arial" w:cs="Arial"/>
          <w:sz w:val="26"/>
          <w:szCs w:val="26"/>
        </w:rPr>
        <w:t xml:space="preserve">             </w:t>
      </w:r>
    </w:p>
    <w:p w14:paraId="2FFF861E">
      <w:pPr>
        <w:adjustRightInd w:val="0"/>
        <w:snapToGrid w:val="0"/>
        <w:ind w:firstLine="480"/>
        <w:jc w:val="center"/>
        <w:rPr>
          <w:rFonts w:ascii="Arial" w:hAnsi="Arial" w:cs="Arial"/>
          <w:sz w:val="26"/>
          <w:szCs w:val="26"/>
        </w:rPr>
      </w:pPr>
      <w:r>
        <w:rPr>
          <w:rFonts w:ascii="Arial" w:hAnsi="Arial" w:cs="Arial"/>
          <w:position w:val="-24"/>
          <w:sz w:val="26"/>
          <w:szCs w:val="26"/>
        </w:rPr>
        <w:drawing>
          <wp:inline distT="0" distB="0" distL="114300" distR="114300">
            <wp:extent cx="842645" cy="414655"/>
            <wp:effectExtent l="0" t="0" r="0" b="381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34"/>
                    <a:stretch>
                      <a:fillRect/>
                    </a:stretch>
                  </pic:blipFill>
                  <pic:spPr>
                    <a:xfrm>
                      <a:off x="0" y="0"/>
                      <a:ext cx="842645" cy="414655"/>
                    </a:xfrm>
                    <a:prstGeom prst="rect">
                      <a:avLst/>
                    </a:prstGeom>
                    <a:noFill/>
                    <a:ln>
                      <a:noFill/>
                    </a:ln>
                  </pic:spPr>
                </pic:pic>
              </a:graphicData>
            </a:graphic>
          </wp:inline>
        </w:drawing>
      </w:r>
      <w:r>
        <w:rPr>
          <w:rFonts w:ascii="Arial" w:hAnsi="Arial" w:cs="Arial"/>
          <w:sz w:val="26"/>
          <w:szCs w:val="26"/>
        </w:rPr>
        <w:t xml:space="preserve">                   </w:t>
      </w:r>
    </w:p>
    <w:p w14:paraId="2BDFCFCE">
      <w:pPr>
        <w:adjustRightInd w:val="0"/>
        <w:snapToGrid w:val="0"/>
        <w:ind w:firstLine="480"/>
        <w:jc w:val="center"/>
        <w:rPr>
          <w:rFonts w:ascii="Arial" w:hAnsi="Arial" w:cs="Arial"/>
          <w:bCs/>
          <w:sz w:val="26"/>
          <w:szCs w:val="26"/>
        </w:rPr>
      </w:pPr>
      <w:r>
        <w:rPr>
          <w:rFonts w:ascii="Arial" w:hAnsi="Arial" w:cs="Arial"/>
          <w:position w:val="-28"/>
          <w:sz w:val="26"/>
          <w:szCs w:val="26"/>
        </w:rPr>
        <w:drawing>
          <wp:inline distT="0" distB="0" distL="114300" distR="114300">
            <wp:extent cx="1482725" cy="443865"/>
            <wp:effectExtent l="0" t="0" r="3175" b="1397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35"/>
                    <a:stretch>
                      <a:fillRect/>
                    </a:stretch>
                  </pic:blipFill>
                  <pic:spPr>
                    <a:xfrm>
                      <a:off x="0" y="0"/>
                      <a:ext cx="1482725" cy="443865"/>
                    </a:xfrm>
                    <a:prstGeom prst="rect">
                      <a:avLst/>
                    </a:prstGeom>
                    <a:noFill/>
                    <a:ln>
                      <a:noFill/>
                    </a:ln>
                  </pic:spPr>
                </pic:pic>
              </a:graphicData>
            </a:graphic>
          </wp:inline>
        </w:drawing>
      </w:r>
      <w:r>
        <w:rPr>
          <w:rFonts w:ascii="Arial" w:hAnsi="Arial" w:cs="Arial"/>
          <w:sz w:val="26"/>
          <w:szCs w:val="26"/>
        </w:rPr>
        <w:t xml:space="preserve">      </w:t>
      </w:r>
    </w:p>
    <w:p w14:paraId="01F08E7B">
      <w:pPr>
        <w:spacing w:line="460" w:lineRule="exact"/>
        <w:ind w:firstLine="520" w:firstLineChars="200"/>
        <w:rPr>
          <w:rFonts w:hint="eastAsia" w:ascii="Arial" w:hAnsi="Arial" w:eastAsia="宋体" w:cs="Arial"/>
          <w:sz w:val="26"/>
          <w:szCs w:val="26"/>
          <w:lang w:eastAsia="zh-CN"/>
        </w:rPr>
      </w:pPr>
      <w:r>
        <w:rPr>
          <w:rFonts w:ascii="Arial" w:hAnsi="Arial" w:cs="Arial"/>
          <w:sz w:val="26"/>
          <w:szCs w:val="26"/>
        </w:rPr>
        <w:t>式中</w:t>
      </w:r>
      <w:r>
        <w:rPr>
          <w:rFonts w:hint="eastAsia" w:ascii="Arial" w:hAnsi="Arial" w:cs="Arial"/>
          <w:sz w:val="26"/>
          <w:szCs w:val="26"/>
          <w:lang w:eastAsia="zh-CN"/>
        </w:rPr>
        <w:t>：</w:t>
      </w:r>
    </w:p>
    <w:p w14:paraId="6BC966E5">
      <w:pPr>
        <w:spacing w:line="460" w:lineRule="exact"/>
        <w:ind w:firstLine="520" w:firstLineChars="200"/>
        <w:rPr>
          <w:rFonts w:ascii="Arial" w:hAnsi="Arial" w:cs="Arial"/>
          <w:sz w:val="26"/>
          <w:szCs w:val="26"/>
        </w:rPr>
      </w:pPr>
      <w:r>
        <w:rPr>
          <w:rFonts w:ascii="Arial" w:hAnsi="Arial" w:cs="Arial"/>
          <w:sz w:val="26"/>
          <w:szCs w:val="26"/>
        </w:rPr>
        <w:t>T</w:t>
      </w:r>
      <w:r>
        <w:rPr>
          <w:rFonts w:ascii="Arial" w:hAnsi="Arial" w:cs="Arial"/>
          <w:sz w:val="26"/>
          <w:szCs w:val="26"/>
          <w:vertAlign w:val="subscript"/>
        </w:rPr>
        <w:t>y</w:t>
      </w:r>
      <w:r>
        <w:rPr>
          <w:rFonts w:ascii="Arial" w:hAnsi="Arial" w:cs="Arial"/>
          <w:sz w:val="26"/>
          <w:szCs w:val="26"/>
        </w:rPr>
        <w:t>—从水库水面水深为y处的月平均水温（℃）；</w:t>
      </w:r>
    </w:p>
    <w:p w14:paraId="766FC850">
      <w:pPr>
        <w:spacing w:line="460" w:lineRule="exact"/>
        <w:ind w:firstLine="520" w:firstLineChars="200"/>
        <w:rPr>
          <w:rFonts w:ascii="Arial" w:hAnsi="Arial" w:cs="Arial"/>
          <w:sz w:val="26"/>
          <w:szCs w:val="26"/>
        </w:rPr>
      </w:pPr>
      <w:r>
        <w:rPr>
          <w:rFonts w:ascii="Arial" w:hAnsi="Arial" w:cs="Arial"/>
          <w:sz w:val="26"/>
          <w:szCs w:val="26"/>
        </w:rPr>
        <w:t>T</w:t>
      </w:r>
      <w:r>
        <w:rPr>
          <w:rFonts w:ascii="Arial" w:hAnsi="Arial" w:cs="Arial"/>
          <w:sz w:val="26"/>
          <w:szCs w:val="26"/>
          <w:vertAlign w:val="subscript"/>
        </w:rPr>
        <w:t>0</w:t>
      </w:r>
      <w:r>
        <w:rPr>
          <w:rFonts w:ascii="Arial" w:hAnsi="Arial" w:cs="Arial"/>
          <w:sz w:val="26"/>
          <w:szCs w:val="26"/>
        </w:rPr>
        <w:t>—水库表面月平均水温值（℃），可根据设计水库库区的气温并利用气候条件相似同类水库的气温-库表水温关系求得，也可用已建水库库表水温与纬度的关系插补；</w:t>
      </w:r>
    </w:p>
    <w:p w14:paraId="46DDE28A">
      <w:pPr>
        <w:spacing w:line="460" w:lineRule="exact"/>
        <w:ind w:firstLine="520" w:firstLineChars="200"/>
        <w:rPr>
          <w:rFonts w:ascii="Arial" w:hAnsi="Arial" w:cs="Arial"/>
          <w:sz w:val="26"/>
          <w:szCs w:val="26"/>
        </w:rPr>
      </w:pPr>
      <w:r>
        <w:rPr>
          <w:rFonts w:ascii="Arial" w:hAnsi="Arial" w:cs="Arial"/>
          <w:sz w:val="26"/>
          <w:szCs w:val="26"/>
        </w:rPr>
        <w:t>m—月份，1、2、3…、12月；</w:t>
      </w:r>
    </w:p>
    <w:p w14:paraId="019AC7C4">
      <w:pPr>
        <w:spacing w:line="460" w:lineRule="exact"/>
        <w:ind w:firstLine="520" w:firstLineChars="200"/>
        <w:rPr>
          <w:rFonts w:ascii="Arial" w:hAnsi="Arial" w:cs="Arial"/>
          <w:sz w:val="26"/>
          <w:szCs w:val="26"/>
        </w:rPr>
      </w:pPr>
      <w:r>
        <w:rPr>
          <w:rFonts w:ascii="Arial" w:hAnsi="Arial" w:cs="Arial"/>
          <w:sz w:val="26"/>
          <w:szCs w:val="26"/>
        </w:rPr>
        <w:t>n，x—与m有关的参数；</w:t>
      </w:r>
    </w:p>
    <w:p w14:paraId="514385F3">
      <w:pPr>
        <w:spacing w:line="460" w:lineRule="exact"/>
        <w:ind w:firstLine="520" w:firstLineChars="200"/>
        <w:rPr>
          <w:rFonts w:hint="eastAsia" w:ascii="Arial" w:hAnsi="Arial" w:cs="Arial"/>
          <w:sz w:val="26"/>
          <w:szCs w:val="26"/>
          <w:lang w:eastAsia="zh-CN"/>
        </w:rPr>
      </w:pPr>
      <w:r>
        <w:rPr>
          <w:rFonts w:ascii="Arial" w:hAnsi="Arial" w:cs="Arial"/>
          <w:sz w:val="26"/>
          <w:szCs w:val="26"/>
        </w:rPr>
        <w:t>T</w:t>
      </w:r>
      <w:r>
        <w:rPr>
          <w:rFonts w:ascii="Arial" w:hAnsi="Arial" w:cs="Arial"/>
          <w:sz w:val="26"/>
          <w:szCs w:val="26"/>
          <w:vertAlign w:val="subscript"/>
        </w:rPr>
        <w:t>b</w:t>
      </w:r>
      <w:r>
        <w:rPr>
          <w:rFonts w:ascii="Arial" w:hAnsi="Arial" w:cs="Arial"/>
          <w:sz w:val="26"/>
          <w:szCs w:val="26"/>
        </w:rPr>
        <w:t>—库底月平均水温值（℃）</w:t>
      </w:r>
      <w:r>
        <w:rPr>
          <w:rFonts w:hint="eastAsia" w:ascii="Arial" w:hAnsi="Arial" w:cs="Arial"/>
          <w:sz w:val="26"/>
          <w:szCs w:val="26"/>
          <w:lang w:eastAsia="zh-CN"/>
        </w:rPr>
        <w:t>，对于分层型水库，库底水温全年稳定少变，可视为常数，采用类比相关法推算。</w:t>
      </w:r>
    </w:p>
    <w:p w14:paraId="35E2D9D8">
      <w:pPr>
        <w:spacing w:line="460" w:lineRule="exact"/>
        <w:ind w:firstLine="520" w:firstLineChars="200"/>
        <w:rPr>
          <w:rFonts w:hint="eastAsia" w:ascii="Arial" w:hAnsi="Arial" w:cs="Arial"/>
          <w:sz w:val="26"/>
          <w:szCs w:val="26"/>
          <w:lang w:val="en-US" w:eastAsia="zh-CN"/>
        </w:rPr>
      </w:pPr>
      <w:r>
        <w:rPr>
          <w:rFonts w:hint="eastAsia" w:ascii="Arial" w:hAnsi="Arial" w:cs="Arial"/>
          <w:sz w:val="26"/>
          <w:szCs w:val="26"/>
          <w:lang w:eastAsia="zh-CN"/>
        </w:rPr>
        <w:t>丰都县陈家沟抗旱应急水源工程选址位于丰都县三元镇，与本项目直线距离约</w:t>
      </w:r>
      <w:r>
        <w:rPr>
          <w:rFonts w:hint="eastAsia" w:ascii="Arial" w:hAnsi="Arial" w:cs="Arial"/>
          <w:sz w:val="26"/>
          <w:szCs w:val="26"/>
          <w:lang w:val="en-US" w:eastAsia="zh-CN"/>
        </w:rPr>
        <w:t>8.52km，同属于渠溪河流域，气候环境相似。因此本次评价参照陈家沟水库表面月平均水温进行取值，详见表6.5-5所示。</w:t>
      </w:r>
    </w:p>
    <w:p w14:paraId="4AEF2B9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表6.5-5  本项目库表、库底月平均水温参考取值一览表  单位：℃</w:t>
      </w:r>
    </w:p>
    <w:tbl>
      <w:tblPr>
        <w:tblStyle w:val="77"/>
        <w:tblW w:w="89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68"/>
        <w:gridCol w:w="728"/>
        <w:gridCol w:w="562"/>
        <w:gridCol w:w="681"/>
        <w:gridCol w:w="682"/>
        <w:gridCol w:w="682"/>
        <w:gridCol w:w="610"/>
        <w:gridCol w:w="497"/>
        <w:gridCol w:w="514"/>
        <w:gridCol w:w="573"/>
        <w:gridCol w:w="684"/>
        <w:gridCol w:w="682"/>
        <w:gridCol w:w="697"/>
      </w:tblGrid>
      <w:tr w14:paraId="1B2C9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368" w:type="dxa"/>
            <w:tcBorders>
              <w:tl2br w:val="nil"/>
              <w:tr2bl w:val="nil"/>
            </w:tcBorders>
            <w:noWrap w:val="0"/>
            <w:vAlign w:val="bottom"/>
          </w:tcPr>
          <w:p w14:paraId="3A72F1A7">
            <w:pPr>
              <w:pStyle w:val="2114"/>
              <w:spacing w:line="300" w:lineRule="exact"/>
              <w:rPr>
                <w:rFonts w:ascii="Arial" w:hAnsi="Arial" w:cs="Arial"/>
                <w:sz w:val="22"/>
                <w:szCs w:val="22"/>
              </w:rPr>
            </w:pPr>
            <w:r>
              <w:rPr>
                <w:rFonts w:ascii="Arial" w:hAnsi="Arial" w:cs="Arial"/>
                <w:sz w:val="22"/>
                <w:szCs w:val="22"/>
              </w:rPr>
              <w:t>月份</w:t>
            </w:r>
          </w:p>
        </w:tc>
        <w:tc>
          <w:tcPr>
            <w:tcW w:w="728" w:type="dxa"/>
            <w:tcBorders>
              <w:tl2br w:val="nil"/>
              <w:tr2bl w:val="nil"/>
            </w:tcBorders>
            <w:noWrap w:val="0"/>
            <w:vAlign w:val="bottom"/>
          </w:tcPr>
          <w:p w14:paraId="2F92F6B7">
            <w:pPr>
              <w:pStyle w:val="2114"/>
              <w:spacing w:line="300" w:lineRule="exact"/>
              <w:rPr>
                <w:rFonts w:ascii="Arial" w:hAnsi="Arial" w:cs="Arial"/>
                <w:sz w:val="22"/>
                <w:szCs w:val="22"/>
              </w:rPr>
            </w:pPr>
            <w:r>
              <w:rPr>
                <w:rFonts w:ascii="Arial" w:hAnsi="Arial" w:cs="Arial"/>
                <w:sz w:val="22"/>
                <w:szCs w:val="22"/>
              </w:rPr>
              <w:t>1</w:t>
            </w:r>
          </w:p>
        </w:tc>
        <w:tc>
          <w:tcPr>
            <w:tcW w:w="562" w:type="dxa"/>
            <w:tcBorders>
              <w:tl2br w:val="nil"/>
              <w:tr2bl w:val="nil"/>
            </w:tcBorders>
            <w:noWrap w:val="0"/>
            <w:vAlign w:val="bottom"/>
          </w:tcPr>
          <w:p w14:paraId="5200F659">
            <w:pPr>
              <w:pStyle w:val="2114"/>
              <w:spacing w:line="300" w:lineRule="exact"/>
              <w:rPr>
                <w:rFonts w:ascii="Arial" w:hAnsi="Arial" w:cs="Arial"/>
                <w:sz w:val="22"/>
                <w:szCs w:val="22"/>
              </w:rPr>
            </w:pPr>
            <w:r>
              <w:rPr>
                <w:rFonts w:ascii="Arial" w:hAnsi="Arial" w:cs="Arial"/>
                <w:sz w:val="22"/>
                <w:szCs w:val="22"/>
              </w:rPr>
              <w:t>2</w:t>
            </w:r>
          </w:p>
        </w:tc>
        <w:tc>
          <w:tcPr>
            <w:tcW w:w="681" w:type="dxa"/>
            <w:tcBorders>
              <w:tl2br w:val="nil"/>
              <w:tr2bl w:val="nil"/>
            </w:tcBorders>
            <w:noWrap w:val="0"/>
            <w:vAlign w:val="bottom"/>
          </w:tcPr>
          <w:p w14:paraId="53986740">
            <w:pPr>
              <w:pStyle w:val="2114"/>
              <w:spacing w:line="300" w:lineRule="exact"/>
              <w:rPr>
                <w:rFonts w:ascii="Arial" w:hAnsi="Arial" w:cs="Arial"/>
                <w:sz w:val="22"/>
                <w:szCs w:val="22"/>
              </w:rPr>
            </w:pPr>
            <w:r>
              <w:rPr>
                <w:rFonts w:ascii="Arial" w:hAnsi="Arial" w:cs="Arial"/>
                <w:sz w:val="22"/>
                <w:szCs w:val="22"/>
              </w:rPr>
              <w:t>3</w:t>
            </w:r>
          </w:p>
        </w:tc>
        <w:tc>
          <w:tcPr>
            <w:tcW w:w="682" w:type="dxa"/>
            <w:tcBorders>
              <w:tl2br w:val="nil"/>
              <w:tr2bl w:val="nil"/>
            </w:tcBorders>
            <w:noWrap w:val="0"/>
            <w:vAlign w:val="bottom"/>
          </w:tcPr>
          <w:p w14:paraId="21A894E3">
            <w:pPr>
              <w:pStyle w:val="2114"/>
              <w:spacing w:line="300" w:lineRule="exact"/>
              <w:rPr>
                <w:rFonts w:ascii="Arial" w:hAnsi="Arial" w:cs="Arial"/>
                <w:sz w:val="22"/>
                <w:szCs w:val="22"/>
              </w:rPr>
            </w:pPr>
            <w:r>
              <w:rPr>
                <w:rFonts w:ascii="Arial" w:hAnsi="Arial" w:cs="Arial"/>
                <w:sz w:val="22"/>
                <w:szCs w:val="22"/>
              </w:rPr>
              <w:t>4</w:t>
            </w:r>
          </w:p>
        </w:tc>
        <w:tc>
          <w:tcPr>
            <w:tcW w:w="682" w:type="dxa"/>
            <w:tcBorders>
              <w:tl2br w:val="nil"/>
              <w:tr2bl w:val="nil"/>
            </w:tcBorders>
            <w:noWrap w:val="0"/>
            <w:vAlign w:val="bottom"/>
          </w:tcPr>
          <w:p w14:paraId="444164AF">
            <w:pPr>
              <w:pStyle w:val="2114"/>
              <w:spacing w:line="300" w:lineRule="exact"/>
              <w:rPr>
                <w:rFonts w:ascii="Arial" w:hAnsi="Arial" w:cs="Arial"/>
                <w:sz w:val="22"/>
                <w:szCs w:val="22"/>
              </w:rPr>
            </w:pPr>
            <w:r>
              <w:rPr>
                <w:rFonts w:ascii="Arial" w:hAnsi="Arial" w:cs="Arial"/>
                <w:sz w:val="22"/>
                <w:szCs w:val="22"/>
              </w:rPr>
              <w:t>5</w:t>
            </w:r>
          </w:p>
        </w:tc>
        <w:tc>
          <w:tcPr>
            <w:tcW w:w="610" w:type="dxa"/>
            <w:tcBorders>
              <w:tl2br w:val="nil"/>
              <w:tr2bl w:val="nil"/>
            </w:tcBorders>
            <w:noWrap w:val="0"/>
            <w:vAlign w:val="bottom"/>
          </w:tcPr>
          <w:p w14:paraId="0DB0630E">
            <w:pPr>
              <w:pStyle w:val="2114"/>
              <w:spacing w:line="300" w:lineRule="exact"/>
              <w:rPr>
                <w:rFonts w:ascii="Arial" w:hAnsi="Arial" w:cs="Arial"/>
                <w:sz w:val="22"/>
                <w:szCs w:val="22"/>
              </w:rPr>
            </w:pPr>
            <w:r>
              <w:rPr>
                <w:rFonts w:ascii="Arial" w:hAnsi="Arial" w:cs="Arial"/>
                <w:sz w:val="22"/>
                <w:szCs w:val="22"/>
              </w:rPr>
              <w:t>6</w:t>
            </w:r>
          </w:p>
        </w:tc>
        <w:tc>
          <w:tcPr>
            <w:tcW w:w="497" w:type="dxa"/>
            <w:tcBorders>
              <w:tl2br w:val="nil"/>
              <w:tr2bl w:val="nil"/>
            </w:tcBorders>
            <w:noWrap w:val="0"/>
            <w:vAlign w:val="bottom"/>
          </w:tcPr>
          <w:p w14:paraId="4CFE16D9">
            <w:pPr>
              <w:pStyle w:val="2114"/>
              <w:spacing w:line="300" w:lineRule="exact"/>
              <w:rPr>
                <w:rFonts w:ascii="Arial" w:hAnsi="Arial" w:cs="Arial"/>
                <w:sz w:val="22"/>
                <w:szCs w:val="22"/>
              </w:rPr>
            </w:pPr>
            <w:r>
              <w:rPr>
                <w:rFonts w:ascii="Arial" w:hAnsi="Arial" w:cs="Arial"/>
                <w:sz w:val="22"/>
                <w:szCs w:val="22"/>
              </w:rPr>
              <w:t>7</w:t>
            </w:r>
          </w:p>
        </w:tc>
        <w:tc>
          <w:tcPr>
            <w:tcW w:w="514" w:type="dxa"/>
            <w:tcBorders>
              <w:tl2br w:val="nil"/>
              <w:tr2bl w:val="nil"/>
            </w:tcBorders>
            <w:noWrap w:val="0"/>
            <w:vAlign w:val="bottom"/>
          </w:tcPr>
          <w:p w14:paraId="0455EF91">
            <w:pPr>
              <w:pStyle w:val="2114"/>
              <w:spacing w:line="300" w:lineRule="exact"/>
              <w:rPr>
                <w:rFonts w:ascii="Arial" w:hAnsi="Arial" w:cs="Arial"/>
                <w:sz w:val="22"/>
                <w:szCs w:val="22"/>
              </w:rPr>
            </w:pPr>
            <w:r>
              <w:rPr>
                <w:rFonts w:ascii="Arial" w:hAnsi="Arial" w:cs="Arial"/>
                <w:sz w:val="22"/>
                <w:szCs w:val="22"/>
              </w:rPr>
              <w:t>8</w:t>
            </w:r>
          </w:p>
        </w:tc>
        <w:tc>
          <w:tcPr>
            <w:tcW w:w="573" w:type="dxa"/>
            <w:tcBorders>
              <w:tl2br w:val="nil"/>
              <w:tr2bl w:val="nil"/>
            </w:tcBorders>
            <w:noWrap w:val="0"/>
            <w:vAlign w:val="bottom"/>
          </w:tcPr>
          <w:p w14:paraId="1713C9C8">
            <w:pPr>
              <w:pStyle w:val="2114"/>
              <w:spacing w:line="300" w:lineRule="exact"/>
              <w:rPr>
                <w:rFonts w:ascii="Arial" w:hAnsi="Arial" w:cs="Arial"/>
                <w:sz w:val="22"/>
                <w:szCs w:val="22"/>
              </w:rPr>
            </w:pPr>
            <w:r>
              <w:rPr>
                <w:rFonts w:ascii="Arial" w:hAnsi="Arial" w:cs="Arial"/>
                <w:sz w:val="22"/>
                <w:szCs w:val="22"/>
              </w:rPr>
              <w:t>9</w:t>
            </w:r>
          </w:p>
        </w:tc>
        <w:tc>
          <w:tcPr>
            <w:tcW w:w="684" w:type="dxa"/>
            <w:tcBorders>
              <w:tl2br w:val="nil"/>
              <w:tr2bl w:val="nil"/>
            </w:tcBorders>
            <w:noWrap w:val="0"/>
            <w:vAlign w:val="bottom"/>
          </w:tcPr>
          <w:p w14:paraId="28B124FE">
            <w:pPr>
              <w:pStyle w:val="2114"/>
              <w:spacing w:line="300" w:lineRule="exact"/>
              <w:rPr>
                <w:rFonts w:ascii="Arial" w:hAnsi="Arial" w:cs="Arial"/>
                <w:sz w:val="22"/>
                <w:szCs w:val="22"/>
              </w:rPr>
            </w:pPr>
            <w:r>
              <w:rPr>
                <w:rFonts w:ascii="Arial" w:hAnsi="Arial" w:cs="Arial"/>
                <w:sz w:val="22"/>
                <w:szCs w:val="22"/>
              </w:rPr>
              <w:t>10</w:t>
            </w:r>
          </w:p>
        </w:tc>
        <w:tc>
          <w:tcPr>
            <w:tcW w:w="682" w:type="dxa"/>
            <w:tcBorders>
              <w:tl2br w:val="nil"/>
              <w:tr2bl w:val="nil"/>
            </w:tcBorders>
            <w:noWrap w:val="0"/>
            <w:vAlign w:val="bottom"/>
          </w:tcPr>
          <w:p w14:paraId="77459352">
            <w:pPr>
              <w:pStyle w:val="2114"/>
              <w:spacing w:line="300" w:lineRule="exact"/>
              <w:rPr>
                <w:rFonts w:ascii="Arial" w:hAnsi="Arial" w:cs="Arial"/>
                <w:sz w:val="22"/>
                <w:szCs w:val="22"/>
              </w:rPr>
            </w:pPr>
            <w:r>
              <w:rPr>
                <w:rFonts w:ascii="Arial" w:hAnsi="Arial" w:cs="Arial"/>
                <w:sz w:val="22"/>
                <w:szCs w:val="22"/>
              </w:rPr>
              <w:t>11</w:t>
            </w:r>
          </w:p>
        </w:tc>
        <w:tc>
          <w:tcPr>
            <w:tcW w:w="697" w:type="dxa"/>
            <w:tcBorders>
              <w:tl2br w:val="nil"/>
              <w:tr2bl w:val="nil"/>
            </w:tcBorders>
            <w:noWrap w:val="0"/>
            <w:vAlign w:val="bottom"/>
          </w:tcPr>
          <w:p w14:paraId="2177E168">
            <w:pPr>
              <w:pStyle w:val="2114"/>
              <w:spacing w:line="300" w:lineRule="exact"/>
              <w:rPr>
                <w:rFonts w:ascii="Arial" w:hAnsi="Arial" w:cs="Arial"/>
                <w:sz w:val="22"/>
                <w:szCs w:val="22"/>
              </w:rPr>
            </w:pPr>
            <w:r>
              <w:rPr>
                <w:rFonts w:ascii="Arial" w:hAnsi="Arial" w:cs="Arial"/>
                <w:sz w:val="22"/>
                <w:szCs w:val="22"/>
              </w:rPr>
              <w:t>12</w:t>
            </w:r>
          </w:p>
        </w:tc>
      </w:tr>
      <w:tr w14:paraId="09A86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368" w:type="dxa"/>
            <w:tcBorders>
              <w:tl2br w:val="nil"/>
              <w:tr2bl w:val="nil"/>
            </w:tcBorders>
            <w:noWrap w:val="0"/>
            <w:vAlign w:val="bottom"/>
          </w:tcPr>
          <w:p w14:paraId="6EE7273F">
            <w:pPr>
              <w:pStyle w:val="2114"/>
              <w:spacing w:line="300" w:lineRule="exact"/>
              <w:rPr>
                <w:rFonts w:ascii="Arial" w:hAnsi="Arial" w:cs="Arial"/>
                <w:sz w:val="22"/>
                <w:szCs w:val="22"/>
              </w:rPr>
            </w:pPr>
            <w:r>
              <w:rPr>
                <w:rFonts w:hint="eastAsia" w:ascii="Arial" w:hAnsi="Arial" w:cs="Arial"/>
                <w:sz w:val="22"/>
                <w:szCs w:val="22"/>
                <w:lang w:eastAsia="zh-CN"/>
              </w:rPr>
              <w:t>库表</w:t>
            </w:r>
            <w:r>
              <w:rPr>
                <w:rFonts w:ascii="Arial" w:hAnsi="Arial" w:cs="Arial"/>
                <w:sz w:val="22"/>
                <w:szCs w:val="22"/>
              </w:rPr>
              <w:t>温度</w:t>
            </w:r>
          </w:p>
        </w:tc>
        <w:tc>
          <w:tcPr>
            <w:tcW w:w="728" w:type="dxa"/>
            <w:tcBorders>
              <w:tl2br w:val="nil"/>
              <w:tr2bl w:val="nil"/>
            </w:tcBorders>
            <w:noWrap w:val="0"/>
            <w:vAlign w:val="bottom"/>
          </w:tcPr>
          <w:p w14:paraId="418F7EF6">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6.0</w:t>
            </w:r>
          </w:p>
        </w:tc>
        <w:tc>
          <w:tcPr>
            <w:tcW w:w="562" w:type="dxa"/>
            <w:tcBorders>
              <w:tl2br w:val="nil"/>
              <w:tr2bl w:val="nil"/>
            </w:tcBorders>
            <w:noWrap w:val="0"/>
            <w:vAlign w:val="bottom"/>
          </w:tcPr>
          <w:p w14:paraId="30015C80">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8.0</w:t>
            </w:r>
          </w:p>
        </w:tc>
        <w:tc>
          <w:tcPr>
            <w:tcW w:w="681" w:type="dxa"/>
            <w:tcBorders>
              <w:tl2br w:val="nil"/>
              <w:tr2bl w:val="nil"/>
            </w:tcBorders>
            <w:noWrap w:val="0"/>
            <w:vAlign w:val="bottom"/>
          </w:tcPr>
          <w:p w14:paraId="4E2B2E8D">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12.5</w:t>
            </w:r>
          </w:p>
        </w:tc>
        <w:tc>
          <w:tcPr>
            <w:tcW w:w="682" w:type="dxa"/>
            <w:tcBorders>
              <w:tl2br w:val="nil"/>
              <w:tr2bl w:val="nil"/>
            </w:tcBorders>
            <w:noWrap w:val="0"/>
            <w:vAlign w:val="bottom"/>
          </w:tcPr>
          <w:p w14:paraId="61CAB457">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17.0</w:t>
            </w:r>
          </w:p>
        </w:tc>
        <w:tc>
          <w:tcPr>
            <w:tcW w:w="682" w:type="dxa"/>
            <w:tcBorders>
              <w:tl2br w:val="nil"/>
              <w:tr2bl w:val="nil"/>
            </w:tcBorders>
            <w:noWrap w:val="0"/>
            <w:vAlign w:val="bottom"/>
          </w:tcPr>
          <w:p w14:paraId="362C728C">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21.0</w:t>
            </w:r>
          </w:p>
        </w:tc>
        <w:tc>
          <w:tcPr>
            <w:tcW w:w="610" w:type="dxa"/>
            <w:tcBorders>
              <w:tl2br w:val="nil"/>
              <w:tr2bl w:val="nil"/>
            </w:tcBorders>
            <w:noWrap w:val="0"/>
            <w:vAlign w:val="bottom"/>
          </w:tcPr>
          <w:p w14:paraId="50735B78">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24.0</w:t>
            </w:r>
          </w:p>
        </w:tc>
        <w:tc>
          <w:tcPr>
            <w:tcW w:w="497" w:type="dxa"/>
            <w:tcBorders>
              <w:tl2br w:val="nil"/>
              <w:tr2bl w:val="nil"/>
            </w:tcBorders>
            <w:noWrap w:val="0"/>
            <w:vAlign w:val="bottom"/>
          </w:tcPr>
          <w:p w14:paraId="57AC519A">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27.0</w:t>
            </w:r>
          </w:p>
        </w:tc>
        <w:tc>
          <w:tcPr>
            <w:tcW w:w="514" w:type="dxa"/>
            <w:tcBorders>
              <w:tl2br w:val="nil"/>
              <w:tr2bl w:val="nil"/>
            </w:tcBorders>
            <w:noWrap w:val="0"/>
            <w:vAlign w:val="bottom"/>
          </w:tcPr>
          <w:p w14:paraId="03DCDCF7">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27.5</w:t>
            </w:r>
          </w:p>
        </w:tc>
        <w:tc>
          <w:tcPr>
            <w:tcW w:w="573" w:type="dxa"/>
            <w:tcBorders>
              <w:tl2br w:val="nil"/>
              <w:tr2bl w:val="nil"/>
            </w:tcBorders>
            <w:noWrap w:val="0"/>
            <w:vAlign w:val="bottom"/>
          </w:tcPr>
          <w:p w14:paraId="418D38F3">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22.5</w:t>
            </w:r>
          </w:p>
        </w:tc>
        <w:tc>
          <w:tcPr>
            <w:tcW w:w="684" w:type="dxa"/>
            <w:tcBorders>
              <w:tl2br w:val="nil"/>
              <w:tr2bl w:val="nil"/>
            </w:tcBorders>
            <w:noWrap w:val="0"/>
            <w:vAlign w:val="bottom"/>
          </w:tcPr>
          <w:p w14:paraId="42DDB58A">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17.0</w:t>
            </w:r>
          </w:p>
        </w:tc>
        <w:tc>
          <w:tcPr>
            <w:tcW w:w="682" w:type="dxa"/>
            <w:tcBorders>
              <w:tl2br w:val="nil"/>
              <w:tr2bl w:val="nil"/>
            </w:tcBorders>
            <w:noWrap w:val="0"/>
            <w:vAlign w:val="bottom"/>
          </w:tcPr>
          <w:p w14:paraId="4261925D">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12.8</w:t>
            </w:r>
          </w:p>
        </w:tc>
        <w:tc>
          <w:tcPr>
            <w:tcW w:w="697" w:type="dxa"/>
            <w:tcBorders>
              <w:tl2br w:val="nil"/>
              <w:tr2bl w:val="nil"/>
            </w:tcBorders>
            <w:noWrap w:val="0"/>
            <w:vAlign w:val="bottom"/>
          </w:tcPr>
          <w:p w14:paraId="4EB0BF57">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8.0</w:t>
            </w:r>
          </w:p>
        </w:tc>
      </w:tr>
    </w:tbl>
    <w:p w14:paraId="3B9606CD">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cs="Arial"/>
          <w:sz w:val="26"/>
          <w:szCs w:val="26"/>
          <w:lang w:val="en-US" w:eastAsia="zh-CN"/>
        </w:rPr>
      </w:pPr>
    </w:p>
    <w:p w14:paraId="58944B2B">
      <w:pPr>
        <w:spacing w:line="460" w:lineRule="exact"/>
        <w:ind w:firstLine="520" w:firstLineChars="200"/>
        <w:rPr>
          <w:rFonts w:hint="eastAsia" w:ascii="Arial" w:hAnsi="Arial" w:eastAsia="宋体" w:cs="Arial"/>
          <w:b/>
          <w:bCs/>
          <w:color w:val="000000"/>
          <w:sz w:val="26"/>
          <w:szCs w:val="26"/>
          <w:lang w:val="en-US" w:eastAsia="zh-CN"/>
        </w:rPr>
      </w:pPr>
      <w:r>
        <w:rPr>
          <w:rFonts w:hint="eastAsia" w:ascii="Arial" w:hAnsi="Arial" w:cs="Arial"/>
          <w:bCs/>
          <w:sz w:val="26"/>
          <w:szCs w:val="26"/>
          <w:lang w:eastAsia="zh-CN"/>
        </w:rPr>
        <w:t>根据《水电工程水温计算规范》（NB/T35094-2017），</w:t>
      </w:r>
      <w:r>
        <w:rPr>
          <w:rFonts w:hint="eastAsia" w:ascii="Arial" w:hAnsi="Arial" w:cs="Arial"/>
          <w:sz w:val="26"/>
          <w:szCs w:val="26"/>
          <w:lang w:eastAsia="zh-CN"/>
        </w:rPr>
        <w:t>对于分层型水库，库底水温全年稳定少变，可视为常数，采用类比相关法推算。海螺沟水库建成后为分层型水库，采用</w:t>
      </w:r>
      <w:r>
        <w:rPr>
          <w:rFonts w:ascii="Arial" w:hAnsi="宋体" w:cs="Arial"/>
          <w:sz w:val="26"/>
          <w:szCs w:val="26"/>
        </w:rPr>
        <w:t>12</w:t>
      </w:r>
      <w:r>
        <w:rPr>
          <w:rFonts w:hint="eastAsia" w:ascii="Arial" w:hAnsi="宋体" w:cs="Arial"/>
          <w:sz w:val="26"/>
          <w:szCs w:val="26"/>
        </w:rPr>
        <w:t>月、</w:t>
      </w:r>
      <w:r>
        <w:rPr>
          <w:rFonts w:ascii="Arial" w:hAnsi="宋体" w:cs="Arial"/>
          <w:sz w:val="26"/>
          <w:szCs w:val="26"/>
        </w:rPr>
        <w:t>1</w:t>
      </w:r>
      <w:r>
        <w:rPr>
          <w:rFonts w:hint="eastAsia" w:ascii="Arial" w:hAnsi="宋体" w:cs="Arial"/>
          <w:sz w:val="26"/>
          <w:szCs w:val="26"/>
        </w:rPr>
        <w:t>月和</w:t>
      </w:r>
      <w:r>
        <w:rPr>
          <w:rFonts w:ascii="Arial" w:hAnsi="宋体" w:cs="Arial"/>
          <w:sz w:val="26"/>
          <w:szCs w:val="26"/>
        </w:rPr>
        <w:t>2</w:t>
      </w:r>
      <w:r>
        <w:rPr>
          <w:rFonts w:hint="eastAsia" w:ascii="Arial" w:hAnsi="宋体" w:cs="Arial"/>
          <w:sz w:val="26"/>
          <w:szCs w:val="26"/>
        </w:rPr>
        <w:t>月的上游来水月平均水温近似作为库底年平均水温</w:t>
      </w:r>
      <w:r>
        <w:rPr>
          <w:rFonts w:hint="eastAsia" w:ascii="Arial" w:hAnsi="宋体" w:cs="Arial"/>
          <w:sz w:val="26"/>
          <w:szCs w:val="26"/>
          <w:lang w:eastAsia="zh-CN"/>
        </w:rPr>
        <w:t>，故</w:t>
      </w:r>
      <w:r>
        <w:rPr>
          <w:rFonts w:ascii="Arial" w:hAnsi="宋体" w:cs="Arial"/>
          <w:sz w:val="26"/>
          <w:szCs w:val="26"/>
        </w:rPr>
        <w:t>Tb</w:t>
      </w:r>
      <w:r>
        <w:rPr>
          <w:rFonts w:hint="eastAsia" w:ascii="Arial" w:hAnsi="宋体" w:cs="Arial"/>
          <w:sz w:val="26"/>
          <w:szCs w:val="26"/>
        </w:rPr>
        <w:t>取7.3℃。</w:t>
      </w:r>
    </w:p>
    <w:p w14:paraId="72CF663A">
      <w:pPr>
        <w:spacing w:line="460" w:lineRule="exact"/>
        <w:ind w:firstLine="522" w:firstLineChars="200"/>
        <w:rPr>
          <w:rFonts w:hint="eastAsia" w:ascii="Arial" w:hAnsi="Arial" w:eastAsia="宋体" w:cs="Arial"/>
          <w:b/>
          <w:bCs/>
          <w:color w:val="000000"/>
          <w:sz w:val="26"/>
          <w:szCs w:val="26"/>
          <w:lang w:val="en-US" w:eastAsia="zh-CN"/>
        </w:rPr>
      </w:pPr>
      <w:r>
        <w:rPr>
          <w:rFonts w:hint="default" w:ascii="Arial" w:hAnsi="Arial" w:eastAsia="宋体" w:cs="Arial"/>
          <w:b/>
          <w:bCs/>
          <w:color w:val="000000"/>
          <w:sz w:val="26"/>
          <w:szCs w:val="26"/>
          <w:lang w:val="en-US" w:eastAsia="zh-CN"/>
        </w:rPr>
        <w:t>②</w:t>
      </w:r>
      <w:r>
        <w:rPr>
          <w:rFonts w:hint="eastAsia" w:ascii="Arial" w:hAnsi="Arial" w:eastAsia="宋体" w:cs="Arial"/>
          <w:b/>
          <w:bCs/>
          <w:color w:val="000000"/>
          <w:sz w:val="26"/>
          <w:szCs w:val="26"/>
          <w:lang w:val="en-US" w:eastAsia="zh-CN"/>
        </w:rPr>
        <w:t>预测结果</w:t>
      </w:r>
    </w:p>
    <w:p w14:paraId="49DE51AC">
      <w:pPr>
        <w:spacing w:line="460" w:lineRule="exact"/>
        <w:ind w:firstLine="520" w:firstLineChars="200"/>
        <w:rPr>
          <w:rFonts w:hint="default" w:ascii="Arial" w:hAnsi="Arial" w:eastAsia="宋体" w:cs="Arial"/>
          <w:bCs/>
          <w:sz w:val="26"/>
          <w:szCs w:val="26"/>
          <w:lang w:val="en-US" w:eastAsia="zh-CN"/>
        </w:rPr>
      </w:pPr>
      <w:r>
        <w:rPr>
          <w:rFonts w:hint="eastAsia" w:ascii="Arial" w:hAnsi="Arial" w:cs="Arial"/>
          <w:bCs/>
          <w:sz w:val="26"/>
          <w:szCs w:val="26"/>
          <w:lang w:eastAsia="zh-CN"/>
        </w:rPr>
        <w:t>海螺沟水库采取分</w:t>
      </w:r>
      <w:r>
        <w:rPr>
          <w:rFonts w:hint="eastAsia" w:ascii="Arial" w:hAnsi="Arial" w:cs="Arial"/>
          <w:bCs/>
          <w:sz w:val="26"/>
          <w:szCs w:val="26"/>
          <w:lang w:val="en-US" w:eastAsia="zh-CN"/>
        </w:rPr>
        <w:t>5</w:t>
      </w:r>
      <w:r>
        <w:rPr>
          <w:rFonts w:hint="eastAsia" w:ascii="Arial" w:hAnsi="Arial" w:cs="Arial"/>
          <w:bCs/>
          <w:sz w:val="26"/>
          <w:szCs w:val="26"/>
          <w:lang w:eastAsia="zh-CN"/>
        </w:rPr>
        <w:t>层取水模式，各层取水口从上到下高程依次为</w:t>
      </w:r>
      <w:r>
        <w:rPr>
          <w:rFonts w:hint="default" w:ascii="Arial" w:hAnsi="Arial" w:cs="Arial"/>
          <w:sz w:val="26"/>
          <w:szCs w:val="26"/>
        </w:rPr>
        <w:t>418.00m、415.00m、412.00m</w:t>
      </w:r>
      <w:r>
        <w:rPr>
          <w:rFonts w:hint="eastAsia" w:ascii="Arial" w:hAnsi="Arial" w:cs="Arial"/>
          <w:sz w:val="26"/>
          <w:szCs w:val="26"/>
        </w:rPr>
        <w:t>、</w:t>
      </w:r>
      <w:r>
        <w:rPr>
          <w:rFonts w:hint="default" w:ascii="Arial" w:hAnsi="Arial" w:cs="Arial"/>
          <w:sz w:val="26"/>
          <w:szCs w:val="26"/>
        </w:rPr>
        <w:t>409.00m</w:t>
      </w:r>
      <w:r>
        <w:rPr>
          <w:rFonts w:hint="eastAsia" w:ascii="Arial" w:hAnsi="Arial" w:cs="Arial"/>
          <w:sz w:val="26"/>
          <w:szCs w:val="26"/>
        </w:rPr>
        <w:t>、</w:t>
      </w:r>
      <w:r>
        <w:rPr>
          <w:rFonts w:hint="default" w:ascii="Arial" w:hAnsi="Arial" w:cs="Arial"/>
          <w:sz w:val="26"/>
          <w:szCs w:val="26"/>
        </w:rPr>
        <w:t>405.50m</w:t>
      </w:r>
      <w:r>
        <w:rPr>
          <w:rFonts w:hint="eastAsia" w:ascii="Arial" w:hAnsi="Arial" w:cs="Arial"/>
          <w:sz w:val="26"/>
          <w:szCs w:val="26"/>
          <w:lang w:eastAsia="zh-CN"/>
        </w:rPr>
        <w:t>，水库正常蓄水位为</w:t>
      </w:r>
      <w:r>
        <w:rPr>
          <w:rFonts w:hint="eastAsia" w:ascii="Arial" w:hAnsi="Arial" w:cs="Arial"/>
          <w:sz w:val="26"/>
          <w:szCs w:val="26"/>
          <w:lang w:val="en-US" w:eastAsia="zh-CN"/>
        </w:rPr>
        <w:t>420.00m，则根据计算，</w:t>
      </w:r>
      <w:r>
        <w:rPr>
          <w:rFonts w:hint="eastAsia" w:ascii="Arial" w:hAnsi="宋体" w:cs="Arial"/>
          <w:sz w:val="26"/>
          <w:szCs w:val="26"/>
          <w:lang w:eastAsia="zh-CN"/>
        </w:rPr>
        <w:t>海螺沟</w:t>
      </w:r>
      <w:r>
        <w:rPr>
          <w:rFonts w:hint="eastAsia" w:ascii="Arial" w:hAnsi="宋体" w:cs="Arial"/>
          <w:sz w:val="26"/>
          <w:szCs w:val="26"/>
        </w:rPr>
        <w:t>水库全年各月分层水温计算成果详见表</w:t>
      </w:r>
      <w:r>
        <w:rPr>
          <w:rFonts w:hint="eastAsia" w:ascii="Arial" w:hAnsi="宋体" w:cs="Arial"/>
          <w:sz w:val="26"/>
          <w:szCs w:val="26"/>
          <w:lang w:val="en-US" w:eastAsia="zh-CN"/>
        </w:rPr>
        <w:t>6.5-6</w:t>
      </w:r>
      <w:r>
        <w:rPr>
          <w:rFonts w:hint="eastAsia" w:ascii="Arial" w:hAnsi="宋体" w:cs="Arial"/>
          <w:sz w:val="26"/>
          <w:szCs w:val="26"/>
        </w:rPr>
        <w:t>所示。</w:t>
      </w:r>
    </w:p>
    <w:p w14:paraId="33DC1955">
      <w:pPr>
        <w:spacing w:line="460" w:lineRule="exact"/>
        <w:jc w:val="center"/>
        <w:rPr>
          <w:rFonts w:hint="eastAsia" w:ascii="Arial" w:hAnsi="宋体" w:cs="Arial"/>
          <w:b/>
          <w:sz w:val="26"/>
          <w:szCs w:val="26"/>
        </w:rPr>
      </w:pPr>
      <w:r>
        <w:rPr>
          <w:rFonts w:hint="eastAsia" w:ascii="Arial" w:hAnsi="宋体" w:cs="Arial"/>
          <w:b/>
          <w:sz w:val="26"/>
          <w:szCs w:val="26"/>
        </w:rPr>
        <w:t>表</w:t>
      </w:r>
      <w:r>
        <w:rPr>
          <w:rFonts w:hint="eastAsia" w:ascii="Arial" w:hAnsi="宋体" w:cs="Arial"/>
          <w:b/>
          <w:sz w:val="26"/>
          <w:szCs w:val="26"/>
          <w:lang w:val="en-US" w:eastAsia="zh-CN"/>
        </w:rPr>
        <w:t xml:space="preserve">6.5-6 </w:t>
      </w:r>
      <w:r>
        <w:rPr>
          <w:rFonts w:hint="eastAsia" w:ascii="Arial" w:hAnsi="宋体" w:cs="Arial"/>
          <w:b/>
          <w:sz w:val="26"/>
          <w:szCs w:val="26"/>
        </w:rPr>
        <w:t xml:space="preserve"> </w:t>
      </w:r>
      <w:r>
        <w:rPr>
          <w:rFonts w:hint="eastAsia" w:ascii="Arial" w:hAnsi="宋体" w:cs="Arial"/>
          <w:b/>
          <w:sz w:val="26"/>
          <w:szCs w:val="26"/>
          <w:lang w:eastAsia="zh-CN"/>
        </w:rPr>
        <w:t>海螺沟</w:t>
      </w:r>
      <w:r>
        <w:rPr>
          <w:rFonts w:hint="eastAsia" w:ascii="Arial" w:hAnsi="宋体" w:cs="Arial"/>
          <w:b/>
          <w:sz w:val="26"/>
          <w:szCs w:val="26"/>
        </w:rPr>
        <w:t>水库垂向水温计算成果表  单位：℃</w:t>
      </w:r>
    </w:p>
    <w:tbl>
      <w:tblPr>
        <w:tblStyle w:val="77"/>
        <w:tblW w:w="8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1"/>
        <w:gridCol w:w="648"/>
        <w:gridCol w:w="539"/>
        <w:gridCol w:w="649"/>
        <w:gridCol w:w="648"/>
        <w:gridCol w:w="648"/>
        <w:gridCol w:w="649"/>
        <w:gridCol w:w="648"/>
        <w:gridCol w:w="648"/>
        <w:gridCol w:w="649"/>
        <w:gridCol w:w="648"/>
        <w:gridCol w:w="649"/>
        <w:gridCol w:w="648"/>
      </w:tblGrid>
      <w:tr w14:paraId="1FD51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031" w:type="dxa"/>
            <w:noWrap w:val="0"/>
            <w:vAlign w:val="bottom"/>
          </w:tcPr>
          <w:p w14:paraId="3739109E">
            <w:pPr>
              <w:pStyle w:val="2114"/>
              <w:spacing w:line="300" w:lineRule="exact"/>
              <w:rPr>
                <w:rFonts w:ascii="Arial" w:hAnsi="Arial" w:eastAsia="Times New Roman" w:cs="Arial"/>
                <w:sz w:val="22"/>
                <w:szCs w:val="22"/>
              </w:rPr>
            </w:pPr>
            <w:r>
              <w:rPr>
                <w:rFonts w:ascii="Arial" w:hAnsi="Arial" w:cs="Arial"/>
                <w:sz w:val="22"/>
                <w:szCs w:val="22"/>
              </w:rPr>
              <mc:AlternateContent>
                <mc:Choice Requires="wps">
                  <w:drawing>
                    <wp:anchor distT="0" distB="0" distL="114300" distR="114300" simplePos="0" relativeHeight="251767808" behindDoc="0" locked="0" layoutInCell="1" allowOverlap="1">
                      <wp:simplePos x="0" y="0"/>
                      <wp:positionH relativeFrom="column">
                        <wp:posOffset>-67310</wp:posOffset>
                      </wp:positionH>
                      <wp:positionV relativeFrom="paragraph">
                        <wp:posOffset>-9525</wp:posOffset>
                      </wp:positionV>
                      <wp:extent cx="607060" cy="365760"/>
                      <wp:effectExtent l="2540" t="3810" r="19050" b="11430"/>
                      <wp:wrapNone/>
                      <wp:docPr id="33" name="直接箭头连接符 33"/>
                      <wp:cNvGraphicFramePr/>
                      <a:graphic xmlns:a="http://schemas.openxmlformats.org/drawingml/2006/main">
                        <a:graphicData uri="http://schemas.microsoft.com/office/word/2010/wordprocessingShape">
                          <wps:wsp>
                            <wps:cNvCnPr/>
                            <wps:spPr>
                              <a:xfrm>
                                <a:off x="0" y="0"/>
                                <a:ext cx="607060" cy="3657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pt;margin-top:-0.75pt;height:28.8pt;width:47.8pt;z-index:251767808;mso-width-relative:page;mso-height-relative:page;" filled="f" stroked="t" coordsize="21600,21600" o:gfxdata="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2w3d9YAAAAIAQAADwAAAAAAAAABACAAAAAiAAAAZHJzL2Rvd25y&#10;ZXYueG1sUEsBAhQAFAAAAAgAh07iQEF2/xMAAgAA8gMAAA4AAAAAAAAAAQAgAAAAJQEAAGRycy9l&#10;Mm9Eb2MueG1sUEsFBgAAAAAGAAYAWQEAAJcFAAAAAA==&#10;">
                      <v:fill on="f" focussize="0,0"/>
                      <v:stroke color="#000000" joinstyle="round"/>
                      <v:imagedata o:title=""/>
                      <o:lock v:ext="edit" aspectratio="f"/>
                    </v:shape>
                  </w:pict>
                </mc:Fallback>
              </mc:AlternateContent>
            </w:r>
            <w:r>
              <w:rPr>
                <w:rFonts w:ascii="Arial" w:hAnsi="Arial" w:cs="Arial"/>
                <w:sz w:val="22"/>
                <w:szCs w:val="22"/>
              </w:rPr>
              <w:t xml:space="preserve">  </w:t>
            </w:r>
            <w:r>
              <w:rPr>
                <w:rFonts w:ascii="Arial" w:hAnsi="Times New Roman" w:cs="Arial"/>
                <w:sz w:val="22"/>
                <w:szCs w:val="22"/>
              </w:rPr>
              <w:t>月份</w:t>
            </w:r>
          </w:p>
          <w:p w14:paraId="3C9E5555">
            <w:pPr>
              <w:pStyle w:val="2114"/>
              <w:spacing w:line="300" w:lineRule="exact"/>
              <w:jc w:val="both"/>
              <w:rPr>
                <w:rFonts w:ascii="Arial" w:hAnsi="Arial" w:cs="Arial"/>
                <w:sz w:val="22"/>
                <w:szCs w:val="22"/>
              </w:rPr>
            </w:pPr>
            <w:r>
              <w:rPr>
                <w:rFonts w:ascii="Arial" w:hAnsi="Times New Roman" w:cs="Arial"/>
                <w:sz w:val="22"/>
                <w:szCs w:val="22"/>
              </w:rPr>
              <w:t>水深</w:t>
            </w:r>
          </w:p>
        </w:tc>
        <w:tc>
          <w:tcPr>
            <w:tcW w:w="648" w:type="dxa"/>
            <w:noWrap w:val="0"/>
            <w:vAlign w:val="center"/>
          </w:tcPr>
          <w:p w14:paraId="43FDE551">
            <w:pPr>
              <w:pStyle w:val="2114"/>
              <w:spacing w:line="300" w:lineRule="exact"/>
              <w:rPr>
                <w:rFonts w:ascii="Arial" w:hAnsi="Arial" w:cs="Arial"/>
                <w:sz w:val="22"/>
                <w:szCs w:val="22"/>
              </w:rPr>
            </w:pPr>
            <w:r>
              <w:rPr>
                <w:rFonts w:ascii="Arial" w:hAnsi="Arial" w:cs="Arial"/>
                <w:sz w:val="22"/>
                <w:szCs w:val="22"/>
              </w:rPr>
              <w:t>1</w:t>
            </w:r>
          </w:p>
        </w:tc>
        <w:tc>
          <w:tcPr>
            <w:tcW w:w="539" w:type="dxa"/>
            <w:noWrap w:val="0"/>
            <w:vAlign w:val="center"/>
          </w:tcPr>
          <w:p w14:paraId="1F186245">
            <w:pPr>
              <w:pStyle w:val="2114"/>
              <w:spacing w:line="300" w:lineRule="exact"/>
              <w:rPr>
                <w:rFonts w:ascii="Arial" w:hAnsi="Arial" w:cs="Arial"/>
                <w:sz w:val="22"/>
                <w:szCs w:val="22"/>
              </w:rPr>
            </w:pPr>
            <w:r>
              <w:rPr>
                <w:rFonts w:ascii="Arial" w:hAnsi="Arial" w:cs="Arial"/>
                <w:sz w:val="22"/>
                <w:szCs w:val="22"/>
              </w:rPr>
              <w:t>2</w:t>
            </w:r>
          </w:p>
        </w:tc>
        <w:tc>
          <w:tcPr>
            <w:tcW w:w="649" w:type="dxa"/>
            <w:noWrap w:val="0"/>
            <w:vAlign w:val="center"/>
          </w:tcPr>
          <w:p w14:paraId="11F9A77E">
            <w:pPr>
              <w:pStyle w:val="2114"/>
              <w:spacing w:line="300" w:lineRule="exact"/>
              <w:rPr>
                <w:rFonts w:ascii="Arial" w:hAnsi="Arial" w:cs="Arial"/>
                <w:sz w:val="22"/>
                <w:szCs w:val="22"/>
              </w:rPr>
            </w:pPr>
            <w:r>
              <w:rPr>
                <w:rFonts w:ascii="Arial" w:hAnsi="Arial" w:cs="Arial"/>
                <w:sz w:val="22"/>
                <w:szCs w:val="22"/>
              </w:rPr>
              <w:t>3</w:t>
            </w:r>
          </w:p>
        </w:tc>
        <w:tc>
          <w:tcPr>
            <w:tcW w:w="648" w:type="dxa"/>
            <w:noWrap w:val="0"/>
            <w:vAlign w:val="center"/>
          </w:tcPr>
          <w:p w14:paraId="60BC9077">
            <w:pPr>
              <w:pStyle w:val="2114"/>
              <w:spacing w:line="300" w:lineRule="exact"/>
              <w:rPr>
                <w:rFonts w:ascii="Arial" w:hAnsi="Arial" w:cs="Arial"/>
                <w:sz w:val="22"/>
                <w:szCs w:val="22"/>
              </w:rPr>
            </w:pPr>
            <w:r>
              <w:rPr>
                <w:rFonts w:ascii="Arial" w:hAnsi="Arial" w:cs="Arial"/>
                <w:sz w:val="22"/>
                <w:szCs w:val="22"/>
              </w:rPr>
              <w:t>4</w:t>
            </w:r>
          </w:p>
        </w:tc>
        <w:tc>
          <w:tcPr>
            <w:tcW w:w="648" w:type="dxa"/>
            <w:noWrap w:val="0"/>
            <w:vAlign w:val="center"/>
          </w:tcPr>
          <w:p w14:paraId="3141F563">
            <w:pPr>
              <w:pStyle w:val="2114"/>
              <w:spacing w:line="300" w:lineRule="exact"/>
              <w:rPr>
                <w:rFonts w:ascii="Arial" w:hAnsi="Arial" w:cs="Arial"/>
                <w:sz w:val="22"/>
                <w:szCs w:val="22"/>
              </w:rPr>
            </w:pPr>
            <w:r>
              <w:rPr>
                <w:rFonts w:ascii="Arial" w:hAnsi="Arial" w:cs="Arial"/>
                <w:sz w:val="22"/>
                <w:szCs w:val="22"/>
              </w:rPr>
              <w:t>5</w:t>
            </w:r>
          </w:p>
        </w:tc>
        <w:tc>
          <w:tcPr>
            <w:tcW w:w="649" w:type="dxa"/>
            <w:noWrap w:val="0"/>
            <w:vAlign w:val="center"/>
          </w:tcPr>
          <w:p w14:paraId="581DF606">
            <w:pPr>
              <w:pStyle w:val="2114"/>
              <w:spacing w:line="300" w:lineRule="exact"/>
              <w:rPr>
                <w:rFonts w:ascii="Arial" w:hAnsi="Arial" w:cs="Arial"/>
                <w:sz w:val="22"/>
                <w:szCs w:val="22"/>
              </w:rPr>
            </w:pPr>
            <w:r>
              <w:rPr>
                <w:rFonts w:ascii="Arial" w:hAnsi="Arial" w:cs="Arial"/>
                <w:sz w:val="22"/>
                <w:szCs w:val="22"/>
              </w:rPr>
              <w:t>6</w:t>
            </w:r>
          </w:p>
        </w:tc>
        <w:tc>
          <w:tcPr>
            <w:tcW w:w="648" w:type="dxa"/>
            <w:noWrap w:val="0"/>
            <w:vAlign w:val="center"/>
          </w:tcPr>
          <w:p w14:paraId="27CDF0AB">
            <w:pPr>
              <w:pStyle w:val="2114"/>
              <w:spacing w:line="300" w:lineRule="exact"/>
              <w:rPr>
                <w:rFonts w:ascii="Arial" w:hAnsi="Arial" w:cs="Arial"/>
                <w:sz w:val="22"/>
                <w:szCs w:val="22"/>
              </w:rPr>
            </w:pPr>
            <w:r>
              <w:rPr>
                <w:rFonts w:ascii="Arial" w:hAnsi="Arial" w:cs="Arial"/>
                <w:sz w:val="22"/>
                <w:szCs w:val="22"/>
              </w:rPr>
              <w:t>7</w:t>
            </w:r>
          </w:p>
        </w:tc>
        <w:tc>
          <w:tcPr>
            <w:tcW w:w="648" w:type="dxa"/>
            <w:noWrap w:val="0"/>
            <w:vAlign w:val="center"/>
          </w:tcPr>
          <w:p w14:paraId="585249C3">
            <w:pPr>
              <w:pStyle w:val="2114"/>
              <w:spacing w:line="300" w:lineRule="exact"/>
              <w:rPr>
                <w:rFonts w:ascii="Arial" w:hAnsi="Arial" w:cs="Arial"/>
                <w:sz w:val="22"/>
                <w:szCs w:val="22"/>
              </w:rPr>
            </w:pPr>
            <w:r>
              <w:rPr>
                <w:rFonts w:ascii="Arial" w:hAnsi="Arial" w:cs="Arial"/>
                <w:sz w:val="22"/>
                <w:szCs w:val="22"/>
              </w:rPr>
              <w:t>8</w:t>
            </w:r>
          </w:p>
        </w:tc>
        <w:tc>
          <w:tcPr>
            <w:tcW w:w="649" w:type="dxa"/>
            <w:noWrap w:val="0"/>
            <w:vAlign w:val="center"/>
          </w:tcPr>
          <w:p w14:paraId="1E8E28D6">
            <w:pPr>
              <w:pStyle w:val="2114"/>
              <w:spacing w:line="300" w:lineRule="exact"/>
              <w:rPr>
                <w:rFonts w:ascii="Arial" w:hAnsi="Arial" w:cs="Arial"/>
                <w:sz w:val="22"/>
                <w:szCs w:val="22"/>
              </w:rPr>
            </w:pPr>
            <w:r>
              <w:rPr>
                <w:rFonts w:ascii="Arial" w:hAnsi="Arial" w:cs="Arial"/>
                <w:sz w:val="22"/>
                <w:szCs w:val="22"/>
              </w:rPr>
              <w:t>9</w:t>
            </w:r>
          </w:p>
        </w:tc>
        <w:tc>
          <w:tcPr>
            <w:tcW w:w="648" w:type="dxa"/>
            <w:noWrap w:val="0"/>
            <w:vAlign w:val="center"/>
          </w:tcPr>
          <w:p w14:paraId="5270A0B4">
            <w:pPr>
              <w:pStyle w:val="2114"/>
              <w:spacing w:line="300" w:lineRule="exact"/>
              <w:rPr>
                <w:rFonts w:ascii="Arial" w:hAnsi="Arial" w:cs="Arial"/>
                <w:sz w:val="22"/>
                <w:szCs w:val="22"/>
              </w:rPr>
            </w:pPr>
            <w:r>
              <w:rPr>
                <w:rFonts w:ascii="Arial" w:hAnsi="Arial" w:cs="Arial"/>
                <w:sz w:val="22"/>
                <w:szCs w:val="22"/>
              </w:rPr>
              <w:t>10</w:t>
            </w:r>
          </w:p>
        </w:tc>
        <w:tc>
          <w:tcPr>
            <w:tcW w:w="649" w:type="dxa"/>
            <w:noWrap w:val="0"/>
            <w:vAlign w:val="center"/>
          </w:tcPr>
          <w:p w14:paraId="4A81E8FC">
            <w:pPr>
              <w:pStyle w:val="2114"/>
              <w:spacing w:line="300" w:lineRule="exact"/>
              <w:rPr>
                <w:rFonts w:ascii="Arial" w:hAnsi="Arial" w:cs="Arial"/>
                <w:sz w:val="22"/>
                <w:szCs w:val="22"/>
              </w:rPr>
            </w:pPr>
            <w:r>
              <w:rPr>
                <w:rFonts w:ascii="Arial" w:hAnsi="Arial" w:cs="Arial"/>
                <w:sz w:val="22"/>
                <w:szCs w:val="22"/>
              </w:rPr>
              <w:t>11</w:t>
            </w:r>
          </w:p>
        </w:tc>
        <w:tc>
          <w:tcPr>
            <w:tcW w:w="648" w:type="dxa"/>
            <w:noWrap w:val="0"/>
            <w:vAlign w:val="center"/>
          </w:tcPr>
          <w:p w14:paraId="3079396F">
            <w:pPr>
              <w:pStyle w:val="2114"/>
              <w:spacing w:line="300" w:lineRule="exact"/>
              <w:rPr>
                <w:rFonts w:ascii="Arial" w:hAnsi="Arial" w:cs="Arial"/>
                <w:sz w:val="22"/>
                <w:szCs w:val="22"/>
              </w:rPr>
            </w:pPr>
            <w:r>
              <w:rPr>
                <w:rFonts w:ascii="Arial" w:hAnsi="Arial" w:cs="Arial"/>
                <w:sz w:val="22"/>
                <w:szCs w:val="22"/>
              </w:rPr>
              <w:t>12</w:t>
            </w:r>
          </w:p>
        </w:tc>
      </w:tr>
      <w:tr w14:paraId="58C5F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2" w:hRule="atLeast"/>
          <w:jc w:val="center"/>
        </w:trPr>
        <w:tc>
          <w:tcPr>
            <w:tcW w:w="1031" w:type="dxa"/>
            <w:noWrap w:val="0"/>
            <w:vAlign w:val="bottom"/>
          </w:tcPr>
          <w:p w14:paraId="03B1B5B2">
            <w:pPr>
              <w:pStyle w:val="2114"/>
              <w:spacing w:line="300" w:lineRule="exact"/>
              <w:rPr>
                <w:rFonts w:ascii="Arial" w:hAnsi="Arial" w:cs="Arial"/>
                <w:sz w:val="22"/>
                <w:szCs w:val="22"/>
              </w:rPr>
            </w:pPr>
            <w:r>
              <w:rPr>
                <w:rFonts w:hint="eastAsia" w:ascii="Arial" w:hAnsi="Arial" w:cs="Arial"/>
                <w:sz w:val="22"/>
                <w:szCs w:val="22"/>
                <w:lang w:eastAsia="zh-CN"/>
              </w:rPr>
              <w:t>0</w:t>
            </w:r>
            <w:r>
              <w:rPr>
                <w:rFonts w:ascii="Arial" w:hAnsi="Arial" w:cs="Arial"/>
                <w:sz w:val="22"/>
                <w:szCs w:val="22"/>
              </w:rPr>
              <w:t>m</w:t>
            </w:r>
          </w:p>
        </w:tc>
        <w:tc>
          <w:tcPr>
            <w:tcW w:w="648" w:type="dxa"/>
            <w:noWrap w:val="0"/>
            <w:vAlign w:val="bottom"/>
          </w:tcPr>
          <w:p w14:paraId="45CE3E85">
            <w:pPr>
              <w:spacing w:line="300" w:lineRule="exact"/>
              <w:jc w:val="center"/>
              <w:rPr>
                <w:rFonts w:hint="eastAsia" w:ascii="Arial" w:hAnsi="Arial" w:cs="Arial"/>
                <w:sz w:val="22"/>
                <w:szCs w:val="22"/>
              </w:rPr>
            </w:pPr>
            <w:r>
              <w:rPr>
                <w:rFonts w:hint="eastAsia" w:ascii="Arial" w:hAnsi="Arial" w:cs="Arial"/>
                <w:sz w:val="22"/>
                <w:szCs w:val="22"/>
              </w:rPr>
              <w:t>6.0</w:t>
            </w:r>
          </w:p>
        </w:tc>
        <w:tc>
          <w:tcPr>
            <w:tcW w:w="539" w:type="dxa"/>
            <w:noWrap w:val="0"/>
            <w:vAlign w:val="bottom"/>
          </w:tcPr>
          <w:p w14:paraId="35297164">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8.0</w:t>
            </w:r>
          </w:p>
        </w:tc>
        <w:tc>
          <w:tcPr>
            <w:tcW w:w="649" w:type="dxa"/>
            <w:noWrap w:val="0"/>
            <w:vAlign w:val="bottom"/>
          </w:tcPr>
          <w:p w14:paraId="75BCC3B3">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12.5</w:t>
            </w:r>
          </w:p>
        </w:tc>
        <w:tc>
          <w:tcPr>
            <w:tcW w:w="648" w:type="dxa"/>
            <w:noWrap w:val="0"/>
            <w:vAlign w:val="bottom"/>
          </w:tcPr>
          <w:p w14:paraId="3A0C37A3">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17.0</w:t>
            </w:r>
          </w:p>
        </w:tc>
        <w:tc>
          <w:tcPr>
            <w:tcW w:w="648" w:type="dxa"/>
            <w:noWrap w:val="0"/>
            <w:vAlign w:val="bottom"/>
          </w:tcPr>
          <w:p w14:paraId="450BB3CE">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21.0</w:t>
            </w:r>
          </w:p>
        </w:tc>
        <w:tc>
          <w:tcPr>
            <w:tcW w:w="649" w:type="dxa"/>
            <w:noWrap w:val="0"/>
            <w:vAlign w:val="bottom"/>
          </w:tcPr>
          <w:p w14:paraId="59C43EA0">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24.0</w:t>
            </w:r>
          </w:p>
        </w:tc>
        <w:tc>
          <w:tcPr>
            <w:tcW w:w="648" w:type="dxa"/>
            <w:noWrap w:val="0"/>
            <w:vAlign w:val="bottom"/>
          </w:tcPr>
          <w:p w14:paraId="749FA405">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27.0</w:t>
            </w:r>
          </w:p>
        </w:tc>
        <w:tc>
          <w:tcPr>
            <w:tcW w:w="648" w:type="dxa"/>
            <w:noWrap w:val="0"/>
            <w:vAlign w:val="bottom"/>
          </w:tcPr>
          <w:p w14:paraId="2C43D172">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27.5</w:t>
            </w:r>
          </w:p>
        </w:tc>
        <w:tc>
          <w:tcPr>
            <w:tcW w:w="649" w:type="dxa"/>
            <w:noWrap w:val="0"/>
            <w:vAlign w:val="bottom"/>
          </w:tcPr>
          <w:p w14:paraId="6EAB5610">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22.5</w:t>
            </w:r>
          </w:p>
        </w:tc>
        <w:tc>
          <w:tcPr>
            <w:tcW w:w="648" w:type="dxa"/>
            <w:noWrap w:val="0"/>
            <w:vAlign w:val="bottom"/>
          </w:tcPr>
          <w:p w14:paraId="7E672285">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17.0</w:t>
            </w:r>
          </w:p>
        </w:tc>
        <w:tc>
          <w:tcPr>
            <w:tcW w:w="649" w:type="dxa"/>
            <w:noWrap w:val="0"/>
            <w:vAlign w:val="bottom"/>
          </w:tcPr>
          <w:p w14:paraId="177DC970">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12.8</w:t>
            </w:r>
          </w:p>
        </w:tc>
        <w:tc>
          <w:tcPr>
            <w:tcW w:w="648" w:type="dxa"/>
            <w:noWrap w:val="0"/>
            <w:vAlign w:val="bottom"/>
          </w:tcPr>
          <w:p w14:paraId="3416A1DE">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8.0</w:t>
            </w:r>
          </w:p>
        </w:tc>
      </w:tr>
      <w:tr w14:paraId="25DF7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35A10D38">
            <w:pPr>
              <w:pStyle w:val="2114"/>
              <w:spacing w:line="300" w:lineRule="exact"/>
              <w:rPr>
                <w:rFonts w:ascii="Arial" w:hAnsi="Arial" w:cs="Arial"/>
                <w:sz w:val="22"/>
                <w:szCs w:val="22"/>
              </w:rPr>
            </w:pPr>
            <w:r>
              <w:rPr>
                <w:rFonts w:hint="eastAsia" w:ascii="Arial" w:hAnsi="Arial" w:cs="Arial"/>
                <w:sz w:val="22"/>
                <w:szCs w:val="22"/>
                <w:lang w:val="en-US" w:eastAsia="zh-CN"/>
              </w:rPr>
              <w:t>2</w:t>
            </w:r>
            <w:r>
              <w:rPr>
                <w:rFonts w:ascii="Arial" w:hAnsi="Arial" w:cs="Arial"/>
                <w:sz w:val="22"/>
                <w:szCs w:val="22"/>
              </w:rPr>
              <w:t>m</w:t>
            </w:r>
          </w:p>
        </w:tc>
        <w:tc>
          <w:tcPr>
            <w:tcW w:w="648" w:type="dxa"/>
            <w:noWrap w:val="0"/>
            <w:vAlign w:val="bottom"/>
          </w:tcPr>
          <w:p w14:paraId="046A5CB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2FA1E5A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c>
          <w:tcPr>
            <w:tcW w:w="649" w:type="dxa"/>
            <w:noWrap w:val="0"/>
            <w:vAlign w:val="bottom"/>
          </w:tcPr>
          <w:p w14:paraId="1FFD4B8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12.4</w:t>
            </w:r>
          </w:p>
        </w:tc>
        <w:tc>
          <w:tcPr>
            <w:tcW w:w="648" w:type="dxa"/>
            <w:noWrap w:val="0"/>
            <w:vAlign w:val="bottom"/>
          </w:tcPr>
          <w:p w14:paraId="5EDAE55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16.4</w:t>
            </w:r>
          </w:p>
        </w:tc>
        <w:tc>
          <w:tcPr>
            <w:tcW w:w="648" w:type="dxa"/>
            <w:noWrap w:val="0"/>
            <w:vAlign w:val="bottom"/>
          </w:tcPr>
          <w:p w14:paraId="0ACD262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20.1</w:t>
            </w:r>
          </w:p>
        </w:tc>
        <w:tc>
          <w:tcPr>
            <w:tcW w:w="649" w:type="dxa"/>
            <w:noWrap w:val="0"/>
            <w:vAlign w:val="bottom"/>
          </w:tcPr>
          <w:p w14:paraId="533CA5D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23.2</w:t>
            </w:r>
          </w:p>
        </w:tc>
        <w:tc>
          <w:tcPr>
            <w:tcW w:w="648" w:type="dxa"/>
            <w:noWrap w:val="0"/>
            <w:vAlign w:val="bottom"/>
          </w:tcPr>
          <w:p w14:paraId="63DCF11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26.5</w:t>
            </w:r>
          </w:p>
        </w:tc>
        <w:tc>
          <w:tcPr>
            <w:tcW w:w="648" w:type="dxa"/>
            <w:noWrap w:val="0"/>
            <w:vAlign w:val="bottom"/>
          </w:tcPr>
          <w:p w14:paraId="5E08C6C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27.3</w:t>
            </w:r>
          </w:p>
        </w:tc>
        <w:tc>
          <w:tcPr>
            <w:tcW w:w="649" w:type="dxa"/>
            <w:noWrap w:val="0"/>
            <w:vAlign w:val="bottom"/>
          </w:tcPr>
          <w:p w14:paraId="77F92C0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22.5</w:t>
            </w:r>
          </w:p>
        </w:tc>
        <w:tc>
          <w:tcPr>
            <w:tcW w:w="648" w:type="dxa"/>
            <w:noWrap w:val="0"/>
            <w:vAlign w:val="bottom"/>
          </w:tcPr>
          <w:p w14:paraId="3E8E88C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17.0</w:t>
            </w:r>
          </w:p>
        </w:tc>
        <w:tc>
          <w:tcPr>
            <w:tcW w:w="649" w:type="dxa"/>
            <w:noWrap w:val="0"/>
            <w:vAlign w:val="bottom"/>
          </w:tcPr>
          <w:p w14:paraId="756775FF">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12.8</w:t>
            </w:r>
          </w:p>
        </w:tc>
        <w:tc>
          <w:tcPr>
            <w:tcW w:w="648" w:type="dxa"/>
            <w:noWrap w:val="0"/>
            <w:vAlign w:val="bottom"/>
          </w:tcPr>
          <w:p w14:paraId="0C70922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6EFD2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5A387904">
            <w:pPr>
              <w:pStyle w:val="2114"/>
              <w:spacing w:line="300" w:lineRule="exact"/>
              <w:rPr>
                <w:rFonts w:ascii="Arial" w:hAnsi="Arial" w:cs="Arial"/>
                <w:sz w:val="22"/>
                <w:szCs w:val="22"/>
              </w:rPr>
            </w:pPr>
            <w:r>
              <w:rPr>
                <w:rFonts w:hint="eastAsia" w:ascii="Arial" w:hAnsi="Arial" w:cs="Arial"/>
                <w:sz w:val="22"/>
                <w:szCs w:val="22"/>
                <w:lang w:val="en-US" w:eastAsia="zh-CN"/>
              </w:rPr>
              <w:t>5</w:t>
            </w:r>
            <w:r>
              <w:rPr>
                <w:rFonts w:ascii="Arial" w:hAnsi="Arial" w:cs="Arial"/>
                <w:sz w:val="22"/>
                <w:szCs w:val="22"/>
              </w:rPr>
              <w:t>m</w:t>
            </w:r>
          </w:p>
        </w:tc>
        <w:tc>
          <w:tcPr>
            <w:tcW w:w="648" w:type="dxa"/>
            <w:noWrap w:val="0"/>
            <w:vAlign w:val="bottom"/>
          </w:tcPr>
          <w:p w14:paraId="2E75342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0510887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c>
          <w:tcPr>
            <w:tcW w:w="649" w:type="dxa"/>
            <w:noWrap w:val="0"/>
            <w:vAlign w:val="bottom"/>
          </w:tcPr>
          <w:p w14:paraId="186CC8D9">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12.0</w:t>
            </w:r>
          </w:p>
        </w:tc>
        <w:tc>
          <w:tcPr>
            <w:tcW w:w="648" w:type="dxa"/>
            <w:noWrap w:val="0"/>
            <w:vAlign w:val="bottom"/>
          </w:tcPr>
          <w:p w14:paraId="5F92191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15.1</w:t>
            </w:r>
          </w:p>
        </w:tc>
        <w:tc>
          <w:tcPr>
            <w:tcW w:w="648" w:type="dxa"/>
            <w:noWrap w:val="0"/>
            <w:vAlign w:val="bottom"/>
          </w:tcPr>
          <w:p w14:paraId="37D201B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18.1</w:t>
            </w:r>
          </w:p>
        </w:tc>
        <w:tc>
          <w:tcPr>
            <w:tcW w:w="649" w:type="dxa"/>
            <w:noWrap w:val="0"/>
            <w:vAlign w:val="bottom"/>
          </w:tcPr>
          <w:p w14:paraId="730764E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21.2</w:t>
            </w:r>
          </w:p>
        </w:tc>
        <w:tc>
          <w:tcPr>
            <w:tcW w:w="648" w:type="dxa"/>
            <w:noWrap w:val="0"/>
            <w:vAlign w:val="bottom"/>
          </w:tcPr>
          <w:p w14:paraId="6A45595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24.9</w:t>
            </w:r>
          </w:p>
        </w:tc>
        <w:tc>
          <w:tcPr>
            <w:tcW w:w="648" w:type="dxa"/>
            <w:noWrap w:val="0"/>
            <w:vAlign w:val="bottom"/>
          </w:tcPr>
          <w:p w14:paraId="27E1427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26.4</w:t>
            </w:r>
          </w:p>
        </w:tc>
        <w:tc>
          <w:tcPr>
            <w:tcW w:w="649" w:type="dxa"/>
            <w:noWrap w:val="0"/>
            <w:vAlign w:val="bottom"/>
          </w:tcPr>
          <w:p w14:paraId="4B4A5FA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22.1</w:t>
            </w:r>
          </w:p>
        </w:tc>
        <w:tc>
          <w:tcPr>
            <w:tcW w:w="648" w:type="dxa"/>
            <w:noWrap w:val="0"/>
            <w:vAlign w:val="bottom"/>
          </w:tcPr>
          <w:p w14:paraId="7D3E41C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16.9</w:t>
            </w:r>
          </w:p>
        </w:tc>
        <w:tc>
          <w:tcPr>
            <w:tcW w:w="649" w:type="dxa"/>
            <w:noWrap w:val="0"/>
            <w:vAlign w:val="bottom"/>
          </w:tcPr>
          <w:p w14:paraId="0B37A15D">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12.8</w:t>
            </w:r>
          </w:p>
        </w:tc>
        <w:tc>
          <w:tcPr>
            <w:tcW w:w="648" w:type="dxa"/>
            <w:noWrap w:val="0"/>
            <w:vAlign w:val="bottom"/>
          </w:tcPr>
          <w:p w14:paraId="598CE17D">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7F612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376C4D79">
            <w:pPr>
              <w:pStyle w:val="2114"/>
              <w:spacing w:line="300" w:lineRule="exact"/>
              <w:rPr>
                <w:rFonts w:ascii="Arial" w:hAnsi="Arial" w:cs="Arial"/>
                <w:sz w:val="22"/>
                <w:szCs w:val="22"/>
              </w:rPr>
            </w:pPr>
            <w:r>
              <w:rPr>
                <w:rFonts w:ascii="Arial" w:hAnsi="Arial" w:cs="Arial"/>
                <w:sz w:val="22"/>
                <w:szCs w:val="22"/>
              </w:rPr>
              <w:t>8m</w:t>
            </w:r>
          </w:p>
        </w:tc>
        <w:tc>
          <w:tcPr>
            <w:tcW w:w="648" w:type="dxa"/>
            <w:noWrap w:val="0"/>
            <w:vAlign w:val="bottom"/>
          </w:tcPr>
          <w:p w14:paraId="594930C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7864A98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c>
          <w:tcPr>
            <w:tcW w:w="649" w:type="dxa"/>
            <w:noWrap w:val="0"/>
            <w:vAlign w:val="bottom"/>
          </w:tcPr>
          <w:p w14:paraId="7BBB427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11.3</w:t>
            </w:r>
          </w:p>
        </w:tc>
        <w:tc>
          <w:tcPr>
            <w:tcW w:w="648" w:type="dxa"/>
            <w:noWrap w:val="0"/>
            <w:vAlign w:val="bottom"/>
          </w:tcPr>
          <w:p w14:paraId="22A7354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13.7</w:t>
            </w:r>
          </w:p>
        </w:tc>
        <w:tc>
          <w:tcPr>
            <w:tcW w:w="648" w:type="dxa"/>
            <w:noWrap w:val="0"/>
            <w:vAlign w:val="bottom"/>
          </w:tcPr>
          <w:p w14:paraId="6902D598">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16.2</w:t>
            </w:r>
          </w:p>
        </w:tc>
        <w:tc>
          <w:tcPr>
            <w:tcW w:w="649" w:type="dxa"/>
            <w:noWrap w:val="0"/>
            <w:vAlign w:val="bottom"/>
          </w:tcPr>
          <w:p w14:paraId="3EA5619F">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18.9</w:t>
            </w:r>
          </w:p>
        </w:tc>
        <w:tc>
          <w:tcPr>
            <w:tcW w:w="648" w:type="dxa"/>
            <w:noWrap w:val="0"/>
            <w:vAlign w:val="bottom"/>
          </w:tcPr>
          <w:p w14:paraId="63C0420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22.6</w:t>
            </w:r>
          </w:p>
        </w:tc>
        <w:tc>
          <w:tcPr>
            <w:tcW w:w="648" w:type="dxa"/>
            <w:noWrap w:val="0"/>
            <w:vAlign w:val="bottom"/>
          </w:tcPr>
          <w:p w14:paraId="083B07C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24.7</w:t>
            </w:r>
          </w:p>
        </w:tc>
        <w:tc>
          <w:tcPr>
            <w:tcW w:w="649" w:type="dxa"/>
            <w:noWrap w:val="0"/>
            <w:vAlign w:val="bottom"/>
          </w:tcPr>
          <w:p w14:paraId="42D04F6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21.4</w:t>
            </w:r>
          </w:p>
        </w:tc>
        <w:tc>
          <w:tcPr>
            <w:tcW w:w="648" w:type="dxa"/>
            <w:noWrap w:val="0"/>
            <w:vAlign w:val="bottom"/>
          </w:tcPr>
          <w:p w14:paraId="1698F3C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16.7</w:t>
            </w:r>
          </w:p>
        </w:tc>
        <w:tc>
          <w:tcPr>
            <w:tcW w:w="649" w:type="dxa"/>
            <w:noWrap w:val="0"/>
            <w:vAlign w:val="bottom"/>
          </w:tcPr>
          <w:p w14:paraId="398D322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12.7</w:t>
            </w:r>
          </w:p>
        </w:tc>
        <w:tc>
          <w:tcPr>
            <w:tcW w:w="648" w:type="dxa"/>
            <w:noWrap w:val="0"/>
            <w:vAlign w:val="bottom"/>
          </w:tcPr>
          <w:p w14:paraId="315572F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161A9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7FE11F70">
            <w:pPr>
              <w:pStyle w:val="2114"/>
              <w:spacing w:line="300" w:lineRule="exact"/>
              <w:rPr>
                <w:rFonts w:ascii="Arial" w:hAnsi="Arial" w:cs="Arial"/>
                <w:sz w:val="22"/>
                <w:szCs w:val="22"/>
              </w:rPr>
            </w:pPr>
            <w:r>
              <w:rPr>
                <w:rFonts w:hint="eastAsia" w:ascii="Arial" w:hAnsi="Arial" w:cs="Arial"/>
                <w:sz w:val="22"/>
                <w:szCs w:val="22"/>
                <w:lang w:val="en-US" w:eastAsia="zh-CN"/>
              </w:rPr>
              <w:t>11</w:t>
            </w:r>
            <w:r>
              <w:rPr>
                <w:rFonts w:ascii="Arial" w:hAnsi="Arial" w:cs="Arial"/>
                <w:sz w:val="22"/>
                <w:szCs w:val="22"/>
              </w:rPr>
              <w:t>m</w:t>
            </w:r>
          </w:p>
        </w:tc>
        <w:tc>
          <w:tcPr>
            <w:tcW w:w="648" w:type="dxa"/>
            <w:noWrap w:val="0"/>
            <w:vAlign w:val="bottom"/>
          </w:tcPr>
          <w:p w14:paraId="38A8C177">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5FE3014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7.9</w:t>
            </w:r>
          </w:p>
        </w:tc>
        <w:tc>
          <w:tcPr>
            <w:tcW w:w="649" w:type="dxa"/>
            <w:noWrap w:val="0"/>
            <w:vAlign w:val="bottom"/>
          </w:tcPr>
          <w:p w14:paraId="3FE5E09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10.5</w:t>
            </w:r>
          </w:p>
        </w:tc>
        <w:tc>
          <w:tcPr>
            <w:tcW w:w="648" w:type="dxa"/>
            <w:noWrap w:val="0"/>
            <w:vAlign w:val="bottom"/>
          </w:tcPr>
          <w:p w14:paraId="716C96D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12.3</w:t>
            </w:r>
          </w:p>
        </w:tc>
        <w:tc>
          <w:tcPr>
            <w:tcW w:w="648" w:type="dxa"/>
            <w:noWrap w:val="0"/>
            <w:vAlign w:val="bottom"/>
          </w:tcPr>
          <w:p w14:paraId="1836589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14.4</w:t>
            </w:r>
          </w:p>
        </w:tc>
        <w:tc>
          <w:tcPr>
            <w:tcW w:w="649" w:type="dxa"/>
            <w:noWrap w:val="0"/>
            <w:vAlign w:val="bottom"/>
          </w:tcPr>
          <w:p w14:paraId="5758933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16.7</w:t>
            </w:r>
          </w:p>
        </w:tc>
        <w:tc>
          <w:tcPr>
            <w:tcW w:w="648" w:type="dxa"/>
            <w:noWrap w:val="0"/>
            <w:vAlign w:val="bottom"/>
          </w:tcPr>
          <w:p w14:paraId="26C1762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20.0</w:t>
            </w:r>
          </w:p>
        </w:tc>
        <w:tc>
          <w:tcPr>
            <w:tcW w:w="648" w:type="dxa"/>
            <w:noWrap w:val="0"/>
            <w:vAlign w:val="bottom"/>
          </w:tcPr>
          <w:p w14:paraId="4D866497">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22.4</w:t>
            </w:r>
          </w:p>
        </w:tc>
        <w:tc>
          <w:tcPr>
            <w:tcW w:w="649" w:type="dxa"/>
            <w:noWrap w:val="0"/>
            <w:vAlign w:val="bottom"/>
          </w:tcPr>
          <w:p w14:paraId="7BA75F7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20.1</w:t>
            </w:r>
          </w:p>
        </w:tc>
        <w:tc>
          <w:tcPr>
            <w:tcW w:w="648" w:type="dxa"/>
            <w:noWrap w:val="0"/>
            <w:vAlign w:val="bottom"/>
          </w:tcPr>
          <w:p w14:paraId="698CAE4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16.2</w:t>
            </w:r>
          </w:p>
        </w:tc>
        <w:tc>
          <w:tcPr>
            <w:tcW w:w="649" w:type="dxa"/>
            <w:noWrap w:val="0"/>
            <w:vAlign w:val="bottom"/>
          </w:tcPr>
          <w:p w14:paraId="52A283D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12.6</w:t>
            </w:r>
          </w:p>
        </w:tc>
        <w:tc>
          <w:tcPr>
            <w:tcW w:w="648" w:type="dxa"/>
            <w:noWrap w:val="0"/>
            <w:vAlign w:val="bottom"/>
          </w:tcPr>
          <w:p w14:paraId="2602F31C">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50DA9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61F2D68A">
            <w:pPr>
              <w:pStyle w:val="2114"/>
              <w:spacing w:line="300" w:lineRule="exact"/>
              <w:rPr>
                <w:rFonts w:ascii="Arial" w:hAnsi="Arial" w:cs="Arial"/>
                <w:sz w:val="22"/>
                <w:szCs w:val="22"/>
              </w:rPr>
            </w:pPr>
            <w:r>
              <w:rPr>
                <w:rFonts w:hint="eastAsia" w:ascii="Arial" w:hAnsi="Arial" w:cs="Arial"/>
                <w:sz w:val="22"/>
                <w:szCs w:val="22"/>
                <w:lang w:val="en-US" w:eastAsia="zh-CN"/>
              </w:rPr>
              <w:t>14.5</w:t>
            </w:r>
            <w:r>
              <w:rPr>
                <w:rFonts w:ascii="Arial" w:hAnsi="Arial" w:cs="Arial"/>
                <w:sz w:val="22"/>
                <w:szCs w:val="22"/>
              </w:rPr>
              <w:t>m</w:t>
            </w:r>
          </w:p>
        </w:tc>
        <w:tc>
          <w:tcPr>
            <w:tcW w:w="648" w:type="dxa"/>
            <w:noWrap w:val="0"/>
            <w:vAlign w:val="bottom"/>
          </w:tcPr>
          <w:p w14:paraId="216AFDA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1E2BC04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7.9</w:t>
            </w:r>
          </w:p>
        </w:tc>
        <w:tc>
          <w:tcPr>
            <w:tcW w:w="649" w:type="dxa"/>
            <w:noWrap w:val="0"/>
            <w:vAlign w:val="bottom"/>
          </w:tcPr>
          <w:p w14:paraId="1D8BE0A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9.6</w:t>
            </w:r>
          </w:p>
        </w:tc>
        <w:tc>
          <w:tcPr>
            <w:tcW w:w="648" w:type="dxa"/>
            <w:noWrap w:val="0"/>
            <w:vAlign w:val="bottom"/>
          </w:tcPr>
          <w:p w14:paraId="3C89EE77">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11.0</w:t>
            </w:r>
          </w:p>
        </w:tc>
        <w:tc>
          <w:tcPr>
            <w:tcW w:w="648" w:type="dxa"/>
            <w:noWrap w:val="0"/>
            <w:vAlign w:val="bottom"/>
          </w:tcPr>
          <w:p w14:paraId="69FF103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12.6</w:t>
            </w:r>
          </w:p>
        </w:tc>
        <w:tc>
          <w:tcPr>
            <w:tcW w:w="649" w:type="dxa"/>
            <w:noWrap w:val="0"/>
            <w:vAlign w:val="bottom"/>
          </w:tcPr>
          <w:p w14:paraId="6EA4718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14.4</w:t>
            </w:r>
          </w:p>
        </w:tc>
        <w:tc>
          <w:tcPr>
            <w:tcW w:w="648" w:type="dxa"/>
            <w:noWrap w:val="0"/>
            <w:vAlign w:val="bottom"/>
          </w:tcPr>
          <w:p w14:paraId="79FD4EE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17.1</w:t>
            </w:r>
          </w:p>
        </w:tc>
        <w:tc>
          <w:tcPr>
            <w:tcW w:w="648" w:type="dxa"/>
            <w:noWrap w:val="0"/>
            <w:vAlign w:val="bottom"/>
          </w:tcPr>
          <w:p w14:paraId="42BC97B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19.4</w:t>
            </w:r>
          </w:p>
        </w:tc>
        <w:tc>
          <w:tcPr>
            <w:tcW w:w="649" w:type="dxa"/>
            <w:noWrap w:val="0"/>
            <w:vAlign w:val="bottom"/>
          </w:tcPr>
          <w:p w14:paraId="38C1136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18.2</w:t>
            </w:r>
          </w:p>
        </w:tc>
        <w:tc>
          <w:tcPr>
            <w:tcW w:w="648" w:type="dxa"/>
            <w:noWrap w:val="0"/>
            <w:vAlign w:val="bottom"/>
          </w:tcPr>
          <w:p w14:paraId="603DB6B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15.3</w:t>
            </w:r>
          </w:p>
        </w:tc>
        <w:tc>
          <w:tcPr>
            <w:tcW w:w="649" w:type="dxa"/>
            <w:noWrap w:val="0"/>
            <w:vAlign w:val="bottom"/>
          </w:tcPr>
          <w:p w14:paraId="424C568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12.3</w:t>
            </w:r>
          </w:p>
        </w:tc>
        <w:tc>
          <w:tcPr>
            <w:tcW w:w="648" w:type="dxa"/>
            <w:noWrap w:val="0"/>
            <w:vAlign w:val="bottom"/>
          </w:tcPr>
          <w:p w14:paraId="6810C3C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54393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3D4B9CCE">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变幅</w:t>
            </w:r>
          </w:p>
        </w:tc>
        <w:tc>
          <w:tcPr>
            <w:tcW w:w="648" w:type="dxa"/>
            <w:noWrap w:val="0"/>
            <w:vAlign w:val="bottom"/>
          </w:tcPr>
          <w:p w14:paraId="649E0854">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0</w:t>
            </w:r>
          </w:p>
        </w:tc>
        <w:tc>
          <w:tcPr>
            <w:tcW w:w="539" w:type="dxa"/>
            <w:noWrap w:val="0"/>
            <w:vAlign w:val="bottom"/>
          </w:tcPr>
          <w:p w14:paraId="306696C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0.1</w:t>
            </w:r>
          </w:p>
        </w:tc>
        <w:tc>
          <w:tcPr>
            <w:tcW w:w="649" w:type="dxa"/>
            <w:noWrap w:val="0"/>
            <w:vAlign w:val="bottom"/>
          </w:tcPr>
          <w:p w14:paraId="674A35B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2.9</w:t>
            </w:r>
          </w:p>
        </w:tc>
        <w:tc>
          <w:tcPr>
            <w:tcW w:w="648" w:type="dxa"/>
            <w:noWrap w:val="0"/>
            <w:vAlign w:val="bottom"/>
          </w:tcPr>
          <w:p w14:paraId="05BA3AF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648" w:type="dxa"/>
            <w:noWrap w:val="0"/>
            <w:vAlign w:val="bottom"/>
          </w:tcPr>
          <w:p w14:paraId="40DFB1DC">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8.4</w:t>
            </w:r>
          </w:p>
        </w:tc>
        <w:tc>
          <w:tcPr>
            <w:tcW w:w="649" w:type="dxa"/>
            <w:noWrap w:val="0"/>
            <w:vAlign w:val="bottom"/>
          </w:tcPr>
          <w:p w14:paraId="34BFD22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9.6</w:t>
            </w:r>
          </w:p>
        </w:tc>
        <w:tc>
          <w:tcPr>
            <w:tcW w:w="648" w:type="dxa"/>
            <w:noWrap w:val="0"/>
            <w:vAlign w:val="bottom"/>
          </w:tcPr>
          <w:p w14:paraId="6274E92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9.9</w:t>
            </w:r>
          </w:p>
        </w:tc>
        <w:tc>
          <w:tcPr>
            <w:tcW w:w="648" w:type="dxa"/>
            <w:noWrap w:val="0"/>
            <w:vAlign w:val="bottom"/>
          </w:tcPr>
          <w:p w14:paraId="018D019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8.1</w:t>
            </w:r>
          </w:p>
        </w:tc>
        <w:tc>
          <w:tcPr>
            <w:tcW w:w="649" w:type="dxa"/>
            <w:noWrap w:val="0"/>
            <w:vAlign w:val="bottom"/>
          </w:tcPr>
          <w:p w14:paraId="5D44FE87">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4.3</w:t>
            </w:r>
          </w:p>
        </w:tc>
        <w:tc>
          <w:tcPr>
            <w:tcW w:w="648" w:type="dxa"/>
            <w:noWrap w:val="0"/>
            <w:vAlign w:val="bottom"/>
          </w:tcPr>
          <w:p w14:paraId="0C9E4809">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1.7</w:t>
            </w:r>
          </w:p>
        </w:tc>
        <w:tc>
          <w:tcPr>
            <w:tcW w:w="649" w:type="dxa"/>
            <w:noWrap w:val="0"/>
            <w:vAlign w:val="bottom"/>
          </w:tcPr>
          <w:p w14:paraId="7D1B29A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0.5</w:t>
            </w:r>
          </w:p>
        </w:tc>
        <w:tc>
          <w:tcPr>
            <w:tcW w:w="648" w:type="dxa"/>
            <w:noWrap w:val="0"/>
            <w:vAlign w:val="bottom"/>
          </w:tcPr>
          <w:p w14:paraId="6A110C02">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0</w:t>
            </w:r>
          </w:p>
        </w:tc>
      </w:tr>
    </w:tbl>
    <w:p w14:paraId="686FA746">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bCs/>
          <w:sz w:val="26"/>
          <w:szCs w:val="26"/>
          <w:lang w:eastAsia="zh-CN"/>
        </w:rPr>
      </w:pPr>
    </w:p>
    <w:p w14:paraId="3F08A082">
      <w:pPr>
        <w:spacing w:line="460" w:lineRule="exact"/>
        <w:ind w:firstLine="520" w:firstLineChars="200"/>
        <w:rPr>
          <w:rFonts w:hint="eastAsia" w:ascii="Arial" w:hAnsi="Arial" w:cs="Arial"/>
          <w:bCs/>
          <w:sz w:val="26"/>
          <w:szCs w:val="26"/>
          <w:lang w:eastAsia="zh-CN"/>
        </w:rPr>
      </w:pPr>
      <w:r>
        <w:rPr>
          <w:rFonts w:hint="eastAsia" w:ascii="Arial" w:hAnsi="Arial" w:cs="Arial"/>
          <w:bCs/>
          <w:sz w:val="26"/>
          <w:szCs w:val="26"/>
          <w:lang w:eastAsia="zh-CN"/>
        </w:rPr>
        <w:t>根据表可知：水温自上而下降低，1</w:t>
      </w:r>
      <w:r>
        <w:rPr>
          <w:rFonts w:hint="eastAsia" w:ascii="Arial" w:hAnsi="Arial" w:cs="Arial"/>
          <w:bCs/>
          <w:sz w:val="26"/>
          <w:szCs w:val="26"/>
          <w:lang w:val="en-US" w:eastAsia="zh-CN"/>
        </w:rPr>
        <w:t>1</w:t>
      </w:r>
      <w:r>
        <w:rPr>
          <w:rFonts w:hint="eastAsia" w:ascii="Arial" w:hAnsi="Arial" w:cs="Arial"/>
          <w:bCs/>
          <w:sz w:val="26"/>
          <w:szCs w:val="26"/>
          <w:lang w:eastAsia="zh-CN"/>
        </w:rPr>
        <w:t>月至次年2 月基本不分层，3 ~1</w:t>
      </w:r>
      <w:r>
        <w:rPr>
          <w:rFonts w:hint="eastAsia" w:ascii="Arial" w:hAnsi="Arial" w:cs="Arial"/>
          <w:bCs/>
          <w:sz w:val="26"/>
          <w:szCs w:val="26"/>
          <w:lang w:val="en-US" w:eastAsia="zh-CN"/>
        </w:rPr>
        <w:t>0</w:t>
      </w:r>
      <w:r>
        <w:rPr>
          <w:rFonts w:hint="eastAsia" w:ascii="Arial" w:hAnsi="Arial" w:cs="Arial"/>
          <w:bCs/>
          <w:sz w:val="26"/>
          <w:szCs w:val="26"/>
          <w:lang w:eastAsia="zh-CN"/>
        </w:rPr>
        <w:t>月有明显分层。</w:t>
      </w:r>
      <w:r>
        <w:rPr>
          <w:rFonts w:hint="eastAsia" w:ascii="Arial" w:hAnsi="Arial" w:cs="Arial"/>
          <w:bCs/>
          <w:sz w:val="26"/>
          <w:szCs w:val="26"/>
          <w:lang w:val="en-US" w:eastAsia="zh-CN"/>
        </w:rPr>
        <w:t>12月</w:t>
      </w:r>
      <w:r>
        <w:rPr>
          <w:rFonts w:hint="eastAsia" w:ascii="Arial" w:hAnsi="Arial" w:cs="Arial"/>
          <w:bCs/>
          <w:sz w:val="26"/>
          <w:szCs w:val="26"/>
          <w:lang w:eastAsia="zh-CN"/>
        </w:rPr>
        <w:t>~次年2月坝前垂向水温基本同温，且为全年最低；进入3月，入库水温随着气温的增高而开始升，库底水温变化不大；4~</w:t>
      </w:r>
      <w:r>
        <w:rPr>
          <w:rFonts w:hint="eastAsia" w:ascii="Arial" w:hAnsi="Arial" w:cs="Arial"/>
          <w:bCs/>
          <w:sz w:val="26"/>
          <w:szCs w:val="26"/>
          <w:lang w:val="en-US" w:eastAsia="zh-CN"/>
        </w:rPr>
        <w:t>6</w:t>
      </w:r>
      <w:r>
        <w:rPr>
          <w:rFonts w:hint="eastAsia" w:ascii="Arial" w:hAnsi="Arial" w:cs="Arial"/>
          <w:bCs/>
          <w:sz w:val="26"/>
          <w:szCs w:val="26"/>
          <w:lang w:eastAsia="zh-CN"/>
        </w:rPr>
        <w:t>月入库水温继续随气温上升，库底水温由于热量的向下传递也开始升高；</w:t>
      </w:r>
      <w:r>
        <w:rPr>
          <w:rFonts w:hint="eastAsia" w:ascii="Arial" w:hAnsi="Arial" w:cs="Arial"/>
          <w:bCs/>
          <w:sz w:val="26"/>
          <w:szCs w:val="26"/>
          <w:lang w:val="en-US" w:eastAsia="zh-CN"/>
        </w:rPr>
        <w:t>7</w:t>
      </w:r>
      <w:r>
        <w:rPr>
          <w:rFonts w:hint="eastAsia" w:ascii="Arial" w:hAnsi="Arial" w:cs="Arial"/>
          <w:bCs/>
          <w:sz w:val="26"/>
          <w:szCs w:val="26"/>
          <w:lang w:eastAsia="zh-CN"/>
        </w:rPr>
        <w:t>月气温达到最大值，库底低温水层被彻底破坏，坝前垂向温差增至</w:t>
      </w:r>
      <w:r>
        <w:rPr>
          <w:rFonts w:hint="eastAsia" w:ascii="Arial" w:hAnsi="Arial" w:cs="Arial"/>
          <w:bCs/>
          <w:sz w:val="26"/>
          <w:szCs w:val="26"/>
          <w:lang w:val="en-US" w:eastAsia="zh-CN"/>
        </w:rPr>
        <w:t>9.9</w:t>
      </w:r>
      <w:r>
        <w:rPr>
          <w:rFonts w:hint="eastAsia" w:ascii="Arial" w:hAnsi="Arial" w:cs="Arial"/>
          <w:bCs/>
          <w:sz w:val="26"/>
          <w:szCs w:val="26"/>
          <w:lang w:eastAsia="zh-CN"/>
        </w:rPr>
        <w:t>℃；10月至次年1月，气温的逐步降低、天然来水温的降低，表层水水温下降，垂向温差逐步减小。</w:t>
      </w:r>
    </w:p>
    <w:p w14:paraId="3EFF19E4">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3</w:t>
      </w:r>
      <w:r>
        <w:rPr>
          <w:rFonts w:hint="eastAsia" w:ascii="Arial" w:hAnsi="宋体" w:cs="Arial"/>
          <w:b/>
          <w:sz w:val="26"/>
          <w:szCs w:val="26"/>
        </w:rPr>
        <w:t>）</w:t>
      </w:r>
      <w:r>
        <w:rPr>
          <w:rFonts w:hint="eastAsia" w:ascii="Arial" w:hAnsi="宋体" w:cs="Arial"/>
          <w:b/>
          <w:sz w:val="26"/>
          <w:szCs w:val="26"/>
          <w:lang w:eastAsia="zh-CN"/>
        </w:rPr>
        <w:t>低温水下泄的影响</w:t>
      </w:r>
    </w:p>
    <w:p w14:paraId="49949396">
      <w:pPr>
        <w:spacing w:line="460" w:lineRule="exact"/>
        <w:ind w:firstLine="522" w:firstLineChars="200"/>
        <w:rPr>
          <w:rFonts w:hint="eastAsia" w:ascii="Arial" w:hAnsi="Arial" w:eastAsia="宋体" w:cs="Arial"/>
          <w:b/>
          <w:bCs/>
          <w:color w:val="000000"/>
          <w:sz w:val="26"/>
          <w:szCs w:val="26"/>
          <w:lang w:val="en-US" w:eastAsia="zh-CN"/>
        </w:rPr>
      </w:pPr>
      <w:r>
        <w:rPr>
          <w:rFonts w:hint="default" w:ascii="Arial" w:hAnsi="Arial" w:eastAsia="宋体" w:cs="Arial"/>
          <w:b/>
          <w:bCs/>
          <w:color w:val="000000"/>
          <w:sz w:val="26"/>
          <w:szCs w:val="26"/>
          <w:lang w:val="en-US" w:eastAsia="zh-CN"/>
        </w:rPr>
        <w:t>①</w:t>
      </w:r>
      <w:r>
        <w:rPr>
          <w:rFonts w:hint="eastAsia" w:ascii="Arial" w:hAnsi="Arial" w:cs="Arial"/>
          <w:b/>
          <w:bCs/>
          <w:color w:val="000000"/>
          <w:sz w:val="26"/>
          <w:szCs w:val="26"/>
          <w:lang w:val="en-US" w:eastAsia="zh-CN"/>
        </w:rPr>
        <w:t>对农灌作物的影响</w:t>
      </w:r>
    </w:p>
    <w:p w14:paraId="4568F370">
      <w:pPr>
        <w:spacing w:line="460" w:lineRule="exact"/>
        <w:ind w:firstLine="520" w:firstLineChars="200"/>
        <w:rPr>
          <w:rFonts w:hint="default" w:ascii="Arial" w:hAnsi="宋体" w:eastAsia="宋体" w:cs="Arial"/>
          <w:sz w:val="26"/>
          <w:szCs w:val="26"/>
          <w:lang w:val="en-US" w:eastAsia="zh-CN"/>
        </w:rPr>
      </w:pPr>
      <w:r>
        <w:rPr>
          <w:rFonts w:hint="eastAsia" w:ascii="Arial" w:hAnsi="宋体" w:cs="Arial"/>
          <w:sz w:val="26"/>
          <w:szCs w:val="26"/>
          <w:lang w:eastAsia="zh-CN"/>
        </w:rPr>
        <w:t>海螺沟</w:t>
      </w:r>
      <w:r>
        <w:rPr>
          <w:rFonts w:hint="eastAsia" w:ascii="Arial" w:hAnsi="宋体" w:cs="Arial"/>
          <w:sz w:val="26"/>
          <w:szCs w:val="26"/>
        </w:rPr>
        <w:t>水库采取分层取水方式，分</w:t>
      </w:r>
      <w:r>
        <w:rPr>
          <w:rFonts w:hint="eastAsia" w:ascii="Arial" w:hAnsi="宋体" w:cs="Arial"/>
          <w:sz w:val="26"/>
          <w:szCs w:val="26"/>
          <w:lang w:val="en-US" w:eastAsia="zh-CN"/>
        </w:rPr>
        <w:t>5</w:t>
      </w:r>
      <w:r>
        <w:rPr>
          <w:rFonts w:hint="eastAsia" w:ascii="Arial" w:hAnsi="宋体" w:cs="Arial"/>
          <w:sz w:val="26"/>
          <w:szCs w:val="26"/>
        </w:rPr>
        <w:t>层取水，</w:t>
      </w:r>
      <w:r>
        <w:rPr>
          <w:rFonts w:hint="eastAsia" w:ascii="Arial" w:hAnsi="Arial" w:cs="Arial"/>
          <w:bCs/>
          <w:sz w:val="26"/>
          <w:szCs w:val="26"/>
          <w:lang w:eastAsia="zh-CN"/>
        </w:rPr>
        <w:t>各层取水口从上到下高程依次为</w:t>
      </w:r>
      <w:r>
        <w:rPr>
          <w:rFonts w:hint="default" w:ascii="Arial" w:hAnsi="Arial" w:cs="Arial"/>
          <w:sz w:val="26"/>
          <w:szCs w:val="26"/>
        </w:rPr>
        <w:t>418.00m、415.00m、412.00m</w:t>
      </w:r>
      <w:r>
        <w:rPr>
          <w:rFonts w:hint="eastAsia" w:ascii="Arial" w:hAnsi="Arial" w:cs="Arial"/>
          <w:sz w:val="26"/>
          <w:szCs w:val="26"/>
        </w:rPr>
        <w:t>、</w:t>
      </w:r>
      <w:r>
        <w:rPr>
          <w:rFonts w:hint="default" w:ascii="Arial" w:hAnsi="Arial" w:cs="Arial"/>
          <w:sz w:val="26"/>
          <w:szCs w:val="26"/>
        </w:rPr>
        <w:t>409.00m</w:t>
      </w:r>
      <w:r>
        <w:rPr>
          <w:rFonts w:hint="eastAsia" w:ascii="Arial" w:hAnsi="Arial" w:cs="Arial"/>
          <w:sz w:val="26"/>
          <w:szCs w:val="26"/>
        </w:rPr>
        <w:t>、</w:t>
      </w:r>
      <w:r>
        <w:rPr>
          <w:rFonts w:hint="default" w:ascii="Arial" w:hAnsi="Arial" w:cs="Arial"/>
          <w:sz w:val="26"/>
          <w:szCs w:val="26"/>
        </w:rPr>
        <w:t>405.50m</w:t>
      </w:r>
      <w:r>
        <w:rPr>
          <w:rFonts w:hint="eastAsia" w:ascii="Arial" w:hAnsi="Arial" w:cs="Arial"/>
          <w:sz w:val="26"/>
          <w:szCs w:val="26"/>
          <w:lang w:eastAsia="zh-CN"/>
        </w:rPr>
        <w:t>，</w:t>
      </w:r>
      <w:r>
        <w:rPr>
          <w:rFonts w:hint="eastAsia" w:ascii="Arial" w:hAnsi="宋体" w:cs="Arial"/>
          <w:sz w:val="26"/>
          <w:szCs w:val="26"/>
        </w:rPr>
        <w:t>各层取水</w:t>
      </w:r>
      <w:r>
        <w:rPr>
          <w:rFonts w:hint="eastAsia" w:ascii="Arial" w:hAnsi="宋体" w:cs="Arial"/>
          <w:sz w:val="26"/>
          <w:szCs w:val="26"/>
          <w:lang w:eastAsia="zh-CN"/>
        </w:rPr>
        <w:t>口</w:t>
      </w:r>
      <w:r>
        <w:rPr>
          <w:rFonts w:hint="eastAsia" w:ascii="Arial" w:hAnsi="宋体" w:cs="Arial"/>
          <w:sz w:val="26"/>
          <w:szCs w:val="26"/>
        </w:rPr>
        <w:t>处水深分别为</w:t>
      </w:r>
      <w:r>
        <w:rPr>
          <w:rFonts w:hint="eastAsia" w:ascii="Arial" w:hAnsi="宋体" w:cs="Arial"/>
          <w:sz w:val="26"/>
          <w:szCs w:val="26"/>
          <w:lang w:val="en-US" w:eastAsia="zh-CN"/>
        </w:rPr>
        <w:t>2</w:t>
      </w:r>
      <w:r>
        <w:rPr>
          <w:rFonts w:hint="eastAsia" w:ascii="Arial" w:hAnsi="宋体" w:cs="Arial"/>
          <w:sz w:val="26"/>
          <w:szCs w:val="26"/>
        </w:rPr>
        <w:t>m、</w:t>
      </w:r>
      <w:r>
        <w:rPr>
          <w:rFonts w:hint="eastAsia" w:ascii="Arial" w:hAnsi="宋体" w:cs="Arial"/>
          <w:sz w:val="26"/>
          <w:szCs w:val="26"/>
          <w:lang w:val="en-US" w:eastAsia="zh-CN"/>
        </w:rPr>
        <w:t>5</w:t>
      </w:r>
      <w:r>
        <w:rPr>
          <w:rFonts w:hint="eastAsia" w:ascii="Arial" w:hAnsi="宋体" w:cs="Arial"/>
          <w:sz w:val="26"/>
          <w:szCs w:val="26"/>
        </w:rPr>
        <w:t>m、</w:t>
      </w:r>
      <w:r>
        <w:rPr>
          <w:rFonts w:hint="eastAsia" w:ascii="Arial" w:hAnsi="宋体" w:cs="Arial"/>
          <w:sz w:val="26"/>
          <w:szCs w:val="26"/>
          <w:lang w:val="en-US" w:eastAsia="zh-CN"/>
        </w:rPr>
        <w:t>8</w:t>
      </w:r>
      <w:r>
        <w:rPr>
          <w:rFonts w:hint="eastAsia" w:ascii="Arial" w:hAnsi="宋体" w:cs="Arial"/>
          <w:sz w:val="26"/>
          <w:szCs w:val="26"/>
        </w:rPr>
        <w:t>m、</w:t>
      </w:r>
      <w:r>
        <w:rPr>
          <w:rFonts w:hint="eastAsia" w:ascii="Arial" w:hAnsi="宋体" w:cs="Arial"/>
          <w:sz w:val="26"/>
          <w:szCs w:val="26"/>
          <w:lang w:val="en-US" w:eastAsia="zh-CN"/>
        </w:rPr>
        <w:t>11</w:t>
      </w:r>
      <w:r>
        <w:rPr>
          <w:rFonts w:hint="eastAsia" w:ascii="Arial" w:hAnsi="宋体" w:cs="Arial"/>
          <w:sz w:val="26"/>
          <w:szCs w:val="26"/>
        </w:rPr>
        <w:t>m</w:t>
      </w:r>
      <w:r>
        <w:rPr>
          <w:rFonts w:hint="eastAsia" w:ascii="Arial" w:hAnsi="宋体" w:cs="Arial"/>
          <w:sz w:val="26"/>
          <w:szCs w:val="26"/>
          <w:lang w:eastAsia="zh-CN"/>
        </w:rPr>
        <w:t>、</w:t>
      </w:r>
      <w:r>
        <w:rPr>
          <w:rFonts w:hint="eastAsia" w:ascii="Arial" w:hAnsi="宋体" w:cs="Arial"/>
          <w:sz w:val="26"/>
          <w:szCs w:val="26"/>
          <w:lang w:val="en-US" w:eastAsia="zh-CN"/>
        </w:rPr>
        <w:t>14.5m</w:t>
      </w:r>
      <w:r>
        <w:rPr>
          <w:rFonts w:hint="eastAsia" w:ascii="Arial" w:hAnsi="宋体" w:cs="Arial"/>
          <w:sz w:val="26"/>
          <w:szCs w:val="26"/>
        </w:rPr>
        <w:t>。</w:t>
      </w:r>
      <w:r>
        <w:rPr>
          <w:rFonts w:hint="eastAsia" w:ascii="Arial" w:hAnsi="宋体" w:cs="Arial"/>
          <w:sz w:val="26"/>
          <w:szCs w:val="26"/>
          <w:lang w:eastAsia="zh-CN"/>
        </w:rPr>
        <w:t>海螺沟水库建成后，灌溉面积为</w:t>
      </w:r>
      <w:r>
        <w:rPr>
          <w:rFonts w:hint="eastAsia" w:ascii="Arial" w:hAnsi="宋体" w:cs="Arial"/>
          <w:sz w:val="26"/>
          <w:szCs w:val="26"/>
          <w:lang w:val="en-US" w:eastAsia="zh-CN"/>
        </w:rPr>
        <w:t>2000亩，主要分布在双龙社区、回龙场村，</w:t>
      </w:r>
      <w:r>
        <w:rPr>
          <w:rFonts w:hint="eastAsia" w:ascii="Arial" w:hAnsi="宋体" w:cs="Arial"/>
          <w:sz w:val="26"/>
          <w:szCs w:val="26"/>
        </w:rPr>
        <w:t>农作物主要有水稻、玉米、红薯、土豆、蔬菜等，灌区主要作物灌溉定额及特征详见表</w:t>
      </w:r>
      <w:r>
        <w:rPr>
          <w:rFonts w:hint="eastAsia" w:ascii="Arial" w:hAnsi="宋体" w:cs="Arial"/>
          <w:sz w:val="26"/>
          <w:szCs w:val="26"/>
          <w:lang w:val="en-US" w:eastAsia="zh-CN"/>
        </w:rPr>
        <w:t>6.5-7</w:t>
      </w:r>
      <w:r>
        <w:rPr>
          <w:rFonts w:hint="eastAsia" w:ascii="Arial" w:hAnsi="宋体" w:cs="Arial"/>
          <w:sz w:val="26"/>
          <w:szCs w:val="26"/>
        </w:rPr>
        <w:t>所示。</w:t>
      </w:r>
    </w:p>
    <w:p w14:paraId="39C28E7A">
      <w:pPr>
        <w:spacing w:line="460" w:lineRule="exact"/>
        <w:jc w:val="center"/>
        <w:rPr>
          <w:rFonts w:hint="eastAsia" w:ascii="Arial" w:hAnsi="宋体" w:cs="Arial"/>
          <w:b/>
          <w:sz w:val="26"/>
          <w:szCs w:val="26"/>
        </w:rPr>
      </w:pPr>
      <w:r>
        <w:rPr>
          <w:rFonts w:hint="eastAsia" w:ascii="Arial" w:hAnsi="宋体" w:cs="Arial"/>
          <w:b/>
          <w:sz w:val="26"/>
          <w:szCs w:val="26"/>
        </w:rPr>
        <w:t>表</w:t>
      </w:r>
      <w:r>
        <w:rPr>
          <w:rFonts w:hint="eastAsia" w:ascii="Arial" w:hAnsi="宋体" w:cs="Arial"/>
          <w:b/>
          <w:sz w:val="26"/>
          <w:szCs w:val="26"/>
          <w:lang w:val="en-US" w:eastAsia="zh-CN"/>
        </w:rPr>
        <w:t xml:space="preserve">6.5-7 </w:t>
      </w:r>
      <w:r>
        <w:rPr>
          <w:rFonts w:hint="eastAsia" w:ascii="Arial" w:hAnsi="宋体" w:cs="Arial"/>
          <w:b/>
          <w:sz w:val="26"/>
          <w:szCs w:val="26"/>
        </w:rPr>
        <w:t xml:space="preserve"> 灌区主要农作物灌溉特征表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9"/>
        <w:gridCol w:w="2140"/>
        <w:gridCol w:w="2975"/>
        <w:gridCol w:w="2124"/>
      </w:tblGrid>
      <w:tr w14:paraId="7B10A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1259" w:type="dxa"/>
            <w:noWrap w:val="0"/>
            <w:vAlign w:val="center"/>
          </w:tcPr>
          <w:p w14:paraId="6753133A">
            <w:pPr>
              <w:spacing w:line="300" w:lineRule="exact"/>
              <w:jc w:val="center"/>
              <w:rPr>
                <w:rFonts w:hint="eastAsia" w:ascii="Arial" w:hAnsi="宋体" w:cs="Arial"/>
                <w:sz w:val="22"/>
                <w:szCs w:val="22"/>
              </w:rPr>
            </w:pPr>
            <w:r>
              <w:rPr>
                <w:rFonts w:hint="eastAsia" w:ascii="Arial" w:hAnsi="宋体" w:cs="Arial"/>
                <w:sz w:val="22"/>
                <w:szCs w:val="22"/>
              </w:rPr>
              <w:t>作物</w:t>
            </w:r>
          </w:p>
        </w:tc>
        <w:tc>
          <w:tcPr>
            <w:tcW w:w="2140" w:type="dxa"/>
            <w:noWrap w:val="0"/>
            <w:vAlign w:val="center"/>
          </w:tcPr>
          <w:p w14:paraId="4B28D6EE">
            <w:pPr>
              <w:spacing w:line="300" w:lineRule="exact"/>
              <w:jc w:val="center"/>
              <w:rPr>
                <w:rFonts w:hint="eastAsia" w:ascii="Arial" w:hAnsi="宋体" w:cs="Arial"/>
                <w:sz w:val="22"/>
                <w:szCs w:val="22"/>
              </w:rPr>
            </w:pPr>
            <w:r>
              <w:rPr>
                <w:rFonts w:hint="eastAsia" w:ascii="Arial" w:hAnsi="宋体" w:cs="Arial"/>
                <w:sz w:val="22"/>
                <w:szCs w:val="22"/>
              </w:rPr>
              <w:t>最佳灌溉时间范围</w:t>
            </w:r>
          </w:p>
        </w:tc>
        <w:tc>
          <w:tcPr>
            <w:tcW w:w="2975" w:type="dxa"/>
            <w:noWrap w:val="0"/>
            <w:vAlign w:val="center"/>
          </w:tcPr>
          <w:p w14:paraId="3EBEBA55">
            <w:pPr>
              <w:spacing w:line="300" w:lineRule="exact"/>
              <w:jc w:val="center"/>
              <w:rPr>
                <w:rFonts w:hint="eastAsia" w:ascii="Arial" w:hAnsi="宋体" w:cs="Arial"/>
                <w:sz w:val="22"/>
                <w:szCs w:val="22"/>
              </w:rPr>
            </w:pPr>
            <w:r>
              <w:rPr>
                <w:rFonts w:hint="eastAsia" w:ascii="Arial" w:hAnsi="宋体" w:cs="Arial"/>
                <w:sz w:val="22"/>
                <w:szCs w:val="22"/>
              </w:rPr>
              <w:t>温度范围（℃）</w:t>
            </w:r>
          </w:p>
        </w:tc>
        <w:tc>
          <w:tcPr>
            <w:tcW w:w="2124" w:type="dxa"/>
            <w:noWrap w:val="0"/>
            <w:vAlign w:val="center"/>
          </w:tcPr>
          <w:p w14:paraId="1BEECB62">
            <w:pPr>
              <w:spacing w:line="300" w:lineRule="exact"/>
              <w:jc w:val="center"/>
              <w:rPr>
                <w:rFonts w:hint="eastAsia" w:ascii="Arial" w:hAnsi="宋体" w:cs="Arial"/>
                <w:sz w:val="22"/>
                <w:szCs w:val="22"/>
              </w:rPr>
            </w:pPr>
            <w:r>
              <w:rPr>
                <w:rFonts w:hint="eastAsia" w:ascii="Arial" w:hAnsi="宋体" w:cs="Arial"/>
                <w:sz w:val="22"/>
                <w:szCs w:val="22"/>
              </w:rPr>
              <w:t>各取水层温度（℃）</w:t>
            </w:r>
          </w:p>
        </w:tc>
      </w:tr>
      <w:tr w14:paraId="20B05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 w:hRule="atLeast"/>
          <w:jc w:val="center"/>
        </w:trPr>
        <w:tc>
          <w:tcPr>
            <w:tcW w:w="1259" w:type="dxa"/>
            <w:noWrap w:val="0"/>
            <w:vAlign w:val="center"/>
          </w:tcPr>
          <w:p w14:paraId="509E303A">
            <w:pPr>
              <w:spacing w:line="300" w:lineRule="exact"/>
              <w:jc w:val="center"/>
              <w:rPr>
                <w:rFonts w:hint="eastAsia" w:ascii="Arial" w:hAnsi="宋体" w:cs="Arial"/>
                <w:sz w:val="22"/>
                <w:szCs w:val="22"/>
              </w:rPr>
            </w:pPr>
            <w:r>
              <w:rPr>
                <w:rFonts w:hint="eastAsia" w:ascii="Arial" w:hAnsi="宋体" w:cs="Arial"/>
                <w:sz w:val="22"/>
                <w:szCs w:val="22"/>
              </w:rPr>
              <w:t>水稻</w:t>
            </w:r>
          </w:p>
        </w:tc>
        <w:tc>
          <w:tcPr>
            <w:tcW w:w="2140" w:type="dxa"/>
            <w:noWrap w:val="0"/>
            <w:vAlign w:val="center"/>
          </w:tcPr>
          <w:p w14:paraId="314C8842">
            <w:pPr>
              <w:spacing w:line="300" w:lineRule="exact"/>
              <w:jc w:val="center"/>
              <w:rPr>
                <w:rFonts w:hint="eastAsia" w:ascii="Arial" w:hAnsi="宋体" w:cs="Arial"/>
                <w:sz w:val="22"/>
                <w:szCs w:val="22"/>
              </w:rPr>
            </w:pPr>
            <w:r>
              <w:rPr>
                <w:rFonts w:hint="eastAsia" w:ascii="Arial" w:hAnsi="宋体" w:cs="Arial"/>
                <w:sz w:val="22"/>
                <w:szCs w:val="22"/>
                <w:lang w:val="en-US" w:eastAsia="zh-CN"/>
              </w:rPr>
              <w:t>4</w:t>
            </w:r>
            <w:r>
              <w:rPr>
                <w:rFonts w:hint="eastAsia" w:ascii="Arial" w:hAnsi="宋体" w:cs="Arial"/>
                <w:sz w:val="22"/>
                <w:szCs w:val="22"/>
              </w:rPr>
              <w:t>月</w:t>
            </w:r>
            <w:r>
              <w:rPr>
                <w:rFonts w:hint="eastAsia" w:ascii="Arial" w:hAnsi="宋体" w:cs="Arial"/>
                <w:sz w:val="22"/>
                <w:szCs w:val="22"/>
                <w:lang w:eastAsia="zh-CN"/>
              </w:rPr>
              <w:t>下</w:t>
            </w:r>
            <w:r>
              <w:rPr>
                <w:rFonts w:hint="eastAsia" w:ascii="Arial" w:hAnsi="宋体" w:cs="Arial"/>
                <w:sz w:val="22"/>
                <w:szCs w:val="22"/>
              </w:rPr>
              <w:t>旬~5月</w:t>
            </w:r>
            <w:r>
              <w:rPr>
                <w:rFonts w:hint="eastAsia" w:ascii="Arial" w:hAnsi="宋体" w:cs="Arial"/>
                <w:sz w:val="22"/>
                <w:szCs w:val="22"/>
                <w:lang w:eastAsia="zh-CN"/>
              </w:rPr>
              <w:t>上</w:t>
            </w:r>
            <w:r>
              <w:rPr>
                <w:rFonts w:hint="eastAsia" w:ascii="Arial" w:hAnsi="宋体" w:cs="Arial"/>
                <w:sz w:val="22"/>
                <w:szCs w:val="22"/>
              </w:rPr>
              <w:t>旬</w:t>
            </w:r>
          </w:p>
          <w:p w14:paraId="470E4609">
            <w:pPr>
              <w:spacing w:line="300" w:lineRule="exact"/>
              <w:jc w:val="center"/>
              <w:rPr>
                <w:rFonts w:hint="eastAsia" w:ascii="Arial" w:hAnsi="宋体" w:cs="Arial"/>
                <w:sz w:val="22"/>
                <w:szCs w:val="22"/>
              </w:rPr>
            </w:pPr>
            <w:r>
              <w:rPr>
                <w:rFonts w:hint="eastAsia" w:ascii="Arial" w:hAnsi="宋体" w:cs="Arial"/>
                <w:sz w:val="22"/>
                <w:szCs w:val="22"/>
                <w:lang w:val="en-US" w:eastAsia="zh-CN"/>
              </w:rPr>
              <w:t>5</w:t>
            </w:r>
            <w:r>
              <w:rPr>
                <w:rFonts w:hint="eastAsia" w:ascii="Arial" w:hAnsi="宋体" w:cs="Arial"/>
                <w:sz w:val="22"/>
                <w:szCs w:val="22"/>
              </w:rPr>
              <w:t>月</w:t>
            </w:r>
            <w:r>
              <w:rPr>
                <w:rFonts w:hint="eastAsia" w:ascii="Arial" w:hAnsi="宋体" w:cs="Arial"/>
                <w:sz w:val="22"/>
                <w:szCs w:val="22"/>
                <w:lang w:val="en-US" w:eastAsia="zh-CN"/>
              </w:rPr>
              <w:t>中</w:t>
            </w:r>
            <w:r>
              <w:rPr>
                <w:rFonts w:hint="eastAsia" w:ascii="Arial" w:hAnsi="宋体" w:cs="Arial"/>
                <w:sz w:val="22"/>
                <w:szCs w:val="22"/>
              </w:rPr>
              <w:t>旬~8月</w:t>
            </w:r>
            <w:r>
              <w:rPr>
                <w:rFonts w:hint="eastAsia" w:ascii="Arial" w:hAnsi="宋体" w:cs="Arial"/>
                <w:sz w:val="22"/>
                <w:szCs w:val="22"/>
                <w:lang w:eastAsia="zh-CN"/>
              </w:rPr>
              <w:t>下</w:t>
            </w:r>
            <w:r>
              <w:rPr>
                <w:rFonts w:hint="eastAsia" w:ascii="Arial" w:hAnsi="宋体" w:cs="Arial"/>
                <w:sz w:val="22"/>
                <w:szCs w:val="22"/>
              </w:rPr>
              <w:t>旬</w:t>
            </w:r>
          </w:p>
        </w:tc>
        <w:tc>
          <w:tcPr>
            <w:tcW w:w="2975" w:type="dxa"/>
            <w:noWrap w:val="0"/>
            <w:vAlign w:val="center"/>
          </w:tcPr>
          <w:p w14:paraId="6A984897">
            <w:pPr>
              <w:spacing w:line="300" w:lineRule="exact"/>
              <w:jc w:val="center"/>
              <w:rPr>
                <w:rFonts w:hint="eastAsia" w:ascii="Arial" w:hAnsi="宋体" w:cs="Arial"/>
                <w:sz w:val="22"/>
                <w:szCs w:val="22"/>
              </w:rPr>
            </w:pPr>
            <w:r>
              <w:rPr>
                <w:rFonts w:hint="eastAsia" w:ascii="Arial" w:hAnsi="宋体" w:cs="Arial"/>
                <w:sz w:val="22"/>
                <w:szCs w:val="22"/>
              </w:rPr>
              <w:t>10~12</w:t>
            </w:r>
          </w:p>
        </w:tc>
        <w:tc>
          <w:tcPr>
            <w:tcW w:w="2124" w:type="dxa"/>
            <w:noWrap w:val="0"/>
            <w:vAlign w:val="center"/>
          </w:tcPr>
          <w:p w14:paraId="793F69AA">
            <w:pPr>
              <w:spacing w:line="300" w:lineRule="exact"/>
              <w:jc w:val="center"/>
              <w:rPr>
                <w:rFonts w:hint="eastAsia" w:ascii="Arial" w:hAnsi="宋体" w:cs="Arial"/>
                <w:sz w:val="22"/>
                <w:szCs w:val="22"/>
                <w:lang w:val="en-US" w:eastAsia="zh-CN"/>
              </w:rPr>
            </w:pPr>
            <w:r>
              <w:rPr>
                <w:rFonts w:hint="eastAsia" w:ascii="Arial" w:hAnsi="宋体" w:cs="Arial"/>
                <w:sz w:val="22"/>
                <w:szCs w:val="22"/>
                <w:lang w:val="en-US" w:eastAsia="zh-CN"/>
              </w:rPr>
              <w:t>11.0</w:t>
            </w:r>
            <w:r>
              <w:rPr>
                <w:rFonts w:hint="eastAsia" w:ascii="Arial" w:hAnsi="宋体" w:cs="Arial"/>
                <w:sz w:val="22"/>
                <w:szCs w:val="22"/>
              </w:rPr>
              <w:t>~</w:t>
            </w:r>
            <w:r>
              <w:rPr>
                <w:rFonts w:hint="eastAsia" w:ascii="Arial" w:hAnsi="宋体" w:cs="Arial"/>
                <w:sz w:val="22"/>
                <w:szCs w:val="22"/>
                <w:lang w:val="en-US" w:eastAsia="zh-CN"/>
              </w:rPr>
              <w:t>21.0</w:t>
            </w:r>
          </w:p>
          <w:p w14:paraId="5504D928">
            <w:pPr>
              <w:spacing w:line="300" w:lineRule="exact"/>
              <w:jc w:val="center"/>
              <w:rPr>
                <w:rFonts w:hint="default" w:ascii="Arial" w:hAnsi="宋体" w:cs="Arial"/>
                <w:sz w:val="22"/>
                <w:szCs w:val="22"/>
                <w:lang w:val="en-US" w:eastAsia="zh-CN"/>
              </w:rPr>
            </w:pPr>
            <w:r>
              <w:rPr>
                <w:rFonts w:hint="eastAsia" w:ascii="Arial" w:hAnsi="宋体" w:cs="Arial"/>
                <w:sz w:val="22"/>
                <w:szCs w:val="22"/>
                <w:lang w:val="en-US" w:eastAsia="zh-CN"/>
              </w:rPr>
              <w:t>12.6~27.5</w:t>
            </w:r>
          </w:p>
        </w:tc>
      </w:tr>
      <w:tr w14:paraId="5E5D6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 w:hRule="atLeast"/>
          <w:jc w:val="center"/>
        </w:trPr>
        <w:tc>
          <w:tcPr>
            <w:tcW w:w="1259" w:type="dxa"/>
            <w:noWrap w:val="0"/>
            <w:vAlign w:val="center"/>
          </w:tcPr>
          <w:p w14:paraId="50588C14">
            <w:pPr>
              <w:spacing w:line="300" w:lineRule="exact"/>
              <w:jc w:val="center"/>
              <w:rPr>
                <w:rFonts w:hint="eastAsia" w:ascii="Arial" w:hAnsi="宋体" w:cs="Arial"/>
                <w:sz w:val="22"/>
                <w:szCs w:val="22"/>
              </w:rPr>
            </w:pPr>
            <w:r>
              <w:rPr>
                <w:rFonts w:hint="eastAsia" w:ascii="Arial" w:hAnsi="宋体" w:cs="Arial"/>
                <w:sz w:val="22"/>
                <w:szCs w:val="22"/>
              </w:rPr>
              <w:t>玉米</w:t>
            </w:r>
          </w:p>
        </w:tc>
        <w:tc>
          <w:tcPr>
            <w:tcW w:w="2140" w:type="dxa"/>
            <w:noWrap w:val="0"/>
            <w:vAlign w:val="center"/>
          </w:tcPr>
          <w:p w14:paraId="28DFBAB3">
            <w:pPr>
              <w:spacing w:line="300" w:lineRule="exact"/>
              <w:jc w:val="center"/>
              <w:rPr>
                <w:rFonts w:hint="eastAsia" w:ascii="Arial" w:hAnsi="宋体" w:cs="Arial"/>
                <w:sz w:val="22"/>
                <w:szCs w:val="22"/>
              </w:rPr>
            </w:pPr>
            <w:r>
              <w:rPr>
                <w:rFonts w:hint="eastAsia" w:ascii="Arial" w:hAnsi="宋体" w:cs="Arial"/>
                <w:sz w:val="22"/>
                <w:szCs w:val="22"/>
              </w:rPr>
              <w:t>5~6月</w:t>
            </w:r>
          </w:p>
        </w:tc>
        <w:tc>
          <w:tcPr>
            <w:tcW w:w="2975" w:type="dxa"/>
            <w:noWrap w:val="0"/>
            <w:vAlign w:val="center"/>
          </w:tcPr>
          <w:p w14:paraId="37F3FDEB">
            <w:pPr>
              <w:spacing w:line="300" w:lineRule="exact"/>
              <w:jc w:val="center"/>
              <w:rPr>
                <w:rFonts w:hint="eastAsia" w:ascii="Arial" w:hAnsi="宋体" w:cs="Arial"/>
                <w:sz w:val="22"/>
                <w:szCs w:val="22"/>
              </w:rPr>
            </w:pPr>
            <w:r>
              <w:rPr>
                <w:rFonts w:hint="eastAsia" w:ascii="Arial" w:hAnsi="宋体" w:cs="Arial"/>
                <w:sz w:val="22"/>
                <w:szCs w:val="22"/>
              </w:rPr>
              <w:t>5~10</w:t>
            </w:r>
          </w:p>
        </w:tc>
        <w:tc>
          <w:tcPr>
            <w:tcW w:w="2124" w:type="dxa"/>
            <w:noWrap w:val="0"/>
            <w:vAlign w:val="center"/>
          </w:tcPr>
          <w:p w14:paraId="056DB7FE">
            <w:pPr>
              <w:spacing w:line="300" w:lineRule="exact"/>
              <w:jc w:val="center"/>
              <w:rPr>
                <w:rFonts w:hint="default" w:ascii="Arial" w:hAnsi="宋体" w:eastAsia="宋体" w:cs="Arial"/>
                <w:sz w:val="22"/>
                <w:szCs w:val="22"/>
                <w:lang w:val="en-US" w:eastAsia="zh-CN"/>
              </w:rPr>
            </w:pPr>
            <w:r>
              <w:rPr>
                <w:rFonts w:hint="eastAsia" w:ascii="Arial" w:hAnsi="宋体" w:cs="Arial"/>
                <w:sz w:val="22"/>
                <w:szCs w:val="22"/>
                <w:lang w:val="en-US" w:eastAsia="zh-CN"/>
              </w:rPr>
              <w:t>12.9~24.0</w:t>
            </w:r>
          </w:p>
        </w:tc>
      </w:tr>
      <w:tr w14:paraId="490A39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 w:hRule="atLeast"/>
          <w:jc w:val="center"/>
        </w:trPr>
        <w:tc>
          <w:tcPr>
            <w:tcW w:w="1259" w:type="dxa"/>
            <w:noWrap w:val="0"/>
            <w:vAlign w:val="center"/>
          </w:tcPr>
          <w:p w14:paraId="4DDDA74D">
            <w:pPr>
              <w:spacing w:line="300" w:lineRule="exact"/>
              <w:jc w:val="center"/>
              <w:rPr>
                <w:rFonts w:hint="eastAsia" w:ascii="Arial" w:hAnsi="宋体" w:cs="Arial"/>
                <w:sz w:val="22"/>
                <w:szCs w:val="22"/>
              </w:rPr>
            </w:pPr>
            <w:r>
              <w:rPr>
                <w:rFonts w:hint="eastAsia" w:ascii="Arial" w:hAnsi="宋体" w:cs="Arial"/>
                <w:sz w:val="22"/>
                <w:szCs w:val="22"/>
              </w:rPr>
              <w:t>红薯</w:t>
            </w:r>
          </w:p>
        </w:tc>
        <w:tc>
          <w:tcPr>
            <w:tcW w:w="2140" w:type="dxa"/>
            <w:noWrap w:val="0"/>
            <w:vAlign w:val="center"/>
          </w:tcPr>
          <w:p w14:paraId="6DE9247E">
            <w:pPr>
              <w:spacing w:line="300" w:lineRule="exact"/>
              <w:jc w:val="center"/>
              <w:rPr>
                <w:rFonts w:hint="eastAsia" w:ascii="Arial" w:hAnsi="宋体" w:eastAsia="宋体" w:cs="Arial"/>
                <w:sz w:val="22"/>
                <w:szCs w:val="22"/>
                <w:lang w:eastAsia="zh-CN"/>
              </w:rPr>
            </w:pPr>
            <w:r>
              <w:rPr>
                <w:rFonts w:hint="eastAsia" w:ascii="Arial" w:hAnsi="宋体" w:cs="Arial"/>
                <w:sz w:val="22"/>
                <w:szCs w:val="22"/>
              </w:rPr>
              <w:t>6月~9月</w:t>
            </w:r>
            <w:r>
              <w:rPr>
                <w:rFonts w:hint="eastAsia" w:ascii="Arial" w:hAnsi="宋体" w:cs="Arial"/>
                <w:sz w:val="22"/>
                <w:szCs w:val="22"/>
                <w:lang w:eastAsia="zh-CN"/>
              </w:rPr>
              <w:t>上旬</w:t>
            </w:r>
          </w:p>
        </w:tc>
        <w:tc>
          <w:tcPr>
            <w:tcW w:w="2975" w:type="dxa"/>
            <w:noWrap w:val="0"/>
            <w:vAlign w:val="center"/>
          </w:tcPr>
          <w:p w14:paraId="1B940DD3">
            <w:pPr>
              <w:spacing w:line="300" w:lineRule="exact"/>
              <w:jc w:val="center"/>
              <w:rPr>
                <w:rFonts w:hint="eastAsia" w:ascii="Arial" w:hAnsi="宋体" w:cs="Arial"/>
                <w:sz w:val="22"/>
                <w:szCs w:val="22"/>
              </w:rPr>
            </w:pPr>
            <w:r>
              <w:rPr>
                <w:rFonts w:hint="eastAsia" w:ascii="Arial" w:hAnsi="宋体" w:cs="Arial"/>
                <w:sz w:val="22"/>
                <w:szCs w:val="22"/>
              </w:rPr>
              <w:t>18</w:t>
            </w:r>
          </w:p>
        </w:tc>
        <w:tc>
          <w:tcPr>
            <w:tcW w:w="2124" w:type="dxa"/>
            <w:noWrap w:val="0"/>
            <w:vAlign w:val="center"/>
          </w:tcPr>
          <w:p w14:paraId="3DB8F8AF">
            <w:pPr>
              <w:spacing w:line="300" w:lineRule="exact"/>
              <w:jc w:val="center"/>
              <w:rPr>
                <w:rFonts w:hint="default" w:ascii="Arial" w:hAnsi="宋体" w:eastAsia="宋体" w:cs="Arial"/>
                <w:sz w:val="22"/>
                <w:szCs w:val="22"/>
                <w:lang w:val="en-US" w:eastAsia="zh-CN"/>
              </w:rPr>
            </w:pPr>
            <w:r>
              <w:rPr>
                <w:rFonts w:hint="eastAsia" w:ascii="Arial" w:hAnsi="宋体" w:cs="Arial"/>
                <w:sz w:val="22"/>
                <w:szCs w:val="22"/>
                <w:lang w:val="en-US" w:eastAsia="zh-CN"/>
              </w:rPr>
              <w:t>14.4~27.5</w:t>
            </w:r>
          </w:p>
        </w:tc>
      </w:tr>
      <w:tr w14:paraId="2503C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 w:hRule="atLeast"/>
          <w:jc w:val="center"/>
        </w:trPr>
        <w:tc>
          <w:tcPr>
            <w:tcW w:w="1259" w:type="dxa"/>
            <w:noWrap w:val="0"/>
            <w:vAlign w:val="center"/>
          </w:tcPr>
          <w:p w14:paraId="52F361FD">
            <w:pPr>
              <w:spacing w:line="300" w:lineRule="exact"/>
              <w:jc w:val="center"/>
              <w:rPr>
                <w:rFonts w:hint="eastAsia" w:ascii="Arial" w:hAnsi="宋体" w:cs="Arial"/>
                <w:sz w:val="22"/>
                <w:szCs w:val="22"/>
              </w:rPr>
            </w:pPr>
            <w:r>
              <w:rPr>
                <w:rFonts w:hint="eastAsia" w:ascii="Arial" w:hAnsi="宋体" w:cs="Arial"/>
                <w:sz w:val="22"/>
                <w:szCs w:val="22"/>
              </w:rPr>
              <w:t>土豆</w:t>
            </w:r>
          </w:p>
        </w:tc>
        <w:tc>
          <w:tcPr>
            <w:tcW w:w="2140" w:type="dxa"/>
            <w:noWrap w:val="0"/>
            <w:vAlign w:val="center"/>
          </w:tcPr>
          <w:p w14:paraId="068111D1">
            <w:pPr>
              <w:spacing w:line="300" w:lineRule="exact"/>
              <w:jc w:val="center"/>
              <w:rPr>
                <w:rFonts w:hint="eastAsia" w:ascii="Arial" w:hAnsi="宋体" w:cs="Arial"/>
                <w:sz w:val="22"/>
                <w:szCs w:val="22"/>
              </w:rPr>
            </w:pPr>
            <w:r>
              <w:rPr>
                <w:rFonts w:hint="eastAsia" w:ascii="Arial" w:hAnsi="宋体" w:cs="Arial"/>
                <w:sz w:val="22"/>
                <w:szCs w:val="22"/>
              </w:rPr>
              <w:t>1月下旬~3月</w:t>
            </w:r>
          </w:p>
        </w:tc>
        <w:tc>
          <w:tcPr>
            <w:tcW w:w="2975" w:type="dxa"/>
            <w:noWrap w:val="0"/>
            <w:vAlign w:val="center"/>
          </w:tcPr>
          <w:p w14:paraId="732BF599">
            <w:pPr>
              <w:spacing w:line="300" w:lineRule="exact"/>
              <w:jc w:val="center"/>
              <w:rPr>
                <w:rFonts w:hint="eastAsia" w:ascii="Arial" w:hAnsi="宋体" w:cs="Arial"/>
                <w:sz w:val="22"/>
                <w:szCs w:val="22"/>
              </w:rPr>
            </w:pPr>
            <w:r>
              <w:rPr>
                <w:rFonts w:hint="eastAsia" w:ascii="Arial" w:hAnsi="宋体" w:cs="Arial"/>
                <w:sz w:val="22"/>
                <w:szCs w:val="22"/>
              </w:rPr>
              <w:t>2~4</w:t>
            </w:r>
          </w:p>
        </w:tc>
        <w:tc>
          <w:tcPr>
            <w:tcW w:w="2124" w:type="dxa"/>
            <w:noWrap w:val="0"/>
            <w:vAlign w:val="center"/>
          </w:tcPr>
          <w:p w14:paraId="528E08FB">
            <w:pPr>
              <w:spacing w:line="300" w:lineRule="exact"/>
              <w:jc w:val="center"/>
              <w:rPr>
                <w:rFonts w:hint="default" w:ascii="Arial" w:hAnsi="宋体" w:eastAsia="宋体" w:cs="Arial"/>
                <w:sz w:val="22"/>
                <w:szCs w:val="22"/>
                <w:lang w:val="en-US" w:eastAsia="zh-CN"/>
              </w:rPr>
            </w:pPr>
            <w:r>
              <w:rPr>
                <w:rFonts w:hint="eastAsia" w:ascii="Arial" w:hAnsi="宋体" w:cs="Arial"/>
                <w:sz w:val="22"/>
                <w:szCs w:val="22"/>
                <w:lang w:val="en-US" w:eastAsia="zh-CN"/>
              </w:rPr>
              <w:t>6~12.5</w:t>
            </w:r>
          </w:p>
        </w:tc>
      </w:tr>
      <w:tr w14:paraId="79ED0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1259" w:type="dxa"/>
            <w:noWrap w:val="0"/>
            <w:vAlign w:val="center"/>
          </w:tcPr>
          <w:p w14:paraId="66D891BE">
            <w:pPr>
              <w:spacing w:line="300" w:lineRule="exact"/>
              <w:jc w:val="center"/>
              <w:rPr>
                <w:rFonts w:hint="eastAsia" w:ascii="Arial" w:hAnsi="宋体" w:cs="Arial"/>
                <w:sz w:val="22"/>
                <w:szCs w:val="22"/>
              </w:rPr>
            </w:pPr>
            <w:r>
              <w:rPr>
                <w:rFonts w:hint="eastAsia" w:ascii="Arial" w:hAnsi="宋体" w:cs="Arial"/>
                <w:sz w:val="22"/>
                <w:szCs w:val="22"/>
              </w:rPr>
              <w:t>蔬菜</w:t>
            </w:r>
          </w:p>
        </w:tc>
        <w:tc>
          <w:tcPr>
            <w:tcW w:w="2140" w:type="dxa"/>
            <w:noWrap w:val="0"/>
            <w:vAlign w:val="center"/>
          </w:tcPr>
          <w:p w14:paraId="6E175F97">
            <w:pPr>
              <w:spacing w:line="300" w:lineRule="exact"/>
              <w:jc w:val="center"/>
              <w:rPr>
                <w:rFonts w:hint="eastAsia" w:ascii="Arial" w:hAnsi="宋体" w:cs="Arial"/>
                <w:sz w:val="22"/>
                <w:szCs w:val="22"/>
              </w:rPr>
            </w:pPr>
            <w:r>
              <w:rPr>
                <w:rFonts w:hint="eastAsia" w:ascii="Arial" w:hAnsi="宋体" w:cs="Arial"/>
                <w:sz w:val="22"/>
                <w:szCs w:val="22"/>
              </w:rPr>
              <w:t>春季2月~4月</w:t>
            </w:r>
          </w:p>
          <w:p w14:paraId="67CFE007">
            <w:pPr>
              <w:spacing w:line="300" w:lineRule="exact"/>
              <w:jc w:val="center"/>
              <w:rPr>
                <w:rFonts w:hint="eastAsia" w:ascii="Arial" w:hAnsi="宋体" w:cs="Arial"/>
                <w:sz w:val="22"/>
                <w:szCs w:val="22"/>
              </w:rPr>
            </w:pPr>
            <w:r>
              <w:rPr>
                <w:rFonts w:hint="eastAsia" w:ascii="Arial" w:hAnsi="宋体" w:cs="Arial"/>
                <w:sz w:val="22"/>
                <w:szCs w:val="22"/>
              </w:rPr>
              <w:t>夏季6月~7月</w:t>
            </w:r>
          </w:p>
          <w:p w14:paraId="0B9864D7">
            <w:pPr>
              <w:spacing w:line="300" w:lineRule="exact"/>
              <w:jc w:val="center"/>
              <w:rPr>
                <w:rFonts w:hint="eastAsia" w:ascii="Arial" w:hAnsi="宋体" w:cs="Arial"/>
                <w:sz w:val="22"/>
                <w:szCs w:val="22"/>
              </w:rPr>
            </w:pPr>
            <w:r>
              <w:rPr>
                <w:rFonts w:hint="eastAsia" w:ascii="Arial" w:hAnsi="宋体" w:cs="Arial"/>
                <w:sz w:val="22"/>
                <w:szCs w:val="22"/>
              </w:rPr>
              <w:t>秋季11月~12月</w:t>
            </w:r>
          </w:p>
        </w:tc>
        <w:tc>
          <w:tcPr>
            <w:tcW w:w="2975" w:type="dxa"/>
            <w:noWrap w:val="0"/>
            <w:vAlign w:val="center"/>
          </w:tcPr>
          <w:p w14:paraId="3CEBABD8">
            <w:pPr>
              <w:spacing w:line="300" w:lineRule="exact"/>
              <w:jc w:val="center"/>
              <w:rPr>
                <w:rFonts w:hint="eastAsia" w:ascii="Arial" w:hAnsi="宋体" w:cs="Arial"/>
                <w:sz w:val="22"/>
                <w:szCs w:val="22"/>
              </w:rPr>
            </w:pPr>
            <w:r>
              <w:rPr>
                <w:rFonts w:hint="eastAsia" w:ascii="Arial" w:hAnsi="宋体" w:cs="Arial"/>
                <w:sz w:val="22"/>
                <w:szCs w:val="22"/>
              </w:rPr>
              <w:t>5~8</w:t>
            </w:r>
          </w:p>
        </w:tc>
        <w:tc>
          <w:tcPr>
            <w:tcW w:w="2124" w:type="dxa"/>
            <w:noWrap w:val="0"/>
            <w:vAlign w:val="center"/>
          </w:tcPr>
          <w:p w14:paraId="31C38739">
            <w:pPr>
              <w:spacing w:line="300" w:lineRule="exact"/>
              <w:jc w:val="center"/>
              <w:rPr>
                <w:rFonts w:hint="eastAsia" w:ascii="Arial" w:hAnsi="宋体" w:cs="Arial"/>
                <w:sz w:val="22"/>
                <w:szCs w:val="22"/>
                <w:lang w:val="en-US" w:eastAsia="zh-CN"/>
              </w:rPr>
            </w:pPr>
            <w:r>
              <w:rPr>
                <w:rFonts w:hint="eastAsia" w:ascii="Arial" w:hAnsi="宋体" w:cs="Arial"/>
                <w:sz w:val="22"/>
                <w:szCs w:val="22"/>
                <w:lang w:val="en-US" w:eastAsia="zh-CN"/>
              </w:rPr>
              <w:t>7.9~17.0</w:t>
            </w:r>
          </w:p>
          <w:p w14:paraId="4D29A1F0">
            <w:pPr>
              <w:spacing w:line="300" w:lineRule="exact"/>
              <w:jc w:val="center"/>
              <w:rPr>
                <w:rFonts w:hint="eastAsia" w:ascii="Arial" w:hAnsi="宋体" w:cs="Arial"/>
                <w:sz w:val="22"/>
                <w:szCs w:val="22"/>
                <w:lang w:val="en-US" w:eastAsia="zh-CN"/>
              </w:rPr>
            </w:pPr>
            <w:r>
              <w:rPr>
                <w:rFonts w:hint="eastAsia" w:ascii="Arial" w:hAnsi="宋体" w:cs="Arial"/>
                <w:sz w:val="22"/>
                <w:szCs w:val="22"/>
                <w:lang w:val="en-US" w:eastAsia="zh-CN"/>
              </w:rPr>
              <w:t>14.4~27.0</w:t>
            </w:r>
          </w:p>
          <w:p w14:paraId="5BD64321">
            <w:pPr>
              <w:spacing w:line="300" w:lineRule="exact"/>
              <w:jc w:val="center"/>
              <w:rPr>
                <w:rFonts w:hint="default" w:ascii="Arial" w:hAnsi="宋体" w:cs="Arial"/>
                <w:sz w:val="22"/>
                <w:szCs w:val="22"/>
                <w:lang w:val="en-US" w:eastAsia="zh-CN"/>
              </w:rPr>
            </w:pPr>
            <w:r>
              <w:rPr>
                <w:rFonts w:hint="eastAsia" w:ascii="Arial" w:hAnsi="宋体" w:cs="Arial"/>
                <w:sz w:val="22"/>
                <w:szCs w:val="22"/>
                <w:lang w:val="en-US" w:eastAsia="zh-CN"/>
              </w:rPr>
              <w:t>8.0~12.8</w:t>
            </w:r>
          </w:p>
        </w:tc>
      </w:tr>
    </w:tbl>
    <w:p w14:paraId="4F2B4E91">
      <w:pPr>
        <w:spacing w:line="460" w:lineRule="exact"/>
        <w:ind w:firstLine="520" w:firstLineChars="200"/>
        <w:rPr>
          <w:rFonts w:ascii="Arial" w:hAnsi="Arial" w:cs="Arial"/>
          <w:sz w:val="26"/>
          <w:szCs w:val="26"/>
        </w:rPr>
      </w:pPr>
      <w:r>
        <w:rPr>
          <w:rFonts w:hint="eastAsia" w:ascii="Arial" w:cs="Arial"/>
          <w:sz w:val="26"/>
          <w:szCs w:val="26"/>
          <w:lang w:eastAsia="zh-CN"/>
        </w:rPr>
        <w:t>海螺沟</w:t>
      </w:r>
      <w:r>
        <w:rPr>
          <w:rFonts w:ascii="Arial" w:cs="Arial"/>
          <w:sz w:val="26"/>
          <w:szCs w:val="26"/>
        </w:rPr>
        <w:t>水库设计初期考虑了低温水对各种拟种植作物的生长影响，充分考虑到各种作物灌溉制度及各生长期内灌水温度需求，采取了分层取水措施。根据预测，水库取水水温基本能满足相应月份各农作物生长的需要，由于农作物生长期间主要集中在春、夏季，气温较高，且通过长距离的管道运输再到田间，可以增加水温，</w:t>
      </w:r>
      <w:r>
        <w:rPr>
          <w:rFonts w:hint="eastAsia" w:ascii="Arial" w:cs="Arial"/>
          <w:sz w:val="26"/>
          <w:szCs w:val="26"/>
        </w:rPr>
        <w:t>减缓</w:t>
      </w:r>
      <w:r>
        <w:rPr>
          <w:rFonts w:ascii="Arial" w:cs="Arial"/>
          <w:sz w:val="26"/>
          <w:szCs w:val="26"/>
        </w:rPr>
        <w:t>低温水</w:t>
      </w:r>
      <w:r>
        <w:rPr>
          <w:rFonts w:hint="eastAsia" w:ascii="Arial" w:cs="Arial"/>
          <w:sz w:val="26"/>
          <w:szCs w:val="26"/>
        </w:rPr>
        <w:t>对灌区农作物的不利</w:t>
      </w:r>
      <w:r>
        <w:rPr>
          <w:rFonts w:ascii="Arial" w:cs="Arial"/>
          <w:sz w:val="26"/>
          <w:szCs w:val="26"/>
        </w:rPr>
        <w:t>影响</w:t>
      </w:r>
      <w:r>
        <w:rPr>
          <w:rFonts w:hint="eastAsia" w:ascii="Arial" w:cs="Arial"/>
          <w:sz w:val="26"/>
          <w:szCs w:val="26"/>
        </w:rPr>
        <w:t>。由此可见，</w:t>
      </w:r>
      <w:r>
        <w:rPr>
          <w:rFonts w:hint="eastAsia" w:ascii="Arial" w:cs="Arial"/>
          <w:sz w:val="26"/>
          <w:szCs w:val="26"/>
          <w:lang w:eastAsia="zh-CN"/>
        </w:rPr>
        <w:t>海螺沟</w:t>
      </w:r>
      <w:r>
        <w:rPr>
          <w:rFonts w:ascii="Arial" w:cs="Arial"/>
          <w:sz w:val="26"/>
          <w:szCs w:val="26"/>
        </w:rPr>
        <w:t>水库水温分层对灌区农作物的影响</w:t>
      </w:r>
      <w:r>
        <w:rPr>
          <w:rFonts w:hint="eastAsia" w:ascii="Arial" w:cs="Arial"/>
          <w:sz w:val="26"/>
          <w:szCs w:val="26"/>
        </w:rPr>
        <w:t>较小</w:t>
      </w:r>
      <w:r>
        <w:rPr>
          <w:rFonts w:ascii="Arial" w:cs="Arial"/>
          <w:sz w:val="26"/>
          <w:szCs w:val="26"/>
        </w:rPr>
        <w:t>。</w:t>
      </w:r>
    </w:p>
    <w:p w14:paraId="502476E5">
      <w:pPr>
        <w:spacing w:line="460" w:lineRule="exact"/>
        <w:ind w:firstLine="522" w:firstLineChars="200"/>
        <w:rPr>
          <w:rFonts w:hint="eastAsia" w:ascii="Arial" w:hAnsi="Arial" w:eastAsia="宋体" w:cs="Arial"/>
          <w:b/>
          <w:bCs/>
          <w:color w:val="000000"/>
          <w:sz w:val="26"/>
          <w:szCs w:val="26"/>
          <w:lang w:val="en-US" w:eastAsia="zh-CN"/>
        </w:rPr>
      </w:pPr>
      <w:r>
        <w:rPr>
          <w:rFonts w:hint="default" w:ascii="Arial" w:hAnsi="Arial" w:eastAsia="宋体" w:cs="Arial"/>
          <w:b/>
          <w:bCs/>
          <w:color w:val="000000"/>
          <w:sz w:val="26"/>
          <w:szCs w:val="26"/>
          <w:lang w:val="en-US" w:eastAsia="zh-CN"/>
        </w:rPr>
        <w:t>②</w:t>
      </w:r>
      <w:r>
        <w:rPr>
          <w:rFonts w:hint="eastAsia" w:ascii="Arial" w:hAnsi="Arial" w:cs="Arial"/>
          <w:b/>
          <w:bCs/>
          <w:color w:val="000000"/>
          <w:sz w:val="26"/>
          <w:szCs w:val="26"/>
          <w:lang w:val="en-US" w:eastAsia="zh-CN"/>
        </w:rPr>
        <w:t>对坝后水生生态环境的影响</w:t>
      </w:r>
    </w:p>
    <w:p w14:paraId="50F8E3FC">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根据项目初设报告，本项目放水设施兼有下放生态流量的功能，水库利用</w:t>
      </w:r>
      <w:r>
        <w:rPr>
          <w:rFonts w:hint="eastAsia" w:ascii="Arial" w:cs="Arial"/>
          <w:sz w:val="26"/>
          <w:szCs w:val="26"/>
          <w:lang w:val="en-US" w:eastAsia="zh-CN"/>
        </w:rPr>
        <w:t>5层取水管取水后，</w:t>
      </w:r>
      <w:r>
        <w:rPr>
          <w:rFonts w:hint="default" w:ascii="Arial" w:hAnsi="Arial" w:cs="Arial"/>
          <w:sz w:val="26"/>
          <w:szCs w:val="26"/>
        </w:rPr>
        <w:t>汇合成一根引水管，引水管沿大坝下游坝坡左侧坝脚布置，</w:t>
      </w:r>
      <w:r>
        <w:rPr>
          <w:rFonts w:hint="eastAsia" w:ascii="Arial" w:hAnsi="Arial" w:cs="Arial"/>
          <w:sz w:val="26"/>
          <w:szCs w:val="26"/>
          <w:lang w:eastAsia="zh-CN"/>
        </w:rPr>
        <w:t>引入闸阀房内，</w:t>
      </w:r>
      <w:r>
        <w:rPr>
          <w:rFonts w:hint="eastAsia" w:ascii="Arial" w:cs="Arial"/>
          <w:sz w:val="26"/>
          <w:szCs w:val="26"/>
          <w:lang w:eastAsia="zh-CN"/>
        </w:rPr>
        <w:t>充分混合后，根据用水性质分类，室内分设3根管道，其中一根为DN</w:t>
      </w:r>
      <w:r>
        <w:rPr>
          <w:rFonts w:hint="eastAsia" w:ascii="Arial" w:cs="Arial"/>
          <w:sz w:val="26"/>
          <w:szCs w:val="26"/>
          <w:lang w:val="en-US" w:eastAsia="zh-CN"/>
        </w:rPr>
        <w:t>1</w:t>
      </w:r>
      <w:r>
        <w:rPr>
          <w:rFonts w:hint="eastAsia" w:ascii="Arial" w:cs="Arial"/>
          <w:sz w:val="26"/>
          <w:szCs w:val="26"/>
          <w:lang w:eastAsia="zh-CN"/>
        </w:rPr>
        <w:t>00生态放水管。</w:t>
      </w:r>
    </w:p>
    <w:p w14:paraId="2D1C6AF3">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由此可见，本项目下泄生态流量为经混合后的库区蓄水，而不是简易的直接下泄最底层水，有效避免了低温水下泄对坝后水生生态环境的影响。且根据现有资料收集，及走访调查，海螺沟水库坝后减水河段内水深较浅、水体交换频率高，对水生生物的生境改变小；且鱼类资源以鲤型目为主，无珍稀鱼类、鱼类“三场”分布，对水温变化适应能力强。</w:t>
      </w:r>
    </w:p>
    <w:p w14:paraId="5177701C">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由此可见，在采取下泄混合后的水库蓄水后，对坝后减水河段内水生生物的影响小。</w:t>
      </w:r>
    </w:p>
    <w:p w14:paraId="1B40D027">
      <w:pPr>
        <w:spacing w:line="460" w:lineRule="exact"/>
        <w:ind w:firstLine="522" w:firstLineChars="200"/>
        <w:rPr>
          <w:rFonts w:hint="eastAsia" w:ascii="Arial" w:hAnsi="宋体" w:cs="Arial"/>
          <w:sz w:val="26"/>
          <w:szCs w:val="26"/>
        </w:rPr>
      </w:pPr>
      <w:r>
        <w:rPr>
          <w:rFonts w:hint="eastAsia" w:ascii="Arial" w:hAnsi="Arial" w:eastAsia="宋体" w:cs="Arial"/>
          <w:b/>
          <w:bCs/>
          <w:color w:val="000000"/>
          <w:sz w:val="26"/>
          <w:szCs w:val="26"/>
          <w:lang w:val="en-US" w:eastAsia="zh-CN"/>
        </w:rPr>
        <w:t>6.5.</w:t>
      </w:r>
      <w:r>
        <w:rPr>
          <w:rFonts w:hint="eastAsia" w:ascii="Arial" w:hAnsi="Arial" w:cs="Arial"/>
          <w:b/>
          <w:bCs/>
          <w:color w:val="000000"/>
          <w:sz w:val="26"/>
          <w:szCs w:val="26"/>
          <w:lang w:val="en-US" w:eastAsia="zh-CN"/>
        </w:rPr>
        <w:t>5</w:t>
      </w:r>
      <w:r>
        <w:rPr>
          <w:rFonts w:hint="eastAsia" w:ascii="Arial" w:hAnsi="Arial" w:eastAsia="宋体" w:cs="Arial"/>
          <w:b/>
          <w:bCs/>
          <w:color w:val="000000"/>
          <w:sz w:val="26"/>
          <w:szCs w:val="26"/>
          <w:lang w:val="en-US" w:eastAsia="zh-CN"/>
        </w:rPr>
        <w:t>对</w:t>
      </w:r>
      <w:r>
        <w:rPr>
          <w:rFonts w:hint="eastAsia" w:ascii="Arial" w:hAnsi="Arial" w:cs="Arial"/>
          <w:b/>
          <w:bCs/>
          <w:color w:val="000000"/>
          <w:sz w:val="26"/>
          <w:szCs w:val="26"/>
          <w:lang w:val="en-US" w:eastAsia="zh-CN"/>
        </w:rPr>
        <w:t>库区水质</w:t>
      </w:r>
      <w:r>
        <w:rPr>
          <w:rFonts w:hint="eastAsia" w:ascii="Arial" w:hAnsi="Arial" w:eastAsia="宋体" w:cs="Arial"/>
          <w:b/>
          <w:bCs/>
          <w:color w:val="000000"/>
          <w:sz w:val="26"/>
          <w:szCs w:val="26"/>
          <w:lang w:val="en-US" w:eastAsia="zh-CN"/>
        </w:rPr>
        <w:t>的影响</w:t>
      </w:r>
    </w:p>
    <w:p w14:paraId="274AD1B9">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1</w:t>
      </w:r>
      <w:r>
        <w:rPr>
          <w:rFonts w:hint="eastAsia" w:ascii="Arial" w:hAnsi="宋体" w:cs="Arial"/>
          <w:b/>
          <w:sz w:val="26"/>
          <w:szCs w:val="26"/>
        </w:rPr>
        <w:t>）</w:t>
      </w:r>
      <w:r>
        <w:rPr>
          <w:rFonts w:hint="eastAsia" w:ascii="Arial" w:hAnsi="宋体" w:cs="Arial"/>
          <w:b/>
          <w:sz w:val="26"/>
          <w:szCs w:val="26"/>
          <w:lang w:eastAsia="zh-CN"/>
        </w:rPr>
        <w:t>工程排水对库区水质的影响</w:t>
      </w:r>
    </w:p>
    <w:p w14:paraId="342F570E">
      <w:pPr>
        <w:spacing w:line="460" w:lineRule="exact"/>
        <w:ind w:firstLine="520" w:firstLineChars="200"/>
        <w:rPr>
          <w:rFonts w:hint="eastAsia" w:ascii="Arial" w:hAnsi="宋体" w:cs="Arial"/>
          <w:sz w:val="26"/>
          <w:szCs w:val="26"/>
        </w:rPr>
      </w:pPr>
      <w:r>
        <w:rPr>
          <w:rFonts w:hint="eastAsia" w:ascii="Arial" w:hAnsi="宋体" w:cs="Arial"/>
          <w:sz w:val="26"/>
          <w:szCs w:val="26"/>
        </w:rPr>
        <w:t>项目建成后，营运期污废水主要来源于水库管理机构职工生活废水，废水量为</w:t>
      </w:r>
      <w:r>
        <w:rPr>
          <w:rFonts w:hint="eastAsia" w:ascii="Arial" w:hAnsi="宋体" w:cs="Arial"/>
          <w:sz w:val="26"/>
          <w:szCs w:val="26"/>
          <w:lang w:val="en-US" w:eastAsia="zh-CN"/>
        </w:rPr>
        <w:t>0.54</w:t>
      </w:r>
      <w:r>
        <w:rPr>
          <w:rFonts w:ascii="Arial" w:hAnsi="宋体" w:cs="Arial"/>
          <w:sz w:val="26"/>
          <w:szCs w:val="26"/>
        </w:rPr>
        <w:t>m</w:t>
      </w:r>
      <w:r>
        <w:rPr>
          <w:rFonts w:ascii="Arial" w:hAnsi="宋体" w:cs="Arial"/>
          <w:sz w:val="26"/>
          <w:szCs w:val="26"/>
          <w:vertAlign w:val="superscript"/>
        </w:rPr>
        <w:t>3</w:t>
      </w:r>
      <w:r>
        <w:rPr>
          <w:rFonts w:ascii="Arial" w:hAnsi="宋体" w:cs="Arial"/>
          <w:sz w:val="26"/>
          <w:szCs w:val="26"/>
        </w:rPr>
        <w:t>/d</w:t>
      </w:r>
      <w:r>
        <w:rPr>
          <w:rFonts w:hint="eastAsia" w:ascii="Arial" w:hAnsi="宋体" w:cs="Arial"/>
          <w:sz w:val="26"/>
          <w:szCs w:val="26"/>
        </w:rPr>
        <w:t>，产生的生活废水较少，设置化粪池进行处理，</w:t>
      </w:r>
      <w:r>
        <w:rPr>
          <w:rFonts w:hint="eastAsia" w:ascii="Arial" w:hAnsi="宋体" w:cs="Arial"/>
          <w:sz w:val="26"/>
          <w:szCs w:val="26"/>
          <w:lang w:eastAsia="zh-CN"/>
        </w:rPr>
        <w:t>交附近居民作农肥</w:t>
      </w:r>
      <w:r>
        <w:rPr>
          <w:rFonts w:hint="eastAsia" w:ascii="Arial" w:hAnsi="宋体" w:cs="Arial"/>
          <w:sz w:val="26"/>
          <w:szCs w:val="26"/>
        </w:rPr>
        <w:t>，不外排，</w:t>
      </w:r>
      <w:r>
        <w:rPr>
          <w:rFonts w:hint="eastAsia" w:ascii="Arial" w:hAnsi="宋体" w:cs="Arial"/>
          <w:sz w:val="26"/>
          <w:szCs w:val="26"/>
          <w:lang w:eastAsia="zh-CN"/>
        </w:rPr>
        <w:t>不会对库区水质造成污染</w:t>
      </w:r>
      <w:r>
        <w:rPr>
          <w:rFonts w:hint="eastAsia" w:ascii="Arial" w:hAnsi="宋体" w:cs="Arial"/>
          <w:sz w:val="26"/>
          <w:szCs w:val="26"/>
        </w:rPr>
        <w:t>。</w:t>
      </w:r>
    </w:p>
    <w:p w14:paraId="05127C23">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2</w:t>
      </w:r>
      <w:r>
        <w:rPr>
          <w:rFonts w:hint="eastAsia" w:ascii="Arial" w:hAnsi="宋体" w:cs="Arial"/>
          <w:b/>
          <w:sz w:val="26"/>
          <w:szCs w:val="26"/>
        </w:rPr>
        <w:t>）</w:t>
      </w:r>
      <w:r>
        <w:rPr>
          <w:rFonts w:hint="eastAsia" w:ascii="Arial" w:hAnsi="宋体" w:cs="Arial"/>
          <w:b/>
          <w:sz w:val="26"/>
          <w:szCs w:val="26"/>
          <w:lang w:eastAsia="zh-CN"/>
        </w:rPr>
        <w:t>集雨范围内污染源汇集对库区水质的影响</w:t>
      </w:r>
    </w:p>
    <w:p w14:paraId="5DC838FE">
      <w:pPr>
        <w:spacing w:line="460" w:lineRule="exact"/>
        <w:ind w:firstLine="520" w:firstLineChars="200"/>
        <w:rPr>
          <w:rFonts w:hint="eastAsia" w:ascii="Arial" w:hAnsi="宋体" w:cs="Arial"/>
          <w:sz w:val="26"/>
          <w:szCs w:val="26"/>
        </w:rPr>
      </w:pPr>
      <w:r>
        <w:rPr>
          <w:rFonts w:hint="eastAsia" w:ascii="Arial" w:hAnsi="宋体" w:cs="Arial"/>
          <w:sz w:val="26"/>
          <w:szCs w:val="26"/>
          <w:lang w:eastAsia="zh-CN"/>
        </w:rPr>
        <w:t>本项目</w:t>
      </w:r>
      <w:r>
        <w:rPr>
          <w:rFonts w:hint="eastAsia" w:ascii="Arial" w:hAnsi="宋体" w:cs="Arial"/>
          <w:sz w:val="26"/>
          <w:szCs w:val="26"/>
        </w:rPr>
        <w:t>坝址上游集雨范围内无工矿企业、污水处理厂等点源污染源分布，有1处</w:t>
      </w:r>
      <w:r>
        <w:rPr>
          <w:rFonts w:hint="eastAsia" w:ascii="Arial" w:hAnsi="宋体" w:cs="Arial"/>
          <w:sz w:val="26"/>
          <w:szCs w:val="26"/>
          <w:lang w:eastAsia="zh-CN"/>
        </w:rPr>
        <w:t>家庭式肉牛圈养点</w:t>
      </w:r>
      <w:r>
        <w:rPr>
          <w:rFonts w:hint="eastAsia" w:ascii="Arial" w:hAnsi="宋体" w:cs="Arial"/>
          <w:sz w:val="26"/>
          <w:szCs w:val="26"/>
        </w:rPr>
        <w:t>。集雨范围内主要为耕地、林地，分布有较多的居民点，故主要为农业面源污染、畜禽废水和农村生活污水，其中畜禽废水和农村生活污水大部分经旱厕收集后用作农肥，污染物排放量</w:t>
      </w:r>
      <w:r>
        <w:rPr>
          <w:rFonts w:hint="eastAsia" w:ascii="Arial" w:hAnsi="宋体" w:cs="Arial"/>
          <w:sz w:val="26"/>
          <w:szCs w:val="26"/>
          <w:lang w:eastAsia="zh-CN"/>
        </w:rPr>
        <w:t>较小</w:t>
      </w:r>
      <w:r>
        <w:rPr>
          <w:rFonts w:hint="eastAsia" w:ascii="Arial" w:hAnsi="宋体" w:cs="Arial"/>
          <w:sz w:val="26"/>
          <w:szCs w:val="26"/>
        </w:rPr>
        <w:t>。</w:t>
      </w:r>
    </w:p>
    <w:p w14:paraId="00131D02">
      <w:pPr>
        <w:spacing w:line="460" w:lineRule="exact"/>
        <w:ind w:firstLine="520" w:firstLineChars="200"/>
        <w:rPr>
          <w:rFonts w:hint="eastAsia" w:ascii="Arial" w:hAnsi="宋体" w:cs="Arial"/>
          <w:sz w:val="26"/>
          <w:szCs w:val="26"/>
          <w:lang w:eastAsia="zh-CN"/>
        </w:rPr>
      </w:pPr>
      <w:r>
        <w:rPr>
          <w:rFonts w:hint="eastAsia" w:ascii="Arial" w:hAnsi="宋体" w:cs="Arial"/>
          <w:color w:val="auto"/>
          <w:sz w:val="26"/>
          <w:szCs w:val="26"/>
        </w:rPr>
        <w:t>水库蓄水前按要求进行库底清理，</w:t>
      </w:r>
      <w:r>
        <w:rPr>
          <w:rFonts w:hint="eastAsia" w:ascii="Arial" w:hAnsi="Arial" w:eastAsia="宋体" w:cs="Arial"/>
          <w:color w:val="auto"/>
          <w:sz w:val="26"/>
          <w:szCs w:val="26"/>
          <w:lang w:eastAsia="zh-CN"/>
        </w:rPr>
        <w:t>运营期具有人饮供水功能，将根据《饮用水水源保护区划分技术规范》（</w:t>
      </w:r>
      <w:r>
        <w:rPr>
          <w:rFonts w:hint="eastAsia" w:ascii="Arial" w:hAnsi="Arial" w:eastAsia="宋体" w:cs="Arial"/>
          <w:color w:val="auto"/>
          <w:sz w:val="26"/>
          <w:szCs w:val="26"/>
          <w:lang w:val="en-US" w:eastAsia="zh-CN"/>
        </w:rPr>
        <w:t>HJ338-2018）中相关要求划定饮用水水源保护区，</w:t>
      </w:r>
      <w:r>
        <w:rPr>
          <w:rFonts w:hint="eastAsia" w:ascii="Arial" w:hAnsi="Arial" w:cs="Arial"/>
          <w:color w:val="auto"/>
          <w:sz w:val="26"/>
          <w:szCs w:val="26"/>
          <w:lang w:eastAsia="zh-CN"/>
        </w:rPr>
        <w:t>并将</w:t>
      </w:r>
      <w:r>
        <w:rPr>
          <w:rFonts w:hint="eastAsia" w:ascii="Arial" w:hAnsi="Arial" w:eastAsia="宋体" w:cs="Arial"/>
          <w:color w:val="auto"/>
          <w:sz w:val="26"/>
          <w:szCs w:val="26"/>
          <w:lang w:eastAsia="zh-CN"/>
        </w:rPr>
        <w:t>按照《中华人民共和国水污染防治法》、《重庆市饮用水源污染防治办法》等相关规定，对海螺沟水库所划定的饮用水源保护区进行严格管控，其集雨范围内将不会新增排污源，入库污染物将得到控制，坝址以上污染源</w:t>
      </w:r>
      <w:r>
        <w:rPr>
          <w:rFonts w:hint="eastAsia" w:ascii="Arial" w:hAnsi="Arial" w:cs="Arial"/>
          <w:color w:val="auto"/>
          <w:sz w:val="26"/>
          <w:szCs w:val="26"/>
          <w:lang w:eastAsia="zh-CN"/>
        </w:rPr>
        <w:t>可在现有水平上进一步降低</w:t>
      </w:r>
      <w:r>
        <w:rPr>
          <w:rFonts w:hint="eastAsia" w:ascii="Arial" w:hAnsi="宋体" w:cs="Arial"/>
          <w:sz w:val="26"/>
          <w:szCs w:val="26"/>
        </w:rPr>
        <w:t>，对水库水质影响较小。</w:t>
      </w:r>
    </w:p>
    <w:p w14:paraId="76A7022C">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lang w:eastAsia="zh-CN"/>
        </w:rPr>
        <w:t>（</w:t>
      </w:r>
      <w:r>
        <w:rPr>
          <w:rFonts w:hint="eastAsia" w:ascii="Arial" w:hAnsi="宋体" w:cs="Arial"/>
          <w:b/>
          <w:sz w:val="26"/>
          <w:szCs w:val="26"/>
          <w:lang w:val="en-US" w:eastAsia="zh-CN"/>
        </w:rPr>
        <w:t>3）</w:t>
      </w:r>
      <w:r>
        <w:rPr>
          <w:rFonts w:hint="eastAsia" w:ascii="Arial" w:hAnsi="宋体" w:cs="Arial"/>
          <w:b/>
          <w:sz w:val="26"/>
          <w:szCs w:val="26"/>
          <w:lang w:eastAsia="zh-CN"/>
        </w:rPr>
        <w:t>库区富营养化的影响</w:t>
      </w:r>
    </w:p>
    <w:p w14:paraId="5D57EE78">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rPr>
        <w:t>富营养化是由于水体整个环境系统出现失衡，导致某种优势藻类大量繁殖生长的过程。水库富营养化与进入水库内的营养物质、水库所在的地形、地貌、水文、气象条件的光照、气温以及水体中生物种类、生物量、生产力水平等多种因子有关，总之导致水库富营养化的营养因子、营养负荷与营养响应之间关系十分复杂。目前公认引起富营养化的主要因子是氮和磷。</w:t>
      </w:r>
    </w:p>
    <w:p w14:paraId="21546E56">
      <w:pPr>
        <w:spacing w:line="460" w:lineRule="exact"/>
        <w:ind w:firstLine="520" w:firstLineChars="200"/>
        <w:rPr>
          <w:rFonts w:hint="default" w:ascii="Arial" w:hAnsi="宋体" w:cs="Arial"/>
          <w:sz w:val="26"/>
          <w:szCs w:val="26"/>
          <w:lang w:val="en-US" w:eastAsia="zh-CN"/>
        </w:rPr>
      </w:pPr>
      <w:r>
        <w:rPr>
          <w:rFonts w:hint="eastAsia" w:ascii="Arial" w:hAnsi="宋体" w:cs="Arial"/>
          <w:sz w:val="26"/>
          <w:szCs w:val="26"/>
          <w:lang w:eastAsia="zh-CN"/>
        </w:rPr>
        <w:t>海螺沟水库坝址上游集雨面积约</w:t>
      </w:r>
      <w:r>
        <w:rPr>
          <w:rFonts w:hint="eastAsia" w:ascii="Arial" w:hAnsi="宋体" w:cs="Arial"/>
          <w:sz w:val="26"/>
          <w:szCs w:val="26"/>
          <w:lang w:val="en-US" w:eastAsia="zh-CN"/>
        </w:rPr>
        <w:t>2.04km</w:t>
      </w:r>
      <w:r>
        <w:rPr>
          <w:rFonts w:hint="eastAsia" w:ascii="Arial" w:hAnsi="宋体" w:cs="Arial"/>
          <w:sz w:val="26"/>
          <w:szCs w:val="26"/>
          <w:vertAlign w:val="superscript"/>
          <w:lang w:val="en-US" w:eastAsia="zh-CN"/>
        </w:rPr>
        <w:t>2</w:t>
      </w:r>
      <w:r>
        <w:rPr>
          <w:rFonts w:hint="eastAsia" w:ascii="Arial" w:hAnsi="宋体" w:cs="Arial"/>
          <w:sz w:val="26"/>
          <w:szCs w:val="26"/>
          <w:lang w:val="en-US" w:eastAsia="zh-CN"/>
        </w:rPr>
        <w:t>，多分布有农耕地，农肥灌溉后随雨水进入库区。</w:t>
      </w:r>
      <w:r>
        <w:rPr>
          <w:rFonts w:ascii="Arial" w:cs="Arial"/>
          <w:sz w:val="26"/>
          <w:szCs w:val="26"/>
        </w:rPr>
        <w:t>水库蓄水后，库内水位将抬高，会使库区内水流速度减缓，污染物降解速度减缓，且污染物在库区内的停留时间变长，</w:t>
      </w:r>
      <w:r>
        <w:rPr>
          <w:rFonts w:hint="eastAsia" w:ascii="Arial" w:cs="Arial"/>
          <w:sz w:val="26"/>
          <w:szCs w:val="26"/>
          <w:lang w:eastAsia="zh-CN"/>
        </w:rPr>
        <w:t>会导致</w:t>
      </w:r>
      <w:r>
        <w:rPr>
          <w:rFonts w:ascii="Arial" w:hAnsi="Arial" w:cs="Arial"/>
          <w:sz w:val="26"/>
          <w:szCs w:val="26"/>
        </w:rPr>
        <w:t>N</w:t>
      </w:r>
      <w:r>
        <w:rPr>
          <w:rFonts w:ascii="Arial" w:cs="Arial"/>
          <w:sz w:val="26"/>
          <w:szCs w:val="26"/>
        </w:rPr>
        <w:t>、</w:t>
      </w:r>
      <w:r>
        <w:rPr>
          <w:rFonts w:ascii="Arial" w:hAnsi="Arial" w:cs="Arial"/>
          <w:sz w:val="26"/>
          <w:szCs w:val="26"/>
        </w:rPr>
        <w:t>P</w:t>
      </w:r>
      <w:r>
        <w:rPr>
          <w:rFonts w:hint="eastAsia" w:ascii="Arial" w:hAnsi="Arial" w:cs="Arial"/>
          <w:sz w:val="26"/>
          <w:szCs w:val="26"/>
          <w:lang w:eastAsia="zh-CN"/>
        </w:rPr>
        <w:t>等</w:t>
      </w:r>
      <w:r>
        <w:rPr>
          <w:rFonts w:ascii="Arial" w:cs="Arial"/>
          <w:sz w:val="26"/>
          <w:szCs w:val="26"/>
        </w:rPr>
        <w:t>营养元素的累积，</w:t>
      </w:r>
      <w:r>
        <w:rPr>
          <w:rFonts w:hint="eastAsia" w:ascii="Arial" w:cs="Arial"/>
          <w:sz w:val="26"/>
          <w:szCs w:val="26"/>
          <w:lang w:eastAsia="zh-CN"/>
        </w:rPr>
        <w:t>造成</w:t>
      </w:r>
      <w:r>
        <w:rPr>
          <w:rFonts w:ascii="Arial" w:cs="Arial"/>
          <w:sz w:val="26"/>
          <w:szCs w:val="26"/>
        </w:rPr>
        <w:t>坝前水库富营养化。</w:t>
      </w:r>
    </w:p>
    <w:p w14:paraId="4144A3F3">
      <w:pPr>
        <w:spacing w:line="460" w:lineRule="exact"/>
        <w:ind w:firstLine="520" w:firstLineChars="200"/>
        <w:rPr>
          <w:rFonts w:hint="eastAsia" w:ascii="Arial" w:hAnsi="Arial" w:cs="Arial"/>
          <w:sz w:val="26"/>
          <w:szCs w:val="26"/>
        </w:rPr>
      </w:pPr>
      <w:r>
        <w:rPr>
          <w:rFonts w:hint="eastAsia" w:ascii="Arial" w:hAnsi="Arial" w:cs="Arial"/>
          <w:sz w:val="26"/>
          <w:szCs w:val="26"/>
        </w:rPr>
        <w:t>本次评价运用沃伦德维经验模型进行</w:t>
      </w:r>
      <w:r>
        <w:rPr>
          <w:rFonts w:ascii="Arial" w:hAnsi="Arial" w:cs="Arial"/>
          <w:sz w:val="26"/>
          <w:szCs w:val="26"/>
        </w:rPr>
        <w:t>TP</w:t>
      </w:r>
      <w:r>
        <w:rPr>
          <w:rFonts w:hint="eastAsia" w:ascii="Arial" w:hAnsi="Arial" w:cs="Arial"/>
          <w:sz w:val="26"/>
          <w:szCs w:val="26"/>
        </w:rPr>
        <w:t>、</w:t>
      </w:r>
      <w:r>
        <w:rPr>
          <w:rFonts w:ascii="Arial" w:hAnsi="Arial" w:cs="Arial"/>
          <w:sz w:val="26"/>
          <w:szCs w:val="26"/>
        </w:rPr>
        <w:t xml:space="preserve">TN </w:t>
      </w:r>
      <w:r>
        <w:rPr>
          <w:rFonts w:hint="eastAsia" w:ascii="Arial" w:hAnsi="Arial" w:cs="Arial"/>
          <w:sz w:val="26"/>
          <w:szCs w:val="26"/>
        </w:rPr>
        <w:t>预测，公式如下：</w:t>
      </w:r>
    </w:p>
    <w:p w14:paraId="1B0AFC94">
      <w:pPr>
        <w:spacing w:line="460" w:lineRule="exact"/>
        <w:ind w:firstLine="420" w:firstLineChars="200"/>
        <w:rPr>
          <w:rFonts w:hint="eastAsia" w:ascii="Arial" w:hAnsi="Arial" w:cs="Arial"/>
          <w:sz w:val="26"/>
          <w:szCs w:val="26"/>
        </w:rPr>
      </w:pPr>
      <w:r>
        <w:drawing>
          <wp:anchor distT="0" distB="0" distL="114300" distR="114300" simplePos="0" relativeHeight="251768832" behindDoc="0" locked="0" layoutInCell="1" allowOverlap="1">
            <wp:simplePos x="0" y="0"/>
            <wp:positionH relativeFrom="column">
              <wp:posOffset>1800225</wp:posOffset>
            </wp:positionH>
            <wp:positionV relativeFrom="paragraph">
              <wp:posOffset>81280</wp:posOffset>
            </wp:positionV>
            <wp:extent cx="1733550" cy="990600"/>
            <wp:effectExtent l="0" t="0" r="0" b="0"/>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6" r:link="rId37"/>
                    <a:stretch>
                      <a:fillRect/>
                    </a:stretch>
                  </pic:blipFill>
                  <pic:spPr>
                    <a:xfrm>
                      <a:off x="0" y="0"/>
                      <a:ext cx="1733550" cy="990600"/>
                    </a:xfrm>
                    <a:prstGeom prst="rect">
                      <a:avLst/>
                    </a:prstGeom>
                    <a:noFill/>
                    <a:ln>
                      <a:noFill/>
                    </a:ln>
                  </pic:spPr>
                </pic:pic>
              </a:graphicData>
            </a:graphic>
          </wp:anchor>
        </w:drawing>
      </w:r>
    </w:p>
    <w:p w14:paraId="04D47E94">
      <w:pPr>
        <w:widowControl/>
        <w:jc w:val="left"/>
        <w:rPr>
          <w:rFonts w:ascii="宋体" w:hAnsi="宋体" w:cs="宋体"/>
          <w:kern w:val="0"/>
          <w:sz w:val="24"/>
        </w:rPr>
      </w:pPr>
    </w:p>
    <w:p w14:paraId="1EED8E03">
      <w:pPr>
        <w:pStyle w:val="2113"/>
        <w:spacing w:line="460" w:lineRule="exact"/>
        <w:ind w:firstLine="522"/>
        <w:rPr>
          <w:rFonts w:hint="eastAsia" w:ascii="Arial" w:hAnsi="宋体" w:cs="Arial"/>
          <w:b/>
          <w:color w:val="auto"/>
          <w:kern w:val="0"/>
          <w:sz w:val="26"/>
          <w:szCs w:val="26"/>
        </w:rPr>
      </w:pPr>
    </w:p>
    <w:p w14:paraId="55E97F84">
      <w:pPr>
        <w:pStyle w:val="2113"/>
        <w:spacing w:line="460" w:lineRule="exact"/>
        <w:ind w:firstLine="522"/>
        <w:rPr>
          <w:rFonts w:hint="eastAsia" w:ascii="Arial" w:hAnsi="宋体" w:cs="Arial"/>
          <w:b/>
          <w:color w:val="auto"/>
          <w:kern w:val="0"/>
          <w:sz w:val="26"/>
          <w:szCs w:val="26"/>
        </w:rPr>
      </w:pPr>
    </w:p>
    <w:p w14:paraId="6EC3C521">
      <w:pPr>
        <w:spacing w:line="460" w:lineRule="exact"/>
        <w:ind w:firstLine="520" w:firstLineChars="200"/>
        <w:rPr>
          <w:rFonts w:ascii="Arial" w:cs="Arial"/>
          <w:sz w:val="26"/>
          <w:szCs w:val="26"/>
        </w:rPr>
      </w:pPr>
      <w:r>
        <w:rPr>
          <w:rFonts w:hint="eastAsia" w:ascii="Arial" w:cs="Arial"/>
          <w:sz w:val="26"/>
          <w:szCs w:val="26"/>
        </w:rPr>
        <w:t>式中：</w:t>
      </w:r>
      <w:r>
        <w:rPr>
          <w:rFonts w:ascii="Arial" w:cs="Arial"/>
          <w:sz w:val="26"/>
          <w:szCs w:val="26"/>
        </w:rPr>
        <w:t>C—</w:t>
      </w:r>
      <w:r>
        <w:rPr>
          <w:rFonts w:hint="eastAsia" w:ascii="Arial" w:cs="Arial"/>
          <w:sz w:val="26"/>
          <w:szCs w:val="26"/>
        </w:rPr>
        <w:t>湖（库）中磷（氮）的年平均浓度，</w:t>
      </w:r>
      <w:r>
        <w:rPr>
          <w:rFonts w:ascii="Arial" w:cs="Arial"/>
          <w:sz w:val="26"/>
          <w:szCs w:val="26"/>
        </w:rPr>
        <w:t>mg/L</w:t>
      </w:r>
      <w:r>
        <w:rPr>
          <w:rFonts w:hint="eastAsia" w:ascii="Arial" w:cs="Arial"/>
          <w:sz w:val="26"/>
          <w:szCs w:val="26"/>
        </w:rPr>
        <w:t>；</w:t>
      </w:r>
    </w:p>
    <w:p w14:paraId="326A8582">
      <w:pPr>
        <w:spacing w:line="460" w:lineRule="exact"/>
        <w:ind w:firstLine="1300" w:firstLineChars="500"/>
        <w:rPr>
          <w:rFonts w:ascii="Arial" w:cs="Arial"/>
          <w:sz w:val="26"/>
          <w:szCs w:val="26"/>
        </w:rPr>
      </w:pPr>
      <w:r>
        <w:rPr>
          <w:rFonts w:ascii="Arial" w:cs="Arial"/>
          <w:sz w:val="26"/>
          <w:szCs w:val="26"/>
        </w:rPr>
        <w:t>C</w:t>
      </w:r>
      <w:r>
        <w:rPr>
          <w:rFonts w:ascii="Arial" w:cs="Arial"/>
          <w:sz w:val="26"/>
          <w:szCs w:val="26"/>
          <w:vertAlign w:val="subscript"/>
        </w:rPr>
        <w:t>I</w:t>
      </w:r>
      <w:r>
        <w:rPr>
          <w:rFonts w:ascii="Arial" w:cs="Arial"/>
          <w:sz w:val="26"/>
          <w:szCs w:val="26"/>
        </w:rPr>
        <w:t>—</w:t>
      </w:r>
      <w:r>
        <w:rPr>
          <w:rFonts w:hint="eastAsia" w:ascii="Arial" w:cs="Arial"/>
          <w:sz w:val="26"/>
          <w:szCs w:val="26"/>
        </w:rPr>
        <w:t>流入湖（库）按流量加权平均的磷（氮）浓度，</w:t>
      </w:r>
      <w:r>
        <w:rPr>
          <w:rFonts w:ascii="Arial" w:cs="Arial"/>
          <w:sz w:val="26"/>
          <w:szCs w:val="26"/>
        </w:rPr>
        <w:t>mg/L</w:t>
      </w:r>
      <w:r>
        <w:rPr>
          <w:rFonts w:hint="eastAsia" w:ascii="Arial" w:cs="Arial"/>
          <w:sz w:val="26"/>
          <w:szCs w:val="26"/>
        </w:rPr>
        <w:t>；</w:t>
      </w:r>
    </w:p>
    <w:p w14:paraId="0BA53193">
      <w:pPr>
        <w:spacing w:line="460" w:lineRule="exact"/>
        <w:ind w:firstLine="1300" w:firstLineChars="500"/>
        <w:rPr>
          <w:rFonts w:ascii="Arial" w:cs="Arial"/>
          <w:sz w:val="26"/>
          <w:szCs w:val="26"/>
        </w:rPr>
      </w:pPr>
      <w:r>
        <w:rPr>
          <w:rFonts w:ascii="Arial" w:cs="Arial"/>
          <w:sz w:val="26"/>
          <w:szCs w:val="26"/>
        </w:rPr>
        <w:t>H—</w:t>
      </w:r>
      <w:r>
        <w:rPr>
          <w:rFonts w:hint="eastAsia" w:ascii="Arial" w:cs="Arial"/>
          <w:sz w:val="26"/>
          <w:szCs w:val="26"/>
        </w:rPr>
        <w:t>湖（库）平均水深，</w:t>
      </w:r>
      <w:r>
        <w:rPr>
          <w:rFonts w:ascii="Arial" w:cs="Arial"/>
          <w:sz w:val="26"/>
          <w:szCs w:val="26"/>
        </w:rPr>
        <w:t>m</w:t>
      </w:r>
      <w:r>
        <w:rPr>
          <w:rFonts w:hint="eastAsia" w:ascii="Arial" w:cs="Arial"/>
          <w:sz w:val="26"/>
          <w:szCs w:val="26"/>
        </w:rPr>
        <w:t>；</w:t>
      </w:r>
    </w:p>
    <w:p w14:paraId="2BF01A99">
      <w:pPr>
        <w:spacing w:line="460" w:lineRule="exact"/>
        <w:ind w:firstLine="1300" w:firstLineChars="500"/>
        <w:rPr>
          <w:rFonts w:ascii="Arial" w:cs="Arial"/>
          <w:sz w:val="26"/>
          <w:szCs w:val="26"/>
        </w:rPr>
      </w:pPr>
      <w:r>
        <w:rPr>
          <w:rFonts w:hint="eastAsia" w:ascii="Arial" w:cs="Arial"/>
          <w:sz w:val="26"/>
          <w:szCs w:val="26"/>
        </w:rPr>
        <w:t>q</w:t>
      </w:r>
      <w:r>
        <w:rPr>
          <w:rFonts w:hint="eastAsia" w:ascii="Arial" w:cs="Arial"/>
          <w:sz w:val="26"/>
          <w:szCs w:val="26"/>
          <w:vertAlign w:val="subscript"/>
        </w:rPr>
        <w:t>s</w:t>
      </w:r>
      <w:r>
        <w:rPr>
          <w:rFonts w:ascii="Arial" w:cs="Arial"/>
          <w:sz w:val="26"/>
          <w:szCs w:val="26"/>
        </w:rPr>
        <w:t>—</w:t>
      </w:r>
      <w:r>
        <w:rPr>
          <w:rFonts w:hint="eastAsia" w:ascii="Arial" w:cs="Arial"/>
          <w:sz w:val="26"/>
          <w:szCs w:val="26"/>
        </w:rPr>
        <w:t>湖</w:t>
      </w:r>
      <w:r>
        <w:rPr>
          <w:rFonts w:ascii="宋体" w:hAnsi="宋体" w:cs="Arial"/>
          <w:sz w:val="26"/>
          <w:szCs w:val="26"/>
        </w:rPr>
        <w:t>(</w:t>
      </w:r>
      <w:r>
        <w:rPr>
          <w:rFonts w:hint="eastAsia" w:ascii="Arial" w:cs="Arial"/>
          <w:sz w:val="26"/>
          <w:szCs w:val="26"/>
        </w:rPr>
        <w:t>库</w:t>
      </w:r>
      <w:r>
        <w:rPr>
          <w:rFonts w:ascii="宋体" w:hAnsi="宋体" w:cs="Arial"/>
          <w:sz w:val="26"/>
          <w:szCs w:val="26"/>
        </w:rPr>
        <w:t>)</w:t>
      </w:r>
      <w:r>
        <w:rPr>
          <w:rFonts w:hint="eastAsia" w:ascii="Arial" w:cs="Arial"/>
          <w:sz w:val="26"/>
          <w:szCs w:val="26"/>
        </w:rPr>
        <w:t>单位面积年平均水量负荷，</w:t>
      </w:r>
      <w:r>
        <w:rPr>
          <w:rFonts w:ascii="Arial" w:cs="Arial"/>
          <w:sz w:val="26"/>
          <w:szCs w:val="26"/>
        </w:rPr>
        <w:t>m/a</w:t>
      </w:r>
      <w:r>
        <w:rPr>
          <w:rFonts w:hint="eastAsia" w:ascii="Arial" w:cs="Arial"/>
          <w:sz w:val="26"/>
          <w:szCs w:val="26"/>
        </w:rPr>
        <w:t>；</w:t>
      </w:r>
    </w:p>
    <w:p w14:paraId="29FC95CF">
      <w:pPr>
        <w:spacing w:line="460" w:lineRule="exact"/>
        <w:ind w:firstLine="1300" w:firstLineChars="500"/>
        <w:rPr>
          <w:rFonts w:ascii="Arial" w:cs="Arial"/>
          <w:sz w:val="26"/>
          <w:szCs w:val="26"/>
        </w:rPr>
      </w:pPr>
      <w:r>
        <w:rPr>
          <w:rFonts w:ascii="Arial" w:cs="Arial"/>
          <w:sz w:val="26"/>
          <w:szCs w:val="26"/>
        </w:rPr>
        <w:t>Q</w:t>
      </w:r>
      <w:r>
        <w:rPr>
          <w:rFonts w:hint="eastAsia" w:ascii="Arial" w:cs="Arial"/>
          <w:sz w:val="26"/>
          <w:szCs w:val="26"/>
          <w:vertAlign w:val="subscript"/>
        </w:rPr>
        <w:t>入</w:t>
      </w:r>
      <w:r>
        <w:rPr>
          <w:rFonts w:hint="eastAsia" w:ascii="Arial" w:cs="Arial"/>
          <w:sz w:val="26"/>
          <w:szCs w:val="26"/>
        </w:rPr>
        <w:t>－入湖（库）水量，</w:t>
      </w:r>
      <w:r>
        <w:rPr>
          <w:rFonts w:ascii="Arial" w:cs="Arial"/>
          <w:sz w:val="26"/>
          <w:szCs w:val="26"/>
        </w:rPr>
        <w:t>m</w:t>
      </w:r>
      <w:r>
        <w:rPr>
          <w:rFonts w:ascii="Arial" w:cs="Arial"/>
          <w:sz w:val="26"/>
          <w:szCs w:val="26"/>
          <w:vertAlign w:val="superscript"/>
        </w:rPr>
        <w:t>3</w:t>
      </w:r>
      <w:r>
        <w:rPr>
          <w:rFonts w:ascii="Arial" w:cs="Arial"/>
          <w:sz w:val="26"/>
          <w:szCs w:val="26"/>
        </w:rPr>
        <w:t>/a</w:t>
      </w:r>
      <w:r>
        <w:rPr>
          <w:rFonts w:hint="eastAsia" w:ascii="Arial" w:cs="Arial"/>
          <w:sz w:val="26"/>
          <w:szCs w:val="26"/>
        </w:rPr>
        <w:t>；</w:t>
      </w:r>
    </w:p>
    <w:p w14:paraId="4E91AEB6">
      <w:pPr>
        <w:spacing w:line="460" w:lineRule="exact"/>
        <w:ind w:firstLine="1300" w:firstLineChars="500"/>
        <w:rPr>
          <w:rFonts w:hint="eastAsia" w:ascii="Arial" w:cs="Arial"/>
          <w:sz w:val="26"/>
          <w:szCs w:val="26"/>
        </w:rPr>
      </w:pPr>
      <w:r>
        <w:rPr>
          <w:rFonts w:ascii="Arial" w:cs="Arial"/>
          <w:sz w:val="26"/>
          <w:szCs w:val="26"/>
        </w:rPr>
        <w:t>A</w:t>
      </w:r>
      <w:r>
        <w:rPr>
          <w:rFonts w:hint="eastAsia" w:ascii="Arial" w:cs="Arial"/>
          <w:sz w:val="26"/>
          <w:szCs w:val="26"/>
        </w:rPr>
        <w:t>－湖库水面积，</w:t>
      </w:r>
      <w:r>
        <w:rPr>
          <w:rFonts w:ascii="Arial" w:cs="Arial"/>
          <w:sz w:val="26"/>
          <w:szCs w:val="26"/>
        </w:rPr>
        <w:t>m</w:t>
      </w:r>
      <w:r>
        <w:rPr>
          <w:rFonts w:ascii="Arial" w:cs="Arial"/>
          <w:sz w:val="26"/>
          <w:szCs w:val="26"/>
          <w:vertAlign w:val="superscript"/>
        </w:rPr>
        <w:t>2</w:t>
      </w:r>
      <w:r>
        <w:rPr>
          <w:rFonts w:hint="eastAsia" w:ascii="Arial" w:cs="Arial"/>
          <w:sz w:val="26"/>
          <w:szCs w:val="26"/>
        </w:rPr>
        <w:t>。</w:t>
      </w:r>
    </w:p>
    <w:p w14:paraId="2527522A">
      <w:pPr>
        <w:pStyle w:val="2113"/>
        <w:keepNext w:val="0"/>
        <w:keepLines w:val="0"/>
        <w:pageBreakBefore w:val="0"/>
        <w:widowControl w:val="0"/>
        <w:kinsoku/>
        <w:wordWrap/>
        <w:overflowPunct/>
        <w:topLinePunct w:val="0"/>
        <w:autoSpaceDE/>
        <w:autoSpaceDN/>
        <w:bidi w:val="0"/>
        <w:adjustRightInd/>
        <w:snapToGrid/>
        <w:spacing w:line="460" w:lineRule="exact"/>
        <w:ind w:firstLine="520"/>
        <w:textAlignment w:val="auto"/>
        <w:rPr>
          <w:rFonts w:hint="eastAsia" w:ascii="Arial" w:hAnsi="宋体" w:cs="Arial"/>
          <w:color w:val="auto"/>
          <w:sz w:val="26"/>
          <w:szCs w:val="26"/>
        </w:rPr>
      </w:pPr>
      <w:r>
        <w:rPr>
          <w:rFonts w:hint="eastAsia" w:ascii="Arial" w:hAnsi="宋体" w:cs="Arial"/>
          <w:color w:val="auto"/>
          <w:sz w:val="26"/>
          <w:szCs w:val="26"/>
        </w:rPr>
        <w:t>计算参数取值如下：</w:t>
      </w:r>
      <w:r>
        <w:rPr>
          <w:rFonts w:ascii="Arial" w:hAnsi="宋体" w:cs="Arial"/>
          <w:color w:val="auto"/>
          <w:sz w:val="26"/>
          <w:szCs w:val="26"/>
        </w:rPr>
        <w:t>C</w:t>
      </w:r>
      <w:r>
        <w:rPr>
          <w:rFonts w:ascii="Arial" w:hAnsi="宋体" w:cs="Arial"/>
          <w:color w:val="auto"/>
          <w:sz w:val="26"/>
          <w:szCs w:val="26"/>
          <w:vertAlign w:val="subscript"/>
        </w:rPr>
        <w:t>I</w:t>
      </w:r>
      <w:r>
        <w:rPr>
          <w:rFonts w:hint="eastAsia" w:ascii="Arial" w:hAnsi="宋体" w:cs="Arial"/>
          <w:color w:val="auto"/>
          <w:sz w:val="26"/>
          <w:szCs w:val="26"/>
        </w:rPr>
        <w:t>根据现状监测数据取值，</w:t>
      </w:r>
      <w:r>
        <w:rPr>
          <w:rFonts w:hint="eastAsia" w:ascii="Arial" w:hAnsi="宋体" w:cs="Arial"/>
          <w:color w:val="auto"/>
          <w:szCs w:val="26"/>
          <w:lang w:eastAsia="zh-CN"/>
        </w:rPr>
        <w:t>库区内</w:t>
      </w:r>
      <w:r>
        <w:rPr>
          <w:rFonts w:ascii="Arial" w:hAnsi="宋体" w:cs="Arial"/>
          <w:color w:val="auto"/>
          <w:szCs w:val="26"/>
        </w:rPr>
        <w:t>TN</w:t>
      </w:r>
      <w:r>
        <w:rPr>
          <w:rFonts w:hint="eastAsia" w:ascii="Arial" w:hAnsi="宋体" w:cs="Arial"/>
          <w:color w:val="auto"/>
          <w:szCs w:val="26"/>
        </w:rPr>
        <w:t>浓度</w:t>
      </w:r>
      <w:r>
        <w:rPr>
          <w:rFonts w:hint="eastAsia" w:ascii="Arial" w:hAnsi="宋体" w:cs="Arial"/>
          <w:color w:val="auto"/>
          <w:szCs w:val="26"/>
          <w:lang w:eastAsia="zh-CN"/>
        </w:rPr>
        <w:t>平均</w:t>
      </w:r>
      <w:r>
        <w:rPr>
          <w:rFonts w:hint="eastAsia" w:ascii="Arial" w:hAnsi="宋体" w:cs="Arial"/>
          <w:color w:val="auto"/>
          <w:szCs w:val="26"/>
        </w:rPr>
        <w:t>值为</w:t>
      </w:r>
      <w:r>
        <w:rPr>
          <w:rFonts w:hint="eastAsia" w:ascii="Arial" w:hAnsi="宋体" w:cs="Arial"/>
          <w:color w:val="auto"/>
          <w:szCs w:val="26"/>
          <w:lang w:val="en-US" w:eastAsia="zh-CN"/>
        </w:rPr>
        <w:t>1.29</w:t>
      </w:r>
      <w:r>
        <w:rPr>
          <w:rFonts w:ascii="Arial" w:hAnsi="宋体" w:cs="Arial"/>
          <w:color w:val="auto"/>
          <w:szCs w:val="26"/>
        </w:rPr>
        <w:t>mg/L</w:t>
      </w:r>
      <w:r>
        <w:rPr>
          <w:rFonts w:hint="eastAsia" w:ascii="Arial" w:hAnsi="宋体" w:cs="Arial"/>
          <w:color w:val="auto"/>
          <w:szCs w:val="26"/>
        </w:rPr>
        <w:t>、</w:t>
      </w:r>
      <w:r>
        <w:rPr>
          <w:rFonts w:ascii="Arial" w:hAnsi="宋体" w:cs="Arial"/>
          <w:color w:val="auto"/>
          <w:szCs w:val="26"/>
        </w:rPr>
        <w:t>TP</w:t>
      </w:r>
      <w:r>
        <w:rPr>
          <w:rFonts w:hint="eastAsia" w:ascii="Arial" w:hAnsi="宋体" w:cs="Arial"/>
          <w:color w:val="auto"/>
          <w:szCs w:val="26"/>
        </w:rPr>
        <w:t>浓度</w:t>
      </w:r>
      <w:r>
        <w:rPr>
          <w:rFonts w:hint="eastAsia" w:ascii="Arial" w:hAnsi="宋体" w:cs="Arial"/>
          <w:color w:val="auto"/>
          <w:szCs w:val="26"/>
          <w:lang w:eastAsia="zh-CN"/>
        </w:rPr>
        <w:t>平均</w:t>
      </w:r>
      <w:r>
        <w:rPr>
          <w:rFonts w:hint="eastAsia" w:ascii="Arial" w:hAnsi="宋体" w:cs="Arial"/>
          <w:color w:val="auto"/>
          <w:szCs w:val="26"/>
        </w:rPr>
        <w:t>值为0.0</w:t>
      </w:r>
      <w:r>
        <w:rPr>
          <w:rFonts w:hint="eastAsia" w:ascii="Arial" w:hAnsi="宋体" w:cs="Arial"/>
          <w:color w:val="auto"/>
          <w:szCs w:val="26"/>
          <w:lang w:val="en-US" w:eastAsia="zh-CN"/>
        </w:rPr>
        <w:t>6</w:t>
      </w:r>
      <w:r>
        <w:rPr>
          <w:rFonts w:ascii="Arial" w:hAnsi="宋体" w:cs="Arial"/>
          <w:color w:val="auto"/>
          <w:szCs w:val="26"/>
        </w:rPr>
        <w:t>mg/L</w:t>
      </w:r>
      <w:r>
        <w:rPr>
          <w:rFonts w:hint="eastAsia" w:ascii="Arial" w:hAnsi="宋体" w:cs="Arial"/>
          <w:color w:val="auto"/>
          <w:szCs w:val="26"/>
        </w:rPr>
        <w:t>，入湖水量</w:t>
      </w:r>
      <w:r>
        <w:rPr>
          <w:rFonts w:ascii="Arial" w:hAnsi="宋体" w:cs="Arial"/>
          <w:color w:val="auto"/>
          <w:szCs w:val="26"/>
        </w:rPr>
        <w:t>Q</w:t>
      </w:r>
      <w:r>
        <w:rPr>
          <w:rFonts w:hint="eastAsia" w:ascii="Arial" w:hAnsi="宋体" w:cs="Arial"/>
          <w:color w:val="auto"/>
          <w:szCs w:val="26"/>
          <w:vertAlign w:val="subscript"/>
        </w:rPr>
        <w:t>入</w:t>
      </w:r>
      <w:r>
        <w:rPr>
          <w:rFonts w:ascii="Arial" w:hAnsi="宋体" w:cs="Arial"/>
          <w:color w:val="auto"/>
          <w:szCs w:val="26"/>
        </w:rPr>
        <w:t>=</w:t>
      </w:r>
      <w:r>
        <w:rPr>
          <w:rFonts w:hint="eastAsia" w:ascii="Arial" w:hAnsi="宋体" w:cs="Arial"/>
          <w:color w:val="auto"/>
          <w:szCs w:val="26"/>
          <w:lang w:val="en-US" w:eastAsia="zh-CN"/>
        </w:rPr>
        <w:t>105</w:t>
      </w:r>
      <w:r>
        <w:rPr>
          <w:rFonts w:hint="eastAsia" w:ascii="Arial" w:hAnsi="宋体" w:cs="Arial"/>
          <w:color w:val="auto"/>
          <w:szCs w:val="26"/>
        </w:rPr>
        <w:t>万</w:t>
      </w:r>
      <w:r>
        <w:rPr>
          <w:rFonts w:ascii="Arial" w:hAnsi="宋体" w:cs="Arial"/>
          <w:color w:val="auto"/>
          <w:szCs w:val="26"/>
        </w:rPr>
        <w:t>m</w:t>
      </w:r>
      <w:r>
        <w:rPr>
          <w:rFonts w:ascii="Arial" w:hAnsi="宋体" w:cs="Arial"/>
          <w:color w:val="auto"/>
          <w:szCs w:val="26"/>
          <w:vertAlign w:val="superscript"/>
        </w:rPr>
        <w:t>3</w:t>
      </w:r>
      <w:r>
        <w:rPr>
          <w:rFonts w:ascii="Arial" w:hAnsi="宋体" w:cs="Arial"/>
          <w:color w:val="auto"/>
          <w:szCs w:val="26"/>
        </w:rPr>
        <w:t>/a</w:t>
      </w:r>
      <w:r>
        <w:rPr>
          <w:rFonts w:hint="eastAsia" w:ascii="Arial" w:hAnsi="宋体" w:cs="Arial"/>
          <w:color w:val="auto"/>
          <w:szCs w:val="26"/>
        </w:rPr>
        <w:t>，</w:t>
      </w:r>
      <w:r>
        <w:rPr>
          <w:rFonts w:hint="eastAsia" w:ascii="Arial" w:hAnsi="宋体" w:cs="Arial"/>
          <w:color w:val="auto"/>
          <w:sz w:val="26"/>
          <w:szCs w:val="26"/>
        </w:rPr>
        <w:t>湖库面积</w:t>
      </w:r>
      <w:r>
        <w:rPr>
          <w:rFonts w:ascii="Arial" w:hAnsi="宋体" w:cs="Arial"/>
          <w:color w:val="auto"/>
          <w:sz w:val="26"/>
          <w:szCs w:val="26"/>
        </w:rPr>
        <w:t>A=</w:t>
      </w:r>
      <w:r>
        <w:rPr>
          <w:rFonts w:hint="eastAsia" w:ascii="Arial" w:hAnsi="宋体" w:cs="Arial"/>
          <w:color w:val="auto"/>
          <w:sz w:val="26"/>
          <w:szCs w:val="26"/>
          <w:lang w:val="en-US" w:eastAsia="zh-CN"/>
        </w:rPr>
        <w:t>8.3028h</w:t>
      </w:r>
      <w:r>
        <w:rPr>
          <w:rFonts w:ascii="Arial" w:hAnsi="宋体" w:cs="Arial"/>
          <w:color w:val="auto"/>
          <w:sz w:val="26"/>
          <w:szCs w:val="26"/>
        </w:rPr>
        <w:t>m</w:t>
      </w:r>
      <w:r>
        <w:rPr>
          <w:rFonts w:ascii="Arial" w:hAnsi="宋体" w:cs="Arial"/>
          <w:color w:val="auto"/>
          <w:sz w:val="26"/>
          <w:szCs w:val="26"/>
          <w:vertAlign w:val="superscript"/>
        </w:rPr>
        <w:t>2</w:t>
      </w:r>
      <w:r>
        <w:rPr>
          <w:rFonts w:hint="eastAsia" w:ascii="Arial" w:hAnsi="宋体" w:cs="Arial"/>
          <w:color w:val="auto"/>
          <w:sz w:val="26"/>
          <w:szCs w:val="26"/>
        </w:rPr>
        <w:t>，平均水深</w:t>
      </w:r>
      <w:r>
        <w:rPr>
          <w:rFonts w:ascii="Arial" w:hAnsi="宋体" w:cs="Arial"/>
          <w:color w:val="auto"/>
          <w:sz w:val="26"/>
          <w:szCs w:val="26"/>
        </w:rPr>
        <w:t>H=</w:t>
      </w:r>
      <w:r>
        <w:rPr>
          <w:rFonts w:hint="eastAsia" w:ascii="Arial" w:hAnsi="宋体" w:cs="Arial"/>
          <w:color w:val="auto"/>
          <w:sz w:val="26"/>
          <w:szCs w:val="26"/>
          <w:lang w:val="en-US" w:eastAsia="zh-CN"/>
        </w:rPr>
        <w:t>9.7</w:t>
      </w:r>
      <w:r>
        <w:rPr>
          <w:rFonts w:ascii="Arial" w:hAnsi="宋体" w:cs="Arial"/>
          <w:color w:val="auto"/>
          <w:sz w:val="26"/>
          <w:szCs w:val="26"/>
        </w:rPr>
        <w:t>m</w:t>
      </w:r>
      <w:r>
        <w:rPr>
          <w:rFonts w:hint="eastAsia" w:ascii="Arial" w:hAnsi="宋体" w:cs="Arial"/>
          <w:color w:val="auto"/>
          <w:sz w:val="26"/>
          <w:szCs w:val="26"/>
        </w:rPr>
        <w:t>，水量负荷</w:t>
      </w:r>
      <w:r>
        <w:rPr>
          <w:rFonts w:ascii="Arial" w:hAnsi="宋体" w:cs="Arial"/>
          <w:color w:val="auto"/>
          <w:sz w:val="26"/>
          <w:szCs w:val="26"/>
        </w:rPr>
        <w:t>q</w:t>
      </w:r>
      <w:r>
        <w:rPr>
          <w:rFonts w:ascii="Arial" w:hAnsi="宋体" w:cs="Arial"/>
          <w:color w:val="auto"/>
          <w:sz w:val="26"/>
          <w:szCs w:val="26"/>
          <w:vertAlign w:val="subscript"/>
        </w:rPr>
        <w:t>s</w:t>
      </w:r>
      <w:r>
        <w:rPr>
          <w:rFonts w:ascii="Arial" w:hAnsi="宋体" w:cs="Arial"/>
          <w:color w:val="auto"/>
          <w:sz w:val="26"/>
          <w:szCs w:val="26"/>
        </w:rPr>
        <w:t>=</w:t>
      </w:r>
      <w:r>
        <w:rPr>
          <w:rFonts w:hint="eastAsia" w:ascii="Arial" w:hAnsi="宋体" w:cs="Arial"/>
          <w:color w:val="auto"/>
          <w:sz w:val="26"/>
          <w:szCs w:val="26"/>
          <w:lang w:val="en-US" w:eastAsia="zh-CN"/>
        </w:rPr>
        <w:t>12.65</w:t>
      </w:r>
      <w:r>
        <w:rPr>
          <w:rFonts w:ascii="Arial" w:hAnsi="宋体" w:cs="Arial"/>
          <w:color w:val="auto"/>
          <w:sz w:val="26"/>
          <w:szCs w:val="26"/>
        </w:rPr>
        <w:t>m/a</w:t>
      </w:r>
      <w:r>
        <w:rPr>
          <w:rFonts w:hint="eastAsia" w:ascii="Arial" w:hAnsi="宋体" w:cs="Arial"/>
          <w:color w:val="auto"/>
          <w:sz w:val="26"/>
          <w:szCs w:val="26"/>
        </w:rPr>
        <w:t>。经预测，</w:t>
      </w:r>
      <w:r>
        <w:rPr>
          <w:rFonts w:hint="eastAsia" w:ascii="Arial" w:hAnsi="宋体" w:cs="Arial"/>
          <w:color w:val="auto"/>
          <w:szCs w:val="26"/>
          <w:lang w:eastAsia="zh-CN"/>
        </w:rPr>
        <w:t>海螺沟</w:t>
      </w:r>
      <w:r>
        <w:rPr>
          <w:rFonts w:hint="eastAsia" w:ascii="Arial" w:hAnsi="宋体" w:cs="Arial"/>
          <w:color w:val="auto"/>
          <w:szCs w:val="26"/>
        </w:rPr>
        <w:t>水库蓄水后，</w:t>
      </w:r>
      <w:r>
        <w:rPr>
          <w:rFonts w:ascii="Arial" w:hAnsi="宋体" w:cs="Arial"/>
          <w:color w:val="auto"/>
          <w:szCs w:val="26"/>
        </w:rPr>
        <w:t>TN</w:t>
      </w:r>
      <w:r>
        <w:rPr>
          <w:rFonts w:hint="eastAsia" w:ascii="Arial" w:hAnsi="宋体" w:cs="Arial"/>
          <w:color w:val="auto"/>
          <w:szCs w:val="26"/>
        </w:rPr>
        <w:t>、</w:t>
      </w:r>
      <w:r>
        <w:rPr>
          <w:rFonts w:ascii="Arial" w:hAnsi="宋体" w:cs="Arial"/>
          <w:color w:val="auto"/>
          <w:szCs w:val="26"/>
        </w:rPr>
        <w:t>TP</w:t>
      </w:r>
      <w:r>
        <w:rPr>
          <w:rFonts w:hint="eastAsia" w:ascii="Arial" w:hAnsi="宋体" w:cs="Arial"/>
          <w:color w:val="auto"/>
          <w:szCs w:val="26"/>
        </w:rPr>
        <w:t>浓度分别为</w:t>
      </w:r>
      <w:r>
        <w:rPr>
          <w:rFonts w:hint="eastAsia" w:ascii="Arial" w:hAnsi="宋体" w:cs="Arial"/>
          <w:color w:val="auto"/>
          <w:szCs w:val="26"/>
          <w:lang w:val="en-US" w:eastAsia="zh-CN"/>
        </w:rPr>
        <w:t>0.69</w:t>
      </w:r>
      <w:r>
        <w:rPr>
          <w:rFonts w:ascii="Arial" w:hAnsi="宋体" w:cs="Arial"/>
          <w:color w:val="auto"/>
          <w:szCs w:val="26"/>
        </w:rPr>
        <w:t>mg/L</w:t>
      </w:r>
      <w:r>
        <w:rPr>
          <w:rFonts w:hint="eastAsia" w:ascii="Arial" w:hAnsi="宋体" w:cs="Arial"/>
          <w:color w:val="auto"/>
          <w:szCs w:val="26"/>
        </w:rPr>
        <w:t>、</w:t>
      </w:r>
      <w:r>
        <w:rPr>
          <w:rFonts w:hint="eastAsia" w:ascii="Arial" w:hAnsi="宋体" w:cs="Arial"/>
          <w:color w:val="auto"/>
          <w:szCs w:val="26"/>
          <w:lang w:val="en-US" w:eastAsia="zh-CN"/>
        </w:rPr>
        <w:t>0.03</w:t>
      </w:r>
      <w:r>
        <w:rPr>
          <w:rFonts w:ascii="Arial" w:hAnsi="宋体" w:cs="Arial"/>
          <w:color w:val="auto"/>
          <w:szCs w:val="26"/>
        </w:rPr>
        <w:t>mg/L</w:t>
      </w:r>
      <w:r>
        <w:rPr>
          <w:rFonts w:hint="eastAsia" w:ascii="Arial" w:hAnsi="宋体" w:cs="Arial"/>
          <w:color w:val="auto"/>
          <w:szCs w:val="26"/>
        </w:rPr>
        <w:t>，均满足</w:t>
      </w:r>
      <w:r>
        <w:rPr>
          <w:rFonts w:hint="eastAsia" w:ascii="Arial" w:hAnsi="宋体" w:cs="Arial"/>
          <w:color w:val="auto"/>
          <w:szCs w:val="26"/>
          <w:lang w:eastAsia="zh-CN"/>
        </w:rPr>
        <w:t>（</w:t>
      </w:r>
      <w:r>
        <w:rPr>
          <w:rFonts w:ascii="Arial" w:hAnsi="宋体" w:cs="Arial"/>
          <w:color w:val="auto"/>
          <w:szCs w:val="26"/>
        </w:rPr>
        <w:t>GB3838-2002</w:t>
      </w:r>
      <w:r>
        <w:rPr>
          <w:rFonts w:hint="eastAsia" w:ascii="Arial" w:hAnsi="宋体" w:cs="Arial"/>
          <w:color w:val="auto"/>
          <w:szCs w:val="26"/>
          <w:lang w:eastAsia="zh-CN"/>
        </w:rPr>
        <w:t>）</w:t>
      </w:r>
      <w:r>
        <w:rPr>
          <w:rFonts w:hint="eastAsia" w:ascii="Arial" w:hAnsi="宋体" w:cs="Arial"/>
          <w:color w:val="auto"/>
          <w:szCs w:val="26"/>
        </w:rPr>
        <w:t>中Ⅱ类标准。</w:t>
      </w:r>
    </w:p>
    <w:p w14:paraId="6A6A3BBB">
      <w:pPr>
        <w:keepNext w:val="0"/>
        <w:keepLines w:val="0"/>
        <w:pageBreakBefore w:val="0"/>
        <w:widowControl w:val="0"/>
        <w:kinsoku/>
        <w:wordWrap/>
        <w:overflowPunct/>
        <w:topLinePunct w:val="0"/>
        <w:autoSpaceDE/>
        <w:autoSpaceDN/>
        <w:bidi w:val="0"/>
        <w:adjustRightInd/>
        <w:snapToGrid/>
        <w:spacing w:line="460" w:lineRule="exact"/>
        <w:ind w:firstLine="520"/>
        <w:textAlignment w:val="auto"/>
        <w:rPr>
          <w:spacing w:val="-4"/>
          <w:sz w:val="26"/>
          <w:szCs w:val="26"/>
        </w:rPr>
      </w:pPr>
      <w:r>
        <w:rPr>
          <w:rFonts w:hint="eastAsia"/>
          <w:sz w:val="26"/>
          <w:szCs w:val="26"/>
        </w:rPr>
        <w:t>湖泊</w:t>
      </w:r>
      <w:r>
        <w:rPr>
          <w:rFonts w:ascii="宋体" w:hAnsi="宋体"/>
          <w:sz w:val="26"/>
          <w:szCs w:val="26"/>
        </w:rPr>
        <w:t>(</w:t>
      </w:r>
      <w:r>
        <w:rPr>
          <w:rFonts w:hint="eastAsia"/>
          <w:sz w:val="26"/>
          <w:szCs w:val="26"/>
        </w:rPr>
        <w:t>水库</w:t>
      </w:r>
      <w:r>
        <w:rPr>
          <w:rFonts w:ascii="宋体" w:hAnsi="宋体"/>
          <w:sz w:val="26"/>
          <w:szCs w:val="26"/>
        </w:rPr>
        <w:t>)</w:t>
      </w:r>
      <w:r>
        <w:rPr>
          <w:rFonts w:hint="eastAsia"/>
          <w:sz w:val="26"/>
          <w:szCs w:val="26"/>
        </w:rPr>
        <w:t>富营养化状况评价方法：综合营养状态指数法</w:t>
      </w:r>
    </w:p>
    <w:p w14:paraId="75F6A811">
      <w:pPr>
        <w:keepNext w:val="0"/>
        <w:keepLines w:val="0"/>
        <w:pageBreakBefore w:val="0"/>
        <w:widowControl w:val="0"/>
        <w:kinsoku/>
        <w:wordWrap/>
        <w:overflowPunct/>
        <w:topLinePunct w:val="0"/>
        <w:autoSpaceDE/>
        <w:autoSpaceDN/>
        <w:bidi w:val="0"/>
        <w:adjustRightInd/>
        <w:snapToGrid/>
        <w:spacing w:line="460" w:lineRule="exact"/>
        <w:ind w:firstLine="520"/>
        <w:textAlignment w:val="auto"/>
        <w:rPr>
          <w:sz w:val="26"/>
          <w:szCs w:val="26"/>
        </w:rPr>
      </w:pPr>
      <w:r>
        <w:rPr>
          <w:rFonts w:hint="eastAsia"/>
          <w:sz w:val="26"/>
          <w:szCs w:val="26"/>
        </w:rPr>
        <w:t>综合营养状态指数计算公式为：</w:t>
      </w:r>
    </w:p>
    <w:p w14:paraId="5FCBB74D">
      <w:pPr>
        <w:spacing w:before="46" w:beforeLines="15" w:after="46" w:afterLines="15"/>
        <w:jc w:val="center"/>
        <w:rPr>
          <w:kern w:val="0"/>
          <w:sz w:val="26"/>
          <w:szCs w:val="26"/>
        </w:rPr>
      </w:pPr>
      <w:r>
        <w:rPr>
          <w:kern w:val="0"/>
          <w:position w:val="-30"/>
          <w:sz w:val="26"/>
          <w:szCs w:val="26"/>
        </w:rPr>
        <w:drawing>
          <wp:inline distT="0" distB="0" distL="114300" distR="114300">
            <wp:extent cx="1521460" cy="421640"/>
            <wp:effectExtent l="0" t="0" r="2540" b="1714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38"/>
                    <a:stretch>
                      <a:fillRect/>
                    </a:stretch>
                  </pic:blipFill>
                  <pic:spPr>
                    <a:xfrm>
                      <a:off x="0" y="0"/>
                      <a:ext cx="1521460" cy="421640"/>
                    </a:xfrm>
                    <a:prstGeom prst="rect">
                      <a:avLst/>
                    </a:prstGeom>
                    <a:noFill/>
                    <a:ln>
                      <a:noFill/>
                    </a:ln>
                  </pic:spPr>
                </pic:pic>
              </a:graphicData>
            </a:graphic>
          </wp:inline>
        </w:drawing>
      </w:r>
    </w:p>
    <w:p w14:paraId="55049EF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cs="Arial"/>
          <w:sz w:val="26"/>
          <w:szCs w:val="26"/>
        </w:rPr>
        <w:t>式中：</w:t>
      </w:r>
    </w:p>
    <w:p w14:paraId="770AE03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drawing>
          <wp:inline distT="0" distB="0" distL="114300" distR="114300">
            <wp:extent cx="494030" cy="202565"/>
            <wp:effectExtent l="0" t="0" r="1270" b="571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39"/>
                    <a:stretch>
                      <a:fillRect/>
                    </a:stretch>
                  </pic:blipFill>
                  <pic:spPr>
                    <a:xfrm>
                      <a:off x="0" y="0"/>
                      <a:ext cx="494030" cy="202565"/>
                    </a:xfrm>
                    <a:prstGeom prst="rect">
                      <a:avLst/>
                    </a:prstGeom>
                    <a:noFill/>
                    <a:ln>
                      <a:noFill/>
                    </a:ln>
                  </pic:spPr>
                </pic:pic>
              </a:graphicData>
            </a:graphic>
          </wp:inline>
        </w:drawing>
      </w:r>
      <w:r>
        <w:rPr>
          <w:rFonts w:ascii="Arial" w:hAnsi="Arial" w:cs="Arial"/>
          <w:sz w:val="26"/>
          <w:szCs w:val="26"/>
        </w:rPr>
        <w:t>—</w:t>
      </w:r>
      <w:r>
        <w:rPr>
          <w:rFonts w:ascii="Arial" w:cs="Arial"/>
          <w:sz w:val="26"/>
          <w:szCs w:val="26"/>
        </w:rPr>
        <w:t>综合营养状态指数；</w:t>
      </w:r>
    </w:p>
    <w:p w14:paraId="5CB78C3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t>Wj—</w:t>
      </w:r>
      <w:r>
        <w:rPr>
          <w:rFonts w:ascii="Arial" w:cs="Arial"/>
          <w:sz w:val="26"/>
          <w:szCs w:val="26"/>
        </w:rPr>
        <w:t>第</w:t>
      </w:r>
      <w:r>
        <w:rPr>
          <w:rFonts w:ascii="Arial" w:hAnsi="Arial" w:cs="Arial"/>
          <w:sz w:val="26"/>
          <w:szCs w:val="26"/>
        </w:rPr>
        <w:t>j</w:t>
      </w:r>
      <w:r>
        <w:rPr>
          <w:rFonts w:ascii="Arial" w:cs="Arial"/>
          <w:sz w:val="26"/>
          <w:szCs w:val="26"/>
        </w:rPr>
        <w:t>种参数的营养状态指数的相关权重；</w:t>
      </w:r>
    </w:p>
    <w:p w14:paraId="0B6A39C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t>TLI</w:t>
      </w:r>
      <w:r>
        <w:rPr>
          <w:rFonts w:ascii="Arial" w:cs="Arial"/>
          <w:sz w:val="26"/>
          <w:szCs w:val="26"/>
        </w:rPr>
        <w:t>（</w:t>
      </w:r>
      <w:r>
        <w:rPr>
          <w:rFonts w:ascii="Arial" w:hAnsi="Arial" w:cs="Arial"/>
          <w:sz w:val="26"/>
          <w:szCs w:val="26"/>
        </w:rPr>
        <w:t>j</w:t>
      </w:r>
      <w:r>
        <w:rPr>
          <w:rFonts w:ascii="Arial" w:cs="Arial"/>
          <w:sz w:val="26"/>
          <w:szCs w:val="26"/>
        </w:rPr>
        <w:t>）</w:t>
      </w:r>
      <w:r>
        <w:rPr>
          <w:rFonts w:ascii="Arial" w:hAnsi="Arial" w:cs="Arial"/>
          <w:sz w:val="26"/>
          <w:szCs w:val="26"/>
        </w:rPr>
        <w:t>—</w:t>
      </w:r>
      <w:r>
        <w:rPr>
          <w:rFonts w:ascii="Arial" w:cs="Arial"/>
          <w:sz w:val="26"/>
          <w:szCs w:val="26"/>
        </w:rPr>
        <w:t>代表第</w:t>
      </w:r>
      <w:r>
        <w:rPr>
          <w:rFonts w:ascii="Arial" w:hAnsi="Arial" w:cs="Arial"/>
          <w:sz w:val="26"/>
          <w:szCs w:val="26"/>
        </w:rPr>
        <w:t>j</w:t>
      </w:r>
      <w:r>
        <w:rPr>
          <w:rFonts w:ascii="Arial" w:cs="Arial"/>
          <w:sz w:val="26"/>
          <w:szCs w:val="26"/>
        </w:rPr>
        <w:t>种参数的营养状态指数；</w:t>
      </w:r>
    </w:p>
    <w:p w14:paraId="2B79F63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cs="Arial"/>
          <w:sz w:val="26"/>
          <w:szCs w:val="26"/>
        </w:rPr>
        <w:t>以</w:t>
      </w:r>
      <w:r>
        <w:rPr>
          <w:rFonts w:ascii="Arial" w:hAnsi="Arial" w:cs="Arial"/>
          <w:sz w:val="26"/>
          <w:szCs w:val="26"/>
        </w:rPr>
        <w:t>chla</w:t>
      </w:r>
      <w:r>
        <w:rPr>
          <w:rFonts w:ascii="Arial" w:cs="Arial"/>
          <w:sz w:val="26"/>
          <w:szCs w:val="26"/>
        </w:rPr>
        <w:t>作为基准参数，则第</w:t>
      </w:r>
      <w:r>
        <w:rPr>
          <w:rFonts w:ascii="Arial" w:hAnsi="Arial" w:cs="Arial"/>
          <w:sz w:val="26"/>
          <w:szCs w:val="26"/>
        </w:rPr>
        <w:t>j</w:t>
      </w:r>
      <w:r>
        <w:rPr>
          <w:rFonts w:ascii="Arial" w:cs="Arial"/>
          <w:sz w:val="26"/>
          <w:szCs w:val="26"/>
        </w:rPr>
        <w:t>种参数的归一化的相关权重计算公式为：</w:t>
      </w:r>
    </w:p>
    <w:p w14:paraId="726E5820">
      <w:pPr>
        <w:spacing w:before="46" w:beforeLines="15" w:after="46" w:afterLines="15"/>
        <w:jc w:val="center"/>
        <w:rPr>
          <w:kern w:val="0"/>
          <w:sz w:val="26"/>
          <w:szCs w:val="26"/>
        </w:rPr>
      </w:pPr>
      <w:r>
        <w:rPr>
          <w:kern w:val="0"/>
          <w:sz w:val="26"/>
          <w:szCs w:val="26"/>
        </w:rPr>
        <w:drawing>
          <wp:inline distT="0" distB="0" distL="114300" distR="114300">
            <wp:extent cx="845820" cy="685800"/>
            <wp:effectExtent l="0" t="0" r="0" b="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40"/>
                    <a:stretch>
                      <a:fillRect/>
                    </a:stretch>
                  </pic:blipFill>
                  <pic:spPr>
                    <a:xfrm>
                      <a:off x="0" y="0"/>
                      <a:ext cx="845820" cy="685800"/>
                    </a:xfrm>
                    <a:prstGeom prst="rect">
                      <a:avLst/>
                    </a:prstGeom>
                    <a:noFill/>
                    <a:ln>
                      <a:noFill/>
                    </a:ln>
                  </pic:spPr>
                </pic:pic>
              </a:graphicData>
            </a:graphic>
          </wp:inline>
        </w:drawing>
      </w:r>
    </w:p>
    <w:p w14:paraId="3BEC55E8">
      <w:pPr>
        <w:spacing w:line="460" w:lineRule="exact"/>
        <w:ind w:firstLine="520"/>
        <w:rPr>
          <w:rFonts w:ascii="Arial" w:hAnsi="Arial" w:cs="Arial"/>
          <w:sz w:val="26"/>
          <w:szCs w:val="26"/>
        </w:rPr>
      </w:pPr>
      <w:r>
        <w:rPr>
          <w:rFonts w:ascii="Arial" w:cs="Arial"/>
          <w:sz w:val="26"/>
          <w:szCs w:val="26"/>
        </w:rPr>
        <w:t>式中：</w:t>
      </w:r>
    </w:p>
    <w:p w14:paraId="3991E3A7">
      <w:pPr>
        <w:spacing w:line="460" w:lineRule="exact"/>
        <w:ind w:firstLine="520"/>
        <w:rPr>
          <w:rFonts w:ascii="Arial" w:hAnsi="Arial" w:cs="Arial"/>
          <w:sz w:val="26"/>
          <w:szCs w:val="26"/>
        </w:rPr>
      </w:pPr>
      <w:r>
        <w:rPr>
          <w:rFonts w:ascii="Arial" w:hAnsi="Arial" w:cs="Arial"/>
          <w:sz w:val="26"/>
          <w:szCs w:val="26"/>
        </w:rPr>
        <w:t>r</w:t>
      </w:r>
      <w:r>
        <w:rPr>
          <w:rFonts w:ascii="Arial" w:hAnsi="Arial" w:cs="Arial"/>
          <w:sz w:val="26"/>
          <w:szCs w:val="26"/>
          <w:vertAlign w:val="subscript"/>
        </w:rPr>
        <w:t>ij</w:t>
      </w:r>
      <w:r>
        <w:rPr>
          <w:rFonts w:ascii="Arial" w:hAnsi="Arial" w:cs="Arial"/>
          <w:sz w:val="26"/>
          <w:szCs w:val="26"/>
        </w:rPr>
        <w:t>—</w:t>
      </w:r>
      <w:r>
        <w:rPr>
          <w:rFonts w:ascii="Arial" w:cs="Arial"/>
          <w:sz w:val="26"/>
          <w:szCs w:val="26"/>
        </w:rPr>
        <w:t>第</w:t>
      </w:r>
      <w:r>
        <w:rPr>
          <w:rFonts w:ascii="Arial" w:hAnsi="Arial" w:cs="Arial"/>
          <w:sz w:val="26"/>
          <w:szCs w:val="26"/>
        </w:rPr>
        <w:t>j</w:t>
      </w:r>
      <w:r>
        <w:rPr>
          <w:rFonts w:ascii="Arial" w:cs="Arial"/>
          <w:sz w:val="26"/>
          <w:szCs w:val="26"/>
        </w:rPr>
        <w:t>种参数与基准参数</w:t>
      </w:r>
      <w:r>
        <w:rPr>
          <w:rFonts w:ascii="Arial" w:hAnsi="Arial" w:cs="Arial"/>
          <w:sz w:val="26"/>
          <w:szCs w:val="26"/>
        </w:rPr>
        <w:t>chla</w:t>
      </w:r>
      <w:r>
        <w:rPr>
          <w:rFonts w:ascii="Arial" w:cs="Arial"/>
          <w:sz w:val="26"/>
          <w:szCs w:val="26"/>
        </w:rPr>
        <w:t>的相关系数；</w:t>
      </w:r>
    </w:p>
    <w:p w14:paraId="5C9A8960">
      <w:pPr>
        <w:spacing w:line="460" w:lineRule="exact"/>
        <w:ind w:firstLine="520"/>
        <w:rPr>
          <w:rFonts w:ascii="Arial" w:hAnsi="Arial" w:cs="Arial"/>
          <w:sz w:val="26"/>
          <w:szCs w:val="26"/>
        </w:rPr>
      </w:pPr>
      <w:r>
        <w:rPr>
          <w:rFonts w:ascii="Arial" w:hAnsi="Arial" w:cs="Arial"/>
          <w:sz w:val="26"/>
          <w:szCs w:val="26"/>
        </w:rPr>
        <w:t>m—</w:t>
      </w:r>
      <w:r>
        <w:rPr>
          <w:rFonts w:ascii="Arial" w:cs="Arial"/>
          <w:sz w:val="26"/>
          <w:szCs w:val="26"/>
        </w:rPr>
        <w:t>评价参数的个数。</w:t>
      </w:r>
    </w:p>
    <w:p w14:paraId="58D12915">
      <w:pPr>
        <w:spacing w:line="460" w:lineRule="exact"/>
        <w:ind w:firstLine="520"/>
        <w:rPr>
          <w:sz w:val="26"/>
          <w:szCs w:val="26"/>
        </w:rPr>
      </w:pPr>
      <w:r>
        <w:rPr>
          <w:rFonts w:ascii="Arial" w:cs="Arial"/>
          <w:sz w:val="26"/>
          <w:szCs w:val="26"/>
        </w:rPr>
        <w:t>中国湖泊</w:t>
      </w:r>
      <w:r>
        <w:rPr>
          <w:rFonts w:ascii="宋体" w:hAnsi="宋体" w:cs="Arial"/>
          <w:sz w:val="26"/>
          <w:szCs w:val="26"/>
        </w:rPr>
        <w:t>(</w:t>
      </w:r>
      <w:r>
        <w:rPr>
          <w:rFonts w:ascii="Arial" w:cs="Arial"/>
          <w:sz w:val="26"/>
          <w:szCs w:val="26"/>
        </w:rPr>
        <w:t>水库</w:t>
      </w:r>
      <w:r>
        <w:rPr>
          <w:rFonts w:ascii="宋体" w:hAnsi="宋体" w:cs="Arial"/>
          <w:sz w:val="26"/>
          <w:szCs w:val="26"/>
        </w:rPr>
        <w:t>)</w:t>
      </w:r>
      <w:r>
        <w:rPr>
          <w:rFonts w:ascii="Arial" w:cs="Arial"/>
          <w:sz w:val="26"/>
          <w:szCs w:val="26"/>
        </w:rPr>
        <w:t>的</w:t>
      </w:r>
      <w:r>
        <w:rPr>
          <w:rFonts w:ascii="Arial" w:hAnsi="Arial" w:cs="Arial"/>
          <w:sz w:val="26"/>
          <w:szCs w:val="26"/>
        </w:rPr>
        <w:t>chla</w:t>
      </w:r>
      <w:r>
        <w:rPr>
          <w:rFonts w:ascii="Arial" w:cs="Arial"/>
          <w:sz w:val="26"/>
          <w:szCs w:val="26"/>
        </w:rPr>
        <w:t>与其它参数之间的相关关系</w:t>
      </w:r>
      <w:r>
        <w:rPr>
          <w:rFonts w:ascii="Arial" w:hAnsi="Arial" w:cs="Arial"/>
          <w:sz w:val="26"/>
          <w:szCs w:val="26"/>
        </w:rPr>
        <w:t>r</w:t>
      </w:r>
      <w:r>
        <w:rPr>
          <w:rFonts w:ascii="Arial" w:hAnsi="Arial" w:cs="Arial"/>
          <w:sz w:val="26"/>
          <w:szCs w:val="26"/>
          <w:vertAlign w:val="subscript"/>
        </w:rPr>
        <w:t>ij</w:t>
      </w:r>
      <w:r>
        <w:rPr>
          <w:rFonts w:ascii="Arial" w:cs="Arial"/>
          <w:sz w:val="26"/>
          <w:szCs w:val="26"/>
        </w:rPr>
        <w:t>及</w:t>
      </w:r>
      <w:r>
        <w:rPr>
          <w:rFonts w:ascii="Arial" w:hAnsi="Arial" w:cs="Arial"/>
          <w:sz w:val="26"/>
          <w:szCs w:val="26"/>
        </w:rPr>
        <w:t>r</w:t>
      </w:r>
      <w:r>
        <w:rPr>
          <w:rFonts w:ascii="Arial" w:hAnsi="Arial" w:cs="Arial"/>
          <w:sz w:val="26"/>
          <w:szCs w:val="26"/>
          <w:vertAlign w:val="subscript"/>
        </w:rPr>
        <w:t>ij</w:t>
      </w:r>
      <w:r>
        <w:rPr>
          <w:rFonts w:ascii="Arial" w:hAnsi="Arial" w:cs="Arial"/>
          <w:sz w:val="26"/>
          <w:szCs w:val="26"/>
          <w:vertAlign w:val="superscript"/>
        </w:rPr>
        <w:t>2</w:t>
      </w:r>
      <w:r>
        <w:rPr>
          <w:rFonts w:ascii="Arial" w:cs="Arial"/>
          <w:sz w:val="26"/>
          <w:szCs w:val="26"/>
        </w:rPr>
        <w:t>见下表。</w:t>
      </w:r>
    </w:p>
    <w:p w14:paraId="1B648B0A">
      <w:pPr>
        <w:spacing w:line="460" w:lineRule="exact"/>
        <w:jc w:val="center"/>
        <w:outlineLvl w:val="4"/>
        <w:rPr>
          <w:bCs/>
          <w:kern w:val="0"/>
          <w:sz w:val="26"/>
          <w:szCs w:val="26"/>
        </w:rPr>
      </w:pPr>
      <w:r>
        <w:rPr>
          <w:rFonts w:hint="eastAsia" w:ascii="Arial" w:hAnsi="宋体" w:cs="Arial"/>
          <w:b/>
          <w:sz w:val="26"/>
          <w:szCs w:val="26"/>
        </w:rPr>
        <w:t>表</w:t>
      </w:r>
      <w:r>
        <w:rPr>
          <w:rFonts w:hint="eastAsia" w:ascii="Arial" w:hAnsi="宋体" w:cs="Arial"/>
          <w:b/>
          <w:sz w:val="26"/>
          <w:szCs w:val="26"/>
          <w:lang w:val="en-US" w:eastAsia="zh-CN"/>
        </w:rPr>
        <w:t>6.5-8</w:t>
      </w:r>
      <w:r>
        <w:rPr>
          <w:rFonts w:hint="eastAsia" w:ascii="Arial" w:hAnsi="宋体" w:cs="Arial"/>
          <w:b/>
          <w:sz w:val="26"/>
          <w:szCs w:val="26"/>
        </w:rPr>
        <w:t xml:space="preserve"> 中国湖泊（水库）部分参数与</w:t>
      </w:r>
      <w:r>
        <w:rPr>
          <w:rFonts w:ascii="Arial" w:hAnsi="宋体" w:cs="Arial"/>
          <w:b/>
          <w:sz w:val="26"/>
          <w:szCs w:val="26"/>
        </w:rPr>
        <w:t>chla</w:t>
      </w:r>
      <w:r>
        <w:rPr>
          <w:rFonts w:hint="eastAsia" w:ascii="Arial" w:hAnsi="宋体" w:cs="Arial"/>
          <w:b/>
          <w:sz w:val="26"/>
          <w:szCs w:val="26"/>
        </w:rPr>
        <w:t>的相关关系</w:t>
      </w:r>
      <w:r>
        <w:rPr>
          <w:rFonts w:ascii="Arial" w:hAnsi="宋体" w:cs="Arial"/>
          <w:b/>
          <w:sz w:val="26"/>
          <w:szCs w:val="26"/>
        </w:rPr>
        <w:t>r</w:t>
      </w:r>
      <w:r>
        <w:rPr>
          <w:rFonts w:ascii="Arial" w:hAnsi="宋体" w:cs="Arial"/>
          <w:b/>
          <w:sz w:val="26"/>
          <w:szCs w:val="26"/>
          <w:vertAlign w:val="subscript"/>
        </w:rPr>
        <w:t>ij</w:t>
      </w:r>
      <w:r>
        <w:rPr>
          <w:rFonts w:hint="eastAsia" w:ascii="Arial" w:hAnsi="宋体" w:cs="Arial"/>
          <w:b/>
          <w:sz w:val="26"/>
          <w:szCs w:val="26"/>
        </w:rPr>
        <w:t>和</w:t>
      </w:r>
      <w:r>
        <w:rPr>
          <w:rFonts w:ascii="Arial" w:hAnsi="宋体" w:cs="Arial"/>
          <w:b/>
          <w:sz w:val="26"/>
          <w:szCs w:val="26"/>
        </w:rPr>
        <w:t>r</w:t>
      </w:r>
      <w:r>
        <w:rPr>
          <w:rFonts w:ascii="Arial" w:hAnsi="宋体" w:cs="Arial"/>
          <w:b/>
          <w:sz w:val="26"/>
          <w:szCs w:val="26"/>
          <w:vertAlign w:val="subscript"/>
        </w:rPr>
        <w:t>ij</w:t>
      </w:r>
      <w:r>
        <w:rPr>
          <w:rFonts w:ascii="Arial" w:hAnsi="宋体" w:cs="Arial"/>
          <w:b/>
          <w:sz w:val="26"/>
          <w:szCs w:val="26"/>
          <w:vertAlign w:val="superscript"/>
        </w:rPr>
        <w:t>2</w:t>
      </w:r>
      <w:r>
        <w:rPr>
          <w:rFonts w:hint="eastAsia" w:ascii="Arial" w:hAnsi="宋体" w:cs="Arial"/>
          <w:b/>
          <w:sz w:val="26"/>
          <w:szCs w:val="26"/>
        </w:rPr>
        <w:t>值</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9"/>
        <w:gridCol w:w="1138"/>
        <w:gridCol w:w="1629"/>
        <w:gridCol w:w="1629"/>
        <w:gridCol w:w="1629"/>
        <w:gridCol w:w="1425"/>
      </w:tblGrid>
      <w:tr w14:paraId="7F6CB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noWrap w:val="0"/>
            <w:vAlign w:val="center"/>
          </w:tcPr>
          <w:p w14:paraId="6B9EC387">
            <w:pPr>
              <w:spacing w:line="300" w:lineRule="exact"/>
              <w:jc w:val="center"/>
              <w:rPr>
                <w:rFonts w:ascii="Arial" w:hAnsi="Arial" w:cs="Arial"/>
                <w:kern w:val="0"/>
                <w:sz w:val="22"/>
                <w:szCs w:val="22"/>
              </w:rPr>
            </w:pPr>
            <w:r>
              <w:rPr>
                <w:rFonts w:ascii="Arial" w:cs="Arial"/>
                <w:kern w:val="0"/>
                <w:sz w:val="22"/>
                <w:szCs w:val="22"/>
              </w:rPr>
              <w:t>参数</w:t>
            </w:r>
          </w:p>
        </w:tc>
        <w:tc>
          <w:tcPr>
            <w:tcW w:w="1138" w:type="dxa"/>
            <w:noWrap w:val="0"/>
            <w:vAlign w:val="center"/>
          </w:tcPr>
          <w:p w14:paraId="7E2890BE">
            <w:pPr>
              <w:spacing w:line="300" w:lineRule="exact"/>
              <w:jc w:val="center"/>
              <w:rPr>
                <w:rFonts w:ascii="Arial" w:hAnsi="Arial" w:cs="Arial"/>
                <w:kern w:val="0"/>
                <w:sz w:val="22"/>
                <w:szCs w:val="22"/>
              </w:rPr>
            </w:pPr>
            <w:r>
              <w:rPr>
                <w:rFonts w:ascii="Arial" w:hAnsi="Arial" w:cs="Arial"/>
                <w:kern w:val="0"/>
                <w:sz w:val="22"/>
                <w:szCs w:val="22"/>
              </w:rPr>
              <w:t>chla</w:t>
            </w:r>
          </w:p>
        </w:tc>
        <w:tc>
          <w:tcPr>
            <w:tcW w:w="1629" w:type="dxa"/>
            <w:noWrap w:val="0"/>
            <w:vAlign w:val="center"/>
          </w:tcPr>
          <w:p w14:paraId="4EC39223">
            <w:pPr>
              <w:spacing w:line="300" w:lineRule="exact"/>
              <w:jc w:val="center"/>
              <w:rPr>
                <w:rFonts w:ascii="Arial" w:hAnsi="Arial" w:cs="Arial"/>
                <w:kern w:val="0"/>
                <w:sz w:val="22"/>
                <w:szCs w:val="22"/>
              </w:rPr>
            </w:pPr>
            <w:r>
              <w:rPr>
                <w:rFonts w:ascii="Arial" w:hAnsi="Arial" w:cs="Arial"/>
                <w:kern w:val="0"/>
                <w:sz w:val="22"/>
                <w:szCs w:val="22"/>
              </w:rPr>
              <w:t>TP</w:t>
            </w:r>
          </w:p>
        </w:tc>
        <w:tc>
          <w:tcPr>
            <w:tcW w:w="1629" w:type="dxa"/>
            <w:noWrap w:val="0"/>
            <w:vAlign w:val="center"/>
          </w:tcPr>
          <w:p w14:paraId="76DFFADA">
            <w:pPr>
              <w:spacing w:line="300" w:lineRule="exact"/>
              <w:jc w:val="center"/>
              <w:rPr>
                <w:rFonts w:ascii="Arial" w:hAnsi="Arial" w:cs="Arial"/>
                <w:kern w:val="0"/>
                <w:sz w:val="22"/>
                <w:szCs w:val="22"/>
              </w:rPr>
            </w:pPr>
            <w:r>
              <w:rPr>
                <w:rFonts w:ascii="Arial" w:hAnsi="Arial" w:cs="Arial"/>
                <w:kern w:val="0"/>
                <w:sz w:val="22"/>
                <w:szCs w:val="22"/>
              </w:rPr>
              <w:t>TN</w:t>
            </w:r>
          </w:p>
        </w:tc>
        <w:tc>
          <w:tcPr>
            <w:tcW w:w="1629" w:type="dxa"/>
            <w:noWrap w:val="0"/>
            <w:vAlign w:val="center"/>
          </w:tcPr>
          <w:p w14:paraId="001830C6">
            <w:pPr>
              <w:spacing w:line="300" w:lineRule="exact"/>
              <w:jc w:val="center"/>
              <w:rPr>
                <w:rFonts w:ascii="Arial" w:hAnsi="Arial" w:cs="Arial"/>
                <w:kern w:val="0"/>
                <w:sz w:val="22"/>
                <w:szCs w:val="22"/>
              </w:rPr>
            </w:pPr>
            <w:r>
              <w:rPr>
                <w:rFonts w:ascii="Arial" w:hAnsi="Arial" w:cs="Arial"/>
                <w:kern w:val="0"/>
                <w:sz w:val="22"/>
                <w:szCs w:val="22"/>
              </w:rPr>
              <w:t>SD</w:t>
            </w:r>
          </w:p>
        </w:tc>
        <w:tc>
          <w:tcPr>
            <w:tcW w:w="1425" w:type="dxa"/>
            <w:noWrap w:val="0"/>
            <w:vAlign w:val="center"/>
          </w:tcPr>
          <w:p w14:paraId="7B862AA2">
            <w:pPr>
              <w:spacing w:line="300" w:lineRule="exact"/>
              <w:jc w:val="center"/>
              <w:rPr>
                <w:rFonts w:ascii="Arial" w:hAnsi="Arial" w:cs="Arial"/>
                <w:kern w:val="0"/>
                <w:sz w:val="22"/>
                <w:szCs w:val="22"/>
              </w:rPr>
            </w:pPr>
            <w:r>
              <w:rPr>
                <w:rFonts w:ascii="Arial" w:hAnsi="Arial" w:cs="Arial"/>
                <w:kern w:val="0"/>
                <w:sz w:val="22"/>
                <w:szCs w:val="22"/>
              </w:rPr>
              <w:t>COD</w:t>
            </w:r>
            <w:r>
              <w:rPr>
                <w:rFonts w:ascii="Arial" w:hAnsi="Arial" w:eastAsia="Times New Roman" w:cs="Arial"/>
                <w:kern w:val="0"/>
                <w:sz w:val="22"/>
                <w:szCs w:val="22"/>
                <w:vertAlign w:val="subscript"/>
              </w:rPr>
              <w:t>Mn</w:t>
            </w:r>
          </w:p>
        </w:tc>
      </w:tr>
      <w:tr w14:paraId="1DC72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noWrap w:val="0"/>
            <w:vAlign w:val="center"/>
          </w:tcPr>
          <w:p w14:paraId="30BCA416">
            <w:pPr>
              <w:spacing w:line="300" w:lineRule="exact"/>
              <w:jc w:val="center"/>
              <w:rPr>
                <w:rFonts w:ascii="Arial" w:hAnsi="Arial" w:cs="Arial"/>
                <w:kern w:val="0"/>
                <w:sz w:val="22"/>
                <w:szCs w:val="22"/>
              </w:rPr>
            </w:pPr>
            <w:bookmarkStart w:id="118" w:name="_Hlk321931847"/>
            <w:r>
              <w:rPr>
                <w:rFonts w:ascii="Arial" w:hAnsi="Arial" w:cs="Arial"/>
                <w:kern w:val="0"/>
                <w:sz w:val="22"/>
                <w:szCs w:val="22"/>
              </w:rPr>
              <w:t>r</w:t>
            </w:r>
            <w:r>
              <w:rPr>
                <w:rFonts w:ascii="Arial" w:hAnsi="Arial" w:cs="Arial"/>
                <w:kern w:val="0"/>
                <w:sz w:val="22"/>
                <w:szCs w:val="22"/>
                <w:vertAlign w:val="subscript"/>
              </w:rPr>
              <w:t>ij</w:t>
            </w:r>
          </w:p>
        </w:tc>
        <w:tc>
          <w:tcPr>
            <w:tcW w:w="1138" w:type="dxa"/>
            <w:noWrap w:val="0"/>
            <w:vAlign w:val="center"/>
          </w:tcPr>
          <w:p w14:paraId="7BD23392">
            <w:pPr>
              <w:spacing w:line="300" w:lineRule="exact"/>
              <w:jc w:val="center"/>
              <w:rPr>
                <w:rFonts w:ascii="Arial" w:hAnsi="Arial" w:cs="Arial"/>
                <w:kern w:val="0"/>
                <w:sz w:val="22"/>
                <w:szCs w:val="22"/>
              </w:rPr>
            </w:pPr>
            <w:r>
              <w:rPr>
                <w:rFonts w:ascii="Arial" w:hAnsi="Arial" w:cs="Arial"/>
                <w:kern w:val="0"/>
                <w:sz w:val="22"/>
                <w:szCs w:val="22"/>
              </w:rPr>
              <w:t>1</w:t>
            </w:r>
          </w:p>
        </w:tc>
        <w:tc>
          <w:tcPr>
            <w:tcW w:w="1629" w:type="dxa"/>
            <w:noWrap w:val="0"/>
            <w:vAlign w:val="center"/>
          </w:tcPr>
          <w:p w14:paraId="5221537A">
            <w:pPr>
              <w:spacing w:line="300" w:lineRule="exact"/>
              <w:jc w:val="center"/>
              <w:rPr>
                <w:rFonts w:ascii="Arial" w:hAnsi="Arial" w:cs="Arial"/>
                <w:kern w:val="0"/>
                <w:sz w:val="22"/>
                <w:szCs w:val="22"/>
              </w:rPr>
            </w:pPr>
            <w:r>
              <w:rPr>
                <w:rFonts w:ascii="Arial" w:hAnsi="Arial" w:cs="Arial"/>
                <w:kern w:val="0"/>
                <w:sz w:val="22"/>
                <w:szCs w:val="22"/>
              </w:rPr>
              <w:t>0.84</w:t>
            </w:r>
          </w:p>
        </w:tc>
        <w:tc>
          <w:tcPr>
            <w:tcW w:w="1629" w:type="dxa"/>
            <w:noWrap w:val="0"/>
            <w:vAlign w:val="center"/>
          </w:tcPr>
          <w:p w14:paraId="34C3CD2D">
            <w:pPr>
              <w:spacing w:line="300" w:lineRule="exact"/>
              <w:jc w:val="center"/>
              <w:rPr>
                <w:rFonts w:ascii="Arial" w:hAnsi="Arial" w:cs="Arial"/>
                <w:kern w:val="0"/>
                <w:sz w:val="22"/>
                <w:szCs w:val="22"/>
              </w:rPr>
            </w:pPr>
            <w:r>
              <w:rPr>
                <w:rFonts w:ascii="Arial" w:hAnsi="Arial" w:cs="Arial"/>
                <w:kern w:val="0"/>
                <w:sz w:val="22"/>
                <w:szCs w:val="22"/>
              </w:rPr>
              <w:t>0.82</w:t>
            </w:r>
          </w:p>
        </w:tc>
        <w:tc>
          <w:tcPr>
            <w:tcW w:w="1629" w:type="dxa"/>
            <w:noWrap w:val="0"/>
            <w:vAlign w:val="center"/>
          </w:tcPr>
          <w:p w14:paraId="31B638C8">
            <w:pPr>
              <w:spacing w:line="300" w:lineRule="exact"/>
              <w:jc w:val="center"/>
              <w:rPr>
                <w:rFonts w:ascii="Arial" w:hAnsi="Arial" w:cs="Arial"/>
                <w:kern w:val="0"/>
                <w:sz w:val="22"/>
                <w:szCs w:val="22"/>
              </w:rPr>
            </w:pPr>
            <w:r>
              <w:rPr>
                <w:rFonts w:ascii="Arial" w:hAnsi="Arial" w:cs="Arial"/>
                <w:kern w:val="0"/>
                <w:sz w:val="22"/>
                <w:szCs w:val="22"/>
              </w:rPr>
              <w:t>-0.83</w:t>
            </w:r>
          </w:p>
        </w:tc>
        <w:tc>
          <w:tcPr>
            <w:tcW w:w="1425" w:type="dxa"/>
            <w:noWrap w:val="0"/>
            <w:vAlign w:val="center"/>
          </w:tcPr>
          <w:p w14:paraId="28044DB3">
            <w:pPr>
              <w:spacing w:line="300" w:lineRule="exact"/>
              <w:jc w:val="center"/>
              <w:rPr>
                <w:rFonts w:ascii="Arial" w:hAnsi="Arial" w:cs="Arial"/>
                <w:kern w:val="0"/>
                <w:sz w:val="22"/>
                <w:szCs w:val="22"/>
              </w:rPr>
            </w:pPr>
            <w:r>
              <w:rPr>
                <w:rFonts w:ascii="Arial" w:hAnsi="Arial" w:cs="Arial"/>
                <w:kern w:val="0"/>
                <w:sz w:val="22"/>
                <w:szCs w:val="22"/>
              </w:rPr>
              <w:t>0.83</w:t>
            </w:r>
          </w:p>
        </w:tc>
      </w:tr>
      <w:tr w14:paraId="4BC78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noWrap w:val="0"/>
            <w:vAlign w:val="center"/>
          </w:tcPr>
          <w:p w14:paraId="053A228B">
            <w:pPr>
              <w:spacing w:line="300" w:lineRule="exact"/>
              <w:jc w:val="center"/>
              <w:rPr>
                <w:rFonts w:ascii="Arial" w:hAnsi="Arial" w:cs="Arial"/>
                <w:kern w:val="0"/>
                <w:sz w:val="22"/>
                <w:szCs w:val="22"/>
              </w:rPr>
            </w:pPr>
            <w:r>
              <w:rPr>
                <w:rFonts w:ascii="Arial" w:hAnsi="Arial" w:cs="Arial"/>
                <w:kern w:val="0"/>
                <w:sz w:val="22"/>
                <w:szCs w:val="22"/>
              </w:rPr>
              <w:t>r</w:t>
            </w:r>
            <w:r>
              <w:rPr>
                <w:rFonts w:ascii="Arial" w:hAnsi="Arial" w:cs="Arial"/>
                <w:kern w:val="0"/>
                <w:sz w:val="22"/>
                <w:szCs w:val="22"/>
                <w:vertAlign w:val="subscript"/>
              </w:rPr>
              <w:t>ij</w:t>
            </w:r>
            <w:r>
              <w:rPr>
                <w:rFonts w:ascii="Arial" w:hAnsi="Arial" w:eastAsia="Times New Roman" w:cs="Arial"/>
                <w:kern w:val="0"/>
                <w:sz w:val="22"/>
                <w:szCs w:val="22"/>
                <w:vertAlign w:val="superscript"/>
              </w:rPr>
              <w:t>2</w:t>
            </w:r>
          </w:p>
        </w:tc>
        <w:tc>
          <w:tcPr>
            <w:tcW w:w="1138" w:type="dxa"/>
            <w:noWrap w:val="0"/>
            <w:vAlign w:val="center"/>
          </w:tcPr>
          <w:p w14:paraId="10609C79">
            <w:pPr>
              <w:spacing w:line="300" w:lineRule="exact"/>
              <w:jc w:val="center"/>
              <w:rPr>
                <w:rFonts w:ascii="Arial" w:hAnsi="Arial" w:cs="Arial"/>
                <w:kern w:val="0"/>
                <w:sz w:val="22"/>
                <w:szCs w:val="22"/>
              </w:rPr>
            </w:pPr>
            <w:r>
              <w:rPr>
                <w:rFonts w:ascii="Arial" w:hAnsi="Arial" w:cs="Arial"/>
                <w:kern w:val="0"/>
                <w:sz w:val="22"/>
                <w:szCs w:val="22"/>
              </w:rPr>
              <w:t>1</w:t>
            </w:r>
          </w:p>
        </w:tc>
        <w:tc>
          <w:tcPr>
            <w:tcW w:w="1629" w:type="dxa"/>
            <w:noWrap w:val="0"/>
            <w:vAlign w:val="center"/>
          </w:tcPr>
          <w:p w14:paraId="2D9FC8F7">
            <w:pPr>
              <w:spacing w:line="300" w:lineRule="exact"/>
              <w:jc w:val="center"/>
              <w:rPr>
                <w:rFonts w:ascii="Arial" w:hAnsi="Arial" w:cs="Arial"/>
                <w:kern w:val="0"/>
                <w:sz w:val="22"/>
                <w:szCs w:val="22"/>
              </w:rPr>
            </w:pPr>
            <w:r>
              <w:rPr>
                <w:rFonts w:ascii="Arial" w:hAnsi="Arial" w:cs="Arial"/>
                <w:kern w:val="0"/>
                <w:sz w:val="22"/>
                <w:szCs w:val="22"/>
              </w:rPr>
              <w:t>0.7056</w:t>
            </w:r>
          </w:p>
        </w:tc>
        <w:tc>
          <w:tcPr>
            <w:tcW w:w="1629" w:type="dxa"/>
            <w:noWrap w:val="0"/>
            <w:vAlign w:val="center"/>
          </w:tcPr>
          <w:p w14:paraId="208339EC">
            <w:pPr>
              <w:spacing w:line="300" w:lineRule="exact"/>
              <w:jc w:val="center"/>
              <w:rPr>
                <w:rFonts w:ascii="Arial" w:hAnsi="Arial" w:cs="Arial"/>
                <w:kern w:val="0"/>
                <w:sz w:val="22"/>
                <w:szCs w:val="22"/>
              </w:rPr>
            </w:pPr>
            <w:r>
              <w:rPr>
                <w:rFonts w:ascii="Arial" w:hAnsi="Arial" w:cs="Arial"/>
                <w:kern w:val="0"/>
                <w:sz w:val="22"/>
                <w:szCs w:val="22"/>
              </w:rPr>
              <w:t>0.6724</w:t>
            </w:r>
          </w:p>
        </w:tc>
        <w:tc>
          <w:tcPr>
            <w:tcW w:w="1629" w:type="dxa"/>
            <w:noWrap w:val="0"/>
            <w:vAlign w:val="center"/>
          </w:tcPr>
          <w:p w14:paraId="573AABF9">
            <w:pPr>
              <w:spacing w:line="300" w:lineRule="exact"/>
              <w:jc w:val="center"/>
              <w:rPr>
                <w:rFonts w:ascii="Arial" w:hAnsi="Arial" w:cs="Arial"/>
                <w:kern w:val="0"/>
                <w:sz w:val="22"/>
                <w:szCs w:val="22"/>
              </w:rPr>
            </w:pPr>
            <w:r>
              <w:rPr>
                <w:rFonts w:ascii="Arial" w:hAnsi="Arial" w:cs="Arial"/>
                <w:kern w:val="0"/>
                <w:sz w:val="22"/>
                <w:szCs w:val="22"/>
              </w:rPr>
              <w:t>0.6889</w:t>
            </w:r>
          </w:p>
        </w:tc>
        <w:tc>
          <w:tcPr>
            <w:tcW w:w="1425" w:type="dxa"/>
            <w:noWrap w:val="0"/>
            <w:vAlign w:val="center"/>
          </w:tcPr>
          <w:p w14:paraId="25470CD4">
            <w:pPr>
              <w:spacing w:line="300" w:lineRule="exact"/>
              <w:jc w:val="center"/>
              <w:rPr>
                <w:rFonts w:ascii="Arial" w:hAnsi="Arial" w:cs="Arial"/>
                <w:kern w:val="0"/>
                <w:sz w:val="22"/>
                <w:szCs w:val="22"/>
              </w:rPr>
            </w:pPr>
            <w:r>
              <w:rPr>
                <w:rFonts w:ascii="Arial" w:hAnsi="Arial" w:cs="Arial"/>
                <w:kern w:val="0"/>
                <w:sz w:val="22"/>
                <w:szCs w:val="22"/>
              </w:rPr>
              <w:t>0.6889</w:t>
            </w:r>
          </w:p>
        </w:tc>
      </w:tr>
      <w:bookmarkEnd w:id="118"/>
    </w:tbl>
    <w:p w14:paraId="418BD0E2">
      <w:pPr>
        <w:spacing w:line="300" w:lineRule="exact"/>
        <w:rPr>
          <w:rFonts w:ascii="Arial" w:hAnsi="Arial" w:eastAsia="Times New Roman" w:cs="Arial"/>
          <w:kern w:val="0"/>
          <w:sz w:val="22"/>
          <w:szCs w:val="22"/>
        </w:rPr>
      </w:pPr>
      <w:r>
        <w:rPr>
          <w:rFonts w:ascii="Arial" w:cs="Arial"/>
          <w:kern w:val="0"/>
          <w:sz w:val="22"/>
          <w:szCs w:val="22"/>
        </w:rPr>
        <w:t>注：引自金相灿等著《中国湖泊环境》，表中</w:t>
      </w:r>
      <w:r>
        <w:rPr>
          <w:rFonts w:ascii="Arial" w:hAnsi="Arial" w:cs="Arial"/>
          <w:kern w:val="0"/>
          <w:sz w:val="22"/>
          <w:szCs w:val="22"/>
        </w:rPr>
        <w:t>r</w:t>
      </w:r>
      <w:r>
        <w:rPr>
          <w:rFonts w:ascii="Arial" w:hAnsi="Arial" w:cs="Arial"/>
          <w:kern w:val="0"/>
          <w:sz w:val="22"/>
          <w:szCs w:val="22"/>
          <w:vertAlign w:val="subscript"/>
        </w:rPr>
        <w:t>ij</w:t>
      </w:r>
      <w:r>
        <w:rPr>
          <w:rFonts w:ascii="Arial" w:cs="Arial"/>
          <w:kern w:val="0"/>
          <w:sz w:val="22"/>
          <w:szCs w:val="22"/>
        </w:rPr>
        <w:t>来源于中国</w:t>
      </w:r>
      <w:r>
        <w:rPr>
          <w:rFonts w:ascii="Arial" w:hAnsi="Arial" w:eastAsia="Times New Roman" w:cs="Arial"/>
          <w:kern w:val="0"/>
          <w:sz w:val="22"/>
          <w:szCs w:val="22"/>
        </w:rPr>
        <w:t>26</w:t>
      </w:r>
      <w:r>
        <w:rPr>
          <w:rFonts w:ascii="Arial" w:hAnsi="宋体" w:cs="Arial"/>
          <w:kern w:val="0"/>
          <w:sz w:val="22"/>
          <w:szCs w:val="22"/>
        </w:rPr>
        <w:t>个主要湖泊调查数据的计算结果。</w:t>
      </w:r>
    </w:p>
    <w:p w14:paraId="6276671E">
      <w:pPr>
        <w:spacing w:line="240" w:lineRule="exact"/>
        <w:jc w:val="center"/>
        <w:rPr>
          <w:rFonts w:eastAsia="Times New Roman"/>
          <w:kern w:val="0"/>
          <w:sz w:val="26"/>
          <w:szCs w:val="26"/>
        </w:rPr>
      </w:pPr>
    </w:p>
    <w:p w14:paraId="1DA30528">
      <w:pPr>
        <w:spacing w:line="460" w:lineRule="exact"/>
        <w:ind w:firstLine="520"/>
        <w:rPr>
          <w:rFonts w:ascii="Arial" w:hAnsi="Arial" w:cs="Arial"/>
          <w:sz w:val="26"/>
          <w:szCs w:val="26"/>
        </w:rPr>
      </w:pPr>
      <w:r>
        <w:rPr>
          <w:rFonts w:ascii="Arial" w:cs="Arial"/>
          <w:sz w:val="26"/>
          <w:szCs w:val="26"/>
        </w:rPr>
        <w:t>营养状态指数计算公式为：</w:t>
      </w:r>
    </w:p>
    <w:p w14:paraId="70EE230F">
      <w:pPr>
        <w:spacing w:line="460" w:lineRule="exact"/>
        <w:ind w:firstLine="520"/>
        <w:rPr>
          <w:rFonts w:ascii="Arial" w:hAnsi="Arial" w:cs="Arial"/>
          <w:sz w:val="26"/>
          <w:szCs w:val="26"/>
        </w:rPr>
      </w:pPr>
      <w:r>
        <w:rPr>
          <w:rFonts w:ascii="Arial" w:hAnsi="Arial" w:cs="Arial"/>
          <w:sz w:val="26"/>
          <w:szCs w:val="26"/>
        </w:rPr>
        <w:t>TLI</w:t>
      </w:r>
      <w:r>
        <w:rPr>
          <w:rFonts w:ascii="Arial" w:cs="Arial"/>
          <w:sz w:val="26"/>
          <w:szCs w:val="26"/>
        </w:rPr>
        <w:t>（</w:t>
      </w:r>
      <w:r>
        <w:rPr>
          <w:rFonts w:ascii="Arial" w:hAnsi="Arial" w:cs="Arial"/>
          <w:sz w:val="26"/>
          <w:szCs w:val="26"/>
        </w:rPr>
        <w:t>chl</w:t>
      </w:r>
      <w:r>
        <w:rPr>
          <w:rFonts w:ascii="Arial" w:cs="Arial"/>
          <w:sz w:val="26"/>
          <w:szCs w:val="26"/>
        </w:rPr>
        <w:t>，叶绿素</w:t>
      </w:r>
      <w:r>
        <w:rPr>
          <w:rFonts w:ascii="Arial" w:hAnsi="Arial" w:cs="Arial"/>
          <w:sz w:val="26"/>
          <w:szCs w:val="26"/>
        </w:rPr>
        <w:t>a</w:t>
      </w:r>
      <w:r>
        <w:rPr>
          <w:rFonts w:ascii="Arial" w:cs="Arial"/>
          <w:sz w:val="26"/>
          <w:szCs w:val="26"/>
        </w:rPr>
        <w:t>，</w:t>
      </w:r>
      <w:r>
        <w:rPr>
          <w:rFonts w:ascii="Arial" w:hAnsi="Arial" w:cs="Arial"/>
          <w:sz w:val="26"/>
          <w:szCs w:val="26"/>
        </w:rPr>
        <w:t>mg/m</w:t>
      </w:r>
      <w:r>
        <w:rPr>
          <w:rFonts w:ascii="Arial" w:hAnsi="Arial" w:cs="Arial"/>
          <w:sz w:val="26"/>
          <w:szCs w:val="26"/>
          <w:vertAlign w:val="superscript"/>
        </w:rPr>
        <w:t>3</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2.5+1.086lnchl</w:t>
      </w:r>
      <w:r>
        <w:rPr>
          <w:rFonts w:ascii="Arial" w:cs="Arial"/>
          <w:sz w:val="26"/>
          <w:szCs w:val="26"/>
        </w:rPr>
        <w:t>）</w:t>
      </w:r>
    </w:p>
    <w:p w14:paraId="06BEFDBE">
      <w:pPr>
        <w:spacing w:line="460" w:lineRule="exact"/>
        <w:ind w:firstLine="520"/>
        <w:rPr>
          <w:rFonts w:hint="default" w:ascii="Arial" w:hAnsi="Arial" w:eastAsia="宋体" w:cs="Arial"/>
          <w:sz w:val="26"/>
          <w:szCs w:val="26"/>
          <w:lang w:val="en-US" w:eastAsia="zh-CN"/>
        </w:rPr>
      </w:pPr>
      <w:r>
        <w:rPr>
          <w:rFonts w:ascii="Arial" w:hAnsi="Arial" w:cs="Arial"/>
          <w:sz w:val="26"/>
          <w:szCs w:val="26"/>
        </w:rPr>
        <w:t>TLI</w:t>
      </w:r>
      <w:r>
        <w:rPr>
          <w:rFonts w:ascii="Arial" w:cs="Arial"/>
          <w:sz w:val="26"/>
          <w:szCs w:val="26"/>
        </w:rPr>
        <w:t>（</w:t>
      </w:r>
      <w:r>
        <w:rPr>
          <w:rFonts w:ascii="Arial" w:hAnsi="Arial" w:cs="Arial"/>
          <w:sz w:val="26"/>
          <w:szCs w:val="26"/>
        </w:rPr>
        <w:t>TP</w:t>
      </w:r>
      <w:r>
        <w:rPr>
          <w:rFonts w:ascii="Arial" w:cs="Arial"/>
          <w:sz w:val="26"/>
          <w:szCs w:val="26"/>
        </w:rPr>
        <w:t>，总磷，</w:t>
      </w:r>
      <w:r>
        <w:rPr>
          <w:rFonts w:ascii="Arial" w:hAnsi="Arial" w:cs="Arial"/>
          <w:sz w:val="26"/>
          <w:szCs w:val="26"/>
        </w:rPr>
        <w:t>mg/L</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9.436+1.624lnTP</w:t>
      </w:r>
      <w:r>
        <w:rPr>
          <w:rFonts w:ascii="Arial" w:cs="Arial"/>
          <w:sz w:val="26"/>
          <w:szCs w:val="26"/>
        </w:rPr>
        <w:t>）</w:t>
      </w:r>
    </w:p>
    <w:p w14:paraId="6B1A9683">
      <w:pPr>
        <w:spacing w:line="460" w:lineRule="exact"/>
        <w:ind w:firstLine="520"/>
        <w:rPr>
          <w:rFonts w:hint="default" w:ascii="Arial" w:hAnsi="Arial" w:eastAsia="宋体" w:cs="Arial"/>
          <w:sz w:val="26"/>
          <w:szCs w:val="26"/>
          <w:lang w:val="en-US" w:eastAsia="zh-CN"/>
        </w:rPr>
      </w:pPr>
      <w:r>
        <w:rPr>
          <w:rFonts w:ascii="Arial" w:hAnsi="Arial" w:cs="Arial"/>
          <w:sz w:val="26"/>
          <w:szCs w:val="26"/>
        </w:rPr>
        <w:t>TLI</w:t>
      </w:r>
      <w:r>
        <w:rPr>
          <w:rFonts w:ascii="Arial" w:cs="Arial"/>
          <w:sz w:val="26"/>
          <w:szCs w:val="26"/>
        </w:rPr>
        <w:t>（</w:t>
      </w:r>
      <w:r>
        <w:rPr>
          <w:rFonts w:ascii="Arial" w:hAnsi="Arial" w:cs="Arial"/>
          <w:sz w:val="26"/>
          <w:szCs w:val="26"/>
        </w:rPr>
        <w:t>TN</w:t>
      </w:r>
      <w:r>
        <w:rPr>
          <w:rFonts w:ascii="Arial" w:cs="Arial"/>
          <w:sz w:val="26"/>
          <w:szCs w:val="26"/>
        </w:rPr>
        <w:t>，总氮，</w:t>
      </w:r>
      <w:r>
        <w:rPr>
          <w:rFonts w:ascii="Arial" w:hAnsi="Arial" w:cs="Arial"/>
          <w:sz w:val="26"/>
          <w:szCs w:val="26"/>
        </w:rPr>
        <w:t>mg/L</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5.453+1.694lnTN</w:t>
      </w:r>
      <w:r>
        <w:rPr>
          <w:rFonts w:ascii="Arial" w:cs="Arial"/>
          <w:sz w:val="26"/>
          <w:szCs w:val="26"/>
        </w:rPr>
        <w:t>）</w:t>
      </w:r>
    </w:p>
    <w:p w14:paraId="379EFFD2">
      <w:pPr>
        <w:spacing w:line="460" w:lineRule="exact"/>
        <w:ind w:firstLine="520"/>
        <w:rPr>
          <w:rFonts w:ascii="Arial" w:hAnsi="Arial" w:cs="Arial"/>
          <w:sz w:val="26"/>
          <w:szCs w:val="26"/>
        </w:rPr>
      </w:pPr>
      <w:r>
        <w:rPr>
          <w:rFonts w:ascii="Arial" w:hAnsi="Arial" w:cs="Arial"/>
          <w:sz w:val="26"/>
          <w:szCs w:val="26"/>
        </w:rPr>
        <w:t>TLI</w:t>
      </w:r>
      <w:r>
        <w:rPr>
          <w:rFonts w:ascii="Arial" w:cs="Arial"/>
          <w:sz w:val="26"/>
          <w:szCs w:val="26"/>
        </w:rPr>
        <w:t>（</w:t>
      </w:r>
      <w:r>
        <w:rPr>
          <w:rFonts w:ascii="Arial" w:hAnsi="Arial" w:cs="Arial"/>
          <w:sz w:val="26"/>
          <w:szCs w:val="26"/>
        </w:rPr>
        <w:t>SD</w:t>
      </w:r>
      <w:r>
        <w:rPr>
          <w:rFonts w:ascii="Arial" w:cs="Arial"/>
          <w:sz w:val="26"/>
          <w:szCs w:val="26"/>
        </w:rPr>
        <w:t>，透明度，</w:t>
      </w:r>
      <w:r>
        <w:rPr>
          <w:rFonts w:ascii="Arial" w:hAnsi="Arial" w:cs="Arial"/>
          <w:sz w:val="26"/>
          <w:szCs w:val="26"/>
        </w:rPr>
        <w:t>m</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5.118-1.94lnSD</w:t>
      </w:r>
      <w:r>
        <w:rPr>
          <w:rFonts w:ascii="Arial" w:cs="Arial"/>
          <w:sz w:val="26"/>
          <w:szCs w:val="26"/>
        </w:rPr>
        <w:t>）</w:t>
      </w:r>
    </w:p>
    <w:p w14:paraId="21DB88AB">
      <w:pPr>
        <w:spacing w:line="460" w:lineRule="exact"/>
        <w:ind w:firstLine="520"/>
        <w:rPr>
          <w:rFonts w:ascii="Arial" w:hAnsi="Arial" w:cs="Arial"/>
          <w:sz w:val="26"/>
          <w:szCs w:val="26"/>
        </w:rPr>
      </w:pPr>
      <w:r>
        <w:rPr>
          <w:rFonts w:ascii="Arial" w:hAnsi="Arial" w:cs="Arial"/>
          <w:sz w:val="26"/>
          <w:szCs w:val="26"/>
        </w:rPr>
        <w:t>TLI</w:t>
      </w:r>
      <w:r>
        <w:rPr>
          <w:rFonts w:ascii="Arial" w:cs="Arial"/>
          <w:sz w:val="26"/>
          <w:szCs w:val="26"/>
        </w:rPr>
        <w:t>（</w:t>
      </w:r>
      <w:r>
        <w:rPr>
          <w:rFonts w:ascii="Arial" w:hAnsi="Arial" w:cs="Arial"/>
          <w:sz w:val="26"/>
          <w:szCs w:val="26"/>
        </w:rPr>
        <w:t>COD</w:t>
      </w:r>
      <w:r>
        <w:rPr>
          <w:rFonts w:ascii="Arial" w:hAnsi="Arial" w:cs="Arial"/>
          <w:sz w:val="26"/>
          <w:szCs w:val="26"/>
          <w:vertAlign w:val="subscript"/>
        </w:rPr>
        <w:t>Mn</w:t>
      </w:r>
      <w:r>
        <w:rPr>
          <w:rFonts w:ascii="Arial" w:cs="Arial"/>
          <w:sz w:val="26"/>
          <w:szCs w:val="26"/>
        </w:rPr>
        <w:t>，耗氧量，</w:t>
      </w:r>
      <w:r>
        <w:rPr>
          <w:rFonts w:ascii="Arial" w:hAnsi="Arial" w:cs="Arial"/>
          <w:sz w:val="26"/>
          <w:szCs w:val="26"/>
        </w:rPr>
        <w:t>mg/L</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0.109+2.661lnCOD</w:t>
      </w:r>
      <w:r>
        <w:rPr>
          <w:rFonts w:ascii="Arial" w:cs="Arial"/>
          <w:sz w:val="26"/>
          <w:szCs w:val="26"/>
        </w:rPr>
        <w:t>）</w:t>
      </w:r>
    </w:p>
    <w:p w14:paraId="18E5BEDE">
      <w:pPr>
        <w:spacing w:line="460" w:lineRule="exact"/>
        <w:ind w:firstLine="520"/>
        <w:rPr>
          <w:rFonts w:ascii="Arial" w:hAnsi="Arial" w:cs="Arial"/>
          <w:sz w:val="26"/>
          <w:szCs w:val="26"/>
        </w:rPr>
      </w:pPr>
      <w:r>
        <w:rPr>
          <w:rFonts w:ascii="Arial" w:cs="Arial"/>
          <w:sz w:val="26"/>
          <w:szCs w:val="26"/>
        </w:rPr>
        <w:t>湖泊（水库）营养状态分级采用</w:t>
      </w:r>
      <w:r>
        <w:rPr>
          <w:rFonts w:ascii="Arial" w:hAnsi="Arial" w:cs="Arial"/>
          <w:sz w:val="26"/>
          <w:szCs w:val="26"/>
        </w:rPr>
        <w:t>0</w:t>
      </w:r>
      <w:r>
        <w:rPr>
          <w:rFonts w:ascii="Arial" w:cs="Arial"/>
          <w:sz w:val="26"/>
          <w:szCs w:val="26"/>
        </w:rPr>
        <w:t>～</w:t>
      </w:r>
      <w:r>
        <w:rPr>
          <w:rFonts w:ascii="Arial" w:hAnsi="Arial" w:cs="Arial"/>
          <w:sz w:val="26"/>
          <w:szCs w:val="26"/>
        </w:rPr>
        <w:t>100</w:t>
      </w:r>
      <w:r>
        <w:rPr>
          <w:rFonts w:ascii="Arial" w:cs="Arial"/>
          <w:sz w:val="26"/>
          <w:szCs w:val="26"/>
        </w:rPr>
        <w:t>的一系列连续数字对湖泊营养状态进行分级，见表</w:t>
      </w:r>
      <w:r>
        <w:rPr>
          <w:rFonts w:hint="eastAsia" w:ascii="Arial" w:hAnsi="Arial" w:cs="Arial"/>
          <w:sz w:val="26"/>
          <w:szCs w:val="26"/>
          <w:lang w:val="en-US" w:eastAsia="zh-CN"/>
        </w:rPr>
        <w:t>6.5-9</w:t>
      </w:r>
      <w:r>
        <w:rPr>
          <w:rFonts w:ascii="Arial" w:cs="Arial"/>
          <w:sz w:val="26"/>
          <w:szCs w:val="26"/>
        </w:rPr>
        <w:t>。</w:t>
      </w:r>
    </w:p>
    <w:p w14:paraId="03F946EA">
      <w:pPr>
        <w:spacing w:line="460" w:lineRule="exact"/>
        <w:jc w:val="center"/>
        <w:rPr>
          <w:rFonts w:ascii="Arial" w:hAnsi="宋体" w:cs="Arial"/>
          <w:sz w:val="26"/>
          <w:szCs w:val="26"/>
        </w:rPr>
      </w:pPr>
      <w:r>
        <w:rPr>
          <w:rFonts w:hint="eastAsia" w:ascii="Arial" w:hAnsi="宋体" w:cs="Arial"/>
          <w:b/>
          <w:sz w:val="26"/>
          <w:szCs w:val="26"/>
        </w:rPr>
        <w:t>表</w:t>
      </w:r>
      <w:r>
        <w:rPr>
          <w:rFonts w:hint="eastAsia" w:ascii="Arial" w:hAnsi="宋体" w:cs="Arial"/>
          <w:b/>
          <w:sz w:val="26"/>
          <w:szCs w:val="26"/>
          <w:lang w:val="en-US" w:eastAsia="zh-CN"/>
        </w:rPr>
        <w:t>6.5-9</w:t>
      </w:r>
      <w:r>
        <w:rPr>
          <w:rFonts w:ascii="Arial" w:hAnsi="宋体" w:cs="Arial"/>
          <w:b/>
          <w:sz w:val="26"/>
          <w:szCs w:val="26"/>
        </w:rPr>
        <w:t xml:space="preserve"> </w:t>
      </w:r>
      <w:r>
        <w:rPr>
          <w:rFonts w:hint="eastAsia" w:ascii="Arial" w:hAnsi="宋体" w:cs="Arial"/>
          <w:b/>
          <w:sz w:val="26"/>
          <w:szCs w:val="26"/>
        </w:rPr>
        <w:t>湖泊（水库）营养状态分级</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8"/>
        <w:gridCol w:w="3360"/>
        <w:gridCol w:w="3590"/>
      </w:tblGrid>
      <w:tr w14:paraId="10788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tcBorders>
              <w:top w:val="single" w:color="auto" w:sz="12" w:space="0"/>
            </w:tcBorders>
            <w:noWrap w:val="0"/>
            <w:vAlign w:val="center"/>
          </w:tcPr>
          <w:p w14:paraId="1F432467">
            <w:pPr>
              <w:spacing w:line="300" w:lineRule="exact"/>
              <w:jc w:val="center"/>
              <w:rPr>
                <w:rFonts w:ascii="Arial" w:hAnsi="宋体" w:cs="Arial"/>
                <w:sz w:val="22"/>
                <w:szCs w:val="22"/>
              </w:rPr>
            </w:pPr>
            <w:r>
              <w:rPr>
                <w:rFonts w:hint="eastAsia" w:ascii="Arial" w:hAnsi="宋体" w:cs="Arial"/>
                <w:sz w:val="22"/>
                <w:szCs w:val="22"/>
              </w:rPr>
              <w:t>序号</w:t>
            </w:r>
          </w:p>
        </w:tc>
        <w:tc>
          <w:tcPr>
            <w:tcW w:w="3360" w:type="dxa"/>
            <w:tcBorders>
              <w:top w:val="single" w:color="auto" w:sz="12" w:space="0"/>
            </w:tcBorders>
            <w:noWrap w:val="0"/>
            <w:vAlign w:val="center"/>
          </w:tcPr>
          <w:p w14:paraId="24DEBCDF">
            <w:pPr>
              <w:spacing w:line="300" w:lineRule="exact"/>
              <w:jc w:val="center"/>
              <w:rPr>
                <w:rFonts w:ascii="Arial" w:hAnsi="宋体" w:cs="Arial"/>
                <w:sz w:val="22"/>
                <w:szCs w:val="22"/>
              </w:rPr>
            </w:pPr>
            <w:r>
              <w:rPr>
                <w:rFonts w:hint="eastAsia" w:ascii="Arial" w:hAnsi="宋体" w:cs="Arial"/>
                <w:sz w:val="22"/>
                <w:szCs w:val="22"/>
              </w:rPr>
              <w:t>综合营养状态指数</w:t>
            </w: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p>
        </w:tc>
        <w:tc>
          <w:tcPr>
            <w:tcW w:w="3590" w:type="dxa"/>
            <w:tcBorders>
              <w:top w:val="single" w:color="auto" w:sz="12" w:space="0"/>
            </w:tcBorders>
            <w:noWrap w:val="0"/>
            <w:vAlign w:val="center"/>
          </w:tcPr>
          <w:p w14:paraId="132425C4">
            <w:pPr>
              <w:spacing w:line="300" w:lineRule="exact"/>
              <w:jc w:val="center"/>
              <w:rPr>
                <w:rFonts w:ascii="Arial" w:hAnsi="宋体" w:cs="Arial"/>
                <w:sz w:val="22"/>
                <w:szCs w:val="22"/>
              </w:rPr>
            </w:pPr>
            <w:r>
              <w:rPr>
                <w:rFonts w:hint="eastAsia" w:ascii="Arial" w:hAnsi="宋体" w:cs="Arial"/>
                <w:sz w:val="22"/>
                <w:szCs w:val="22"/>
              </w:rPr>
              <w:t>湖泊（水库）营养状态分级</w:t>
            </w:r>
          </w:p>
        </w:tc>
      </w:tr>
      <w:tr w14:paraId="20D1A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58B93656">
            <w:pPr>
              <w:spacing w:line="300" w:lineRule="exact"/>
              <w:jc w:val="center"/>
              <w:rPr>
                <w:rFonts w:ascii="Arial" w:hAnsi="宋体" w:cs="Arial"/>
                <w:sz w:val="22"/>
                <w:szCs w:val="22"/>
              </w:rPr>
            </w:pPr>
            <w:r>
              <w:rPr>
                <w:rFonts w:ascii="Arial" w:hAnsi="宋体" w:cs="Arial"/>
                <w:sz w:val="22"/>
                <w:szCs w:val="22"/>
              </w:rPr>
              <w:t>1</w:t>
            </w:r>
          </w:p>
        </w:tc>
        <w:tc>
          <w:tcPr>
            <w:tcW w:w="3360" w:type="dxa"/>
            <w:noWrap w:val="0"/>
            <w:vAlign w:val="center"/>
          </w:tcPr>
          <w:p w14:paraId="2F815710">
            <w:pPr>
              <w:spacing w:line="300" w:lineRule="exact"/>
              <w:jc w:val="center"/>
              <w:rPr>
                <w:rFonts w:ascii="Arial" w:hAnsi="宋体" w:cs="Arial"/>
                <w:sz w:val="22"/>
                <w:szCs w:val="22"/>
              </w:rPr>
            </w:pP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30</w:t>
            </w:r>
          </w:p>
        </w:tc>
        <w:tc>
          <w:tcPr>
            <w:tcW w:w="3590" w:type="dxa"/>
            <w:noWrap w:val="0"/>
            <w:vAlign w:val="center"/>
          </w:tcPr>
          <w:p w14:paraId="3E44F7E0">
            <w:pPr>
              <w:spacing w:line="300" w:lineRule="exact"/>
              <w:jc w:val="center"/>
              <w:rPr>
                <w:rFonts w:ascii="Arial" w:hAnsi="宋体" w:cs="Arial"/>
                <w:sz w:val="22"/>
                <w:szCs w:val="22"/>
              </w:rPr>
            </w:pPr>
            <w:r>
              <w:rPr>
                <w:rFonts w:hint="eastAsia" w:ascii="Arial" w:hAnsi="宋体" w:cs="Arial"/>
                <w:sz w:val="22"/>
                <w:szCs w:val="22"/>
              </w:rPr>
              <w:t>贫营养</w:t>
            </w:r>
          </w:p>
        </w:tc>
      </w:tr>
      <w:tr w14:paraId="7AE23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3783D3D0">
            <w:pPr>
              <w:spacing w:line="300" w:lineRule="exact"/>
              <w:jc w:val="center"/>
              <w:rPr>
                <w:rFonts w:ascii="Arial" w:hAnsi="宋体" w:cs="Arial"/>
                <w:sz w:val="22"/>
                <w:szCs w:val="22"/>
              </w:rPr>
            </w:pPr>
            <w:r>
              <w:rPr>
                <w:rFonts w:ascii="Arial" w:hAnsi="宋体" w:cs="Arial"/>
                <w:sz w:val="22"/>
                <w:szCs w:val="22"/>
              </w:rPr>
              <w:t>2</w:t>
            </w:r>
          </w:p>
        </w:tc>
        <w:tc>
          <w:tcPr>
            <w:tcW w:w="3360" w:type="dxa"/>
            <w:noWrap w:val="0"/>
            <w:vAlign w:val="center"/>
          </w:tcPr>
          <w:p w14:paraId="2AA5DAE7">
            <w:pPr>
              <w:spacing w:line="300" w:lineRule="exact"/>
              <w:jc w:val="center"/>
              <w:rPr>
                <w:rFonts w:ascii="Arial" w:hAnsi="宋体" w:cs="Arial"/>
                <w:sz w:val="22"/>
                <w:szCs w:val="22"/>
              </w:rPr>
            </w:pPr>
            <w:r>
              <w:rPr>
                <w:rFonts w:ascii="Arial" w:hAnsi="宋体" w:cs="Arial"/>
                <w:sz w:val="22"/>
                <w:szCs w:val="22"/>
              </w:rPr>
              <w:t>30</w:t>
            </w:r>
            <w:r>
              <w:rPr>
                <w:rFonts w:hint="eastAsia" w:ascii="Arial" w:hAnsi="宋体" w:cs="Arial"/>
                <w:sz w:val="22"/>
                <w:szCs w:val="22"/>
              </w:rPr>
              <w:t>≤</w:t>
            </w: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50</w:t>
            </w:r>
          </w:p>
        </w:tc>
        <w:tc>
          <w:tcPr>
            <w:tcW w:w="3590" w:type="dxa"/>
            <w:noWrap w:val="0"/>
            <w:vAlign w:val="center"/>
          </w:tcPr>
          <w:p w14:paraId="4EB7750B">
            <w:pPr>
              <w:spacing w:line="300" w:lineRule="exact"/>
              <w:jc w:val="center"/>
              <w:rPr>
                <w:rFonts w:ascii="Arial" w:hAnsi="宋体" w:cs="Arial"/>
                <w:sz w:val="22"/>
                <w:szCs w:val="22"/>
              </w:rPr>
            </w:pPr>
            <w:r>
              <w:rPr>
                <w:rFonts w:hint="eastAsia" w:ascii="Arial" w:hAnsi="宋体" w:cs="Arial"/>
                <w:sz w:val="22"/>
                <w:szCs w:val="22"/>
              </w:rPr>
              <w:t>中营养</w:t>
            </w:r>
          </w:p>
        </w:tc>
      </w:tr>
      <w:tr w14:paraId="58BE0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2A2E8C13">
            <w:pPr>
              <w:spacing w:line="300" w:lineRule="exact"/>
              <w:jc w:val="center"/>
              <w:rPr>
                <w:rFonts w:ascii="Arial" w:hAnsi="宋体" w:cs="Arial"/>
                <w:sz w:val="22"/>
                <w:szCs w:val="22"/>
              </w:rPr>
            </w:pPr>
            <w:r>
              <w:rPr>
                <w:rFonts w:ascii="Arial" w:hAnsi="宋体" w:cs="Arial"/>
                <w:sz w:val="22"/>
                <w:szCs w:val="22"/>
              </w:rPr>
              <w:t>3</w:t>
            </w:r>
          </w:p>
        </w:tc>
        <w:tc>
          <w:tcPr>
            <w:tcW w:w="3360" w:type="dxa"/>
            <w:noWrap w:val="0"/>
            <w:vAlign w:val="center"/>
          </w:tcPr>
          <w:p w14:paraId="0779CB9F">
            <w:pPr>
              <w:spacing w:line="300" w:lineRule="exact"/>
              <w:jc w:val="center"/>
              <w:rPr>
                <w:rFonts w:ascii="Arial" w:hAnsi="宋体" w:cs="Arial"/>
                <w:sz w:val="22"/>
                <w:szCs w:val="22"/>
              </w:rPr>
            </w:pP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50</w:t>
            </w:r>
          </w:p>
        </w:tc>
        <w:tc>
          <w:tcPr>
            <w:tcW w:w="3590" w:type="dxa"/>
            <w:noWrap w:val="0"/>
            <w:vAlign w:val="center"/>
          </w:tcPr>
          <w:p w14:paraId="7AADBCC1">
            <w:pPr>
              <w:spacing w:line="300" w:lineRule="exact"/>
              <w:jc w:val="center"/>
              <w:rPr>
                <w:rFonts w:ascii="Arial" w:hAnsi="宋体" w:cs="Arial"/>
                <w:sz w:val="22"/>
                <w:szCs w:val="22"/>
              </w:rPr>
            </w:pPr>
            <w:r>
              <w:rPr>
                <w:rFonts w:hint="eastAsia" w:ascii="Arial" w:hAnsi="宋体" w:cs="Arial"/>
                <w:sz w:val="22"/>
                <w:szCs w:val="22"/>
              </w:rPr>
              <w:t>富营养</w:t>
            </w:r>
          </w:p>
        </w:tc>
      </w:tr>
      <w:tr w14:paraId="4E257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53D8E5A5">
            <w:pPr>
              <w:spacing w:line="300" w:lineRule="exact"/>
              <w:jc w:val="center"/>
              <w:rPr>
                <w:rFonts w:ascii="Arial" w:hAnsi="宋体" w:cs="Arial"/>
                <w:sz w:val="22"/>
                <w:szCs w:val="22"/>
              </w:rPr>
            </w:pPr>
            <w:r>
              <w:rPr>
                <w:rFonts w:ascii="Arial" w:hAnsi="宋体" w:cs="Arial"/>
                <w:sz w:val="22"/>
                <w:szCs w:val="22"/>
              </w:rPr>
              <w:t>4</w:t>
            </w:r>
          </w:p>
        </w:tc>
        <w:tc>
          <w:tcPr>
            <w:tcW w:w="3360" w:type="dxa"/>
            <w:noWrap w:val="0"/>
            <w:vAlign w:val="center"/>
          </w:tcPr>
          <w:p w14:paraId="7685153A">
            <w:pPr>
              <w:spacing w:line="300" w:lineRule="exact"/>
              <w:jc w:val="center"/>
              <w:rPr>
                <w:rFonts w:ascii="Arial" w:hAnsi="宋体" w:cs="Arial"/>
                <w:sz w:val="22"/>
                <w:szCs w:val="22"/>
              </w:rPr>
            </w:pPr>
            <w:r>
              <w:rPr>
                <w:rFonts w:ascii="Arial" w:hAnsi="宋体" w:cs="Arial"/>
                <w:sz w:val="22"/>
                <w:szCs w:val="22"/>
              </w:rPr>
              <w:t>50</w:t>
            </w:r>
            <w:r>
              <w:rPr>
                <w:rFonts w:hint="eastAsia" w:ascii="Arial" w:hAnsi="宋体" w:cs="Arial"/>
                <w:sz w:val="22"/>
                <w:szCs w:val="22"/>
              </w:rPr>
              <w:t>＜</w:t>
            </w: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60</w:t>
            </w:r>
          </w:p>
        </w:tc>
        <w:tc>
          <w:tcPr>
            <w:tcW w:w="3590" w:type="dxa"/>
            <w:noWrap w:val="0"/>
            <w:vAlign w:val="center"/>
          </w:tcPr>
          <w:p w14:paraId="6E9F6AC8">
            <w:pPr>
              <w:spacing w:line="300" w:lineRule="exact"/>
              <w:jc w:val="center"/>
              <w:rPr>
                <w:rFonts w:ascii="Arial" w:hAnsi="宋体" w:cs="Arial"/>
                <w:sz w:val="22"/>
                <w:szCs w:val="22"/>
              </w:rPr>
            </w:pPr>
            <w:r>
              <w:rPr>
                <w:rFonts w:hint="eastAsia" w:ascii="Arial" w:hAnsi="宋体" w:cs="Arial"/>
                <w:sz w:val="22"/>
                <w:szCs w:val="22"/>
              </w:rPr>
              <w:t>轻度富营养</w:t>
            </w:r>
          </w:p>
        </w:tc>
      </w:tr>
      <w:tr w14:paraId="70194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12C36A2C">
            <w:pPr>
              <w:spacing w:line="300" w:lineRule="exact"/>
              <w:jc w:val="center"/>
              <w:rPr>
                <w:rFonts w:ascii="Arial" w:hAnsi="宋体" w:cs="Arial"/>
                <w:sz w:val="22"/>
                <w:szCs w:val="22"/>
              </w:rPr>
            </w:pPr>
            <w:r>
              <w:rPr>
                <w:rFonts w:ascii="Arial" w:hAnsi="宋体" w:cs="Arial"/>
                <w:sz w:val="22"/>
                <w:szCs w:val="22"/>
              </w:rPr>
              <w:t>5</w:t>
            </w:r>
          </w:p>
        </w:tc>
        <w:tc>
          <w:tcPr>
            <w:tcW w:w="3360" w:type="dxa"/>
            <w:noWrap w:val="0"/>
            <w:vAlign w:val="center"/>
          </w:tcPr>
          <w:p w14:paraId="6D9CE299">
            <w:pPr>
              <w:spacing w:line="300" w:lineRule="exact"/>
              <w:jc w:val="center"/>
              <w:rPr>
                <w:rFonts w:ascii="Arial" w:hAnsi="宋体" w:cs="Arial"/>
                <w:sz w:val="22"/>
                <w:szCs w:val="22"/>
              </w:rPr>
            </w:pPr>
            <w:r>
              <w:rPr>
                <w:rFonts w:ascii="Arial" w:hAnsi="宋体" w:cs="Arial"/>
                <w:sz w:val="22"/>
                <w:szCs w:val="22"/>
              </w:rPr>
              <w:t>60</w:t>
            </w:r>
            <w:r>
              <w:rPr>
                <w:rFonts w:hint="eastAsia" w:ascii="Arial" w:hAnsi="宋体" w:cs="Arial"/>
                <w:sz w:val="22"/>
                <w:szCs w:val="22"/>
              </w:rPr>
              <w:t>＜</w:t>
            </w: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70</w:t>
            </w:r>
          </w:p>
        </w:tc>
        <w:tc>
          <w:tcPr>
            <w:tcW w:w="3590" w:type="dxa"/>
            <w:noWrap w:val="0"/>
            <w:vAlign w:val="center"/>
          </w:tcPr>
          <w:p w14:paraId="54F7FA4B">
            <w:pPr>
              <w:spacing w:line="300" w:lineRule="exact"/>
              <w:jc w:val="center"/>
              <w:rPr>
                <w:rFonts w:ascii="Arial" w:hAnsi="宋体" w:cs="Arial"/>
                <w:sz w:val="22"/>
                <w:szCs w:val="22"/>
              </w:rPr>
            </w:pPr>
            <w:r>
              <w:rPr>
                <w:rFonts w:hint="eastAsia" w:ascii="Arial" w:hAnsi="宋体" w:cs="Arial"/>
                <w:sz w:val="22"/>
                <w:szCs w:val="22"/>
              </w:rPr>
              <w:t>中度富营养</w:t>
            </w:r>
          </w:p>
        </w:tc>
      </w:tr>
      <w:tr w14:paraId="55940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tcBorders>
              <w:bottom w:val="single" w:color="auto" w:sz="12" w:space="0"/>
            </w:tcBorders>
            <w:noWrap w:val="0"/>
            <w:vAlign w:val="center"/>
          </w:tcPr>
          <w:p w14:paraId="6626FD35">
            <w:pPr>
              <w:spacing w:line="300" w:lineRule="exact"/>
              <w:jc w:val="center"/>
              <w:rPr>
                <w:rFonts w:ascii="Arial" w:hAnsi="宋体" w:cs="Arial"/>
                <w:sz w:val="22"/>
                <w:szCs w:val="22"/>
              </w:rPr>
            </w:pPr>
            <w:r>
              <w:rPr>
                <w:rFonts w:ascii="Arial" w:hAnsi="宋体" w:cs="Arial"/>
                <w:sz w:val="22"/>
                <w:szCs w:val="22"/>
              </w:rPr>
              <w:t>6</w:t>
            </w:r>
          </w:p>
        </w:tc>
        <w:tc>
          <w:tcPr>
            <w:tcW w:w="3360" w:type="dxa"/>
            <w:tcBorders>
              <w:bottom w:val="single" w:color="auto" w:sz="12" w:space="0"/>
            </w:tcBorders>
            <w:noWrap w:val="0"/>
            <w:vAlign w:val="center"/>
          </w:tcPr>
          <w:p w14:paraId="6A0C17B2">
            <w:pPr>
              <w:spacing w:line="300" w:lineRule="exact"/>
              <w:jc w:val="center"/>
              <w:rPr>
                <w:rFonts w:ascii="Arial" w:hAnsi="宋体" w:cs="Arial"/>
                <w:sz w:val="22"/>
                <w:szCs w:val="22"/>
              </w:rPr>
            </w:pP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70</w:t>
            </w:r>
          </w:p>
        </w:tc>
        <w:tc>
          <w:tcPr>
            <w:tcW w:w="3590" w:type="dxa"/>
            <w:tcBorders>
              <w:bottom w:val="single" w:color="auto" w:sz="12" w:space="0"/>
            </w:tcBorders>
            <w:noWrap w:val="0"/>
            <w:vAlign w:val="center"/>
          </w:tcPr>
          <w:p w14:paraId="67DC45EF">
            <w:pPr>
              <w:spacing w:line="300" w:lineRule="exact"/>
              <w:jc w:val="center"/>
              <w:rPr>
                <w:rFonts w:ascii="Arial" w:hAnsi="宋体" w:cs="Arial"/>
                <w:sz w:val="22"/>
                <w:szCs w:val="22"/>
              </w:rPr>
            </w:pPr>
            <w:r>
              <w:rPr>
                <w:rFonts w:hint="eastAsia" w:ascii="Arial" w:hAnsi="宋体" w:cs="Arial"/>
                <w:sz w:val="22"/>
                <w:szCs w:val="22"/>
              </w:rPr>
              <w:t>重度富营养</w:t>
            </w:r>
          </w:p>
        </w:tc>
      </w:tr>
    </w:tbl>
    <w:p w14:paraId="6D6BEAA2">
      <w:pPr>
        <w:spacing w:line="240" w:lineRule="exact"/>
        <w:ind w:firstLine="522"/>
        <w:rPr>
          <w:rFonts w:hint="eastAsia" w:ascii="Arial" w:hAnsi="宋体" w:cs="Arial"/>
          <w:sz w:val="26"/>
          <w:szCs w:val="26"/>
        </w:rPr>
      </w:pPr>
    </w:p>
    <w:p w14:paraId="04AB7D14">
      <w:pPr>
        <w:spacing w:line="460" w:lineRule="exact"/>
        <w:ind w:firstLine="520"/>
        <w:rPr>
          <w:rFonts w:ascii="Arial" w:hAnsi="宋体" w:cs="Arial"/>
          <w:sz w:val="26"/>
          <w:szCs w:val="26"/>
        </w:rPr>
      </w:pPr>
      <w:r>
        <w:rPr>
          <w:rFonts w:hint="eastAsia" w:ascii="Arial" w:hAnsi="宋体" w:cs="Arial"/>
          <w:sz w:val="26"/>
          <w:szCs w:val="26"/>
        </w:rPr>
        <w:t>本评价对总氮、总磷进行综合营养状态指数法预测，预测结果见表</w:t>
      </w:r>
      <w:r>
        <w:rPr>
          <w:rFonts w:hint="eastAsia" w:ascii="Arial" w:hAnsi="宋体" w:cs="Arial"/>
          <w:sz w:val="26"/>
          <w:szCs w:val="26"/>
          <w:lang w:val="en-US" w:eastAsia="zh-CN"/>
        </w:rPr>
        <w:t>6.5-10</w:t>
      </w:r>
      <w:r>
        <w:rPr>
          <w:rFonts w:hint="eastAsia" w:ascii="Arial" w:hAnsi="宋体" w:cs="Arial"/>
          <w:sz w:val="26"/>
          <w:szCs w:val="26"/>
        </w:rPr>
        <w:t>。</w:t>
      </w:r>
    </w:p>
    <w:p w14:paraId="09A7B7F1">
      <w:pPr>
        <w:spacing w:line="460" w:lineRule="exact"/>
        <w:jc w:val="center"/>
        <w:rPr>
          <w:rFonts w:hint="eastAsia" w:ascii="Arial" w:hAnsi="宋体" w:cs="Arial"/>
          <w:b/>
          <w:sz w:val="26"/>
          <w:szCs w:val="26"/>
        </w:rPr>
      </w:pPr>
    </w:p>
    <w:p w14:paraId="4E1F54F7">
      <w:pPr>
        <w:spacing w:line="460" w:lineRule="exact"/>
        <w:jc w:val="center"/>
        <w:rPr>
          <w:rFonts w:ascii="Arial" w:hAnsi="宋体" w:cs="Arial"/>
          <w:sz w:val="26"/>
          <w:szCs w:val="26"/>
        </w:rPr>
      </w:pPr>
      <w:r>
        <w:rPr>
          <w:rFonts w:hint="eastAsia" w:ascii="Arial" w:hAnsi="宋体" w:cs="Arial"/>
          <w:b/>
          <w:sz w:val="26"/>
          <w:szCs w:val="26"/>
        </w:rPr>
        <w:t>表</w:t>
      </w:r>
      <w:r>
        <w:rPr>
          <w:rFonts w:hint="eastAsia" w:ascii="Arial" w:hAnsi="宋体" w:cs="Arial"/>
          <w:b/>
          <w:sz w:val="26"/>
          <w:szCs w:val="26"/>
          <w:lang w:val="en-US" w:eastAsia="zh-CN"/>
        </w:rPr>
        <w:t>6.5-10</w:t>
      </w:r>
      <w:r>
        <w:rPr>
          <w:rFonts w:ascii="Arial" w:hAnsi="宋体" w:cs="Arial"/>
          <w:b/>
          <w:sz w:val="26"/>
          <w:szCs w:val="26"/>
        </w:rPr>
        <w:t xml:space="preserve"> </w:t>
      </w:r>
      <w:r>
        <w:rPr>
          <w:rFonts w:hint="eastAsia" w:ascii="Arial" w:hAnsi="宋体" w:cs="Arial"/>
          <w:b/>
          <w:sz w:val="26"/>
          <w:szCs w:val="26"/>
        </w:rPr>
        <w:t>湖泊（水库）营养状态分级</w:t>
      </w:r>
    </w:p>
    <w:tbl>
      <w:tblPr>
        <w:tblStyle w:val="77"/>
        <w:tblW w:w="87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8"/>
        <w:gridCol w:w="1365"/>
        <w:gridCol w:w="1785"/>
        <w:gridCol w:w="2205"/>
        <w:gridCol w:w="2251"/>
      </w:tblGrid>
      <w:tr w14:paraId="1CFA83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158" w:type="dxa"/>
            <w:tcBorders>
              <w:top w:val="single" w:color="auto" w:sz="12" w:space="0"/>
            </w:tcBorders>
            <w:noWrap w:val="0"/>
            <w:vAlign w:val="center"/>
          </w:tcPr>
          <w:p w14:paraId="548B0D60">
            <w:pPr>
              <w:spacing w:line="300" w:lineRule="exact"/>
              <w:jc w:val="center"/>
              <w:rPr>
                <w:rFonts w:ascii="Arial" w:hAnsi="Arial" w:cs="Arial"/>
                <w:sz w:val="22"/>
                <w:szCs w:val="22"/>
              </w:rPr>
            </w:pPr>
            <w:r>
              <w:rPr>
                <w:rFonts w:hint="eastAsia" w:ascii="Arial" w:hAnsi="Arial" w:cs="Arial"/>
                <w:sz w:val="22"/>
                <w:szCs w:val="22"/>
              </w:rPr>
              <w:t>序号</w:t>
            </w:r>
          </w:p>
        </w:tc>
        <w:tc>
          <w:tcPr>
            <w:tcW w:w="1365" w:type="dxa"/>
            <w:tcBorders>
              <w:top w:val="single" w:color="auto" w:sz="12" w:space="0"/>
            </w:tcBorders>
            <w:noWrap w:val="0"/>
            <w:vAlign w:val="center"/>
          </w:tcPr>
          <w:p w14:paraId="3AB92603">
            <w:pPr>
              <w:spacing w:line="300" w:lineRule="exact"/>
              <w:jc w:val="center"/>
              <w:rPr>
                <w:rFonts w:ascii="Arial" w:hAnsi="Arial" w:cs="Arial"/>
                <w:sz w:val="22"/>
                <w:szCs w:val="22"/>
              </w:rPr>
            </w:pPr>
            <w:r>
              <w:rPr>
                <w:rFonts w:hint="eastAsia" w:ascii="Arial" w:hAnsi="Arial" w:cs="Arial"/>
                <w:sz w:val="22"/>
                <w:szCs w:val="22"/>
              </w:rPr>
              <w:t>参数</w:t>
            </w:r>
          </w:p>
        </w:tc>
        <w:tc>
          <w:tcPr>
            <w:tcW w:w="1785" w:type="dxa"/>
            <w:tcBorders>
              <w:top w:val="single" w:color="auto" w:sz="12" w:space="0"/>
            </w:tcBorders>
            <w:noWrap w:val="0"/>
            <w:vAlign w:val="center"/>
          </w:tcPr>
          <w:p w14:paraId="66279DAA">
            <w:pPr>
              <w:spacing w:line="300" w:lineRule="exact"/>
              <w:jc w:val="center"/>
              <w:rPr>
                <w:rFonts w:ascii="Arial" w:hAnsi="Arial" w:cs="Arial"/>
                <w:sz w:val="22"/>
                <w:szCs w:val="22"/>
              </w:rPr>
            </w:pPr>
            <w:r>
              <w:rPr>
                <w:rFonts w:hint="eastAsia" w:ascii="Arial" w:hAnsi="Arial" w:cs="Arial"/>
                <w:sz w:val="22"/>
                <w:szCs w:val="22"/>
              </w:rPr>
              <w:t>权重</w:t>
            </w:r>
            <w:r>
              <w:rPr>
                <w:rFonts w:ascii="Arial" w:hAnsi="Arial" w:cs="Arial"/>
                <w:sz w:val="22"/>
                <w:szCs w:val="22"/>
              </w:rPr>
              <w:t>Wj</w:t>
            </w:r>
          </w:p>
        </w:tc>
        <w:tc>
          <w:tcPr>
            <w:tcW w:w="2205" w:type="dxa"/>
            <w:tcBorders>
              <w:top w:val="single" w:color="auto" w:sz="12" w:space="0"/>
            </w:tcBorders>
            <w:noWrap w:val="0"/>
            <w:vAlign w:val="center"/>
          </w:tcPr>
          <w:p w14:paraId="76207CD1">
            <w:pPr>
              <w:spacing w:line="300" w:lineRule="exact"/>
              <w:jc w:val="center"/>
              <w:rPr>
                <w:rFonts w:ascii="Arial" w:hAnsi="Arial" w:cs="Arial"/>
                <w:sz w:val="22"/>
                <w:szCs w:val="22"/>
              </w:rPr>
            </w:pPr>
            <w:r>
              <w:rPr>
                <w:rFonts w:hint="eastAsia" w:ascii="Arial" w:hAnsi="Arial" w:cs="Arial"/>
                <w:sz w:val="22"/>
                <w:szCs w:val="22"/>
              </w:rPr>
              <w:t>营养指数</w:t>
            </w:r>
            <w:r>
              <w:rPr>
                <w:rFonts w:ascii="Arial" w:hAnsi="Arial" w:cs="Arial"/>
                <w:sz w:val="22"/>
                <w:szCs w:val="22"/>
              </w:rPr>
              <w:t>TLI</w:t>
            </w:r>
            <w:r>
              <w:rPr>
                <w:rFonts w:hint="eastAsia" w:ascii="Arial" w:hAnsi="Arial" w:cs="Arial"/>
                <w:sz w:val="22"/>
                <w:szCs w:val="22"/>
              </w:rPr>
              <w:t>（</w:t>
            </w:r>
            <w:r>
              <w:rPr>
                <w:rFonts w:ascii="Arial" w:hAnsi="Arial" w:cs="Arial"/>
                <w:sz w:val="22"/>
                <w:szCs w:val="22"/>
              </w:rPr>
              <w:t>j</w:t>
            </w:r>
            <w:r>
              <w:rPr>
                <w:rFonts w:hint="eastAsia" w:ascii="Arial" w:hAnsi="Arial" w:cs="Arial"/>
                <w:sz w:val="22"/>
                <w:szCs w:val="22"/>
              </w:rPr>
              <w:t>）</w:t>
            </w:r>
          </w:p>
        </w:tc>
        <w:tc>
          <w:tcPr>
            <w:tcW w:w="2251" w:type="dxa"/>
            <w:tcBorders>
              <w:top w:val="single" w:color="auto" w:sz="12" w:space="0"/>
            </w:tcBorders>
            <w:noWrap w:val="0"/>
            <w:vAlign w:val="center"/>
          </w:tcPr>
          <w:p w14:paraId="5F9D5B4F">
            <w:pPr>
              <w:spacing w:line="300" w:lineRule="exact"/>
              <w:jc w:val="center"/>
              <w:rPr>
                <w:rFonts w:ascii="Arial" w:hAnsi="Arial" w:cs="Arial"/>
                <w:sz w:val="22"/>
                <w:szCs w:val="22"/>
              </w:rPr>
            </w:pPr>
            <w:r>
              <w:rPr>
                <w:rFonts w:hint="eastAsia" w:ascii="Arial" w:hAnsi="Arial" w:cs="Arial"/>
                <w:sz w:val="22"/>
                <w:szCs w:val="22"/>
              </w:rPr>
              <w:t>综合营养指数</w:t>
            </w:r>
            <w:r>
              <w:rPr>
                <w:rFonts w:ascii="Arial" w:hAnsi="Arial" w:cs="Arial"/>
                <w:sz w:val="22"/>
                <w:szCs w:val="22"/>
              </w:rPr>
              <w:t>TLI</w:t>
            </w:r>
            <w:r>
              <w:rPr>
                <w:rFonts w:ascii="宋体" w:hAnsi="宋体" w:cs="Arial"/>
                <w:sz w:val="22"/>
                <w:szCs w:val="22"/>
              </w:rPr>
              <w:t>(</w:t>
            </w:r>
            <w:r>
              <w:rPr>
                <w:rFonts w:ascii="Arial" w:hAnsi="Arial" w:cs="Arial"/>
                <w:sz w:val="22"/>
                <w:szCs w:val="22"/>
              </w:rPr>
              <w:t>Σ</w:t>
            </w:r>
            <w:r>
              <w:rPr>
                <w:rFonts w:ascii="宋体" w:hAnsi="宋体" w:cs="Arial"/>
                <w:sz w:val="22"/>
                <w:szCs w:val="22"/>
              </w:rPr>
              <w:t>)</w:t>
            </w:r>
          </w:p>
        </w:tc>
      </w:tr>
      <w:tr w14:paraId="4C09C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noWrap w:val="0"/>
            <w:vAlign w:val="center"/>
          </w:tcPr>
          <w:p w14:paraId="74FF2E67">
            <w:pPr>
              <w:spacing w:line="300" w:lineRule="exact"/>
              <w:jc w:val="center"/>
              <w:rPr>
                <w:rFonts w:ascii="Arial" w:hAnsi="Arial" w:cs="Arial"/>
                <w:sz w:val="22"/>
                <w:szCs w:val="22"/>
              </w:rPr>
            </w:pPr>
            <w:r>
              <w:rPr>
                <w:rFonts w:ascii="Arial" w:hAnsi="Arial" w:cs="Arial"/>
                <w:sz w:val="22"/>
                <w:szCs w:val="22"/>
              </w:rPr>
              <w:t>1</w:t>
            </w:r>
          </w:p>
        </w:tc>
        <w:tc>
          <w:tcPr>
            <w:tcW w:w="1365" w:type="dxa"/>
            <w:noWrap w:val="0"/>
            <w:vAlign w:val="center"/>
          </w:tcPr>
          <w:p w14:paraId="56FA8F7C">
            <w:pPr>
              <w:spacing w:line="300" w:lineRule="exact"/>
              <w:jc w:val="center"/>
              <w:rPr>
                <w:rFonts w:ascii="Arial" w:hAnsi="Arial" w:cs="Arial"/>
                <w:sz w:val="22"/>
                <w:szCs w:val="22"/>
              </w:rPr>
            </w:pPr>
            <w:r>
              <w:rPr>
                <w:rFonts w:ascii="Arial" w:hAnsi="Arial" w:cs="Arial"/>
                <w:sz w:val="22"/>
                <w:szCs w:val="22"/>
              </w:rPr>
              <w:t>TP</w:t>
            </w:r>
          </w:p>
        </w:tc>
        <w:tc>
          <w:tcPr>
            <w:tcW w:w="1785" w:type="dxa"/>
            <w:noWrap w:val="0"/>
            <w:vAlign w:val="center"/>
          </w:tcPr>
          <w:p w14:paraId="670FC1B4">
            <w:pPr>
              <w:spacing w:line="300" w:lineRule="exact"/>
              <w:jc w:val="center"/>
              <w:rPr>
                <w:rFonts w:ascii="Arial" w:hAnsi="Arial" w:cs="Arial"/>
                <w:sz w:val="22"/>
                <w:szCs w:val="22"/>
              </w:rPr>
            </w:pPr>
            <w:r>
              <w:rPr>
                <w:rFonts w:ascii="Arial" w:hAnsi="Arial" w:cs="Arial"/>
                <w:sz w:val="22"/>
                <w:szCs w:val="22"/>
              </w:rPr>
              <w:t>0</w:t>
            </w:r>
            <w:r>
              <w:rPr>
                <w:rFonts w:hint="eastAsia" w:ascii="Arial" w:hAnsi="Arial" w:cs="Arial"/>
                <w:sz w:val="22"/>
                <w:szCs w:val="22"/>
              </w:rPr>
              <w:t>.5120</w:t>
            </w:r>
          </w:p>
        </w:tc>
        <w:tc>
          <w:tcPr>
            <w:tcW w:w="2205" w:type="dxa"/>
            <w:noWrap w:val="0"/>
            <w:vAlign w:val="center"/>
          </w:tcPr>
          <w:p w14:paraId="7FE1C2C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37.41</w:t>
            </w:r>
          </w:p>
        </w:tc>
        <w:tc>
          <w:tcPr>
            <w:tcW w:w="2251" w:type="dxa"/>
            <w:vMerge w:val="restart"/>
            <w:noWrap w:val="0"/>
            <w:vAlign w:val="center"/>
          </w:tcPr>
          <w:p w14:paraId="2253E95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42.70</w:t>
            </w:r>
          </w:p>
        </w:tc>
      </w:tr>
      <w:tr w14:paraId="27F950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noWrap w:val="0"/>
            <w:vAlign w:val="center"/>
          </w:tcPr>
          <w:p w14:paraId="5CCC1347">
            <w:pPr>
              <w:spacing w:line="300" w:lineRule="exact"/>
              <w:jc w:val="center"/>
              <w:rPr>
                <w:rFonts w:ascii="Arial" w:hAnsi="Arial" w:cs="Arial"/>
                <w:sz w:val="22"/>
                <w:szCs w:val="22"/>
              </w:rPr>
            </w:pPr>
            <w:r>
              <w:rPr>
                <w:rFonts w:ascii="Arial" w:hAnsi="Arial" w:cs="Arial"/>
                <w:sz w:val="22"/>
                <w:szCs w:val="22"/>
              </w:rPr>
              <w:t>2</w:t>
            </w:r>
          </w:p>
        </w:tc>
        <w:tc>
          <w:tcPr>
            <w:tcW w:w="1365" w:type="dxa"/>
            <w:noWrap w:val="0"/>
            <w:vAlign w:val="center"/>
          </w:tcPr>
          <w:p w14:paraId="3160792C">
            <w:pPr>
              <w:spacing w:line="300" w:lineRule="exact"/>
              <w:jc w:val="center"/>
              <w:rPr>
                <w:rFonts w:ascii="Arial" w:hAnsi="Arial" w:cs="Arial"/>
                <w:sz w:val="22"/>
                <w:szCs w:val="22"/>
              </w:rPr>
            </w:pPr>
            <w:r>
              <w:rPr>
                <w:rFonts w:ascii="Arial" w:hAnsi="Arial" w:cs="Arial"/>
                <w:sz w:val="22"/>
                <w:szCs w:val="22"/>
              </w:rPr>
              <w:t>TN</w:t>
            </w:r>
          </w:p>
        </w:tc>
        <w:tc>
          <w:tcPr>
            <w:tcW w:w="1785" w:type="dxa"/>
            <w:noWrap w:val="0"/>
            <w:vAlign w:val="center"/>
          </w:tcPr>
          <w:p w14:paraId="295C1D7D">
            <w:pPr>
              <w:spacing w:line="300" w:lineRule="exact"/>
              <w:jc w:val="center"/>
              <w:rPr>
                <w:rFonts w:ascii="Arial" w:hAnsi="Arial" w:cs="Arial"/>
                <w:sz w:val="22"/>
                <w:szCs w:val="22"/>
              </w:rPr>
            </w:pPr>
            <w:r>
              <w:rPr>
                <w:rFonts w:hint="eastAsia" w:ascii="Arial" w:hAnsi="Arial" w:cs="Arial"/>
                <w:sz w:val="22"/>
                <w:szCs w:val="22"/>
              </w:rPr>
              <w:t>0.4880</w:t>
            </w:r>
          </w:p>
        </w:tc>
        <w:tc>
          <w:tcPr>
            <w:tcW w:w="2205" w:type="dxa"/>
            <w:noWrap w:val="0"/>
            <w:vAlign w:val="center"/>
          </w:tcPr>
          <w:p w14:paraId="23BE848D">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48.24</w:t>
            </w:r>
          </w:p>
        </w:tc>
        <w:tc>
          <w:tcPr>
            <w:tcW w:w="2251" w:type="dxa"/>
            <w:vMerge w:val="continue"/>
            <w:noWrap w:val="0"/>
            <w:vAlign w:val="center"/>
          </w:tcPr>
          <w:p w14:paraId="46DD2EBE">
            <w:pPr>
              <w:spacing w:line="300" w:lineRule="exact"/>
              <w:jc w:val="center"/>
              <w:rPr>
                <w:rFonts w:ascii="Arial" w:hAnsi="Arial" w:cs="Arial"/>
                <w:sz w:val="22"/>
                <w:szCs w:val="22"/>
              </w:rPr>
            </w:pPr>
          </w:p>
        </w:tc>
      </w:tr>
    </w:tbl>
    <w:p w14:paraId="4D8F7229">
      <w:pPr>
        <w:spacing w:line="240" w:lineRule="exact"/>
        <w:ind w:firstLine="197" w:firstLineChars="76"/>
        <w:rPr>
          <w:rFonts w:hint="eastAsia" w:ascii="Arial" w:hAnsi="宋体" w:cs="Arial"/>
          <w:sz w:val="26"/>
          <w:szCs w:val="26"/>
        </w:rPr>
      </w:pPr>
    </w:p>
    <w:p w14:paraId="4762E787">
      <w:pPr>
        <w:spacing w:line="460" w:lineRule="exact"/>
        <w:ind w:firstLine="520" w:firstLineChars="200"/>
        <w:rPr>
          <w:rFonts w:hint="eastAsia"/>
          <w:sz w:val="26"/>
          <w:szCs w:val="26"/>
        </w:rPr>
      </w:pPr>
      <w:r>
        <w:rPr>
          <w:rFonts w:hint="eastAsia" w:ascii="Arial" w:hAnsi="宋体" w:cs="Arial"/>
          <w:sz w:val="26"/>
          <w:szCs w:val="26"/>
        </w:rPr>
        <w:t>由表5.2-6可知，</w:t>
      </w:r>
      <w:r>
        <w:rPr>
          <w:rFonts w:hint="eastAsia" w:ascii="Arial" w:hAnsi="宋体" w:cs="Arial"/>
          <w:sz w:val="26"/>
          <w:szCs w:val="26"/>
          <w:lang w:eastAsia="zh-CN"/>
        </w:rPr>
        <w:t>海螺沟</w:t>
      </w:r>
      <w:r>
        <w:rPr>
          <w:rFonts w:hint="eastAsia" w:ascii="Arial" w:hAnsi="宋体" w:cs="Arial"/>
          <w:sz w:val="26"/>
          <w:szCs w:val="26"/>
        </w:rPr>
        <w:t>水库成库后</w:t>
      </w:r>
      <w:r>
        <w:rPr>
          <w:rFonts w:hint="eastAsia"/>
          <w:sz w:val="26"/>
          <w:szCs w:val="26"/>
        </w:rPr>
        <w:t>富营养化程度属</w:t>
      </w:r>
      <w:r>
        <w:rPr>
          <w:rFonts w:hint="eastAsia" w:ascii="Arial" w:hAnsi="宋体" w:cs="Arial"/>
          <w:sz w:val="26"/>
          <w:szCs w:val="26"/>
        </w:rPr>
        <w:t>中营养</w:t>
      </w:r>
      <w:r>
        <w:rPr>
          <w:rFonts w:hint="eastAsia"/>
          <w:sz w:val="26"/>
          <w:szCs w:val="26"/>
        </w:rPr>
        <w:t>级，主要原因之一为现状总氮浓度较大</w:t>
      </w:r>
      <w:r>
        <w:rPr>
          <w:rFonts w:hint="eastAsia"/>
          <w:sz w:val="26"/>
          <w:szCs w:val="26"/>
          <w:lang w:eastAsia="zh-CN"/>
        </w:rPr>
        <w:t>。</w:t>
      </w:r>
      <w:r>
        <w:rPr>
          <w:rFonts w:hint="eastAsia"/>
          <w:sz w:val="26"/>
          <w:szCs w:val="26"/>
        </w:rPr>
        <w:t>建库后，在库中及坝前水域虽然水深增加，流速减小，有利于浮游藻类的生长繁殖，但</w:t>
      </w:r>
      <w:r>
        <w:rPr>
          <w:rFonts w:hint="eastAsia"/>
          <w:sz w:val="26"/>
          <w:szCs w:val="26"/>
          <w:lang w:eastAsia="zh-CN"/>
        </w:rPr>
        <w:t>海螺沟</w:t>
      </w:r>
      <w:r>
        <w:rPr>
          <w:rFonts w:hint="eastAsia"/>
          <w:sz w:val="26"/>
          <w:szCs w:val="26"/>
        </w:rPr>
        <w:t>水库</w:t>
      </w:r>
      <w:r>
        <w:rPr>
          <w:rFonts w:hint="eastAsia"/>
          <w:sz w:val="26"/>
          <w:szCs w:val="26"/>
          <w:lang w:eastAsia="zh-CN"/>
        </w:rPr>
        <w:t>年内</w:t>
      </w:r>
      <w:r>
        <w:rPr>
          <w:rFonts w:hint="eastAsia"/>
          <w:sz w:val="26"/>
          <w:szCs w:val="26"/>
        </w:rPr>
        <w:t>水体年交换量较大且较</w:t>
      </w:r>
      <w:r>
        <w:rPr>
          <w:rFonts w:hint="eastAsia"/>
          <w:sz w:val="26"/>
          <w:szCs w:val="26"/>
          <w:lang w:eastAsia="zh-CN"/>
        </w:rPr>
        <w:t>为</w:t>
      </w:r>
      <w:r>
        <w:rPr>
          <w:rFonts w:hint="eastAsia"/>
          <w:sz w:val="26"/>
          <w:szCs w:val="26"/>
        </w:rPr>
        <w:t>频繁，同时根据水库现状水质、入库污染负荷，从水库特性和运行方式上分析，</w:t>
      </w:r>
      <w:r>
        <w:rPr>
          <w:rFonts w:hint="eastAsia"/>
          <w:sz w:val="26"/>
          <w:szCs w:val="26"/>
          <w:lang w:eastAsia="zh-CN"/>
        </w:rPr>
        <w:t>海螺沟</w:t>
      </w:r>
      <w:r>
        <w:rPr>
          <w:rFonts w:hint="eastAsia"/>
          <w:sz w:val="26"/>
          <w:szCs w:val="26"/>
        </w:rPr>
        <w:t>水库总体不会向富营养程度状态转化。</w:t>
      </w:r>
    </w:p>
    <w:p w14:paraId="215EB6D6">
      <w:pPr>
        <w:spacing w:line="460" w:lineRule="exact"/>
        <w:ind w:firstLine="392" w:firstLineChars="150"/>
        <w:rPr>
          <w:rFonts w:hint="eastAsia" w:ascii="Arial" w:hAnsi="宋体" w:eastAsia="宋体" w:cs="Arial"/>
          <w:b/>
          <w:sz w:val="26"/>
          <w:szCs w:val="26"/>
          <w:lang w:val="en-US" w:eastAsia="zh-CN"/>
        </w:rPr>
      </w:pPr>
      <w:r>
        <w:rPr>
          <w:rFonts w:hint="eastAsia" w:ascii="Arial" w:hAnsi="宋体" w:cs="Arial"/>
          <w:b/>
          <w:sz w:val="26"/>
          <w:szCs w:val="26"/>
          <w:lang w:eastAsia="zh-CN"/>
        </w:rPr>
        <w:t>（</w:t>
      </w:r>
      <w:r>
        <w:rPr>
          <w:rFonts w:hint="eastAsia" w:ascii="Arial" w:hAnsi="宋体" w:cs="Arial"/>
          <w:b/>
          <w:sz w:val="26"/>
          <w:szCs w:val="26"/>
          <w:lang w:val="en-US" w:eastAsia="zh-CN"/>
        </w:rPr>
        <w:t>4）</w:t>
      </w:r>
      <w:r>
        <w:rPr>
          <w:rFonts w:hint="eastAsia" w:ascii="Arial" w:hAnsi="宋体" w:cs="Arial"/>
          <w:b/>
          <w:sz w:val="26"/>
          <w:szCs w:val="26"/>
          <w:lang w:eastAsia="zh-CN"/>
        </w:rPr>
        <w:t>库区富营养化的</w:t>
      </w:r>
      <w:r>
        <w:rPr>
          <w:rFonts w:hint="eastAsia" w:ascii="Arial" w:hAnsi="宋体" w:cs="Arial"/>
          <w:b/>
          <w:sz w:val="26"/>
          <w:szCs w:val="26"/>
          <w:lang w:val="en-US" w:eastAsia="zh-CN"/>
        </w:rPr>
        <w:t>减缓措施</w:t>
      </w:r>
    </w:p>
    <w:p w14:paraId="016B0049">
      <w:pPr>
        <w:spacing w:line="460" w:lineRule="exact"/>
        <w:ind w:firstLine="520" w:firstLineChars="200"/>
        <w:rPr>
          <w:rFonts w:hint="eastAsia" w:ascii="Arial" w:hAnsi="宋体" w:cs="Arial"/>
          <w:sz w:val="26"/>
          <w:szCs w:val="26"/>
        </w:rPr>
      </w:pPr>
      <w:r>
        <w:rPr>
          <w:rFonts w:hint="eastAsia" w:ascii="Arial" w:hAnsi="宋体" w:cs="Arial"/>
          <w:sz w:val="26"/>
          <w:szCs w:val="26"/>
        </w:rPr>
        <w:t>上述预测是基于现状监测指标进行的，</w:t>
      </w:r>
      <w:r>
        <w:rPr>
          <w:rFonts w:hint="eastAsia" w:ascii="Arial" w:hAnsi="宋体" w:cs="Arial"/>
          <w:sz w:val="26"/>
          <w:szCs w:val="26"/>
          <w:lang w:eastAsia="zh-CN"/>
        </w:rPr>
        <w:t>海螺沟</w:t>
      </w:r>
      <w:r>
        <w:rPr>
          <w:rFonts w:hint="eastAsia" w:ascii="Arial" w:hAnsi="宋体" w:cs="Arial"/>
          <w:sz w:val="26"/>
          <w:szCs w:val="26"/>
        </w:rPr>
        <w:t>水库成库后，库区及集雨范围将进行污染治理措施，以保证库区水质。在进行治理后，预计水库水质将要优于现状，因此水库富营养化可能要小于预测结果。但由于上述富营养化预测仅从氮、磷等主要指标进行计算和判断，实际上还有其他很多因素也可能导致水库富营养化</w:t>
      </w:r>
      <w:r>
        <w:rPr>
          <w:rFonts w:hint="eastAsia" w:ascii="Arial" w:hAnsi="宋体" w:cs="Arial"/>
          <w:sz w:val="26"/>
          <w:szCs w:val="26"/>
          <w:lang w:eastAsia="zh-CN"/>
        </w:rPr>
        <w:t>。</w:t>
      </w:r>
      <w:r>
        <w:rPr>
          <w:rFonts w:hint="eastAsia" w:ascii="Arial" w:hAnsi="宋体" w:cs="Arial"/>
          <w:sz w:val="26"/>
          <w:szCs w:val="26"/>
        </w:rPr>
        <w:t>水库成库可采取如下减缓措施，河流水质将逐渐改善，减少水库富营养化的趋势。</w:t>
      </w:r>
    </w:p>
    <w:p w14:paraId="3B9A569A">
      <w:pPr>
        <w:spacing w:line="460" w:lineRule="exact"/>
        <w:ind w:firstLine="520" w:firstLineChars="200"/>
        <w:rPr>
          <w:rFonts w:hint="eastAsia" w:ascii="Arial" w:hAnsi="宋体" w:cs="Arial"/>
          <w:sz w:val="26"/>
          <w:szCs w:val="26"/>
        </w:rPr>
      </w:pPr>
      <w:r>
        <w:rPr>
          <w:rFonts w:hint="eastAsia" w:ascii="Arial" w:hAnsi="宋体" w:cs="Arial"/>
          <w:sz w:val="26"/>
          <w:szCs w:val="26"/>
        </w:rPr>
        <w:t>①在蓄水前，按要求对库区进行清库作业，并进行消毒处理；</w:t>
      </w:r>
    </w:p>
    <w:p w14:paraId="1E4C3D4B">
      <w:pPr>
        <w:spacing w:line="460" w:lineRule="exact"/>
        <w:ind w:firstLine="520" w:firstLineChars="200"/>
        <w:rPr>
          <w:rFonts w:hint="eastAsia" w:ascii="Arial" w:hAnsi="宋体" w:cs="Arial"/>
          <w:sz w:val="26"/>
          <w:szCs w:val="26"/>
        </w:rPr>
      </w:pPr>
      <w:r>
        <w:rPr>
          <w:rFonts w:hint="eastAsia" w:ascii="Arial" w:hAnsi="宋体" w:cs="Arial"/>
          <w:sz w:val="26"/>
          <w:szCs w:val="26"/>
        </w:rPr>
        <w:t>②运行过程中加强库区水质监测，特别是TP、TN、透明度、叶绿素a、</w:t>
      </w:r>
      <w:r>
        <w:rPr>
          <w:rFonts w:hint="eastAsia" w:ascii="Arial" w:hAnsi="宋体" w:cs="Arial"/>
          <w:sz w:val="26"/>
          <w:szCs w:val="26"/>
          <w:lang w:val="en-US" w:eastAsia="zh-CN"/>
        </w:rPr>
        <w:t>DO</w:t>
      </w:r>
      <w:r>
        <w:rPr>
          <w:rFonts w:hint="eastAsia" w:ascii="Arial" w:hAnsi="宋体" w:cs="Arial"/>
          <w:sz w:val="26"/>
          <w:szCs w:val="26"/>
        </w:rPr>
        <w:t>等敏感性指标，最大程度上判断水库富营养化的趋势和爆发可能性；</w:t>
      </w:r>
    </w:p>
    <w:p w14:paraId="5BD02956">
      <w:pPr>
        <w:spacing w:line="460" w:lineRule="exact"/>
        <w:ind w:firstLine="520" w:firstLineChars="200"/>
        <w:rPr>
          <w:rFonts w:hint="eastAsia" w:ascii="Arial" w:hAnsi="宋体" w:cs="Arial"/>
          <w:sz w:val="26"/>
          <w:szCs w:val="26"/>
        </w:rPr>
      </w:pPr>
      <w:r>
        <w:rPr>
          <w:rFonts w:hint="eastAsia" w:ascii="Arial" w:hAnsi="宋体" w:cs="Arial"/>
          <w:sz w:val="26"/>
          <w:szCs w:val="26"/>
        </w:rPr>
        <w:t>③组织清漂作业，定期清理水库表面、库岸漂浮的树枝、固体废物、动植物尸体等；</w:t>
      </w:r>
    </w:p>
    <w:p w14:paraId="1E7272F0">
      <w:pPr>
        <w:spacing w:line="460" w:lineRule="exact"/>
        <w:ind w:firstLine="520" w:firstLineChars="200"/>
        <w:rPr>
          <w:rFonts w:hint="eastAsia" w:ascii="Arial" w:hAnsi="宋体" w:cs="Arial"/>
          <w:sz w:val="26"/>
          <w:szCs w:val="26"/>
        </w:rPr>
      </w:pPr>
      <w:r>
        <w:rPr>
          <w:rFonts w:hint="eastAsia" w:ascii="Arial" w:hAnsi="宋体" w:cs="Arial"/>
          <w:sz w:val="26"/>
          <w:szCs w:val="26"/>
        </w:rPr>
        <w:t>④严格控制集雨范围内的耕作面积，加强宣传教育，引导库岸居民合理科学施用化肥、农药，不得使用含磷洗衣粉，控制农业面源污染；</w:t>
      </w:r>
    </w:p>
    <w:p w14:paraId="4F247E10">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rPr>
        <w:t>⑤保证水库生态下泄流量，加强水体置换，同时在放水口前设置软基围栏，避免藻类进入下游河道</w:t>
      </w:r>
      <w:r>
        <w:rPr>
          <w:rFonts w:hint="eastAsia" w:ascii="Arial" w:hAnsi="宋体" w:cs="Arial"/>
          <w:sz w:val="26"/>
          <w:szCs w:val="26"/>
          <w:lang w:eastAsia="zh-CN"/>
        </w:rPr>
        <w:t>。</w:t>
      </w:r>
    </w:p>
    <w:p w14:paraId="7F631452">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rPr>
        <w:t>从水库特性和运用方式上分析，通过采取有效措施控制有机物和氮磷营养盐等污染源进入库区水体，保证彻底清库和上游交接断面水质达标，可有效减轻面源污染。运行过程中仍需加强监测，以便及时采取控制措施。</w:t>
      </w:r>
    </w:p>
    <w:p w14:paraId="24C09127">
      <w:pPr>
        <w:spacing w:line="460" w:lineRule="exact"/>
        <w:ind w:firstLine="522" w:firstLineChars="200"/>
        <w:rPr>
          <w:rFonts w:hint="eastAsia" w:ascii="Arial" w:hAnsi="宋体" w:cs="Arial"/>
          <w:sz w:val="26"/>
          <w:szCs w:val="26"/>
        </w:rPr>
      </w:pPr>
      <w:r>
        <w:rPr>
          <w:rFonts w:hint="eastAsia" w:ascii="Arial" w:hAnsi="Arial" w:eastAsia="宋体" w:cs="Arial"/>
          <w:b/>
          <w:bCs/>
          <w:color w:val="000000"/>
          <w:sz w:val="26"/>
          <w:szCs w:val="26"/>
          <w:lang w:val="en-US" w:eastAsia="zh-CN"/>
        </w:rPr>
        <w:t>6.5.</w:t>
      </w:r>
      <w:r>
        <w:rPr>
          <w:rFonts w:hint="eastAsia" w:ascii="Arial" w:hAnsi="Arial" w:cs="Arial"/>
          <w:b/>
          <w:bCs/>
          <w:color w:val="000000"/>
          <w:sz w:val="26"/>
          <w:szCs w:val="26"/>
          <w:lang w:val="en-US" w:eastAsia="zh-CN"/>
        </w:rPr>
        <w:t>6坝后减水河段水质影响分析</w:t>
      </w:r>
    </w:p>
    <w:p w14:paraId="59D3D6A4">
      <w:pPr>
        <w:spacing w:line="460" w:lineRule="exact"/>
        <w:ind w:firstLine="520" w:firstLineChars="200"/>
        <w:rPr>
          <w:rFonts w:hint="eastAsia" w:ascii="Arial" w:hAnsi="宋体" w:cs="Arial"/>
          <w:color w:val="auto"/>
          <w:sz w:val="26"/>
          <w:szCs w:val="26"/>
        </w:rPr>
      </w:pPr>
      <w:r>
        <w:rPr>
          <w:rFonts w:hint="eastAsia" w:ascii="Arial" w:hAnsi="宋体" w:cs="Arial"/>
          <w:color w:val="auto"/>
          <w:sz w:val="26"/>
          <w:szCs w:val="26"/>
          <w:lang w:eastAsia="zh-CN"/>
        </w:rPr>
        <w:t>海螺沟</w:t>
      </w:r>
      <w:r>
        <w:rPr>
          <w:rFonts w:ascii="Arial" w:hAnsi="宋体" w:cs="Arial"/>
          <w:color w:val="auto"/>
          <w:sz w:val="26"/>
          <w:szCs w:val="26"/>
        </w:rPr>
        <w:t>水库建成后，由于大坝截流和水库引水</w:t>
      </w:r>
      <w:r>
        <w:rPr>
          <w:rFonts w:hint="eastAsia" w:ascii="Arial" w:hAnsi="宋体" w:cs="Arial"/>
          <w:color w:val="auto"/>
          <w:sz w:val="26"/>
          <w:szCs w:val="26"/>
          <w:lang w:eastAsia="zh-CN"/>
        </w:rPr>
        <w:t>供给双龙社区、回龙场村、田家山村居民和牲畜饮用、农田灌溉，</w:t>
      </w:r>
      <w:r>
        <w:rPr>
          <w:rFonts w:ascii="Arial" w:hAnsi="宋体" w:cs="Arial"/>
          <w:color w:val="auto"/>
          <w:sz w:val="26"/>
          <w:szCs w:val="26"/>
        </w:rPr>
        <w:t>水库坝址至与</w:t>
      </w:r>
      <w:r>
        <w:rPr>
          <w:rFonts w:hint="eastAsia" w:ascii="Arial" w:hAnsi="宋体" w:cs="Arial"/>
          <w:color w:val="auto"/>
          <w:sz w:val="26"/>
          <w:szCs w:val="26"/>
          <w:lang w:eastAsia="zh-CN"/>
        </w:rPr>
        <w:t>高洞桥河</w:t>
      </w:r>
      <w:r>
        <w:rPr>
          <w:rFonts w:ascii="Arial" w:hAnsi="宋体" w:cs="Arial"/>
          <w:color w:val="auto"/>
          <w:sz w:val="26"/>
          <w:szCs w:val="26"/>
        </w:rPr>
        <w:t>汇合口将形成长约</w:t>
      </w:r>
      <w:r>
        <w:rPr>
          <w:rFonts w:hint="eastAsia" w:ascii="Arial" w:hAnsi="宋体" w:cs="Arial"/>
          <w:color w:val="auto"/>
          <w:sz w:val="26"/>
          <w:szCs w:val="26"/>
          <w:lang w:val="en-US" w:eastAsia="zh-CN"/>
        </w:rPr>
        <w:t>1.54</w:t>
      </w:r>
      <w:r>
        <w:rPr>
          <w:rFonts w:ascii="Arial" w:hAnsi="宋体" w:cs="Arial"/>
          <w:color w:val="auto"/>
          <w:sz w:val="26"/>
          <w:szCs w:val="26"/>
        </w:rPr>
        <w:t>km的减水河段。</w:t>
      </w:r>
      <w:r>
        <w:rPr>
          <w:rFonts w:hint="eastAsia" w:ascii="Arial" w:hAnsi="宋体" w:cs="Arial"/>
          <w:color w:val="auto"/>
          <w:sz w:val="26"/>
          <w:szCs w:val="26"/>
        </w:rPr>
        <w:t>由于水库蓄水导流，造成坝后河段水量减小，水体自净能力降低，对下游水环境有一定影响。</w:t>
      </w:r>
    </w:p>
    <w:p w14:paraId="566DAEB7">
      <w:pPr>
        <w:spacing w:line="460" w:lineRule="exact"/>
        <w:ind w:firstLine="392" w:firstLineChars="150"/>
        <w:rPr>
          <w:rFonts w:hint="default" w:ascii="Arial" w:hAnsi="宋体" w:cs="Arial"/>
          <w:b/>
          <w:sz w:val="26"/>
          <w:szCs w:val="26"/>
          <w:lang w:val="en-US" w:eastAsia="zh-CN"/>
        </w:rPr>
      </w:pPr>
      <w:r>
        <w:rPr>
          <w:rFonts w:hint="eastAsia" w:ascii="Arial" w:hAnsi="宋体" w:cs="Arial"/>
          <w:b/>
          <w:sz w:val="26"/>
          <w:szCs w:val="26"/>
          <w:lang w:eastAsia="zh-CN"/>
        </w:rPr>
        <w:t>（</w:t>
      </w:r>
      <w:r>
        <w:rPr>
          <w:rFonts w:hint="eastAsia" w:ascii="Arial" w:hAnsi="宋体" w:cs="Arial"/>
          <w:b/>
          <w:sz w:val="26"/>
          <w:szCs w:val="26"/>
          <w:lang w:val="en-US" w:eastAsia="zh-CN"/>
        </w:rPr>
        <w:t>1）人饮供水的退水影响分析</w:t>
      </w:r>
    </w:p>
    <w:p w14:paraId="21B4115A">
      <w:pPr>
        <w:spacing w:line="460" w:lineRule="exact"/>
        <w:ind w:firstLine="520" w:firstLineChars="200"/>
        <w:rPr>
          <w:rFonts w:hint="eastAsia" w:ascii="Arial" w:cs="Arial"/>
          <w:bCs/>
          <w:sz w:val="26"/>
          <w:lang w:eastAsia="zh-CN"/>
        </w:rPr>
      </w:pPr>
      <w:r>
        <w:rPr>
          <w:rFonts w:hint="eastAsia" w:ascii="Arial" w:hAnsi="宋体" w:cs="Arial"/>
          <w:color w:val="auto"/>
          <w:sz w:val="26"/>
          <w:szCs w:val="26"/>
          <w:lang w:eastAsia="zh-CN"/>
        </w:rPr>
        <w:t>本项目建成后主要向</w:t>
      </w:r>
      <w:r>
        <w:rPr>
          <w:rFonts w:hint="eastAsia" w:ascii="Arial" w:cs="Arial"/>
          <w:bCs/>
          <w:sz w:val="26"/>
          <w:lang w:eastAsia="zh-CN"/>
        </w:rPr>
        <w:t>双龙社区、双龙场村、田家山村供水，供水对象为农村居民7000人。</w:t>
      </w:r>
    </w:p>
    <w:p w14:paraId="6A32FF88">
      <w:pPr>
        <w:spacing w:line="460" w:lineRule="exact"/>
        <w:ind w:firstLine="520" w:firstLineChars="200"/>
        <w:rPr>
          <w:rFonts w:hint="default" w:ascii="Arial" w:hAnsi="宋体" w:cs="Arial"/>
          <w:bCs/>
          <w:sz w:val="26"/>
          <w:szCs w:val="26"/>
          <w:lang w:val="en-US" w:eastAsia="zh-CN"/>
        </w:rPr>
      </w:pPr>
      <w:r>
        <w:rPr>
          <w:rFonts w:hint="eastAsia" w:ascii="Arial" w:hAnsi="宋体" w:cs="Arial"/>
          <w:bCs/>
          <w:sz w:val="26"/>
          <w:szCs w:val="26"/>
        </w:rPr>
        <w:t>根据调查，</w:t>
      </w:r>
      <w:r>
        <w:rPr>
          <w:rFonts w:hint="eastAsia" w:ascii="Arial" w:hAnsi="宋体" w:cs="Arial"/>
          <w:bCs/>
          <w:sz w:val="26"/>
          <w:szCs w:val="26"/>
          <w:lang w:eastAsia="zh-CN"/>
        </w:rPr>
        <w:t>海螺沟水库向双龙社区所供生活用水产生的污废水，经双龙镇污水处理厂集中深度处理达标后，进入双龙河，不会对海螺沟水库坝后减水河段水质造成污染。双龙镇污水处理厂处理规模为</w:t>
      </w:r>
      <w:r>
        <w:rPr>
          <w:rFonts w:hint="eastAsia" w:ascii="Arial" w:hAnsi="宋体" w:cs="Arial"/>
          <w:bCs/>
          <w:sz w:val="26"/>
          <w:szCs w:val="26"/>
          <w:lang w:val="en-US" w:eastAsia="zh-CN"/>
        </w:rPr>
        <w:t>600m</w:t>
      </w:r>
      <w:r>
        <w:rPr>
          <w:rFonts w:hint="eastAsia" w:ascii="Arial" w:hAnsi="宋体" w:cs="Arial"/>
          <w:bCs/>
          <w:sz w:val="26"/>
          <w:szCs w:val="26"/>
          <w:vertAlign w:val="superscript"/>
          <w:lang w:val="en-US" w:eastAsia="zh-CN"/>
        </w:rPr>
        <w:t>3</w:t>
      </w:r>
      <w:r>
        <w:rPr>
          <w:rFonts w:hint="eastAsia" w:ascii="Arial" w:hAnsi="宋体" w:cs="Arial"/>
          <w:bCs/>
          <w:sz w:val="26"/>
          <w:szCs w:val="26"/>
          <w:lang w:val="en-US" w:eastAsia="zh-CN"/>
        </w:rPr>
        <w:t>/d，采取A/O工艺，服务范围为双龙镇镇区居民产生的生活污水，出水水质执行《城镇污水处理厂污染物排放标准》（GB18918-2002）中的一级B标，已通过竣工环保验收，排污许可证编号为91500230MA60CWJ95C044Q，有效期为2022年8月21日~2027年8月20日。根据双龙镇污水处理厂</w:t>
      </w:r>
      <w:r>
        <w:rPr>
          <w:rFonts w:hint="eastAsia" w:ascii="Arial" w:hAnsi="宋体" w:cs="Arial"/>
          <w:bCs/>
          <w:color w:val="auto"/>
          <w:sz w:val="26"/>
          <w:szCs w:val="26"/>
          <w:lang w:val="en-US" w:eastAsia="zh-CN"/>
        </w:rPr>
        <w:t>2020~2023年排污许可执行报告可知，出水水质可实现稳定达标排放。根据《重庆市渠溪河流域综合规划环境影响报告书》（报批版）中于双龙镇污水处理厂排水口下游所设地表水</w:t>
      </w:r>
      <w:r>
        <w:rPr>
          <w:rFonts w:hint="eastAsia" w:ascii="Arial" w:hAnsi="Arial" w:cs="Arial"/>
          <w:color w:val="auto"/>
          <w:kern w:val="0"/>
          <w:sz w:val="26"/>
          <w:szCs w:val="26"/>
          <w:lang w:val="en-US" w:eastAsia="zh-CN" w:bidi="ar-SA"/>
        </w:rPr>
        <w:t>监测断面（F5，双龙河入渠溪河上游500m处）的数据可知，</w:t>
      </w:r>
      <w:r>
        <w:rPr>
          <w:rFonts w:hint="eastAsia" w:ascii="Arial" w:hAnsi="Arial" w:cs="Arial"/>
          <w:color w:val="auto"/>
          <w:spacing w:val="-9"/>
          <w:kern w:val="0"/>
          <w:sz w:val="26"/>
          <w:szCs w:val="26"/>
          <w:lang w:val="en-US" w:eastAsia="zh-CN"/>
        </w:rPr>
        <w:t>枯水期各监测因子浓度均可满足</w:t>
      </w:r>
      <w:r>
        <w:rPr>
          <w:rFonts w:hint="eastAsia" w:ascii="Arial" w:hAnsi="Arial" w:cs="Arial"/>
          <w:color w:val="auto"/>
          <w:spacing w:val="-9"/>
          <w:kern w:val="0"/>
          <w:sz w:val="26"/>
          <w:szCs w:val="26"/>
          <w:lang w:val="zh-CN"/>
        </w:rPr>
        <w:t>《地表水环境质量标准》（GB3838-2002）Ⅲ类水域标准</w:t>
      </w:r>
      <w:r>
        <w:rPr>
          <w:rFonts w:hint="eastAsia" w:ascii="Arial" w:hAnsi="Arial" w:cs="Arial"/>
          <w:color w:val="auto"/>
          <w:spacing w:val="-9"/>
          <w:kern w:val="0"/>
          <w:sz w:val="26"/>
          <w:szCs w:val="26"/>
          <w:lang w:val="en-US" w:eastAsia="zh-CN"/>
        </w:rPr>
        <w:t>；同时结合本次对</w:t>
      </w:r>
      <w:r>
        <w:rPr>
          <w:rFonts w:hint="eastAsia" w:ascii="Arial" w:hAnsi="Arial" w:cs="Arial"/>
          <w:color w:val="auto"/>
          <w:kern w:val="0"/>
          <w:sz w:val="26"/>
          <w:szCs w:val="26"/>
          <w:lang w:val="en-US" w:eastAsia="zh-CN" w:bidi="ar-SA"/>
        </w:rPr>
        <w:t>双龙河入渠溪河上游500m处地表水断面进行实测得出的数据可知，</w:t>
      </w:r>
      <w:r>
        <w:rPr>
          <w:rFonts w:hint="eastAsia" w:ascii="Arial" w:hAnsi="Arial" w:cs="Arial"/>
          <w:color w:val="auto"/>
          <w:spacing w:val="-9"/>
          <w:kern w:val="0"/>
          <w:sz w:val="26"/>
          <w:szCs w:val="26"/>
          <w:lang w:val="en-US" w:eastAsia="zh-CN"/>
        </w:rPr>
        <w:t>丰水期各监测因子浓度均可满足</w:t>
      </w:r>
      <w:r>
        <w:rPr>
          <w:rFonts w:hint="eastAsia" w:ascii="Arial" w:hAnsi="Arial" w:cs="Arial"/>
          <w:color w:val="auto"/>
          <w:spacing w:val="-9"/>
          <w:kern w:val="0"/>
          <w:sz w:val="26"/>
          <w:szCs w:val="26"/>
          <w:lang w:val="zh-CN"/>
        </w:rPr>
        <w:t>《地表水环境质量标准》（GB3838-2002）Ⅲ类水域标准</w:t>
      </w:r>
      <w:r>
        <w:rPr>
          <w:rFonts w:hint="eastAsia" w:ascii="Arial" w:hAnsi="Arial" w:cs="Arial"/>
          <w:color w:val="auto"/>
          <w:spacing w:val="-9"/>
          <w:kern w:val="0"/>
          <w:sz w:val="26"/>
          <w:szCs w:val="26"/>
          <w:lang w:val="en-US" w:eastAsia="zh-CN"/>
        </w:rPr>
        <w:t>。本项目建成向双龙社区供给人饮用水，主要目的是提高供水保障率，所产生的生活污水不会突破双龙镇污水处理厂的处理规模，不会导致双龙镇污水处理厂排入双龙河内的污染负荷增加，</w:t>
      </w:r>
      <w:r>
        <w:rPr>
          <w:rFonts w:hint="eastAsia" w:ascii="Arial" w:hAnsi="宋体" w:cs="Arial"/>
          <w:bCs/>
          <w:sz w:val="26"/>
          <w:szCs w:val="26"/>
          <w:lang w:val="en-US" w:eastAsia="zh-CN"/>
        </w:rPr>
        <w:t>对双龙河水质影响小。</w:t>
      </w:r>
    </w:p>
    <w:p w14:paraId="7B8BC06D">
      <w:pPr>
        <w:spacing w:line="460" w:lineRule="exact"/>
        <w:ind w:firstLine="520" w:firstLineChars="200"/>
        <w:rPr>
          <w:rFonts w:hint="eastAsia" w:ascii="Arial" w:hAnsi="宋体" w:cs="Arial"/>
          <w:bCs/>
          <w:sz w:val="26"/>
          <w:szCs w:val="26"/>
          <w:lang w:eastAsia="zh-CN"/>
        </w:rPr>
      </w:pPr>
      <w:r>
        <w:rPr>
          <w:rFonts w:hint="eastAsia" w:ascii="Arial" w:hAnsi="宋体" w:cs="Arial"/>
          <w:bCs/>
          <w:sz w:val="26"/>
          <w:szCs w:val="26"/>
          <w:lang w:eastAsia="zh-CN"/>
        </w:rPr>
        <w:t>根据调查，向回龙场村、田家山村所供生活用水产生的污废水，主要由各农村居民家自建旱厕收集处理后，循序用作农肥，未直接进入河道。经处理后用作农肥的生活污水</w:t>
      </w:r>
      <w:r>
        <w:rPr>
          <w:rFonts w:hint="eastAsia" w:ascii="Arial" w:hAnsi="宋体" w:cs="Arial"/>
          <w:bCs/>
          <w:color w:val="auto"/>
          <w:sz w:val="26"/>
          <w:szCs w:val="26"/>
          <w:lang w:eastAsia="zh-CN"/>
        </w:rPr>
        <w:t>中</w:t>
      </w:r>
      <w:r>
        <w:rPr>
          <w:rFonts w:hint="eastAsia" w:ascii="Arial" w:hAnsi="Arial" w:eastAsia="宋体" w:cs="Arial"/>
          <w:bCs/>
          <w:color w:val="auto"/>
          <w:sz w:val="26"/>
          <w:szCs w:val="26"/>
          <w:lang w:eastAsia="zh-CN"/>
        </w:rPr>
        <w:t>大部分有机物被农作物吸收利用，</w:t>
      </w:r>
      <w:r>
        <w:rPr>
          <w:rFonts w:hint="eastAsia" w:ascii="Arial" w:hAnsi="Arial" w:cs="Arial"/>
          <w:bCs/>
          <w:color w:val="auto"/>
          <w:sz w:val="26"/>
          <w:szCs w:val="26"/>
          <w:lang w:eastAsia="zh-CN"/>
        </w:rPr>
        <w:t>再经土壤的过滤、吸附和自然蒸发作用后，</w:t>
      </w:r>
      <w:r>
        <w:rPr>
          <w:rFonts w:hint="eastAsia" w:ascii="Arial" w:hAnsi="宋体" w:cs="Arial"/>
          <w:bCs/>
          <w:color w:val="auto"/>
          <w:sz w:val="26"/>
          <w:szCs w:val="26"/>
          <w:lang w:eastAsia="zh-CN"/>
        </w:rPr>
        <w:t>随降雨</w:t>
      </w:r>
      <w:r>
        <w:rPr>
          <w:rFonts w:hint="eastAsia" w:ascii="Arial" w:hAnsi="宋体" w:cs="Arial"/>
          <w:bCs/>
          <w:sz w:val="26"/>
          <w:szCs w:val="26"/>
          <w:lang w:eastAsia="zh-CN"/>
        </w:rPr>
        <w:t>、地下水流进入河道内的量极小，对河道水质影响极小。同时随着丰都县</w:t>
      </w:r>
      <w:r>
        <w:rPr>
          <w:rFonts w:hint="eastAsia" w:ascii="Arial" w:hAnsi="宋体" w:eastAsia="宋体" w:cs="Arial"/>
          <w:bCs/>
          <w:sz w:val="26"/>
          <w:szCs w:val="26"/>
          <w:lang w:val="en-US" w:eastAsia="zh-CN"/>
        </w:rPr>
        <w:t>推动城镇污水管网向周边村庄延伸覆盖、</w:t>
      </w:r>
      <w:r>
        <w:rPr>
          <w:rFonts w:hint="default" w:ascii="Arial" w:hAnsi="宋体" w:eastAsia="宋体" w:cs="Arial"/>
          <w:bCs/>
          <w:sz w:val="26"/>
          <w:szCs w:val="26"/>
          <w:lang w:val="en-US" w:eastAsia="zh-CN"/>
        </w:rPr>
        <w:t>巩固拓展农村厕所革命</w:t>
      </w:r>
      <w:r>
        <w:rPr>
          <w:rFonts w:hint="eastAsia" w:ascii="Arial" w:hAnsi="宋体" w:eastAsia="宋体" w:cs="Arial"/>
          <w:bCs/>
          <w:sz w:val="26"/>
          <w:szCs w:val="26"/>
          <w:lang w:val="en-US" w:eastAsia="zh-CN"/>
        </w:rPr>
        <w:t>等方案的实施，供水范围内居民生活污水将得到更好的收集处理，对高洞桥河、海螺沟水质的影响将更小。</w:t>
      </w:r>
    </w:p>
    <w:p w14:paraId="59E0C3F9">
      <w:pPr>
        <w:spacing w:line="460" w:lineRule="exact"/>
        <w:ind w:firstLine="392" w:firstLineChars="150"/>
        <w:rPr>
          <w:rFonts w:hint="default" w:ascii="Arial" w:hAnsi="宋体" w:cs="Arial"/>
          <w:b/>
          <w:sz w:val="26"/>
          <w:szCs w:val="26"/>
          <w:lang w:val="en-US" w:eastAsia="zh-CN"/>
        </w:rPr>
      </w:pPr>
      <w:r>
        <w:rPr>
          <w:rFonts w:hint="eastAsia" w:ascii="Arial" w:hAnsi="宋体" w:cs="Arial"/>
          <w:b/>
          <w:sz w:val="26"/>
          <w:szCs w:val="26"/>
          <w:lang w:eastAsia="zh-CN"/>
        </w:rPr>
        <w:t>（</w:t>
      </w:r>
      <w:r>
        <w:rPr>
          <w:rFonts w:hint="eastAsia" w:ascii="Arial" w:hAnsi="宋体" w:cs="Arial"/>
          <w:b/>
          <w:sz w:val="26"/>
          <w:szCs w:val="26"/>
          <w:lang w:val="en-US" w:eastAsia="zh-CN"/>
        </w:rPr>
        <w:t>2）灌区回归水影响分析</w:t>
      </w:r>
    </w:p>
    <w:p w14:paraId="2535AD3D">
      <w:pPr>
        <w:spacing w:line="460" w:lineRule="exact"/>
        <w:ind w:firstLine="520"/>
        <w:rPr>
          <w:rFonts w:ascii="Arial" w:hAnsi="Arial" w:cs="Arial"/>
          <w:snapToGrid w:val="0"/>
          <w:sz w:val="26"/>
          <w:szCs w:val="26"/>
        </w:rPr>
      </w:pPr>
      <w:r>
        <w:rPr>
          <w:rFonts w:hint="default" w:ascii="Arial" w:hAnsi="Arial" w:cs="Arial"/>
          <w:bCs/>
          <w:sz w:val="26"/>
          <w:szCs w:val="26"/>
          <w:lang w:eastAsia="zh-CN"/>
        </w:rPr>
        <w:t>海螺沟水库建成后，灌区主要分布在双龙社区、回龙场村，</w:t>
      </w:r>
      <w:r>
        <w:rPr>
          <w:rFonts w:hint="default" w:ascii="Arial" w:hAnsi="Arial" w:cs="Arial"/>
          <w:kern w:val="0"/>
          <w:sz w:val="26"/>
          <w:szCs w:val="26"/>
        </w:rPr>
        <w:t>灌溉用水大部分通过植物吸收、</w:t>
      </w:r>
      <w:r>
        <w:rPr>
          <w:rFonts w:hint="default" w:ascii="Arial" w:hAnsi="Arial" w:cs="Arial"/>
          <w:kern w:val="0"/>
          <w:sz w:val="26"/>
          <w:szCs w:val="26"/>
          <w:lang w:eastAsia="zh-CN"/>
        </w:rPr>
        <w:t>自然</w:t>
      </w:r>
      <w:r>
        <w:rPr>
          <w:rFonts w:hint="default" w:ascii="Arial" w:hAnsi="Arial" w:cs="Arial"/>
          <w:kern w:val="0"/>
          <w:sz w:val="26"/>
          <w:szCs w:val="26"/>
        </w:rPr>
        <w:t>蒸发回归大自然，</w:t>
      </w:r>
      <w:r>
        <w:rPr>
          <w:rFonts w:hint="default" w:ascii="Arial" w:hAnsi="Arial" w:cs="Arial"/>
          <w:bCs/>
          <w:sz w:val="26"/>
          <w:szCs w:val="26"/>
        </w:rPr>
        <w:t>回归水主要来源于管道输水损失、田间渗漏以及作物成熟期的落干排水</w:t>
      </w:r>
      <w:r>
        <w:rPr>
          <w:rFonts w:hint="default" w:ascii="Arial" w:hAnsi="Arial" w:cs="Arial"/>
          <w:bCs/>
          <w:sz w:val="26"/>
          <w:szCs w:val="26"/>
          <w:lang w:eastAsia="zh-CN"/>
        </w:rPr>
        <w:t>，约占供水量的</w:t>
      </w:r>
      <w:r>
        <w:rPr>
          <w:rFonts w:hint="default" w:ascii="Arial" w:hAnsi="Arial" w:cs="Arial"/>
          <w:kern w:val="0"/>
          <w:sz w:val="26"/>
          <w:szCs w:val="26"/>
        </w:rPr>
        <w:t>2</w:t>
      </w:r>
      <w:r>
        <w:rPr>
          <w:rFonts w:hint="default" w:ascii="Arial" w:hAnsi="Arial" w:cs="Arial"/>
          <w:kern w:val="0"/>
          <w:sz w:val="26"/>
          <w:szCs w:val="26"/>
          <w:lang w:val="en-US" w:eastAsia="zh-CN"/>
        </w:rPr>
        <w:t>5</w:t>
      </w:r>
      <w:r>
        <w:rPr>
          <w:rFonts w:hint="default" w:ascii="Arial" w:hAnsi="Arial" w:cs="Arial"/>
          <w:kern w:val="0"/>
          <w:sz w:val="26"/>
          <w:szCs w:val="26"/>
        </w:rPr>
        <w:t>%</w:t>
      </w:r>
      <w:r>
        <w:rPr>
          <w:rFonts w:hint="default" w:ascii="Arial" w:hAnsi="Arial" w:cs="Arial"/>
          <w:kern w:val="0"/>
          <w:sz w:val="26"/>
          <w:szCs w:val="26"/>
          <w:lang w:eastAsia="zh-CN"/>
        </w:rPr>
        <w:t>，</w:t>
      </w:r>
      <w:r>
        <w:rPr>
          <w:rFonts w:hint="default" w:ascii="Arial" w:hAnsi="Arial" w:cs="Arial"/>
          <w:bCs/>
          <w:sz w:val="26"/>
          <w:szCs w:val="26"/>
        </w:rPr>
        <w:t>则多年平均回归水量为</w:t>
      </w:r>
      <w:r>
        <w:rPr>
          <w:rFonts w:hint="default" w:ascii="Arial" w:hAnsi="Arial" w:cs="Arial"/>
          <w:bCs/>
          <w:sz w:val="26"/>
          <w:szCs w:val="26"/>
          <w:lang w:val="en-US" w:eastAsia="zh-CN"/>
        </w:rPr>
        <w:t>14.375</w:t>
      </w:r>
      <w:r>
        <w:rPr>
          <w:rFonts w:hint="default" w:ascii="Arial" w:hAnsi="Arial" w:cs="Arial"/>
          <w:bCs/>
          <w:sz w:val="26"/>
          <w:szCs w:val="26"/>
        </w:rPr>
        <w:t>万</w:t>
      </w:r>
      <w:r>
        <w:rPr>
          <w:rFonts w:hint="default" w:ascii="Arial" w:hAnsi="Arial" w:cs="Arial"/>
          <w:bCs/>
          <w:color w:val="auto"/>
          <w:sz w:val="26"/>
          <w:szCs w:val="26"/>
        </w:rPr>
        <w:t>m</w:t>
      </w:r>
      <w:r>
        <w:rPr>
          <w:rFonts w:hint="default" w:ascii="Arial" w:hAnsi="Arial" w:cs="Arial"/>
          <w:bCs/>
          <w:color w:val="auto"/>
          <w:sz w:val="26"/>
          <w:szCs w:val="26"/>
          <w:vertAlign w:val="superscript"/>
        </w:rPr>
        <w:t>3</w:t>
      </w:r>
      <w:r>
        <w:rPr>
          <w:rFonts w:hint="eastAsia" w:ascii="Arial" w:hAnsi="Arial" w:cs="Arial"/>
          <w:bCs/>
          <w:color w:val="auto"/>
          <w:sz w:val="26"/>
          <w:szCs w:val="26"/>
          <w:lang w:eastAsia="zh-CN"/>
        </w:rPr>
        <w:t>，</w:t>
      </w:r>
      <w:r>
        <w:rPr>
          <w:rFonts w:hint="eastAsia" w:ascii="Arial" w:hAnsi="宋体" w:cs="Arial"/>
          <w:bCs/>
          <w:color w:val="auto"/>
          <w:sz w:val="26"/>
          <w:szCs w:val="26"/>
        </w:rPr>
        <w:t>灌区退水</w:t>
      </w:r>
      <w:r>
        <w:rPr>
          <w:rFonts w:hint="eastAsia" w:ascii="Arial" w:hAnsi="宋体" w:cs="Arial"/>
          <w:bCs/>
          <w:color w:val="auto"/>
          <w:sz w:val="26"/>
          <w:szCs w:val="26"/>
          <w:lang w:eastAsia="zh-CN"/>
        </w:rPr>
        <w:t>主要</w:t>
      </w:r>
      <w:r>
        <w:rPr>
          <w:rFonts w:hint="eastAsia" w:ascii="Arial" w:hAnsi="宋体" w:cs="Arial"/>
          <w:bCs/>
          <w:color w:val="auto"/>
          <w:sz w:val="26"/>
          <w:szCs w:val="26"/>
        </w:rPr>
        <w:t>进入</w:t>
      </w:r>
      <w:r>
        <w:rPr>
          <w:rFonts w:hint="eastAsia" w:ascii="Arial" w:hAnsi="宋体" w:cs="Arial"/>
          <w:bCs/>
          <w:color w:val="auto"/>
          <w:sz w:val="26"/>
          <w:szCs w:val="26"/>
          <w:lang w:eastAsia="zh-CN"/>
        </w:rPr>
        <w:t>海螺沟</w:t>
      </w:r>
      <w:r>
        <w:rPr>
          <w:rFonts w:hint="eastAsia" w:ascii="Arial" w:hAnsi="宋体" w:cs="Arial"/>
          <w:bCs/>
          <w:color w:val="auto"/>
          <w:sz w:val="26"/>
          <w:szCs w:val="26"/>
        </w:rPr>
        <w:t>水库坝后减水河段</w:t>
      </w:r>
      <w:r>
        <w:rPr>
          <w:rFonts w:hint="eastAsia" w:ascii="Arial" w:hAnsi="宋体" w:cs="Arial"/>
          <w:bCs/>
          <w:color w:val="auto"/>
          <w:sz w:val="26"/>
          <w:szCs w:val="26"/>
          <w:lang w:eastAsia="zh-CN"/>
        </w:rPr>
        <w:t>及高洞桥河河段</w:t>
      </w:r>
      <w:r>
        <w:rPr>
          <w:rFonts w:hint="eastAsia" w:ascii="Arial" w:hAnsi="宋体" w:cs="Arial"/>
          <w:bCs/>
          <w:color w:val="auto"/>
          <w:sz w:val="26"/>
          <w:szCs w:val="26"/>
        </w:rPr>
        <w:t>内。</w:t>
      </w:r>
      <w:r>
        <w:rPr>
          <w:rFonts w:ascii="Arial" w:cs="Arial"/>
          <w:sz w:val="26"/>
          <w:szCs w:val="26"/>
        </w:rPr>
        <w:t>灌溉回归水使灌区地下水、地表水水量有所增加，有利于减轻干旱缺水程度。此外，回归水还可作为灌区、非灌区、农业生产的补充水源被重复利用。</w:t>
      </w:r>
    </w:p>
    <w:p w14:paraId="1E5CC676">
      <w:pPr>
        <w:spacing w:line="460" w:lineRule="exact"/>
        <w:ind w:firstLine="520"/>
        <w:rPr>
          <w:rFonts w:ascii="Arial" w:hAnsi="Arial" w:cs="Arial"/>
          <w:sz w:val="26"/>
          <w:szCs w:val="26"/>
        </w:rPr>
      </w:pPr>
      <w:r>
        <w:rPr>
          <w:rFonts w:ascii="Arial" w:cs="Arial"/>
          <w:sz w:val="26"/>
          <w:szCs w:val="26"/>
        </w:rPr>
        <w:t>由于田间施肥及使用农药，使灌溉水中含总氮、总磷等化肥成分及其它农药成分，从而随回归水带入河道，直接排入河道将在一定程度上对下游河段水质产生不利影响。灌溉回归水水质主要受农业生产的影响，每年</w:t>
      </w:r>
      <w:r>
        <w:rPr>
          <w:rFonts w:ascii="Arial" w:hAnsi="Arial" w:cs="Arial"/>
          <w:sz w:val="26"/>
          <w:szCs w:val="26"/>
        </w:rPr>
        <w:t>4-5</w:t>
      </w:r>
      <w:r>
        <w:rPr>
          <w:rFonts w:ascii="Arial" w:cs="Arial"/>
          <w:sz w:val="26"/>
          <w:szCs w:val="26"/>
        </w:rPr>
        <w:t>月引水泡田，使土壤中的养分溶出形成肥水。在水稻生长期由于化肥、农药的施用使稻田中有机质、营养物质增多，在水稻成熟期将田间水排至主河网水系，对当地的水环境有一定的影响。灌区化肥农药施用水平呈上升趋势，同时灌区受益后，由于水源得到保障，耕作制度发生较大的改变，复种指数提高，以旱作物为主改为以水稻为主。因此，灌溉回归水中的化肥农药对地表、地下水水质的影响较工程前有所增</w:t>
      </w:r>
      <w:r>
        <w:rPr>
          <w:rFonts w:ascii="Arial" w:cs="Arial"/>
          <w:color w:val="auto"/>
          <w:sz w:val="26"/>
          <w:szCs w:val="26"/>
        </w:rPr>
        <w:t>大。但在</w:t>
      </w:r>
      <w:r>
        <w:rPr>
          <w:rFonts w:hint="eastAsia" w:ascii="Arial" w:cs="Arial"/>
          <w:bCs/>
          <w:color w:val="auto"/>
          <w:sz w:val="26"/>
          <w:szCs w:val="26"/>
        </w:rPr>
        <w:t>根据《长江保护修复攻坚战行动计划》，落实化肥、农药施用量负增长行动，通过开展化肥、农药减量利用和替代利用，加大测土配方施肥推广力度，引导科学合理施肥施药</w:t>
      </w:r>
      <w:r>
        <w:rPr>
          <w:rFonts w:ascii="Arial" w:cs="Arial"/>
          <w:color w:val="auto"/>
          <w:sz w:val="26"/>
          <w:szCs w:val="26"/>
        </w:rPr>
        <w:t>等措施后可以减少灌溉退水中污染物的含量，对退水河段水体质量影响不大，对第三者也不会产生大的影响。</w:t>
      </w:r>
    </w:p>
    <w:p w14:paraId="6D5901DE">
      <w:pPr>
        <w:spacing w:line="460" w:lineRule="exact"/>
        <w:ind w:firstLine="392" w:firstLineChars="150"/>
        <w:rPr>
          <w:rFonts w:hint="default" w:ascii="Arial" w:hAnsi="宋体" w:cs="Arial"/>
          <w:b/>
          <w:sz w:val="26"/>
          <w:szCs w:val="26"/>
          <w:lang w:val="en-US" w:eastAsia="zh-CN"/>
        </w:rPr>
      </w:pPr>
      <w:r>
        <w:rPr>
          <w:rFonts w:hint="eastAsia" w:ascii="Arial" w:hAnsi="宋体" w:cs="Arial"/>
          <w:b/>
          <w:sz w:val="26"/>
          <w:szCs w:val="26"/>
          <w:lang w:eastAsia="zh-CN"/>
        </w:rPr>
        <w:t>（</w:t>
      </w:r>
      <w:r>
        <w:rPr>
          <w:rFonts w:hint="eastAsia" w:ascii="Arial" w:hAnsi="宋体" w:cs="Arial"/>
          <w:b/>
          <w:sz w:val="26"/>
          <w:szCs w:val="26"/>
          <w:lang w:val="en-US" w:eastAsia="zh-CN"/>
        </w:rPr>
        <w:t>3）坝后减水河段水质达标情况</w:t>
      </w:r>
    </w:p>
    <w:p w14:paraId="58C6ECD9">
      <w:pPr>
        <w:spacing w:line="460" w:lineRule="exact"/>
        <w:ind w:firstLine="520"/>
        <w:rPr>
          <w:rFonts w:hint="eastAsia" w:ascii="Arial" w:hAnsi="Times New Roman" w:eastAsia="宋体" w:cs="Arial"/>
          <w:sz w:val="26"/>
          <w:szCs w:val="26"/>
          <w:lang w:val="en-US" w:eastAsia="zh-CN"/>
        </w:rPr>
      </w:pPr>
      <w:r>
        <w:rPr>
          <w:rFonts w:hint="eastAsia" w:ascii="Arial" w:hAnsi="Times New Roman" w:eastAsia="宋体" w:cs="Arial"/>
          <w:sz w:val="26"/>
          <w:szCs w:val="26"/>
          <w:lang w:val="en-US" w:eastAsia="zh-CN"/>
        </w:rPr>
        <w:t>本项目建成运行后，将作为集中式饮用水源地进行保护，按照《饮用水水源保护区划分技术规范》（HJ338-2018）中相关要求划定饮用水水源保护区，并将按照《中华人民共和国水污染防治法》、《重庆市饮用水源污染防治办法》等相关规定，对海螺沟水库所划定的饮用水源保护区进行严格管控，其集雨范围内将不会新增排污源，入库污染物将得到控制，坝址以上污染源可在现有水平上进一步降低；同时随着库区内集水的自净作用，下泄生态流量中各污染因子浓度均会较入库水质有所减小。运营期按规定下泄生态流量，并安装在线监控装置，配合相关部门，共同推进库区两岸、减水河段两岸的污染治理工作，以确保河流水质。</w:t>
      </w:r>
    </w:p>
    <w:p w14:paraId="59C2B2F7">
      <w:pPr>
        <w:pStyle w:val="2113"/>
        <w:ind w:firstLine="520"/>
        <w:rPr>
          <w:rFonts w:hint="eastAsia" w:ascii="Arial" w:hAnsi="Arial" w:cs="Arial"/>
          <w:color w:val="auto"/>
          <w:kern w:val="0"/>
          <w:sz w:val="26"/>
          <w:szCs w:val="26"/>
          <w:lang w:val="en-US" w:eastAsia="zh-CN" w:bidi="ar-SA"/>
        </w:rPr>
      </w:pPr>
      <w:r>
        <w:rPr>
          <w:rFonts w:hint="eastAsia" w:ascii="Arial" w:hAnsi="Times New Roman" w:eastAsia="宋体" w:cs="Arial"/>
          <w:color w:val="auto"/>
          <w:sz w:val="26"/>
          <w:szCs w:val="26"/>
          <w:lang w:val="en-US" w:eastAsia="zh-CN"/>
        </w:rPr>
        <w:t>根据《重庆市渠溪河流域综合规划环境影响报告书》（报批版），规划期内将实施丰都县渠溪河中小河流治理工程，治理河段长51.661km，分布在青龙乡、双龙镇、三元镇、仁沙镇、兴龙镇、社坛镇，主要实施内容为新建堤防、疏浚清淤、岸坡护砌、生态修复等工程措施</w:t>
      </w:r>
      <w:r>
        <w:rPr>
          <w:rFonts w:hint="eastAsia" w:ascii="Arial" w:hAnsi="Arial" w:cs="Arial"/>
          <w:color w:val="auto"/>
          <w:kern w:val="0"/>
          <w:sz w:val="26"/>
          <w:szCs w:val="26"/>
          <w:lang w:val="en-US" w:eastAsia="zh-CN" w:bidi="ar-SA"/>
        </w:rPr>
        <w:t>。河道清淤将清除河道内堆积的肥沃淤泥，从而改善河流水质，消除TP、TN、NH</w:t>
      </w:r>
      <w:r>
        <w:rPr>
          <w:rFonts w:hint="eastAsia" w:ascii="Arial" w:hAnsi="Arial" w:cs="Arial"/>
          <w:color w:val="auto"/>
          <w:kern w:val="0"/>
          <w:sz w:val="26"/>
          <w:szCs w:val="26"/>
          <w:vertAlign w:val="subscript"/>
          <w:lang w:val="en-US" w:eastAsia="zh-CN" w:bidi="ar-SA"/>
        </w:rPr>
        <w:t>3</w:t>
      </w:r>
      <w:r>
        <w:rPr>
          <w:rFonts w:hint="eastAsia" w:ascii="Arial" w:hAnsi="Arial" w:cs="Arial"/>
          <w:color w:val="auto"/>
          <w:kern w:val="0"/>
          <w:sz w:val="26"/>
          <w:szCs w:val="26"/>
          <w:lang w:val="en-US" w:eastAsia="zh-CN" w:bidi="ar-SA"/>
        </w:rPr>
        <w:t>-N等因子的污染。同时提出了水资源保护措施，第一是</w:t>
      </w:r>
      <w:r>
        <w:rPr>
          <w:rFonts w:eastAsia="宋体" w:cs="Times New Roman"/>
          <w:color w:val="auto"/>
          <w:sz w:val="26"/>
          <w:szCs w:val="26"/>
          <w:highlight w:val="none"/>
          <w:lang w:val="zh-CN"/>
        </w:rPr>
        <w:t>严格执行水功能区污染物限制排污总量控制方案；</w:t>
      </w:r>
      <w:r>
        <w:rPr>
          <w:rFonts w:hint="eastAsia" w:eastAsia="宋体" w:cs="Times New Roman"/>
          <w:color w:val="auto"/>
          <w:sz w:val="26"/>
          <w:szCs w:val="26"/>
          <w:highlight w:val="none"/>
          <w:lang w:val="zh-CN"/>
        </w:rPr>
        <w:t>第二是</w:t>
      </w:r>
      <w:r>
        <w:rPr>
          <w:rFonts w:eastAsia="宋体" w:cs="Times New Roman"/>
          <w:color w:val="auto"/>
          <w:sz w:val="26"/>
          <w:szCs w:val="26"/>
          <w:highlight w:val="none"/>
          <w:lang w:val="zh-CN"/>
        </w:rPr>
        <w:t>加快沿河乡镇污水收集管网建设，加快推进污水处理、垃圾处理及配套设施建设；</w:t>
      </w:r>
      <w:r>
        <w:rPr>
          <w:rFonts w:hint="eastAsia" w:eastAsia="宋体" w:cs="Times New Roman"/>
          <w:color w:val="auto"/>
          <w:sz w:val="26"/>
          <w:szCs w:val="26"/>
          <w:highlight w:val="none"/>
          <w:lang w:val="zh-CN"/>
        </w:rPr>
        <w:t>第三是</w:t>
      </w:r>
      <w:r>
        <w:rPr>
          <w:rFonts w:eastAsia="宋体" w:cs="Times New Roman"/>
          <w:color w:val="auto"/>
          <w:sz w:val="26"/>
          <w:szCs w:val="26"/>
          <w:highlight w:val="none"/>
          <w:lang w:val="zh-CN"/>
        </w:rPr>
        <w:t>加强节约用水，从根本上减少水资源消耗和废污水排放；</w:t>
      </w:r>
      <w:r>
        <w:rPr>
          <w:rFonts w:hint="eastAsia" w:eastAsia="宋体" w:cs="Times New Roman"/>
          <w:color w:val="auto"/>
          <w:sz w:val="26"/>
          <w:szCs w:val="26"/>
          <w:highlight w:val="none"/>
          <w:lang w:val="zh-CN"/>
        </w:rPr>
        <w:t>第四是</w:t>
      </w:r>
      <w:r>
        <w:rPr>
          <w:rFonts w:eastAsia="宋体" w:cs="Times New Roman"/>
          <w:color w:val="auto"/>
          <w:sz w:val="26"/>
          <w:szCs w:val="26"/>
          <w:highlight w:val="none"/>
          <w:lang w:val="zh-CN"/>
        </w:rPr>
        <w:t>加大面污染源的治理和控制力度，加强农村生活污水处理设施建设，综合利用农业废弃物，减少农业环境污染。</w:t>
      </w:r>
    </w:p>
    <w:p w14:paraId="37E79FCF">
      <w:pPr>
        <w:pStyle w:val="2113"/>
        <w:ind w:firstLine="520"/>
        <w:rPr>
          <w:rFonts w:hint="eastAsia" w:ascii="Arial" w:hAnsi="Arial" w:cs="Arial"/>
          <w:color w:val="auto"/>
          <w:kern w:val="0"/>
          <w:sz w:val="26"/>
          <w:szCs w:val="26"/>
          <w:lang w:val="en-US" w:eastAsia="zh-CN" w:bidi="ar-SA"/>
        </w:rPr>
      </w:pPr>
      <w:r>
        <w:rPr>
          <w:rFonts w:hint="eastAsia" w:ascii="Arial" w:hAnsi="Arial" w:cs="Arial"/>
          <w:color w:val="auto"/>
          <w:kern w:val="0"/>
          <w:sz w:val="26"/>
          <w:szCs w:val="26"/>
          <w:lang w:val="en-US" w:eastAsia="zh-CN" w:bidi="ar-SA"/>
        </w:rPr>
        <w:t>同时，</w:t>
      </w:r>
      <w:r>
        <w:rPr>
          <w:rFonts w:hint="eastAsia" w:ascii="Arial" w:hAnsi="Arial" w:eastAsia="宋体" w:cs="Arial"/>
          <w:color w:val="auto"/>
          <w:kern w:val="0"/>
          <w:sz w:val="26"/>
          <w:szCs w:val="26"/>
          <w:lang w:val="en-US" w:eastAsia="zh-CN" w:bidi="ar-SA"/>
        </w:rPr>
        <w:t>《重庆市丰都县国民经济和社会发展第十四个五年规划和二〇三五年远景目标纲要》“丰都府办</w:t>
      </w:r>
      <w:r>
        <w:rPr>
          <w:rFonts w:hint="default" w:ascii="Arial" w:hAnsi="Arial" w:eastAsia="宋体" w:cs="Arial"/>
          <w:color w:val="auto"/>
          <w:kern w:val="0"/>
          <w:sz w:val="26"/>
          <w:szCs w:val="26"/>
          <w:lang w:val="en-US" w:eastAsia="zh-CN" w:bidi="ar-SA"/>
        </w:rPr>
        <w:t>〔2021〕4号</w:t>
      </w:r>
      <w:r>
        <w:rPr>
          <w:rFonts w:hint="eastAsia" w:ascii="宋体" w:hAnsi="宋体" w:eastAsia="宋体" w:cs="宋体"/>
          <w:color w:val="auto"/>
          <w:kern w:val="0"/>
          <w:sz w:val="26"/>
          <w:szCs w:val="26"/>
          <w:lang w:val="en-US" w:eastAsia="zh-CN" w:bidi="ar-SA"/>
        </w:rPr>
        <w:t>”</w:t>
      </w:r>
      <w:r>
        <w:rPr>
          <w:rFonts w:hint="eastAsia" w:ascii="Arial" w:hAnsi="Arial" w:cs="Arial"/>
          <w:color w:val="auto"/>
          <w:kern w:val="0"/>
          <w:sz w:val="26"/>
          <w:szCs w:val="26"/>
          <w:lang w:val="en-US" w:eastAsia="zh-CN" w:bidi="ar-SA"/>
        </w:rPr>
        <w:t>指出，将改善农村人居环境，推进农村生活垃圾分类和资源化利用，行政村生活垃圾治理比例继续保持100%；推动城镇污水管网向周边村庄延伸覆盖，农村生活污水处理率达到80%以上；巩固拓展农村厕所革命成果，农村卫生厕所卫生普及率提高到100%。</w:t>
      </w:r>
    </w:p>
    <w:p w14:paraId="7A88072A">
      <w:pPr>
        <w:pStyle w:val="2113"/>
        <w:ind w:firstLine="520"/>
        <w:rPr>
          <w:rFonts w:hint="default" w:ascii="Arial" w:hAnsi="Arial" w:eastAsia="宋体" w:cs="Arial"/>
          <w:color w:val="auto"/>
          <w:kern w:val="0"/>
          <w:sz w:val="26"/>
          <w:szCs w:val="26"/>
          <w:lang w:val="en-US" w:eastAsia="zh-CN" w:bidi="ar-SA"/>
        </w:rPr>
      </w:pPr>
      <w:r>
        <w:rPr>
          <w:rFonts w:hint="eastAsia" w:ascii="Arial" w:hAnsi="Arial" w:eastAsia="宋体" w:cs="Arial"/>
          <w:color w:val="auto"/>
          <w:kern w:val="0"/>
          <w:sz w:val="26"/>
          <w:szCs w:val="26"/>
          <w:lang w:val="en-US" w:eastAsia="zh-CN" w:bidi="ar-SA"/>
        </w:rPr>
        <w:t>在上述治理措施、管理制度同步协调实施的情况下，流域内农业面源污染将得到极大的控制，入河污染物进一步削减，海螺沟水库坝后减水河段内水质将逐步改善，并实现Ⅲ类水域的管理目标。</w:t>
      </w:r>
    </w:p>
    <w:p w14:paraId="3F3F86B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default" w:ascii="Arial" w:hAnsi="宋体" w:cs="Arial"/>
          <w:sz w:val="26"/>
          <w:szCs w:val="26"/>
          <w:lang w:val="en-US"/>
        </w:rPr>
      </w:pPr>
      <w:r>
        <w:rPr>
          <w:rFonts w:hint="eastAsia" w:ascii="Arial" w:hAnsi="Arial" w:eastAsia="宋体" w:cs="Arial"/>
          <w:b/>
          <w:bCs/>
          <w:color w:val="000000"/>
          <w:sz w:val="26"/>
          <w:szCs w:val="26"/>
          <w:lang w:val="en-US" w:eastAsia="zh-CN"/>
        </w:rPr>
        <w:t>6.6生态环境影响分析</w:t>
      </w:r>
    </w:p>
    <w:p w14:paraId="7A8C22EE">
      <w:pPr>
        <w:spacing w:line="460" w:lineRule="exact"/>
        <w:ind w:firstLine="522" w:firstLineChars="200"/>
        <w:rPr>
          <w:rFonts w:hint="default" w:ascii="Arial" w:hAnsi="Arial" w:eastAsia="宋体" w:cs="Arial"/>
          <w:b/>
          <w:bCs/>
          <w:sz w:val="26"/>
          <w:szCs w:val="26"/>
          <w:lang w:val="en-US" w:eastAsia="zh-CN"/>
        </w:rPr>
      </w:pPr>
      <w:r>
        <w:rPr>
          <w:rFonts w:hint="eastAsia" w:ascii="Arial" w:hAnsi="Arial" w:cs="Arial"/>
          <w:b/>
          <w:bCs/>
          <w:sz w:val="26"/>
          <w:szCs w:val="26"/>
          <w:lang w:val="en-US" w:eastAsia="zh-CN"/>
        </w:rPr>
        <w:t>6.6.1对生态系统的影响分析</w:t>
      </w:r>
    </w:p>
    <w:p w14:paraId="253C5BB4">
      <w:pPr>
        <w:pStyle w:val="2113"/>
        <w:spacing w:line="460" w:lineRule="exact"/>
        <w:ind w:firstLine="520"/>
        <w:rPr>
          <w:rFonts w:hint="eastAsia" w:ascii="Arial" w:eastAsia="宋体" w:cs="Arial"/>
          <w:color w:val="auto"/>
          <w:sz w:val="26"/>
          <w:szCs w:val="26"/>
          <w:lang w:eastAsia="zh-CN"/>
        </w:rPr>
      </w:pPr>
      <w:r>
        <w:rPr>
          <w:rFonts w:hint="eastAsia" w:ascii="Arial" w:cs="Arial"/>
          <w:color w:val="auto"/>
          <w:sz w:val="26"/>
          <w:szCs w:val="26"/>
        </w:rPr>
        <w:t>水库对河流生态系统的影响主要为阻隔影响</w:t>
      </w:r>
      <w:r>
        <w:rPr>
          <w:rFonts w:hint="eastAsia" w:ascii="Arial" w:cs="Arial"/>
          <w:color w:val="auto"/>
          <w:sz w:val="26"/>
          <w:szCs w:val="26"/>
          <w:lang w:eastAsia="zh-CN"/>
        </w:rPr>
        <w:t>，</w:t>
      </w:r>
      <w:r>
        <w:rPr>
          <w:rFonts w:hint="eastAsia" w:ascii="Arial" w:cs="Arial"/>
          <w:color w:val="auto"/>
          <w:sz w:val="26"/>
          <w:szCs w:val="26"/>
        </w:rPr>
        <w:t>工程拦水坝的建设会形成阻隔，影响到河流上下游的连通性</w:t>
      </w:r>
      <w:r>
        <w:rPr>
          <w:rFonts w:hint="eastAsia" w:ascii="Arial" w:cs="Arial"/>
          <w:color w:val="auto"/>
          <w:sz w:val="26"/>
          <w:szCs w:val="26"/>
          <w:lang w:eastAsia="zh-CN"/>
        </w:rPr>
        <w:t>；</w:t>
      </w:r>
      <w:r>
        <w:rPr>
          <w:rFonts w:hint="eastAsia" w:ascii="Arial" w:cs="Arial"/>
          <w:color w:val="auto"/>
          <w:sz w:val="26"/>
          <w:szCs w:val="26"/>
        </w:rPr>
        <w:t>大坝阻隔带来的水、陆交替变化也会改变河流的水生生态结构，库区内水生生物会增加，而减水河段水生生物会减少；同时大坝阻隔带来的水文情势变化，使部分河段水流减缓，部分喜急流的水生生物会减少，而喜静</w:t>
      </w:r>
      <w:r>
        <w:rPr>
          <w:rFonts w:hint="eastAsia" w:ascii="Arial" w:hAnsi="Times New Roman" w:eastAsia="宋体" w:cs="Arial"/>
          <w:color w:val="auto"/>
          <w:sz w:val="26"/>
          <w:szCs w:val="26"/>
        </w:rPr>
        <w:t>水的水生生物会增加。</w:t>
      </w:r>
      <w:r>
        <w:rPr>
          <w:rFonts w:hint="eastAsia" w:ascii="Arial" w:hAnsi="Times New Roman" w:eastAsia="宋体" w:cs="Arial"/>
          <w:color w:val="auto"/>
          <w:sz w:val="26"/>
          <w:szCs w:val="26"/>
          <w:lang w:eastAsia="zh-CN"/>
        </w:rPr>
        <w:t>本项目所在河段</w:t>
      </w:r>
      <w:r>
        <w:rPr>
          <w:rFonts w:hint="eastAsia" w:ascii="Arial" w:hAnsi="Times New Roman" w:eastAsia="宋体" w:cs="Arial"/>
          <w:color w:val="auto"/>
          <w:sz w:val="26"/>
          <w:szCs w:val="26"/>
          <w:lang w:val="en-US" w:eastAsia="zh-CN"/>
        </w:rPr>
        <w:t>河道底质主要为基岩、砾石，河道内水生生物种类较少，无洄游性鱼类，浮游生物繁衍能力强，可在库区内寻找到寻得生产环境，建立新的</w:t>
      </w:r>
      <w:r>
        <w:rPr>
          <w:rFonts w:hint="eastAsia" w:ascii="Arial" w:cs="Arial"/>
          <w:color w:val="auto"/>
          <w:sz w:val="26"/>
          <w:szCs w:val="26"/>
        </w:rPr>
        <w:t>食物链、食物网</w:t>
      </w:r>
      <w:r>
        <w:rPr>
          <w:rFonts w:hint="eastAsia" w:ascii="Arial" w:cs="Arial"/>
          <w:color w:val="auto"/>
          <w:sz w:val="26"/>
          <w:szCs w:val="26"/>
          <w:lang w:eastAsia="zh-CN"/>
        </w:rPr>
        <w:t>。由此可见，项目</w:t>
      </w:r>
      <w:r>
        <w:rPr>
          <w:rFonts w:hint="eastAsia" w:ascii="Arial" w:cs="Arial"/>
          <w:color w:val="auto"/>
          <w:sz w:val="26"/>
          <w:szCs w:val="26"/>
        </w:rPr>
        <w:t>运行期</w:t>
      </w:r>
      <w:r>
        <w:rPr>
          <w:rFonts w:hint="eastAsia" w:ascii="Arial" w:cs="Arial"/>
          <w:color w:val="auto"/>
          <w:sz w:val="26"/>
          <w:szCs w:val="26"/>
          <w:lang w:eastAsia="zh-CN"/>
        </w:rPr>
        <w:t>对</w:t>
      </w:r>
      <w:r>
        <w:rPr>
          <w:rFonts w:hint="eastAsia" w:ascii="Arial" w:cs="Arial"/>
          <w:color w:val="auto"/>
          <w:sz w:val="26"/>
          <w:szCs w:val="26"/>
        </w:rPr>
        <w:t>库区生态系统稳定性影响较小。</w:t>
      </w:r>
    </w:p>
    <w:p w14:paraId="259CDB66">
      <w:pPr>
        <w:pStyle w:val="2113"/>
        <w:spacing w:line="460" w:lineRule="exact"/>
        <w:rPr>
          <w:rFonts w:hint="eastAsia" w:ascii="Arial" w:cs="Arial"/>
          <w:color w:val="auto"/>
          <w:sz w:val="26"/>
          <w:szCs w:val="26"/>
        </w:rPr>
      </w:pPr>
      <w:r>
        <w:rPr>
          <w:rFonts w:hint="eastAsia" w:ascii="Arial" w:cs="Arial"/>
          <w:color w:val="auto"/>
          <w:sz w:val="26"/>
          <w:szCs w:val="26"/>
          <w:lang w:eastAsia="zh-CN"/>
        </w:rPr>
        <w:t>大坝</w:t>
      </w:r>
      <w:r>
        <w:rPr>
          <w:rFonts w:hint="eastAsia" w:ascii="Arial" w:cs="Arial"/>
          <w:color w:val="auto"/>
          <w:sz w:val="26"/>
          <w:szCs w:val="26"/>
        </w:rPr>
        <w:t>对河道水流实施拦截截流，运行期将致使下游河段形成减水河段，减水河段可能部分干涸，河床砂石裸露，偶有基坑积水，鱼类很难生存。不过由于减水河段两岸为陡峭山体，地质条件良好，山体植被较为茂密，水土保持完善，水力资源十分丰富</w:t>
      </w:r>
      <w:r>
        <w:rPr>
          <w:rFonts w:hint="eastAsia" w:ascii="Arial" w:cs="Arial"/>
          <w:color w:val="auto"/>
          <w:sz w:val="26"/>
          <w:szCs w:val="26"/>
          <w:lang w:eastAsia="zh-CN"/>
        </w:rPr>
        <w:t>。</w:t>
      </w:r>
      <w:r>
        <w:rPr>
          <w:rFonts w:hint="eastAsia" w:ascii="Arial" w:cs="Arial"/>
          <w:color w:val="auto"/>
          <w:sz w:val="26"/>
          <w:szCs w:val="26"/>
        </w:rPr>
        <w:t>通过雨季降雨、涵养水的补充，水库减水河段对最小生态需水的依赖不强，不会对天然河道的生态环境产生较大影响。</w:t>
      </w:r>
    </w:p>
    <w:p w14:paraId="763B2379">
      <w:pPr>
        <w:spacing w:line="460" w:lineRule="exact"/>
        <w:ind w:firstLine="522" w:firstLineChars="200"/>
        <w:rPr>
          <w:rFonts w:hint="default" w:ascii="Arial" w:hAnsi="Arial" w:eastAsia="宋体" w:cs="Arial"/>
          <w:b/>
          <w:bCs/>
          <w:sz w:val="26"/>
          <w:szCs w:val="26"/>
          <w:lang w:val="en-US" w:eastAsia="zh-CN"/>
        </w:rPr>
      </w:pPr>
      <w:r>
        <w:rPr>
          <w:rFonts w:hint="eastAsia" w:ascii="Arial" w:hAnsi="Arial" w:cs="Arial"/>
          <w:b/>
          <w:bCs/>
          <w:sz w:val="26"/>
          <w:szCs w:val="26"/>
          <w:lang w:val="en-US" w:eastAsia="zh-CN"/>
        </w:rPr>
        <w:t>6.6.2对陆生植物的影响分析</w:t>
      </w:r>
    </w:p>
    <w:p w14:paraId="2177E8FF">
      <w:pPr>
        <w:pStyle w:val="2113"/>
        <w:spacing w:line="460" w:lineRule="exact"/>
        <w:ind w:firstLine="520"/>
        <w:rPr>
          <w:rFonts w:hint="eastAsia" w:ascii="Arial" w:cs="Arial"/>
          <w:color w:val="auto"/>
          <w:sz w:val="26"/>
          <w:szCs w:val="26"/>
          <w:lang w:eastAsia="zh-CN"/>
        </w:rPr>
      </w:pPr>
      <w:r>
        <w:rPr>
          <w:rFonts w:hint="eastAsia" w:ascii="Arial" w:cs="Arial"/>
          <w:color w:val="auto"/>
          <w:sz w:val="26"/>
          <w:szCs w:val="26"/>
        </w:rPr>
        <w:t>水库建成后，</w:t>
      </w:r>
      <w:r>
        <w:rPr>
          <w:rFonts w:hint="eastAsia" w:ascii="Arial" w:cs="Arial"/>
          <w:color w:val="auto"/>
          <w:sz w:val="26"/>
          <w:szCs w:val="26"/>
          <w:lang w:eastAsia="zh-CN"/>
        </w:rPr>
        <w:t>将形成一定面积的水域，为湿地植物提供了生存环境，在库区和库周会增加多种适应湿地环境的植物物种。同时，</w:t>
      </w:r>
      <w:r>
        <w:rPr>
          <w:rFonts w:hint="eastAsia" w:ascii="Arial" w:cs="Arial"/>
          <w:color w:val="auto"/>
          <w:sz w:val="26"/>
          <w:szCs w:val="26"/>
        </w:rPr>
        <w:t>将依据四周植被分布情况，对管理</w:t>
      </w:r>
      <w:r>
        <w:rPr>
          <w:rFonts w:hint="eastAsia" w:ascii="Arial" w:cs="Arial"/>
          <w:color w:val="auto"/>
          <w:sz w:val="26"/>
          <w:szCs w:val="26"/>
          <w:lang w:eastAsia="zh-CN"/>
        </w:rPr>
        <w:t>房四周</w:t>
      </w:r>
      <w:r>
        <w:rPr>
          <w:rFonts w:hint="eastAsia" w:ascii="Arial" w:cs="Arial"/>
          <w:color w:val="auto"/>
          <w:sz w:val="26"/>
          <w:szCs w:val="26"/>
        </w:rPr>
        <w:t>、上坝公路</w:t>
      </w:r>
      <w:r>
        <w:rPr>
          <w:rFonts w:hint="eastAsia" w:ascii="Arial" w:cs="Arial"/>
          <w:color w:val="auto"/>
          <w:sz w:val="26"/>
          <w:szCs w:val="26"/>
          <w:lang w:eastAsia="zh-CN"/>
        </w:rPr>
        <w:t>沿线</w:t>
      </w:r>
      <w:r>
        <w:rPr>
          <w:rFonts w:hint="eastAsia" w:ascii="Arial" w:cs="Arial"/>
          <w:color w:val="auto"/>
          <w:sz w:val="26"/>
          <w:szCs w:val="26"/>
        </w:rPr>
        <w:t>等</w:t>
      </w:r>
      <w:r>
        <w:rPr>
          <w:rFonts w:hint="eastAsia" w:ascii="Arial" w:cs="Arial"/>
          <w:color w:val="auto"/>
          <w:sz w:val="26"/>
          <w:szCs w:val="26"/>
          <w:lang w:eastAsia="zh-CN"/>
        </w:rPr>
        <w:t>区域</w:t>
      </w:r>
      <w:r>
        <w:rPr>
          <w:rFonts w:hint="eastAsia" w:ascii="Arial" w:cs="Arial"/>
          <w:color w:val="auto"/>
          <w:sz w:val="26"/>
          <w:szCs w:val="26"/>
        </w:rPr>
        <w:t>进行绿化布置。</w:t>
      </w:r>
      <w:r>
        <w:rPr>
          <w:rFonts w:hint="eastAsia" w:ascii="Arial" w:cs="Arial"/>
          <w:color w:val="auto"/>
          <w:sz w:val="26"/>
          <w:szCs w:val="26"/>
          <w:lang w:eastAsia="zh-CN"/>
        </w:rPr>
        <w:t>均对陆生植被有一定的恢复作用。</w:t>
      </w:r>
    </w:p>
    <w:p w14:paraId="089E5577">
      <w:pPr>
        <w:pStyle w:val="2113"/>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cs="Arial"/>
          <w:b/>
          <w:bCs/>
          <w:color w:val="auto"/>
          <w:sz w:val="26"/>
          <w:szCs w:val="26"/>
          <w:lang w:val="en-US" w:eastAsia="zh-CN"/>
        </w:rPr>
      </w:pPr>
      <w:r>
        <w:rPr>
          <w:rFonts w:hint="eastAsia" w:ascii="Arial" w:cs="Arial"/>
          <w:b/>
          <w:bCs/>
          <w:color w:val="auto"/>
          <w:sz w:val="26"/>
          <w:szCs w:val="26"/>
          <w:lang w:eastAsia="zh-CN"/>
        </w:rPr>
        <w:t>（</w:t>
      </w:r>
      <w:r>
        <w:rPr>
          <w:rFonts w:hint="eastAsia" w:ascii="Arial" w:cs="Arial"/>
          <w:b/>
          <w:bCs/>
          <w:color w:val="auto"/>
          <w:sz w:val="26"/>
          <w:szCs w:val="26"/>
          <w:lang w:val="en-US" w:eastAsia="zh-CN"/>
        </w:rPr>
        <w:t>1）枢纽及淹没区</w:t>
      </w:r>
    </w:p>
    <w:p w14:paraId="099D5FB5">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海螺沟水库蓄水后，库区回水段长为</w:t>
      </w:r>
      <w:r>
        <w:rPr>
          <w:rFonts w:hint="eastAsia" w:ascii="Arial" w:hAnsi="Times New Roman" w:eastAsia="宋体" w:cs="Arial"/>
          <w:color w:val="auto"/>
          <w:sz w:val="26"/>
          <w:szCs w:val="26"/>
          <w:lang w:val="en-US" w:eastAsia="zh-CN"/>
        </w:rPr>
        <w:t>0.55</w:t>
      </w:r>
      <w:r>
        <w:rPr>
          <w:rFonts w:hint="eastAsia" w:ascii="Arial" w:hAnsi="Times New Roman" w:eastAsia="宋体" w:cs="Arial"/>
          <w:color w:val="auto"/>
          <w:sz w:val="26"/>
          <w:szCs w:val="26"/>
          <w:lang w:eastAsia="zh-CN"/>
        </w:rPr>
        <w:t>8km，库区河段水深、水面面积、流速等水文情势较天然河道发生变化。海螺沟水库具有多年调节性能，兴利调节时水位在</w:t>
      </w:r>
      <w:r>
        <w:rPr>
          <w:rFonts w:hint="eastAsia" w:ascii="Arial" w:hAnsi="Times New Roman" w:eastAsia="宋体" w:cs="Arial"/>
          <w:color w:val="auto"/>
          <w:sz w:val="26"/>
          <w:szCs w:val="26"/>
          <w:lang w:val="en-US" w:eastAsia="zh-CN"/>
        </w:rPr>
        <w:t>407.5</w:t>
      </w:r>
      <w:r>
        <w:rPr>
          <w:rFonts w:hint="eastAsia" w:ascii="Arial" w:hAnsi="Times New Roman" w:eastAsia="宋体" w:cs="Arial"/>
          <w:color w:val="auto"/>
          <w:sz w:val="26"/>
          <w:szCs w:val="26"/>
          <w:lang w:eastAsia="zh-CN"/>
        </w:rPr>
        <w:t>m（死水位）～</w:t>
      </w:r>
      <w:r>
        <w:rPr>
          <w:rFonts w:hint="eastAsia" w:ascii="Arial" w:hAnsi="Times New Roman" w:eastAsia="宋体" w:cs="Arial"/>
          <w:color w:val="auto"/>
          <w:sz w:val="26"/>
          <w:szCs w:val="26"/>
          <w:lang w:val="en-US" w:eastAsia="zh-CN"/>
        </w:rPr>
        <w:t>420</w:t>
      </w:r>
      <w:r>
        <w:rPr>
          <w:rFonts w:hint="eastAsia" w:ascii="Arial" w:hAnsi="Times New Roman" w:eastAsia="宋体" w:cs="Arial"/>
          <w:color w:val="auto"/>
          <w:sz w:val="26"/>
          <w:szCs w:val="26"/>
          <w:lang w:eastAsia="zh-CN"/>
        </w:rPr>
        <w:t>.0m（正常蓄水位）之间变动，水位变幅</w:t>
      </w:r>
      <w:r>
        <w:rPr>
          <w:rFonts w:hint="eastAsia" w:ascii="Arial" w:hAnsi="Times New Roman" w:eastAsia="宋体" w:cs="Arial"/>
          <w:color w:val="auto"/>
          <w:sz w:val="26"/>
          <w:szCs w:val="26"/>
          <w:lang w:val="en-US" w:eastAsia="zh-CN"/>
        </w:rPr>
        <w:t>12.5</w:t>
      </w:r>
      <w:r>
        <w:rPr>
          <w:rFonts w:hint="eastAsia" w:ascii="Arial" w:hAnsi="Times New Roman" w:eastAsia="宋体" w:cs="Arial"/>
          <w:color w:val="auto"/>
          <w:sz w:val="26"/>
          <w:szCs w:val="26"/>
          <w:lang w:eastAsia="zh-CN"/>
        </w:rPr>
        <w:t>m，水库消落带深</w:t>
      </w:r>
      <w:r>
        <w:rPr>
          <w:rFonts w:hint="eastAsia" w:ascii="Arial" w:hAnsi="Times New Roman" w:eastAsia="宋体" w:cs="Arial"/>
          <w:color w:val="auto"/>
          <w:sz w:val="26"/>
          <w:szCs w:val="26"/>
          <w:lang w:val="en-US" w:eastAsia="zh-CN"/>
        </w:rPr>
        <w:t>12.5</w:t>
      </w:r>
      <w:r>
        <w:rPr>
          <w:rFonts w:hint="eastAsia" w:ascii="Arial" w:hAnsi="Times New Roman" w:eastAsia="宋体" w:cs="Arial"/>
          <w:color w:val="auto"/>
          <w:sz w:val="26"/>
          <w:szCs w:val="26"/>
          <w:lang w:eastAsia="zh-CN"/>
        </w:rPr>
        <w:t>m。水库运行期间，水库淹没自然消落区湿地，并导致自然消落区植物资源的消亡。同时水坝建设截断了河道上下游之间物质能量和信息的交流，破坏了消落区功能的完整性，另一方面产生新的退化的生态系统—水库消落区，水库消落区往往存在植被破坏严重、生物多样性下降、小气候恶化、河床及河岸遭受侵蚀等生态环境问题。水库消落区植被由于受到周期性反季节高强度水淹影响，植物多样性下降明显，从群落结构及稳定性上来看，水库消落区植物群落结构稳定性中部＜上部＜下部，上部消落区水淹胁迫较小，植物物种多为竞争种，竞争力较强的杂草偏向形成优势群落；下部消落区水淹胁迫最强，植物物种多为耐胁迫种，能忍受高强度水淹环境的物种形成了植物群落；中部消落区处于物种定居和水淹胁迫的双重压力下，竞争种和耐胁迫种间竞争明显，更偏向于形成共优群落，其群落稳定性较差，消落区下部的植物群落组成比较单一。</w:t>
      </w:r>
    </w:p>
    <w:p w14:paraId="15CF9C40">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水库蓄水后，丰水期库区河段水位上升，枯水期水位下降。库区高低水位之间的涨落带对库周植物将产生周期性干扰，两个水位之间大多数植物生长困难，只有少数生命周期很短的草本植物能够生存，故也无植物群落存在。同时由于库区的形成，区域内河流的自然流态和气温发生改变，可能对两岸的植物种群结构产生一定影响，但这一影响过程长期且轻微，不会造成评价区内的植物物种消失。</w:t>
      </w:r>
    </w:p>
    <w:p w14:paraId="7F38D45A">
      <w:pPr>
        <w:pStyle w:val="2113"/>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cs="Arial"/>
          <w:b/>
          <w:bCs/>
          <w:color w:val="auto"/>
          <w:sz w:val="26"/>
          <w:szCs w:val="26"/>
          <w:lang w:val="en-US" w:eastAsia="zh-CN"/>
        </w:rPr>
      </w:pPr>
      <w:r>
        <w:rPr>
          <w:rFonts w:hint="eastAsia" w:ascii="Arial" w:cs="Arial"/>
          <w:b/>
          <w:bCs/>
          <w:color w:val="auto"/>
          <w:sz w:val="26"/>
          <w:szCs w:val="26"/>
          <w:lang w:eastAsia="zh-CN"/>
        </w:rPr>
        <w:t>（</w:t>
      </w:r>
      <w:r>
        <w:rPr>
          <w:rFonts w:hint="eastAsia" w:ascii="Arial" w:cs="Arial"/>
          <w:b/>
          <w:bCs/>
          <w:color w:val="auto"/>
          <w:sz w:val="26"/>
          <w:szCs w:val="26"/>
          <w:lang w:val="en-US" w:eastAsia="zh-CN"/>
        </w:rPr>
        <w:t>2）输水工程区</w:t>
      </w:r>
    </w:p>
    <w:p w14:paraId="0C95E45C">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运行期，输水工程对植物及植被的影响因素主要为区域水湿条件改变，灌区水源条件得到改善，有利于农业植被的生长繁殖，对于灌溉区内生态系统的稳定起到积极作用。</w:t>
      </w:r>
    </w:p>
    <w:p w14:paraId="4119A54D">
      <w:pPr>
        <w:pStyle w:val="2113"/>
        <w:spacing w:line="460" w:lineRule="exact"/>
        <w:ind w:firstLine="520"/>
        <w:rPr>
          <w:rFonts w:hint="eastAsia" w:ascii="Arial" w:cs="Arial"/>
          <w:color w:val="auto"/>
          <w:sz w:val="26"/>
          <w:szCs w:val="26"/>
          <w:lang w:eastAsia="zh-CN"/>
        </w:rPr>
      </w:pPr>
      <w:r>
        <w:rPr>
          <w:rFonts w:hint="eastAsia" w:ascii="Arial" w:cs="Arial"/>
          <w:color w:val="auto"/>
          <w:sz w:val="26"/>
          <w:szCs w:val="26"/>
          <w:lang w:eastAsia="zh-CN"/>
        </w:rPr>
        <w:t>输水管线均为地下浅埋，管径较小，不会影响区域地下水的径流，也不会影响植被根系的伸展，对沿线植被影响小。</w:t>
      </w:r>
    </w:p>
    <w:p w14:paraId="612A49CB">
      <w:pPr>
        <w:pStyle w:val="2113"/>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color w:val="auto"/>
          <w:sz w:val="26"/>
          <w:szCs w:val="26"/>
          <w:lang w:eastAsia="zh-CN"/>
        </w:rPr>
      </w:pPr>
      <w:r>
        <w:rPr>
          <w:rFonts w:hint="eastAsia" w:ascii="Arial" w:cs="Arial"/>
          <w:b/>
          <w:bCs/>
          <w:color w:val="auto"/>
          <w:sz w:val="26"/>
          <w:szCs w:val="26"/>
          <w:lang w:eastAsia="zh-CN"/>
        </w:rPr>
        <w:t>（</w:t>
      </w:r>
      <w:r>
        <w:rPr>
          <w:rFonts w:hint="eastAsia" w:ascii="Arial" w:cs="Arial"/>
          <w:b/>
          <w:bCs/>
          <w:color w:val="auto"/>
          <w:sz w:val="26"/>
          <w:szCs w:val="26"/>
          <w:lang w:val="en-US" w:eastAsia="zh-CN"/>
        </w:rPr>
        <w:t>3）减水河段区</w:t>
      </w:r>
    </w:p>
    <w:p w14:paraId="5B3BC982">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拦水坝后减水河段两岸植被比较丰富，以灌木林为主，植被生长位置高于河道，从而河道径流改变对两岸植被正常生长影响甚小，植物赖以生存的水源为大气降水和山体地下水向河道补给过程产生的山涧水。此外，由于减水河段河面变窄，淹没河道范围减小，河道两侧与河岸可能会衍生一些草本植物。因此，减水段对两岸现有植物正常生长几乎无不利影响。</w:t>
      </w:r>
    </w:p>
    <w:p w14:paraId="7A08C371">
      <w:pPr>
        <w:spacing w:line="460" w:lineRule="exact"/>
        <w:ind w:firstLine="522" w:firstLineChars="200"/>
        <w:rPr>
          <w:rFonts w:hint="default" w:ascii="Arial" w:hAnsi="Arial" w:eastAsia="宋体" w:cs="Arial"/>
          <w:b/>
          <w:bCs/>
          <w:sz w:val="26"/>
          <w:szCs w:val="26"/>
          <w:lang w:val="en-US" w:eastAsia="zh-CN"/>
        </w:rPr>
      </w:pPr>
      <w:r>
        <w:rPr>
          <w:rFonts w:hint="eastAsia" w:ascii="Arial" w:hAnsi="Arial" w:cs="Arial"/>
          <w:b/>
          <w:bCs/>
          <w:sz w:val="26"/>
          <w:szCs w:val="26"/>
          <w:lang w:val="en-US" w:eastAsia="zh-CN"/>
        </w:rPr>
        <w:t>6.6.3对陆生动物的影响分析</w:t>
      </w:r>
    </w:p>
    <w:p w14:paraId="41C96B0B">
      <w:pPr>
        <w:pStyle w:val="2113"/>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Times New Roman" w:eastAsia="宋体" w:cs="Arial"/>
          <w:b/>
          <w:bCs/>
          <w:color w:val="auto"/>
          <w:sz w:val="26"/>
          <w:szCs w:val="26"/>
          <w:lang w:val="en-US" w:eastAsia="zh-CN"/>
        </w:rPr>
      </w:pPr>
      <w:r>
        <w:rPr>
          <w:rFonts w:hint="eastAsia" w:ascii="Arial" w:hAnsi="Times New Roman" w:eastAsia="宋体" w:cs="Arial"/>
          <w:b/>
          <w:bCs/>
          <w:color w:val="auto"/>
          <w:sz w:val="26"/>
          <w:szCs w:val="26"/>
          <w:lang w:eastAsia="zh-CN"/>
        </w:rPr>
        <w:t>（</w:t>
      </w:r>
      <w:r>
        <w:rPr>
          <w:rFonts w:hint="eastAsia" w:ascii="Arial" w:hAnsi="Times New Roman" w:eastAsia="宋体" w:cs="Arial"/>
          <w:b/>
          <w:bCs/>
          <w:color w:val="auto"/>
          <w:sz w:val="26"/>
          <w:szCs w:val="26"/>
          <w:lang w:val="en-US" w:eastAsia="zh-CN"/>
        </w:rPr>
        <w:t>1）对动物多样性的影响</w:t>
      </w:r>
    </w:p>
    <w:p w14:paraId="5CA48457">
      <w:pPr>
        <w:pStyle w:val="2113"/>
        <w:ind w:firstLine="520"/>
        <w:rPr>
          <w:rFonts w:hint="eastAsia" w:ascii="Arial" w:cs="Arial"/>
          <w:color w:val="auto"/>
          <w:sz w:val="26"/>
          <w:szCs w:val="26"/>
        </w:rPr>
      </w:pPr>
      <w:r>
        <w:rPr>
          <w:rFonts w:hint="eastAsia" w:ascii="Arial" w:cs="Arial"/>
          <w:color w:val="auto"/>
          <w:sz w:val="26"/>
          <w:szCs w:val="26"/>
        </w:rPr>
        <w:t>水库淹没区</w:t>
      </w:r>
      <w:r>
        <w:rPr>
          <w:rFonts w:hint="eastAsia" w:ascii="Arial" w:cs="Arial"/>
          <w:color w:val="auto"/>
          <w:sz w:val="26"/>
          <w:szCs w:val="26"/>
          <w:lang w:eastAsia="zh-CN"/>
        </w:rPr>
        <w:t>主要为林地和耕地，</w:t>
      </w:r>
      <w:r>
        <w:rPr>
          <w:rFonts w:hint="eastAsia" w:ascii="Arial" w:cs="Arial"/>
          <w:color w:val="auto"/>
          <w:sz w:val="26"/>
          <w:szCs w:val="26"/>
        </w:rPr>
        <w:t>受其淹没影响最严重的为直接生活在河流及其附近中的两栖动物，库区的形成，将浅流水生境变成了深静水生境，这对生活于该地域的原本适应浅流水生活的两栖动物是灾难性的，在一定时期内，它们很难适应这种变化，最可能的情况是，它们将溯流而上，到库尾上游的自然流溪生境生活与繁衍，该工程无疑缩减了其生存空间，且将以库区形成一个天然隔离带，阻隔坝上和坝下两栖动物的基因交流。而对活动能力较强的其它类群动物而言，水库的形成对其影响较小，不会影响其正常的生存活动和种群交流。</w:t>
      </w:r>
    </w:p>
    <w:p w14:paraId="1D9F0922">
      <w:pPr>
        <w:pStyle w:val="2113"/>
        <w:ind w:firstLine="520"/>
        <w:rPr>
          <w:rFonts w:hint="eastAsia" w:ascii="Arial" w:cs="Arial"/>
          <w:color w:val="auto"/>
          <w:sz w:val="26"/>
          <w:szCs w:val="26"/>
        </w:rPr>
      </w:pPr>
      <w:r>
        <w:rPr>
          <w:rFonts w:hint="eastAsia"/>
          <w:color w:val="auto"/>
          <w:sz w:val="26"/>
          <w:szCs w:val="26"/>
        </w:rPr>
        <w:t>此外，大坝枢纽的建成将对区域内兽类、两栖爬行类动物的</w:t>
      </w:r>
      <w:r>
        <w:rPr>
          <w:rFonts w:ascii="Arial" w:cs="Arial"/>
          <w:color w:val="auto"/>
          <w:sz w:val="26"/>
          <w:szCs w:val="26"/>
        </w:rPr>
        <w:t>迁移形成一定的阻隔，但由于评价区内山体较连续，且植被较一致，因而它们可以顺利迁移至其他合适生境中，总体影响较小。</w:t>
      </w:r>
    </w:p>
    <w:p w14:paraId="298E7AE3">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（2）对两栖动物的影响</w:t>
      </w:r>
    </w:p>
    <w:p w14:paraId="2B80A3B3">
      <w:pPr>
        <w:spacing w:line="440" w:lineRule="exact"/>
        <w:ind w:firstLine="520" w:firstLineChars="200"/>
        <w:rPr>
          <w:rFonts w:ascii="Arial" w:cs="Arial"/>
          <w:sz w:val="26"/>
          <w:szCs w:val="26"/>
        </w:rPr>
      </w:pPr>
      <w:r>
        <w:rPr>
          <w:rFonts w:hint="eastAsia" w:ascii="Arial" w:cs="Arial"/>
          <w:sz w:val="26"/>
          <w:szCs w:val="26"/>
        </w:rPr>
        <w:t>两栖类对环境的适应能力差，依赖性强。水库蓄水将淹没大量的灌木林地、草地</w:t>
      </w:r>
      <w:r>
        <w:rPr>
          <w:rFonts w:hint="eastAsia" w:ascii="Arial" w:cs="Arial"/>
          <w:sz w:val="26"/>
          <w:szCs w:val="26"/>
          <w:lang w:eastAsia="zh-CN"/>
        </w:rPr>
        <w:t>和耕地</w:t>
      </w:r>
      <w:r>
        <w:rPr>
          <w:rFonts w:hint="eastAsia" w:ascii="Arial" w:cs="Arial"/>
          <w:sz w:val="26"/>
          <w:szCs w:val="26"/>
        </w:rPr>
        <w:t>，减少了两栖类原有的栖息地面积。部分两栖动物将被迫迁往</w:t>
      </w:r>
      <w:r>
        <w:rPr>
          <w:rFonts w:hint="eastAsia" w:ascii="Arial" w:cs="Arial"/>
          <w:sz w:val="26"/>
          <w:szCs w:val="26"/>
          <w:lang w:eastAsia="zh-CN"/>
        </w:rPr>
        <w:t>海拔</w:t>
      </w:r>
      <w:r>
        <w:rPr>
          <w:rFonts w:hint="eastAsia" w:ascii="Arial" w:cs="Arial"/>
          <w:sz w:val="26"/>
          <w:szCs w:val="26"/>
        </w:rPr>
        <w:t>较高处，部分个体因食物基地缩小或其它原因死亡，导致该种的种群数量减少。</w:t>
      </w:r>
    </w:p>
    <w:p w14:paraId="163FF7EC">
      <w:pPr>
        <w:pStyle w:val="2113"/>
        <w:ind w:firstLine="520"/>
        <w:rPr>
          <w:rFonts w:hint="eastAsia" w:ascii="Arial" w:cs="Arial"/>
          <w:color w:val="auto"/>
          <w:sz w:val="26"/>
          <w:szCs w:val="26"/>
        </w:rPr>
      </w:pPr>
      <w:r>
        <w:rPr>
          <w:rFonts w:hint="eastAsia" w:ascii="Arial" w:cs="Arial"/>
          <w:color w:val="auto"/>
          <w:sz w:val="26"/>
          <w:szCs w:val="26"/>
        </w:rPr>
        <w:t>由于蛙类水陆两栖，以昆虫为食，因此水库蓄水虽然淹没了蛙类原有栖息地，但随着新的栖息地的形成，蛙类生存不会受到水库威胁。同时，库区形成后，在库岸将形成新的沼泽地、湿地，对两栖动物的生存有利。</w:t>
      </w:r>
    </w:p>
    <w:p w14:paraId="32BCD8C4">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（3）对爬行类动物的影响</w:t>
      </w:r>
    </w:p>
    <w:p w14:paraId="2CAEE1DC">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cs="Arial"/>
          <w:color w:val="auto"/>
          <w:sz w:val="26"/>
          <w:szCs w:val="26"/>
          <w:lang w:eastAsia="zh-CN"/>
        </w:rPr>
        <w:t>爬行类动物以游蛇科、</w:t>
      </w:r>
      <w:r>
        <w:rPr>
          <w:rFonts w:hint="eastAsia" w:ascii="Arial" w:hAnsi="Times New Roman" w:cs="Arial"/>
          <w:color w:val="auto"/>
          <w:sz w:val="26"/>
          <w:szCs w:val="26"/>
        </w:rPr>
        <w:t>蝰科</w:t>
      </w:r>
      <w:r>
        <w:rPr>
          <w:rFonts w:hint="eastAsia" w:ascii="Arial" w:hAnsi="Times New Roman" w:cs="Arial"/>
          <w:color w:val="auto"/>
          <w:sz w:val="26"/>
          <w:szCs w:val="26"/>
          <w:lang w:eastAsia="zh-CN"/>
        </w:rPr>
        <w:t>、石龙子科、蜥蜴科等为主，</w:t>
      </w:r>
      <w:r>
        <w:rPr>
          <w:rFonts w:hint="eastAsia" w:ascii="Arial" w:cs="Arial"/>
          <w:color w:val="auto"/>
          <w:sz w:val="26"/>
          <w:szCs w:val="26"/>
        </w:rPr>
        <w:t>水库蓄水后，淹没了原有的栖息地，</w:t>
      </w:r>
      <w:r>
        <w:rPr>
          <w:rFonts w:hint="eastAsia" w:ascii="Arial" w:cs="Arial"/>
          <w:color w:val="auto"/>
          <w:sz w:val="26"/>
          <w:szCs w:val="26"/>
          <w:lang w:eastAsia="zh-CN"/>
        </w:rPr>
        <w:t>但爬行类动物迁徙能力较强，可</w:t>
      </w:r>
      <w:r>
        <w:rPr>
          <w:rFonts w:hint="eastAsia" w:ascii="Arial" w:cs="Arial"/>
          <w:color w:val="auto"/>
          <w:sz w:val="26"/>
          <w:szCs w:val="26"/>
        </w:rPr>
        <w:t>往</w:t>
      </w:r>
      <w:r>
        <w:rPr>
          <w:rFonts w:hint="eastAsia" w:ascii="Arial" w:cs="Arial"/>
          <w:color w:val="auto"/>
          <w:sz w:val="26"/>
          <w:szCs w:val="26"/>
          <w:lang w:eastAsia="zh-CN"/>
        </w:rPr>
        <w:t>海拔</w:t>
      </w:r>
      <w:r>
        <w:rPr>
          <w:rFonts w:hint="eastAsia" w:ascii="Arial" w:cs="Arial"/>
          <w:color w:val="auto"/>
          <w:sz w:val="26"/>
          <w:szCs w:val="26"/>
        </w:rPr>
        <w:t>较高的地区</w:t>
      </w:r>
      <w:r>
        <w:rPr>
          <w:rFonts w:hint="eastAsia" w:ascii="Arial" w:cs="Arial"/>
          <w:color w:val="auto"/>
          <w:sz w:val="26"/>
          <w:szCs w:val="26"/>
          <w:lang w:eastAsia="zh-CN"/>
        </w:rPr>
        <w:t>寻找适宜生境。同时水库蓄水后，将引起</w:t>
      </w:r>
      <w:r>
        <w:rPr>
          <w:rFonts w:hint="eastAsia" w:ascii="Arial" w:hAnsi="Times New Roman" w:cs="Arial"/>
          <w:color w:val="auto"/>
          <w:sz w:val="26"/>
          <w:szCs w:val="26"/>
          <w:lang w:eastAsia="zh-CN"/>
        </w:rPr>
        <w:t>啮齿类</w:t>
      </w:r>
      <w:r>
        <w:rPr>
          <w:rFonts w:hint="eastAsia" w:ascii="Arial" w:cs="Arial"/>
          <w:color w:val="auto"/>
          <w:sz w:val="26"/>
          <w:szCs w:val="26"/>
          <w:lang w:eastAsia="zh-CN"/>
        </w:rPr>
        <w:t>动物数量增多，对爬行类动物提供更多的食源，引起其种群密度增大。</w:t>
      </w:r>
    </w:p>
    <w:p w14:paraId="3C6D9F2F">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（4）对鸟类的影响</w:t>
      </w:r>
    </w:p>
    <w:p w14:paraId="3893D1EC">
      <w:pPr>
        <w:pStyle w:val="2113"/>
        <w:ind w:firstLine="520"/>
        <w:rPr>
          <w:rFonts w:hint="eastAsia" w:ascii="Arial" w:cs="Arial"/>
          <w:color w:val="auto"/>
          <w:sz w:val="26"/>
          <w:szCs w:val="26"/>
        </w:rPr>
      </w:pPr>
      <w:r>
        <w:rPr>
          <w:rFonts w:hint="eastAsia" w:ascii="Arial" w:cs="Arial"/>
          <w:color w:val="auto"/>
          <w:sz w:val="26"/>
          <w:szCs w:val="26"/>
        </w:rPr>
        <w:t>水库蓄水后会招引大批水禽来此栖息、越冬。同时，伴随着浅水区、积水塘等面积增大，水生无脊椎动物的数量会大量增加，以这些动物为食的白鹡鸰等其种群数量也将有较大增长。另外，水库有一个面积较大的消落区，将为涉禽及其它水鸟的栖息创造有利条件，导致水鸟的种类和数量增加。库周的林木未遭受破坏，其鸟类区系组成、种群数量不会因水库的出现而发生大的变化。</w:t>
      </w:r>
    </w:p>
    <w:p w14:paraId="165F5177">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（5）对兽类的影响</w:t>
      </w:r>
    </w:p>
    <w:p w14:paraId="522142EA">
      <w:pPr>
        <w:pStyle w:val="2113"/>
        <w:spacing w:line="460" w:lineRule="exact"/>
        <w:ind w:firstLine="520"/>
        <w:rPr>
          <w:rFonts w:hint="eastAsia" w:ascii="Arial" w:hAnsi="Times New Roman" w:cs="Arial"/>
          <w:color w:val="auto"/>
          <w:sz w:val="26"/>
          <w:szCs w:val="26"/>
          <w:lang w:eastAsia="zh-CN"/>
        </w:rPr>
      </w:pPr>
      <w:r>
        <w:rPr>
          <w:rFonts w:hint="eastAsia" w:ascii="Arial" w:hAnsi="Times New Roman" w:cs="Arial"/>
          <w:color w:val="auto"/>
          <w:sz w:val="26"/>
          <w:szCs w:val="26"/>
          <w:lang w:eastAsia="zh-CN"/>
        </w:rPr>
        <w:t>评价区的兽类以小型兽类为主，以啮齿类的种类为最多，鼠科为优势科，其适应性强，活动范围广，蓄水后库区范围将不适宜其生存，其最可能避开库区向周边迁移，因周边多为耕地、林草地，与原生活的河流、灌丛、农田生境相距较近，对其影响较小。</w:t>
      </w:r>
    </w:p>
    <w:p w14:paraId="1B93729C">
      <w:pPr>
        <w:spacing w:line="460" w:lineRule="exact"/>
        <w:ind w:firstLine="522" w:firstLineChars="200"/>
        <w:rPr>
          <w:rFonts w:hint="default" w:ascii="Arial" w:hAnsi="Arial" w:eastAsia="宋体" w:cs="Arial"/>
          <w:b/>
          <w:bCs/>
          <w:sz w:val="26"/>
          <w:szCs w:val="26"/>
          <w:lang w:val="en-US" w:eastAsia="zh-CN"/>
        </w:rPr>
      </w:pPr>
      <w:r>
        <w:rPr>
          <w:rFonts w:hint="eastAsia" w:ascii="Arial" w:hAnsi="Arial" w:cs="Arial"/>
          <w:b/>
          <w:bCs/>
          <w:sz w:val="26"/>
          <w:szCs w:val="26"/>
          <w:lang w:val="en-US" w:eastAsia="zh-CN"/>
        </w:rPr>
        <w:t>6.6.4对水生生物的影响分析</w:t>
      </w:r>
    </w:p>
    <w:p w14:paraId="45CD52F0">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（1）对浮游生物的影响</w:t>
      </w:r>
    </w:p>
    <w:p w14:paraId="1AC92D0A">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运行期间，水库建库后库区水面加宽、深度增加、水流速度减缓甚至呈静止状态，库区浮游动物的种类和结构将逐渐向湖泊生境下的种类和结构演化。栖息在浅水位的轮虫类群种类和数量将会减少；宽阔的水面和静水的环境还有利于节肢动物的生长和繁殖，如枝角类、桡足类。水库建成后，原生动物的繁殖能力会有所增强，但同时作为大型浮游动物和水体其他类群物种的饵料来源，其数量将会由于被捕食的概率升高而在种类和数量上减少，因此总体变化不明显。整体来看，水库建成后库区浮游动物生物量会因大型浮游动物的数量和种类的增加而升高。坝下河段由于水量减少明显，将使浮游动物总体数量略微降低，但对其影响有限。</w:t>
      </w:r>
    </w:p>
    <w:p w14:paraId="7E47FC13">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水库建成后，库区水位上升，水环境由河流变为水库，上游河水入库后，水流速度逐渐减弱，变为缓流状态。库区内蓄水前的陆生植被淹没后腐烂，在微生物作用下分解成氮、磷等营养物质，由上游河道及汇水区进入库区的腐屑和营养盐等随地表径流不断汇入水库，水温也比较稳定并有所升高，这种环境的改变更有利于浮游植物的生长发育。水库下河段由于水量减少明显，将使浮游植物总体数量略微降低，但对浮游植物的影响有限。</w:t>
      </w:r>
      <w:r>
        <w:rPr>
          <w:rFonts w:hint="eastAsia" w:ascii="Arial" w:hAnsi="Times New Roman" w:eastAsia="宋体" w:cs="Arial"/>
          <w:color w:val="auto"/>
          <w:sz w:val="26"/>
          <w:szCs w:val="26"/>
          <w:lang w:eastAsia="zh-CN"/>
        </w:rPr>
        <w:tab/>
      </w:r>
    </w:p>
    <w:p w14:paraId="44ABCB8A">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（2）对底栖动物的影响</w:t>
      </w:r>
    </w:p>
    <w:p w14:paraId="070CD639">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运行期间，水库项目建库后，在河流向水库转化过程中，由于水位加深，库区底层溶解氧减少，底栖动物的种类将发生演替。在河流中需氧量较大的种类，将显著减少或消失，取而代之是需氧量较低的物种。随着库龄增加，库区的底栖动物经初始阶段种类演变后，最终成为较稳定结构的类群。但同时由于水深大、水位变幅相对频繁，底栖生物的数量不会增加太多。受水深和流速的影响，底栖生物的分布不均匀，预计在被淹没的平坝等较浅的地方，底栖生物量会比较丰富，使适于静水、沙生的软体动物、水蚯蚓和摇蚊幼虫的种类和数量将会增加。在库区消落区，底栖无脊椎动物将有所增加。对于固着类生物、周丛生物，由于水流变缓，水深加大及泥沙沉积的影响，其生物量可能呈一定程度的减小，尤其是在库尾淤积严重和坝前水深较大的地方；但在近岸水域，由于光照、水深、流速及营养条件适宜，固着类生物、周丛生物仍将占有较大优势。坝下河段由于流量减少，生境适宜性降低，大型底栖动物密度、生物量和多样性有一定降低。</w:t>
      </w:r>
    </w:p>
    <w:p w14:paraId="1802D4EC">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宋体" w:cs="Arial"/>
          <w:b/>
          <w:sz w:val="26"/>
          <w:szCs w:val="26"/>
          <w:lang w:val="en-US" w:eastAsia="zh-CN"/>
        </w:rPr>
      </w:pPr>
      <w:r>
        <w:rPr>
          <w:rFonts w:hint="eastAsia" w:ascii="Arial" w:hAnsi="宋体" w:cs="Arial"/>
          <w:b/>
          <w:sz w:val="26"/>
          <w:szCs w:val="26"/>
          <w:lang w:val="en-US" w:eastAsia="zh-CN"/>
        </w:rPr>
        <w:t>（3）对水生维管束植物的影响</w:t>
      </w:r>
    </w:p>
    <w:p w14:paraId="7CCF313B">
      <w:pPr>
        <w:pStyle w:val="2113"/>
        <w:spacing w:line="460" w:lineRule="exact"/>
        <w:ind w:firstLine="520"/>
        <w:rPr>
          <w:rFonts w:hint="eastAsia" w:ascii="Arial" w:hAnsi="Times New Roman" w:eastAsia="宋体" w:cs="Arial"/>
          <w:color w:val="auto"/>
          <w:sz w:val="26"/>
          <w:szCs w:val="26"/>
          <w:lang w:val="en-US" w:eastAsia="zh-CN"/>
        </w:rPr>
      </w:pPr>
      <w:r>
        <w:rPr>
          <w:rFonts w:hint="eastAsia" w:ascii="Arial" w:hAnsi="Times New Roman" w:eastAsia="宋体" w:cs="Arial"/>
          <w:color w:val="auto"/>
          <w:sz w:val="26"/>
          <w:szCs w:val="26"/>
          <w:lang w:eastAsia="zh-CN"/>
        </w:rPr>
        <w:t>水库形成以后，由于大型水面的出现，原先河道中广泛分布的适应急流型水流的石菖蒲、苔草等会随着水库建设而消失，但由于库区回水末端以上仍有急流型河道，该物种和群落不会消失。在水库的边缘，由于水面的波动，形成一定范围的水位涨落带，部分耐淹植物、喜水、喜湿植物会繁殖起来，从而形成一定的湿生、水生植物群落，丰富区域内的植物物种和植物群落类型，对区域植物多样性具有正效应。</w:t>
      </w:r>
    </w:p>
    <w:p w14:paraId="687E6B63">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（4）对鱼类的影响</w:t>
      </w:r>
    </w:p>
    <w:p w14:paraId="06077BE3">
      <w:pPr>
        <w:pStyle w:val="2113"/>
        <w:spacing w:line="460" w:lineRule="exact"/>
        <w:ind w:firstLine="520"/>
        <w:rPr>
          <w:rFonts w:hint="default" w:ascii="Arial" w:hAnsi="Arial" w:eastAsia="宋体" w:cs="Arial"/>
          <w:b/>
          <w:bCs/>
          <w:color w:val="auto"/>
          <w:sz w:val="26"/>
          <w:szCs w:val="26"/>
          <w:lang w:val="en-US" w:eastAsia="zh-CN"/>
        </w:rPr>
      </w:pPr>
      <w:r>
        <w:rPr>
          <w:rFonts w:hint="default" w:ascii="Arial" w:hAnsi="Arial" w:eastAsia="微软雅黑" w:cs="Arial"/>
          <w:b/>
          <w:bCs/>
          <w:color w:val="auto"/>
          <w:sz w:val="26"/>
          <w:szCs w:val="26"/>
          <w:lang w:eastAsia="zh-CN"/>
        </w:rPr>
        <w:t>①</w:t>
      </w:r>
      <w:r>
        <w:rPr>
          <w:rFonts w:hint="default" w:ascii="Arial" w:hAnsi="Arial" w:eastAsia="宋体" w:cs="Arial"/>
          <w:b/>
          <w:bCs/>
          <w:color w:val="auto"/>
          <w:sz w:val="26"/>
          <w:szCs w:val="26"/>
          <w:lang w:val="en-US" w:eastAsia="zh-CN"/>
        </w:rPr>
        <w:t xml:space="preserve"> 阻隔影响</w:t>
      </w:r>
    </w:p>
    <w:p w14:paraId="37DFC6F0">
      <w:pPr>
        <w:pStyle w:val="2113"/>
        <w:spacing w:line="460" w:lineRule="exact"/>
        <w:ind w:firstLine="520"/>
        <w:rPr>
          <w:rFonts w:hint="eastAsia" w:ascii="Arial" w:hAnsi="Arial" w:eastAsia="宋体" w:cs="Arial"/>
          <w:color w:val="auto"/>
          <w:sz w:val="26"/>
          <w:szCs w:val="26"/>
          <w:lang w:eastAsia="zh-CN"/>
        </w:rPr>
      </w:pPr>
      <w:r>
        <w:rPr>
          <w:rFonts w:hint="eastAsia" w:ascii="Arial" w:hAnsi="Arial" w:eastAsia="宋体" w:cs="Arial"/>
          <w:color w:val="auto"/>
          <w:sz w:val="26"/>
          <w:szCs w:val="26"/>
          <w:lang w:eastAsia="zh-CN"/>
        </w:rPr>
        <w:t>海螺沟</w:t>
      </w:r>
      <w:r>
        <w:rPr>
          <w:rFonts w:hint="eastAsia" w:ascii="Arial" w:hAnsi="Arial" w:eastAsia="宋体" w:cs="Arial"/>
          <w:color w:val="auto"/>
          <w:sz w:val="26"/>
          <w:szCs w:val="26"/>
        </w:rPr>
        <w:t>水库建成后，将使河流原有连续的河流生态系统被分割成不连续的环境单元，</w:t>
      </w:r>
      <w:r>
        <w:rPr>
          <w:rFonts w:hint="eastAsia" w:ascii="Arial" w:hAnsi="Arial" w:eastAsia="宋体" w:cs="Arial"/>
          <w:color w:val="auto"/>
          <w:sz w:val="26"/>
          <w:szCs w:val="26"/>
          <w:lang w:eastAsia="zh-CN"/>
        </w:rPr>
        <w:t>根据现状调查可知，海螺沟为山区型河流，鱼类资源匮乏，种类少，主要为经济鱼类鲤鱼、鲫鱼、黄颡鱼、草鱼等，均无洄游习性，受大坝阻隔的直接影响不大，但由于大坝改变了坝前坝后的水流特征，对上述流水型鱼类的生境将产生不利影响。由此可见，</w:t>
      </w:r>
      <w:r>
        <w:rPr>
          <w:rFonts w:hint="eastAsia" w:ascii="Arial" w:hAnsi="Arial" w:eastAsia="宋体" w:cs="Arial"/>
          <w:color w:val="auto"/>
          <w:sz w:val="26"/>
          <w:szCs w:val="26"/>
        </w:rPr>
        <w:t>水库大坝阻隔对生活在评价河段的鱼类的不利影响有限，不会造成现有鱼类灭绝</w:t>
      </w:r>
      <w:r>
        <w:rPr>
          <w:rFonts w:hint="eastAsia" w:ascii="Arial" w:hAnsi="Arial" w:eastAsia="宋体" w:cs="Arial"/>
          <w:color w:val="auto"/>
          <w:sz w:val="26"/>
          <w:szCs w:val="26"/>
          <w:lang w:eastAsia="zh-CN"/>
        </w:rPr>
        <w:t>。</w:t>
      </w:r>
    </w:p>
    <w:p w14:paraId="77CE00EC">
      <w:pPr>
        <w:pStyle w:val="2113"/>
        <w:spacing w:line="460" w:lineRule="exact"/>
        <w:ind w:firstLine="520"/>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②对鱼类资源的影响</w:t>
      </w:r>
    </w:p>
    <w:p w14:paraId="1461DACC">
      <w:pPr>
        <w:pStyle w:val="2113"/>
        <w:spacing w:line="460" w:lineRule="exact"/>
        <w:ind w:firstLine="520"/>
        <w:rPr>
          <w:rFonts w:hint="eastAsia" w:ascii="Arial" w:hAnsi="Arial" w:eastAsia="宋体" w:cs="Arial"/>
          <w:color w:val="auto"/>
          <w:sz w:val="26"/>
          <w:szCs w:val="26"/>
          <w:lang w:eastAsia="zh-CN"/>
        </w:rPr>
      </w:pPr>
      <w:r>
        <w:rPr>
          <w:rFonts w:hint="eastAsia" w:ascii="Arial" w:hAnsi="Arial" w:eastAsia="宋体" w:cs="Arial"/>
          <w:color w:val="auto"/>
          <w:sz w:val="26"/>
          <w:szCs w:val="26"/>
          <w:lang w:eastAsia="zh-CN"/>
        </w:rPr>
        <w:t>海螺沟水库蓄水后，坝前水体水文情势发生较大变化，从而鱼类栖息环境发生变化，急流减缓、砂石沉积、饵料增多。</w:t>
      </w:r>
      <w:r>
        <w:rPr>
          <w:rFonts w:hint="eastAsia" w:ascii="Arial" w:hAnsi="Arial" w:eastAsia="宋体" w:cs="Arial"/>
          <w:color w:val="auto"/>
          <w:sz w:val="26"/>
          <w:szCs w:val="26"/>
        </w:rPr>
        <w:t>水库建成后由于水位的升高改变了原来河流栖息地的形态、水文、水化学和水生生物学特征等，自然河流生态系统被河道型水库生态系统所代替。水位升高，原来的山涧溪流特征消失，河流的流速减慢，水环境发生变化，导致鱼类栖息场所的改变，</w:t>
      </w:r>
      <w:r>
        <w:rPr>
          <w:rFonts w:hint="eastAsia" w:ascii="Arial" w:hAnsi="Arial" w:eastAsia="宋体" w:cs="Arial"/>
          <w:color w:val="auto"/>
          <w:sz w:val="26"/>
          <w:szCs w:val="26"/>
          <w:lang w:eastAsia="zh-CN"/>
        </w:rPr>
        <w:t>库区河段原有适应于底栖急流、砾石、岩盘底质环境的鱼类，栖息范围缩小，鱼类种类、数量都将在一定程度上减少；一部分适应能力强的种类将迁移到库尾上游水域；一些既能适应流水又能适应静水活动的鱼类则变化不大；适宜性强、繁殖率高、杂食性的鱼类将成为库区优势种；</w:t>
      </w:r>
      <w:r>
        <w:rPr>
          <w:rFonts w:hint="eastAsia" w:ascii="Arial" w:hAnsi="Arial" w:eastAsia="宋体" w:cs="Arial"/>
          <w:color w:val="auto"/>
          <w:sz w:val="26"/>
          <w:szCs w:val="26"/>
        </w:rPr>
        <w:t>鱼类的组成、种群和资源量等都将会发生变化。</w:t>
      </w:r>
      <w:r>
        <w:rPr>
          <w:rFonts w:hint="eastAsia" w:ascii="Arial" w:hAnsi="Arial" w:eastAsia="宋体" w:cs="Arial"/>
          <w:color w:val="auto"/>
          <w:sz w:val="26"/>
          <w:szCs w:val="26"/>
          <w:lang w:eastAsia="zh-CN"/>
        </w:rPr>
        <w:t>但是，海螺沟为山区型河流，鱼类资源匮乏，种类少，通过自然恢复作用，鱼类资源将得到一定程度的恢复。</w:t>
      </w:r>
    </w:p>
    <w:p w14:paraId="0B6CF73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Ansi="宋体"/>
          <w:bCs/>
          <w:sz w:val="26"/>
          <w:szCs w:val="26"/>
        </w:rPr>
      </w:pPr>
      <w:r>
        <w:rPr>
          <w:rFonts w:hint="eastAsia" w:ascii="Arial" w:hAnsi="Arial" w:eastAsia="宋体" w:cs="Arial"/>
          <w:color w:val="auto"/>
          <w:sz w:val="26"/>
          <w:szCs w:val="26"/>
          <w:lang w:eastAsia="zh-CN"/>
        </w:rPr>
        <w:t>海螺沟水库蓄水</w:t>
      </w:r>
      <w:r>
        <w:rPr>
          <w:rFonts w:hint="eastAsia" w:hAnsi="宋体"/>
          <w:bCs/>
          <w:sz w:val="26"/>
          <w:szCs w:val="26"/>
        </w:rPr>
        <w:t>截流后，鱼类可以转入下游水域生活，但河段水量的减少，生态水文条件发生改变，生境类型有所减少，影响到鱼类栖息生境的空间大小。从物种保护角度看，只要切实采取了保证生态流量、减少水体污染等措施，不会导致现有鱼类的灭绝。</w:t>
      </w:r>
    </w:p>
    <w:p w14:paraId="1226A3F6">
      <w:pPr>
        <w:pStyle w:val="2113"/>
        <w:keepNext w:val="0"/>
        <w:keepLines w:val="0"/>
        <w:pageBreakBefore w:val="0"/>
        <w:widowControl w:val="0"/>
        <w:kinsoku/>
        <w:wordWrap/>
        <w:overflowPunct/>
        <w:topLinePunct w:val="0"/>
        <w:autoSpaceDE/>
        <w:autoSpaceDN/>
        <w:bidi w:val="0"/>
        <w:adjustRightInd/>
        <w:snapToGrid/>
        <w:spacing w:line="460" w:lineRule="exact"/>
        <w:ind w:firstLine="520"/>
        <w:textAlignment w:val="auto"/>
        <w:rPr>
          <w:rFonts w:hint="eastAsia" w:ascii="Arial" w:hAnsi="Arial" w:eastAsia="宋体" w:cs="Arial"/>
          <w:b/>
          <w:bCs/>
          <w:color w:val="auto"/>
          <w:sz w:val="26"/>
          <w:szCs w:val="26"/>
          <w:lang w:eastAsia="zh-CN"/>
        </w:rPr>
      </w:pPr>
      <w:r>
        <w:rPr>
          <w:rFonts w:hint="eastAsia" w:ascii="Arial" w:hAnsi="Arial" w:eastAsia="宋体" w:cs="Arial"/>
          <w:b/>
          <w:bCs/>
          <w:color w:val="auto"/>
          <w:sz w:val="26"/>
          <w:szCs w:val="26"/>
          <w:lang w:eastAsia="zh-CN"/>
        </w:rPr>
        <w:t>③对鱼类“三场”的影响</w:t>
      </w:r>
    </w:p>
    <w:p w14:paraId="41A2A60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Ansi="宋体"/>
          <w:bCs/>
          <w:sz w:val="26"/>
          <w:szCs w:val="26"/>
        </w:rPr>
      </w:pPr>
      <w:r>
        <w:rPr>
          <w:rFonts w:hint="eastAsia" w:hAnsi="宋体"/>
          <w:bCs/>
          <w:sz w:val="26"/>
          <w:szCs w:val="26"/>
        </w:rPr>
        <w:t>项目评价河段鱼类资源不丰富，无鱼类“三场”分布，坝前水体因水流较缓，可为喜静水鱼类提供良好的产卵场所。</w:t>
      </w:r>
    </w:p>
    <w:p w14:paraId="0C655305">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6.6.5</w:t>
      </w:r>
      <w:r>
        <w:rPr>
          <w:rFonts w:hint="default" w:ascii="Arial" w:hAnsi="宋体" w:eastAsia="宋体" w:cs="Arial"/>
          <w:b/>
          <w:sz w:val="26"/>
          <w:szCs w:val="26"/>
          <w:lang w:val="en-US" w:eastAsia="zh-CN"/>
        </w:rPr>
        <w:t>对局域气候的影响分析</w:t>
      </w:r>
    </w:p>
    <w:p w14:paraId="3091551C">
      <w:pPr>
        <w:spacing w:line="440" w:lineRule="exact"/>
        <w:ind w:firstLine="520" w:firstLineChars="200"/>
        <w:rPr>
          <w:rFonts w:ascii="Arial" w:hAnsi="Arial" w:cs="Arial"/>
          <w:bCs/>
          <w:sz w:val="26"/>
          <w:szCs w:val="26"/>
        </w:rPr>
      </w:pPr>
      <w:r>
        <w:rPr>
          <w:rFonts w:hint="eastAsia" w:ascii="Arial" w:hAnsi="Arial" w:cs="Arial"/>
          <w:bCs/>
          <w:sz w:val="26"/>
          <w:szCs w:val="26"/>
        </w:rPr>
        <w:t>水库形成后，由热容量相对较大的水域替代热容量相对较小的陆地，库区周边气候可能发生变化。</w:t>
      </w:r>
    </w:p>
    <w:p w14:paraId="1927274A">
      <w:pPr>
        <w:spacing w:line="440" w:lineRule="exact"/>
        <w:ind w:firstLine="520" w:firstLineChars="200"/>
        <w:rPr>
          <w:rFonts w:ascii="Arial" w:hAnsi="Arial" w:cs="Arial"/>
          <w:bCs/>
          <w:sz w:val="26"/>
          <w:szCs w:val="26"/>
        </w:rPr>
      </w:pPr>
      <w:r>
        <w:rPr>
          <w:rFonts w:hint="eastAsia" w:ascii="Arial" w:hAnsi="Arial" w:cs="Arial"/>
          <w:bCs/>
          <w:sz w:val="26"/>
          <w:szCs w:val="26"/>
        </w:rPr>
        <w:t>大量研究表明，中型以上水库具有较为显著的湖泊效应，即库区冬季的平均气温比水库建设前提升</w:t>
      </w:r>
      <w:r>
        <w:rPr>
          <w:rFonts w:ascii="Arial" w:hAnsi="Arial" w:cs="Arial"/>
          <w:bCs/>
          <w:sz w:val="26"/>
          <w:szCs w:val="26"/>
        </w:rPr>
        <w:t>1</w:t>
      </w:r>
      <w:r>
        <w:rPr>
          <w:rFonts w:hint="eastAsia" w:ascii="Arial" w:hAnsi="Arial" w:cs="Arial"/>
          <w:bCs/>
          <w:sz w:val="26"/>
          <w:szCs w:val="26"/>
        </w:rPr>
        <w:t>℃，夏季平均气温比水库建设前升高约</w:t>
      </w:r>
      <w:r>
        <w:rPr>
          <w:rFonts w:ascii="Arial" w:hAnsi="Arial" w:cs="Arial"/>
          <w:bCs/>
          <w:sz w:val="26"/>
          <w:szCs w:val="26"/>
        </w:rPr>
        <w:t>1</w:t>
      </w:r>
      <w:r>
        <w:rPr>
          <w:rFonts w:hint="eastAsia" w:ascii="Arial" w:hAnsi="Arial" w:cs="Arial"/>
          <w:bCs/>
          <w:sz w:val="26"/>
          <w:szCs w:val="26"/>
        </w:rPr>
        <w:t>℃，昼夜温差减小，极端最高、最低气温均有明显变化，出现频率降低，温度变化幅度减小；蒸发量与水域面积呈正比关系，增大了库区周围湿度，降水增加；雾日增多，风力提升明显，但实际影响范围固定，限于库区周边，对于改善项目区域干旱、严重干旱的现状具有正效益。</w:t>
      </w:r>
    </w:p>
    <w:p w14:paraId="6F06E203">
      <w:pPr>
        <w:spacing w:line="440" w:lineRule="exact"/>
        <w:ind w:firstLine="520" w:firstLineChars="200"/>
        <w:rPr>
          <w:rFonts w:hint="eastAsia" w:ascii="Arial" w:hAnsi="Arial" w:cs="Arial"/>
          <w:bCs/>
          <w:sz w:val="26"/>
          <w:szCs w:val="26"/>
        </w:rPr>
      </w:pPr>
      <w:r>
        <w:rPr>
          <w:rFonts w:hint="eastAsia" w:ascii="Arial" w:hAnsi="Arial" w:cs="Arial"/>
          <w:bCs/>
          <w:sz w:val="26"/>
          <w:szCs w:val="26"/>
        </w:rPr>
        <w:t>小型水库对气候的影响相关研究较少，从实际情况看，小型水库由于水面小、库容小，且多为狭长型、河流型水库，其对气候的影响甚微，类比中型以上水库的影响，其对区域温度的的变化小于</w:t>
      </w:r>
      <w:r>
        <w:rPr>
          <w:rFonts w:ascii="Arial" w:hAnsi="Arial" w:cs="Arial"/>
          <w:bCs/>
          <w:sz w:val="26"/>
          <w:szCs w:val="26"/>
        </w:rPr>
        <w:t>1</w:t>
      </w:r>
      <w:r>
        <w:rPr>
          <w:rFonts w:hint="eastAsia" w:ascii="Arial" w:hAnsi="Arial" w:cs="Arial"/>
          <w:bCs/>
          <w:sz w:val="26"/>
          <w:szCs w:val="26"/>
        </w:rPr>
        <w:t>℃。因此本评价认为本工程的建设对局域气候的影响甚微。</w:t>
      </w:r>
    </w:p>
    <w:p w14:paraId="73F1EB2D">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6.6.6形成消落带</w:t>
      </w:r>
      <w:r>
        <w:rPr>
          <w:rFonts w:hint="default" w:ascii="Arial" w:hAnsi="宋体" w:eastAsia="宋体" w:cs="Arial"/>
          <w:b/>
          <w:sz w:val="26"/>
          <w:szCs w:val="26"/>
          <w:lang w:val="en-US" w:eastAsia="zh-CN"/>
        </w:rPr>
        <w:t>的影响分析</w:t>
      </w:r>
    </w:p>
    <w:p w14:paraId="5CBC495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Arial" w:hAnsi="Arial" w:eastAsia="宋体" w:cs="Arial"/>
          <w:color w:val="auto"/>
          <w:sz w:val="24"/>
          <w:szCs w:val="24"/>
          <w:lang w:eastAsia="zh-CN"/>
        </w:rPr>
      </w:pPr>
      <w:r>
        <w:rPr>
          <w:rFonts w:hint="eastAsia" w:ascii="Arial" w:hAnsi="Arial" w:eastAsia="宋体" w:cs="Arial"/>
          <w:color w:val="auto"/>
          <w:sz w:val="24"/>
          <w:szCs w:val="24"/>
          <w:lang w:eastAsia="zh-CN"/>
        </w:rPr>
        <w:t>海螺沟</w:t>
      </w:r>
      <w:r>
        <w:rPr>
          <w:rFonts w:hint="default" w:ascii="Arial" w:hAnsi="Arial" w:eastAsia="宋体" w:cs="Arial"/>
          <w:color w:val="auto"/>
          <w:sz w:val="24"/>
          <w:szCs w:val="24"/>
          <w:lang w:eastAsia="zh-CN"/>
        </w:rPr>
        <w:t>水库工程蓄水后，水库将按</w:t>
      </w:r>
      <w:r>
        <w:rPr>
          <w:rFonts w:hint="eastAsia" w:ascii="Arial" w:hAnsi="Arial" w:eastAsia="宋体" w:cs="Arial"/>
          <w:color w:val="auto"/>
          <w:sz w:val="24"/>
          <w:szCs w:val="24"/>
          <w:lang w:val="en-US" w:eastAsia="zh-CN"/>
        </w:rPr>
        <w:t>420.0</w:t>
      </w:r>
      <w:r>
        <w:rPr>
          <w:rFonts w:hint="default" w:ascii="Arial" w:hAnsi="Arial" w:eastAsia="宋体" w:cs="Arial"/>
          <w:color w:val="auto"/>
          <w:sz w:val="24"/>
          <w:szCs w:val="24"/>
          <w:lang w:eastAsia="zh-CN"/>
        </w:rPr>
        <w:t>m水位运行，除去死水位</w:t>
      </w:r>
      <w:r>
        <w:rPr>
          <w:rFonts w:hint="eastAsia" w:ascii="Arial" w:hAnsi="Arial" w:eastAsia="宋体" w:cs="Arial"/>
          <w:color w:val="auto"/>
          <w:sz w:val="24"/>
          <w:szCs w:val="24"/>
          <w:lang w:val="en-US" w:eastAsia="zh-CN"/>
        </w:rPr>
        <w:t>407.5m</w:t>
      </w:r>
      <w:r>
        <w:rPr>
          <w:rFonts w:hint="default" w:ascii="Arial" w:hAnsi="Arial" w:eastAsia="宋体" w:cs="Arial"/>
          <w:color w:val="auto"/>
          <w:sz w:val="24"/>
          <w:szCs w:val="24"/>
          <w:lang w:eastAsia="zh-CN"/>
        </w:rPr>
        <w:t>以下永久淹没区域，水位涨落仍将造成岸边的消落带，</w:t>
      </w:r>
      <w:r>
        <w:rPr>
          <w:rFonts w:hint="eastAsia" w:ascii="Arial" w:hAnsi="Arial" w:eastAsia="宋体" w:cs="Arial"/>
          <w:color w:val="auto"/>
          <w:sz w:val="24"/>
          <w:szCs w:val="24"/>
          <w:lang w:eastAsia="zh-CN"/>
        </w:rPr>
        <w:t>深</w:t>
      </w:r>
      <w:r>
        <w:rPr>
          <w:rFonts w:hint="eastAsia" w:ascii="Arial" w:hAnsi="Arial" w:eastAsia="宋体" w:cs="Arial"/>
          <w:color w:val="auto"/>
          <w:sz w:val="24"/>
          <w:szCs w:val="24"/>
          <w:lang w:val="en-US" w:eastAsia="zh-CN"/>
        </w:rPr>
        <w:t>12.5m。</w:t>
      </w:r>
      <w:r>
        <w:rPr>
          <w:rFonts w:hint="default" w:ascii="Arial" w:hAnsi="Arial" w:eastAsia="宋体" w:cs="Arial"/>
          <w:color w:val="auto"/>
          <w:sz w:val="24"/>
          <w:szCs w:val="24"/>
          <w:lang w:eastAsia="zh-CN"/>
        </w:rPr>
        <w:t>在蓄水期间，水库水流滞流、缓流形成岸边污染带，泥沙也在此淤积，在低水位运行时将全部裸露，尤其是在夏季，沼泽状的消落带将给蚊虫孳生带来繁殖场所，对库周区域人体健康保护不利，而且有可能带来一系列的生态环境问题。通过必要的库岸清理可有效减缓生态环境问题。</w:t>
      </w:r>
    </w:p>
    <w:p w14:paraId="300279F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水库库岸消落区以粉质粘土夹块碎石边坡为主，目前边坡植被覆盖良好，自然状况下边坡处于稳定状态。水库蓄水后，库岸地下水水位壅高，库水位骤降骤升，消落区边坡植被将失去保护，逐渐被破坏，库水冲刷、浪蚀、掏脚作用将引起库水位消落区边坡破坏变形，从而引起库岸再造，甚至引起局部库岸段边坡的失稳。运营期间加强地质观察，避免地质灾害发生。</w:t>
      </w:r>
    </w:p>
    <w:p w14:paraId="1C19573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default" w:ascii="Arial" w:hAnsi="Arial" w:cs="Arial"/>
          <w:kern w:val="0"/>
          <w:sz w:val="26"/>
          <w:szCs w:val="26"/>
          <w:lang w:val="en-US"/>
        </w:rPr>
      </w:pPr>
      <w:r>
        <w:rPr>
          <w:rFonts w:hint="default" w:ascii="Arial" w:hAnsi="Arial" w:eastAsia="宋体" w:cs="Arial"/>
          <w:b/>
          <w:bCs/>
          <w:color w:val="000000"/>
          <w:kern w:val="0"/>
          <w:sz w:val="26"/>
          <w:szCs w:val="26"/>
          <w:lang w:val="en-US" w:eastAsia="zh-CN"/>
        </w:rPr>
        <w:t>6.</w:t>
      </w:r>
      <w:r>
        <w:rPr>
          <w:rFonts w:hint="eastAsia" w:ascii="Arial" w:hAnsi="Arial" w:eastAsia="宋体" w:cs="Arial"/>
          <w:b/>
          <w:bCs/>
          <w:color w:val="000000"/>
          <w:kern w:val="0"/>
          <w:sz w:val="26"/>
          <w:szCs w:val="26"/>
          <w:lang w:val="en-US" w:eastAsia="zh-CN"/>
        </w:rPr>
        <w:t>7环境风险影响评价</w:t>
      </w:r>
    </w:p>
    <w:p w14:paraId="51FEA460">
      <w:pPr>
        <w:spacing w:line="440" w:lineRule="exact"/>
        <w:ind w:firstLine="520" w:firstLineChars="200"/>
        <w:rPr>
          <w:rFonts w:hint="eastAsia" w:ascii="Arial" w:hAnsi="Arial" w:cs="Arial"/>
          <w:color w:val="auto"/>
          <w:kern w:val="0"/>
          <w:sz w:val="26"/>
          <w:szCs w:val="26"/>
          <w:highlight w:val="none"/>
          <w:lang w:val="en-US" w:eastAsia="zh-CN"/>
        </w:rPr>
      </w:pPr>
      <w:r>
        <w:rPr>
          <w:rFonts w:hint="eastAsia" w:ascii="Arial" w:hAnsi="Arial" w:eastAsia="宋体" w:cs="Arial"/>
          <w:bCs/>
          <w:sz w:val="26"/>
          <w:szCs w:val="26"/>
          <w:lang w:val="en-US" w:eastAsia="zh-CN"/>
        </w:rPr>
        <w:t>海螺沟水库</w:t>
      </w:r>
      <w:r>
        <w:rPr>
          <w:rFonts w:hint="eastAsia" w:ascii="Arial" w:cs="Arial"/>
          <w:bCs/>
          <w:sz w:val="26"/>
        </w:rPr>
        <w:t>工程的开发任务</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hAnsi="Arial" w:cs="Arial"/>
          <w:color w:val="auto"/>
          <w:kern w:val="0"/>
          <w:sz w:val="26"/>
          <w:szCs w:val="26"/>
          <w:highlight w:val="none"/>
          <w:lang w:val="en-US" w:eastAsia="zh-CN"/>
        </w:rPr>
        <w:t>。本次评价根据水源保护区相关规定对水库环境风险提出要求。</w:t>
      </w:r>
    </w:p>
    <w:p w14:paraId="283D061B">
      <w:pPr>
        <w:pStyle w:val="101"/>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jc w:val="both"/>
        <w:textAlignment w:val="auto"/>
        <w:rPr>
          <w:rFonts w:hint="default" w:ascii="Arial" w:hAnsi="宋体" w:eastAsia="宋体" w:cs="Arial"/>
          <w:b/>
          <w:color w:val="auto"/>
          <w:kern w:val="0"/>
          <w:sz w:val="26"/>
          <w:szCs w:val="26"/>
          <w:lang w:val="en-US" w:eastAsia="zh-CN" w:bidi="ar-SA"/>
        </w:rPr>
      </w:pPr>
      <w:r>
        <w:rPr>
          <w:rFonts w:hint="eastAsia" w:ascii="Arial" w:hAnsi="宋体" w:eastAsia="宋体" w:cs="Arial"/>
          <w:b/>
          <w:color w:val="auto"/>
          <w:kern w:val="0"/>
          <w:sz w:val="26"/>
          <w:szCs w:val="26"/>
          <w:lang w:val="en-US" w:eastAsia="zh-CN" w:bidi="ar-SA"/>
        </w:rPr>
        <w:t>6.7.1环境风险分析</w:t>
      </w:r>
    </w:p>
    <w:p w14:paraId="672AE5F4">
      <w:pPr>
        <w:spacing w:line="44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饮用水水源环境风险主要包括：固定源（石油化工企业、污（废）水处理厂、垃圾填埋场、危险品仓库、尾矿库和装卸码头等）、流动源（存在危险品运输的陆运和水运交通）和非点源（农业污染源、潮汛或水灾引起的大面积非点源污染）三大类。</w:t>
      </w:r>
    </w:p>
    <w:p w14:paraId="6EEF823E">
      <w:pPr>
        <w:spacing w:line="44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项目位于农村区域，不存在上述固定风险源及流动风险源，主要存在的风险源可能是非点源风险源。而根据调查，水库集雨区也无大中型养殖企业，区域植被多为原生状态的林草地，因此，可知项目集雨区农业面源污染较轻，可能对水质产生污染的是区域内零星分布的农民施用的化肥以及生活污水等随地表径流进入河流，产生的污染物量很少，对水库水质产生冲击的风险影响较小。</w:t>
      </w:r>
    </w:p>
    <w:p w14:paraId="575ACF07">
      <w:pPr>
        <w:pStyle w:val="101"/>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jc w:val="both"/>
        <w:textAlignment w:val="auto"/>
        <w:rPr>
          <w:rFonts w:hint="default" w:ascii="Arial" w:hAnsi="Arial" w:eastAsia="宋体" w:cs="Arial"/>
          <w:b/>
          <w:color w:val="auto"/>
          <w:kern w:val="0"/>
          <w:sz w:val="26"/>
          <w:szCs w:val="26"/>
          <w:lang w:val="en-US" w:eastAsia="zh-CN" w:bidi="ar-SA"/>
        </w:rPr>
      </w:pPr>
      <w:r>
        <w:rPr>
          <w:rFonts w:hint="default" w:ascii="Arial" w:hAnsi="Arial" w:eastAsia="宋体" w:cs="Arial"/>
          <w:b/>
          <w:color w:val="auto"/>
          <w:kern w:val="0"/>
          <w:sz w:val="26"/>
          <w:szCs w:val="26"/>
          <w:lang w:val="en-US" w:eastAsia="zh-CN" w:bidi="ar-SA"/>
        </w:rPr>
        <w:t>6.7.2环境风险防范措施</w:t>
      </w:r>
    </w:p>
    <w:p w14:paraId="58A44AC1">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①为防止车辆出现事故而对水库水源造成污染，水库业主方需积极与交通管理部门联系和配合，通过路段限速、树立标志等管理措施，同时采取道路外侧设置防撞栏等工程措施，减少因事故发生污染的可能。</w:t>
      </w:r>
    </w:p>
    <w:p w14:paraId="130557B7">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②加强饮用水源保护宣传，开展饮用水源保护宣传工作，在全社会营造整治饮用水源污染的舆论氛围，使“保护水源，人人有责，从我做起”的观念深入人心。</w:t>
      </w:r>
    </w:p>
    <w:p w14:paraId="00324AEC">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③控制面源污染：正确引导当地农民少量、合理的施用化肥，减少生活污水排放，是减少农业面源污染的主要途径，业主应连同农业部门按照《农村生活污染防治技术政策》</w:t>
      </w:r>
      <w:r>
        <w:rPr>
          <w:rFonts w:hint="default" w:ascii="Arial" w:hAnsi="Arial" w:cs="Arial"/>
          <w:bCs/>
          <w:kern w:val="0"/>
          <w:sz w:val="26"/>
          <w:szCs w:val="26"/>
          <w:lang w:eastAsia="zh-CN"/>
        </w:rPr>
        <w:t>（</w:t>
      </w:r>
      <w:r>
        <w:rPr>
          <w:rFonts w:hint="default" w:ascii="Arial" w:hAnsi="Arial" w:cs="Arial"/>
          <w:bCs/>
          <w:kern w:val="0"/>
          <w:sz w:val="26"/>
          <w:szCs w:val="26"/>
        </w:rPr>
        <w:t>环发</w:t>
      </w:r>
      <w:r>
        <w:rPr>
          <w:rFonts w:hint="default" w:ascii="Arial" w:hAnsi="Arial" w:eastAsia="宋体" w:cs="Arial"/>
          <w:bCs/>
          <w:kern w:val="0"/>
          <w:sz w:val="26"/>
          <w:szCs w:val="26"/>
        </w:rPr>
        <w:t>〔</w:t>
      </w:r>
      <w:r>
        <w:rPr>
          <w:rFonts w:hint="default" w:ascii="Arial" w:hAnsi="Arial" w:cs="Arial"/>
          <w:bCs/>
          <w:kern w:val="0"/>
          <w:sz w:val="26"/>
          <w:szCs w:val="26"/>
        </w:rPr>
        <w:t>2010</w:t>
      </w:r>
      <w:r>
        <w:rPr>
          <w:rFonts w:hint="default" w:ascii="Arial" w:hAnsi="Arial" w:eastAsia="宋体" w:cs="Arial"/>
          <w:bCs/>
          <w:kern w:val="0"/>
          <w:sz w:val="26"/>
          <w:szCs w:val="26"/>
        </w:rPr>
        <w:t>〕</w:t>
      </w:r>
      <w:r>
        <w:rPr>
          <w:rFonts w:hint="default" w:ascii="Arial" w:hAnsi="Arial" w:cs="Arial"/>
          <w:bCs/>
          <w:kern w:val="0"/>
          <w:sz w:val="26"/>
          <w:szCs w:val="26"/>
        </w:rPr>
        <w:t>20号</w:t>
      </w:r>
      <w:r>
        <w:rPr>
          <w:rFonts w:hint="default" w:ascii="Arial" w:hAnsi="Arial" w:cs="Arial"/>
          <w:bCs/>
          <w:kern w:val="0"/>
          <w:sz w:val="26"/>
          <w:szCs w:val="26"/>
          <w:lang w:eastAsia="zh-CN"/>
        </w:rPr>
        <w:t>）</w:t>
      </w:r>
      <w:r>
        <w:rPr>
          <w:rFonts w:hint="default" w:ascii="Arial" w:hAnsi="Arial" w:cs="Arial"/>
          <w:bCs/>
          <w:kern w:val="0"/>
          <w:sz w:val="26"/>
          <w:szCs w:val="26"/>
        </w:rPr>
        <w:t>、《农药使用环境安全技术导则》</w:t>
      </w:r>
      <w:r>
        <w:rPr>
          <w:rFonts w:hint="default" w:ascii="Arial" w:hAnsi="Arial" w:cs="Arial"/>
          <w:bCs/>
          <w:kern w:val="0"/>
          <w:sz w:val="26"/>
          <w:szCs w:val="26"/>
          <w:lang w:eastAsia="zh-CN"/>
        </w:rPr>
        <w:t>（</w:t>
      </w:r>
      <w:r>
        <w:rPr>
          <w:rFonts w:hint="default" w:ascii="Arial" w:hAnsi="Arial" w:cs="Arial"/>
          <w:bCs/>
          <w:kern w:val="0"/>
          <w:sz w:val="26"/>
          <w:szCs w:val="26"/>
        </w:rPr>
        <w:t>HJ556-2010</w:t>
      </w:r>
      <w:r>
        <w:rPr>
          <w:rFonts w:hint="default" w:ascii="Arial" w:hAnsi="Arial" w:cs="Arial"/>
          <w:bCs/>
          <w:kern w:val="0"/>
          <w:sz w:val="26"/>
          <w:szCs w:val="26"/>
          <w:lang w:eastAsia="zh-CN"/>
        </w:rPr>
        <w:t>）</w:t>
      </w:r>
      <w:r>
        <w:rPr>
          <w:rFonts w:hint="default" w:ascii="Arial" w:hAnsi="Arial" w:cs="Arial"/>
          <w:bCs/>
          <w:kern w:val="0"/>
          <w:sz w:val="26"/>
          <w:szCs w:val="26"/>
        </w:rPr>
        <w:t>、《化肥使用环境安全技术导则》</w:t>
      </w:r>
      <w:r>
        <w:rPr>
          <w:rFonts w:hint="default" w:ascii="Arial" w:hAnsi="Arial" w:cs="Arial"/>
          <w:bCs/>
          <w:kern w:val="0"/>
          <w:sz w:val="26"/>
          <w:szCs w:val="26"/>
          <w:lang w:eastAsia="zh-CN"/>
        </w:rPr>
        <w:t>（</w:t>
      </w:r>
      <w:r>
        <w:rPr>
          <w:rFonts w:hint="default" w:ascii="Arial" w:hAnsi="Arial" w:cs="Arial"/>
          <w:bCs/>
          <w:kern w:val="0"/>
          <w:sz w:val="26"/>
          <w:szCs w:val="26"/>
        </w:rPr>
        <w:t>HJ555-2010</w:t>
      </w:r>
      <w:r>
        <w:rPr>
          <w:rFonts w:hint="default" w:ascii="Arial" w:hAnsi="Arial" w:cs="Arial"/>
          <w:bCs/>
          <w:kern w:val="0"/>
          <w:sz w:val="26"/>
          <w:szCs w:val="26"/>
          <w:lang w:eastAsia="zh-CN"/>
        </w:rPr>
        <w:t>）</w:t>
      </w:r>
      <w:r>
        <w:rPr>
          <w:rFonts w:hint="default" w:ascii="Arial" w:hAnsi="Arial" w:cs="Arial"/>
          <w:bCs/>
          <w:kern w:val="0"/>
          <w:sz w:val="26"/>
          <w:szCs w:val="26"/>
        </w:rPr>
        <w:t>的要求引导当地居民，控制面源污染，具体见下表，各项措施需在水库蓄水前完成。</w:t>
      </w:r>
    </w:p>
    <w:p w14:paraId="60851E56">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rPr>
          <w:rFonts w:hint="default" w:ascii="Arial" w:hAnsi="Arial" w:cs="Arial"/>
          <w:b/>
          <w:bCs w:val="0"/>
          <w:kern w:val="0"/>
          <w:sz w:val="26"/>
          <w:szCs w:val="26"/>
        </w:rPr>
      </w:pPr>
    </w:p>
    <w:p w14:paraId="60470A6F">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rPr>
          <w:rFonts w:hint="default" w:ascii="Arial" w:hAnsi="Arial" w:cs="Arial"/>
          <w:b/>
          <w:bCs w:val="0"/>
          <w:kern w:val="0"/>
          <w:sz w:val="26"/>
          <w:szCs w:val="26"/>
        </w:rPr>
      </w:pPr>
    </w:p>
    <w:p w14:paraId="422B12F2">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rPr>
          <w:rFonts w:hint="default" w:ascii="Arial" w:hAnsi="Arial" w:cs="Arial"/>
          <w:b/>
          <w:bCs w:val="0"/>
          <w:kern w:val="0"/>
          <w:sz w:val="26"/>
          <w:szCs w:val="26"/>
        </w:rPr>
      </w:pPr>
      <w:r>
        <w:rPr>
          <w:rFonts w:hint="default" w:ascii="Arial" w:hAnsi="Arial" w:cs="Arial"/>
          <w:b/>
          <w:bCs w:val="0"/>
          <w:kern w:val="0"/>
          <w:sz w:val="26"/>
          <w:szCs w:val="26"/>
        </w:rPr>
        <w:t>表</w:t>
      </w:r>
      <w:r>
        <w:rPr>
          <w:rFonts w:hint="eastAsia" w:ascii="Arial" w:hAnsi="Arial" w:cs="Arial"/>
          <w:b/>
          <w:bCs w:val="0"/>
          <w:kern w:val="0"/>
          <w:sz w:val="26"/>
          <w:szCs w:val="26"/>
          <w:lang w:val="en-US" w:eastAsia="zh-CN"/>
        </w:rPr>
        <w:t>6.7</w:t>
      </w:r>
      <w:r>
        <w:rPr>
          <w:rFonts w:hint="default" w:ascii="Arial" w:hAnsi="Arial" w:cs="Arial"/>
          <w:b/>
          <w:bCs w:val="0"/>
          <w:kern w:val="0"/>
          <w:sz w:val="26"/>
          <w:szCs w:val="26"/>
        </w:rPr>
        <w:t>-1  农业面源污染防护措施</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094"/>
        <w:gridCol w:w="7158"/>
      </w:tblGrid>
      <w:tr w14:paraId="02C3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14:paraId="3FB6AC17">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序号</w:t>
            </w:r>
          </w:p>
        </w:tc>
        <w:tc>
          <w:tcPr>
            <w:tcW w:w="604" w:type="pct"/>
            <w:noWrap w:val="0"/>
            <w:vAlign w:val="center"/>
          </w:tcPr>
          <w:p w14:paraId="26AAC35C">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文件</w:t>
            </w:r>
          </w:p>
        </w:tc>
        <w:tc>
          <w:tcPr>
            <w:tcW w:w="3953" w:type="pct"/>
            <w:noWrap w:val="0"/>
            <w:vAlign w:val="center"/>
          </w:tcPr>
          <w:p w14:paraId="2749B874">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内容</w:t>
            </w:r>
          </w:p>
        </w:tc>
      </w:tr>
      <w:tr w14:paraId="5D86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14:paraId="508BC159">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1</w:t>
            </w:r>
          </w:p>
        </w:tc>
        <w:tc>
          <w:tcPr>
            <w:tcW w:w="604" w:type="pct"/>
            <w:noWrap w:val="0"/>
            <w:vAlign w:val="center"/>
          </w:tcPr>
          <w:p w14:paraId="639226EC">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农村生活污染防治技术政策</w:t>
            </w:r>
          </w:p>
        </w:tc>
        <w:tc>
          <w:tcPr>
            <w:tcW w:w="3953" w:type="pct"/>
            <w:noWrap w:val="0"/>
            <w:vAlign w:val="center"/>
          </w:tcPr>
          <w:p w14:paraId="7FC48197">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1 \* GB3 </w:instrText>
            </w:r>
            <w:r>
              <w:rPr>
                <w:rFonts w:hint="default" w:ascii="Arial" w:hAnsi="Arial" w:cs="Arial"/>
                <w:bCs/>
                <w:kern w:val="0"/>
                <w:sz w:val="22"/>
                <w:szCs w:val="22"/>
              </w:rPr>
              <w:fldChar w:fldCharType="separate"/>
            </w:r>
            <w:r>
              <w:rPr>
                <w:rFonts w:hint="default" w:ascii="Arial" w:hAnsi="Arial" w:cs="Arial"/>
                <w:bCs/>
                <w:kern w:val="0"/>
                <w:sz w:val="22"/>
                <w:szCs w:val="22"/>
              </w:rPr>
              <w:t>①</w:t>
            </w:r>
            <w:r>
              <w:rPr>
                <w:rFonts w:hint="default" w:ascii="Arial" w:hAnsi="Arial" w:cs="Arial"/>
                <w:bCs/>
                <w:kern w:val="0"/>
                <w:sz w:val="22"/>
                <w:szCs w:val="22"/>
              </w:rPr>
              <w:fldChar w:fldCharType="end"/>
            </w:r>
            <w:r>
              <w:rPr>
                <w:rFonts w:hint="default" w:ascii="Arial" w:hAnsi="Arial" w:cs="Arial"/>
                <w:bCs/>
                <w:kern w:val="0"/>
                <w:sz w:val="22"/>
                <w:szCs w:val="22"/>
              </w:rPr>
              <w:t>农村雨水宜利用边沟和自然沟渠等进行收集和排放，通过坑塘、洼地等自然入渗进入当地水循环系统。鼓励将处理后的雨水回用于农田灌溉等。</w:t>
            </w:r>
          </w:p>
          <w:p w14:paraId="1127F55E">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2 \* GB3 </w:instrText>
            </w:r>
            <w:r>
              <w:rPr>
                <w:rFonts w:hint="default" w:ascii="Arial" w:hAnsi="Arial" w:cs="Arial"/>
                <w:bCs/>
                <w:kern w:val="0"/>
                <w:sz w:val="22"/>
                <w:szCs w:val="22"/>
              </w:rPr>
              <w:fldChar w:fldCharType="separate"/>
            </w:r>
            <w:r>
              <w:rPr>
                <w:rFonts w:hint="default" w:ascii="Arial" w:hAnsi="Arial" w:cs="Arial"/>
                <w:bCs/>
                <w:kern w:val="0"/>
                <w:sz w:val="22"/>
                <w:szCs w:val="22"/>
              </w:rPr>
              <w:t>②</w:t>
            </w:r>
            <w:r>
              <w:rPr>
                <w:rFonts w:hint="default" w:ascii="Arial" w:hAnsi="Arial" w:cs="Arial"/>
                <w:bCs/>
                <w:kern w:val="0"/>
                <w:sz w:val="22"/>
                <w:szCs w:val="22"/>
              </w:rPr>
              <w:fldChar w:fldCharType="end"/>
            </w:r>
            <w:r>
              <w:rPr>
                <w:rFonts w:hint="default" w:ascii="Arial" w:hAnsi="Arial" w:cs="Arial"/>
                <w:bCs/>
                <w:kern w:val="0"/>
                <w:sz w:val="22"/>
                <w:szCs w:val="22"/>
              </w:rPr>
              <w:t>由于没有建设集中污水处理设施，不宜推广使用水冲厕所，避免造成污水直接集中排放，在上述地区鼓励推广非水冲式卫生厕所。</w:t>
            </w:r>
          </w:p>
          <w:p w14:paraId="796927E7">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3 \* GB3 </w:instrText>
            </w:r>
            <w:r>
              <w:rPr>
                <w:rFonts w:hint="default" w:ascii="Arial" w:hAnsi="Arial" w:cs="Arial"/>
                <w:bCs/>
                <w:kern w:val="0"/>
                <w:sz w:val="22"/>
                <w:szCs w:val="22"/>
              </w:rPr>
              <w:fldChar w:fldCharType="separate"/>
            </w:r>
            <w:r>
              <w:rPr>
                <w:rFonts w:hint="default" w:ascii="Arial" w:hAnsi="Arial" w:cs="Arial"/>
                <w:bCs/>
                <w:kern w:val="0"/>
                <w:sz w:val="22"/>
                <w:szCs w:val="22"/>
              </w:rPr>
              <w:t>③</w:t>
            </w:r>
            <w:r>
              <w:rPr>
                <w:rFonts w:hint="default" w:ascii="Arial" w:hAnsi="Arial" w:cs="Arial"/>
                <w:bCs/>
                <w:kern w:val="0"/>
                <w:sz w:val="22"/>
                <w:szCs w:val="22"/>
              </w:rPr>
              <w:fldChar w:fldCharType="end"/>
            </w:r>
            <w:r>
              <w:rPr>
                <w:rFonts w:hint="default" w:ascii="Arial" w:hAnsi="Arial" w:cs="Arial"/>
                <w:bCs/>
                <w:kern w:val="0"/>
                <w:sz w:val="22"/>
                <w:szCs w:val="22"/>
              </w:rPr>
              <w:t>对于以户为单元就地排放的生活污水，宜根据不同情况采用庭院式小型湿地、沼气净化池和小型净化槽等处理技术和设施。</w:t>
            </w:r>
          </w:p>
          <w:p w14:paraId="1D561657">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4 \* GB3 </w:instrText>
            </w:r>
            <w:r>
              <w:rPr>
                <w:rFonts w:hint="default" w:ascii="Arial" w:hAnsi="Arial" w:cs="Arial"/>
                <w:bCs/>
                <w:kern w:val="0"/>
                <w:sz w:val="22"/>
                <w:szCs w:val="22"/>
              </w:rPr>
              <w:fldChar w:fldCharType="separate"/>
            </w:r>
            <w:r>
              <w:rPr>
                <w:rFonts w:hint="default" w:ascii="Arial" w:hAnsi="Arial" w:cs="Arial"/>
                <w:bCs/>
                <w:kern w:val="0"/>
                <w:sz w:val="22"/>
                <w:szCs w:val="22"/>
              </w:rPr>
              <w:t>④</w:t>
            </w:r>
            <w:r>
              <w:rPr>
                <w:rFonts w:hint="default" w:ascii="Arial" w:hAnsi="Arial" w:cs="Arial"/>
                <w:bCs/>
                <w:kern w:val="0"/>
                <w:sz w:val="22"/>
                <w:szCs w:val="22"/>
              </w:rPr>
              <w:fldChar w:fldCharType="end"/>
            </w:r>
            <w:r>
              <w:rPr>
                <w:rFonts w:hint="default" w:ascii="Arial" w:hAnsi="Arial" w:cs="Arial"/>
                <w:bCs/>
                <w:kern w:val="0"/>
                <w:sz w:val="22"/>
                <w:szCs w:val="22"/>
              </w:rPr>
              <w:t>鼓励采用粪便与生活杂排水分离的新型生态排水处理系统。宜采用沼气池处理粪便，采用氧化塘、湿地、快速渗滤及一体化装置等技术处理杂排水。</w:t>
            </w:r>
          </w:p>
          <w:p w14:paraId="642F10A2">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5 \* GB3 </w:instrText>
            </w:r>
            <w:r>
              <w:rPr>
                <w:rFonts w:hint="default" w:ascii="Arial" w:hAnsi="Arial" w:cs="Arial"/>
                <w:bCs/>
                <w:kern w:val="0"/>
                <w:sz w:val="22"/>
                <w:szCs w:val="22"/>
              </w:rPr>
              <w:fldChar w:fldCharType="separate"/>
            </w:r>
            <w:r>
              <w:rPr>
                <w:rFonts w:hint="default" w:ascii="Arial" w:hAnsi="Arial" w:cs="Arial"/>
                <w:bCs/>
                <w:kern w:val="0"/>
                <w:sz w:val="22"/>
                <w:szCs w:val="22"/>
              </w:rPr>
              <w:t>⑤</w:t>
            </w:r>
            <w:r>
              <w:rPr>
                <w:rFonts w:hint="default" w:ascii="Arial" w:hAnsi="Arial" w:cs="Arial"/>
                <w:bCs/>
                <w:kern w:val="0"/>
                <w:sz w:val="22"/>
                <w:szCs w:val="22"/>
              </w:rPr>
              <w:fldChar w:fldCharType="end"/>
            </w:r>
            <w:r>
              <w:rPr>
                <w:rFonts w:hint="default" w:ascii="Arial" w:hAnsi="Arial" w:cs="Arial"/>
                <w:bCs/>
                <w:kern w:val="0"/>
                <w:sz w:val="22"/>
                <w:szCs w:val="22"/>
              </w:rPr>
              <w:t>鼓励采用沼气池厕所、堆肥式、粪尿分集式等生态卫生厕所。在水冲厕所后，鼓励采用沼气净化池和户用沼气池等方式处理粪便污水，产生的沼气应加以利用。</w:t>
            </w:r>
          </w:p>
          <w:p w14:paraId="7E597CC6">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6 \* GB3 </w:instrText>
            </w:r>
            <w:r>
              <w:rPr>
                <w:rFonts w:hint="default" w:ascii="Arial" w:hAnsi="Arial" w:cs="Arial"/>
                <w:bCs/>
                <w:kern w:val="0"/>
                <w:sz w:val="22"/>
                <w:szCs w:val="22"/>
              </w:rPr>
              <w:fldChar w:fldCharType="separate"/>
            </w:r>
            <w:r>
              <w:rPr>
                <w:rFonts w:hint="default" w:ascii="Arial" w:hAnsi="Arial" w:cs="Arial"/>
                <w:bCs/>
                <w:kern w:val="0"/>
                <w:sz w:val="22"/>
                <w:szCs w:val="22"/>
              </w:rPr>
              <w:t>⑥</w:t>
            </w:r>
            <w:r>
              <w:rPr>
                <w:rFonts w:hint="default" w:ascii="Arial" w:hAnsi="Arial" w:cs="Arial"/>
                <w:bCs/>
                <w:kern w:val="0"/>
                <w:sz w:val="22"/>
                <w:szCs w:val="22"/>
              </w:rPr>
              <w:fldChar w:fldCharType="end"/>
            </w:r>
            <w:r>
              <w:rPr>
                <w:rFonts w:hint="default" w:ascii="Arial" w:hAnsi="Arial" w:cs="Arial"/>
                <w:bCs/>
                <w:kern w:val="0"/>
                <w:sz w:val="22"/>
                <w:szCs w:val="22"/>
              </w:rPr>
              <w:t>污水处理设施产生的污泥、沼液及沼渣等可作为农肥施用，在当地环境容量范围内，鼓励以就地消纳为主，实现资源化利用，禁止随意丢弃堆放，避免二次污染。</w:t>
            </w:r>
          </w:p>
          <w:p w14:paraId="7A810845">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7 \* GB3 </w:instrText>
            </w:r>
            <w:r>
              <w:rPr>
                <w:rFonts w:hint="default" w:ascii="Arial" w:hAnsi="Arial" w:cs="Arial"/>
                <w:bCs/>
                <w:kern w:val="0"/>
                <w:sz w:val="22"/>
                <w:szCs w:val="22"/>
              </w:rPr>
              <w:fldChar w:fldCharType="separate"/>
            </w:r>
            <w:r>
              <w:rPr>
                <w:rFonts w:hint="default" w:ascii="Arial" w:hAnsi="Arial" w:cs="Arial"/>
                <w:bCs/>
                <w:kern w:val="0"/>
                <w:sz w:val="22"/>
                <w:szCs w:val="22"/>
              </w:rPr>
              <w:t>⑦</w:t>
            </w:r>
            <w:r>
              <w:rPr>
                <w:rFonts w:hint="default" w:ascii="Arial" w:hAnsi="Arial" w:cs="Arial"/>
                <w:bCs/>
                <w:kern w:val="0"/>
                <w:sz w:val="22"/>
                <w:szCs w:val="22"/>
              </w:rPr>
              <w:fldChar w:fldCharType="end"/>
            </w:r>
            <w:r>
              <w:rPr>
                <w:rFonts w:hint="default" w:ascii="Arial" w:hAnsi="Arial" w:cs="Arial"/>
                <w:bCs/>
                <w:kern w:val="0"/>
                <w:sz w:val="22"/>
                <w:szCs w:val="22"/>
              </w:rPr>
              <w:t>鼓励采用沼气池处理人畜粪便，并实施“一池三改”，推广“四位一体”等农业生态模式。</w:t>
            </w:r>
          </w:p>
        </w:tc>
      </w:tr>
      <w:tr w14:paraId="25D7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14:paraId="164C09AC">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2</w:t>
            </w:r>
          </w:p>
        </w:tc>
        <w:tc>
          <w:tcPr>
            <w:tcW w:w="604" w:type="pct"/>
            <w:noWrap w:val="0"/>
            <w:vAlign w:val="center"/>
          </w:tcPr>
          <w:p w14:paraId="5A56FF04">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农药使用环境安全技术导则</w:t>
            </w:r>
          </w:p>
        </w:tc>
        <w:tc>
          <w:tcPr>
            <w:tcW w:w="3953" w:type="pct"/>
            <w:noWrap w:val="0"/>
            <w:vAlign w:val="center"/>
          </w:tcPr>
          <w:p w14:paraId="3106991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1 \* GB3 </w:instrText>
            </w:r>
            <w:r>
              <w:rPr>
                <w:rFonts w:hint="default" w:ascii="Arial" w:hAnsi="Arial" w:cs="Arial"/>
                <w:bCs/>
                <w:kern w:val="0"/>
                <w:sz w:val="22"/>
                <w:szCs w:val="22"/>
              </w:rPr>
              <w:fldChar w:fldCharType="separate"/>
            </w:r>
            <w:r>
              <w:rPr>
                <w:rFonts w:hint="default" w:ascii="Arial" w:hAnsi="Arial" w:cs="Arial"/>
                <w:bCs/>
                <w:kern w:val="0"/>
                <w:sz w:val="22"/>
                <w:szCs w:val="22"/>
              </w:rPr>
              <w:t>①</w:t>
            </w:r>
            <w:r>
              <w:rPr>
                <w:rFonts w:hint="default" w:ascii="Arial" w:hAnsi="Arial" w:cs="Arial"/>
                <w:bCs/>
                <w:kern w:val="0"/>
                <w:sz w:val="22"/>
                <w:szCs w:val="22"/>
              </w:rPr>
              <w:fldChar w:fldCharType="end"/>
            </w:r>
            <w:r>
              <w:rPr>
                <w:rFonts w:hint="default" w:ascii="Arial" w:hAnsi="Arial" w:cs="Arial"/>
                <w:bCs/>
                <w:kern w:val="0"/>
                <w:sz w:val="22"/>
                <w:szCs w:val="22"/>
              </w:rPr>
              <w:t>根据土壤类型、作物生长特性、生态环境及气候特征，合理选择农药品种，减少农药在土壤中的残留。</w:t>
            </w:r>
          </w:p>
          <w:p w14:paraId="5CD640E6">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2 \* GB3 </w:instrText>
            </w:r>
            <w:r>
              <w:rPr>
                <w:rFonts w:hint="default" w:ascii="Arial" w:hAnsi="Arial" w:cs="Arial"/>
                <w:bCs/>
                <w:kern w:val="0"/>
                <w:sz w:val="22"/>
                <w:szCs w:val="22"/>
              </w:rPr>
              <w:fldChar w:fldCharType="separate"/>
            </w:r>
            <w:r>
              <w:rPr>
                <w:rFonts w:hint="default" w:ascii="Arial" w:hAnsi="Arial" w:cs="Arial"/>
                <w:bCs/>
                <w:kern w:val="0"/>
                <w:sz w:val="22"/>
                <w:szCs w:val="22"/>
              </w:rPr>
              <w:t>②</w:t>
            </w:r>
            <w:r>
              <w:rPr>
                <w:rFonts w:hint="default" w:ascii="Arial" w:hAnsi="Arial" w:cs="Arial"/>
                <w:bCs/>
                <w:kern w:val="0"/>
                <w:sz w:val="22"/>
                <w:szCs w:val="22"/>
              </w:rPr>
              <w:fldChar w:fldCharType="end"/>
            </w:r>
            <w:r>
              <w:rPr>
                <w:rFonts w:hint="default" w:ascii="Arial" w:hAnsi="Arial" w:cs="Arial"/>
                <w:bCs/>
                <w:kern w:val="0"/>
                <w:sz w:val="22"/>
                <w:szCs w:val="22"/>
              </w:rPr>
              <w:t>不宜使用水溶性大、难降解、易淋溶、水中持留性很稳定的农药品种。</w:t>
            </w:r>
          </w:p>
          <w:p w14:paraId="25F2D0C7">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3 \* GB3 </w:instrText>
            </w:r>
            <w:r>
              <w:rPr>
                <w:rFonts w:hint="default" w:ascii="Arial" w:hAnsi="Arial" w:cs="Arial"/>
                <w:bCs/>
                <w:kern w:val="0"/>
                <w:sz w:val="22"/>
                <w:szCs w:val="22"/>
              </w:rPr>
              <w:fldChar w:fldCharType="separate"/>
            </w:r>
            <w:r>
              <w:rPr>
                <w:rFonts w:hint="default" w:ascii="Arial" w:hAnsi="Arial" w:cs="Arial"/>
                <w:bCs/>
                <w:kern w:val="0"/>
                <w:sz w:val="22"/>
                <w:szCs w:val="22"/>
              </w:rPr>
              <w:t>③</w:t>
            </w:r>
            <w:r>
              <w:rPr>
                <w:rFonts w:hint="default" w:ascii="Arial" w:hAnsi="Arial" w:cs="Arial"/>
                <w:bCs/>
                <w:kern w:val="0"/>
                <w:sz w:val="22"/>
                <w:szCs w:val="22"/>
              </w:rPr>
              <w:fldChar w:fldCharType="end"/>
            </w:r>
            <w:r>
              <w:rPr>
                <w:rFonts w:hint="default" w:ascii="Arial" w:hAnsi="Arial" w:cs="Arial"/>
                <w:bCs/>
                <w:kern w:val="0"/>
                <w:sz w:val="22"/>
                <w:szCs w:val="22"/>
              </w:rPr>
              <w:t>不宜使用易移动、难吸附、水中持留性很稳定的农药品种。</w:t>
            </w:r>
          </w:p>
          <w:p w14:paraId="7454BEFA">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④避免在小溪、河流或池塘等水源中清洗施药器械；清洗过施药器械的水禁止倾倒入饮用水水源。</w:t>
            </w:r>
          </w:p>
        </w:tc>
      </w:tr>
      <w:tr w14:paraId="7FC3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14:paraId="2B11E980">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3</w:t>
            </w:r>
          </w:p>
        </w:tc>
        <w:tc>
          <w:tcPr>
            <w:tcW w:w="604" w:type="pct"/>
            <w:noWrap w:val="0"/>
            <w:vAlign w:val="center"/>
          </w:tcPr>
          <w:p w14:paraId="56E02C11">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化肥使用环境安全技术导则</w:t>
            </w:r>
          </w:p>
        </w:tc>
        <w:tc>
          <w:tcPr>
            <w:tcW w:w="3953" w:type="pct"/>
            <w:noWrap w:val="0"/>
            <w:vAlign w:val="center"/>
          </w:tcPr>
          <w:p w14:paraId="20E1BD75">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1 \* GB3 </w:instrText>
            </w:r>
            <w:r>
              <w:rPr>
                <w:rFonts w:hint="default" w:ascii="Arial" w:hAnsi="Arial" w:cs="Arial"/>
                <w:bCs/>
                <w:kern w:val="0"/>
                <w:sz w:val="22"/>
                <w:szCs w:val="22"/>
              </w:rPr>
              <w:fldChar w:fldCharType="separate"/>
            </w:r>
            <w:r>
              <w:rPr>
                <w:rFonts w:hint="default" w:ascii="Arial" w:hAnsi="Arial" w:cs="Arial"/>
                <w:bCs/>
                <w:kern w:val="0"/>
                <w:sz w:val="22"/>
                <w:szCs w:val="22"/>
              </w:rPr>
              <w:t>①</w:t>
            </w:r>
            <w:r>
              <w:rPr>
                <w:rFonts w:hint="default" w:ascii="Arial" w:hAnsi="Arial" w:cs="Arial"/>
                <w:bCs/>
                <w:kern w:val="0"/>
                <w:sz w:val="22"/>
                <w:szCs w:val="22"/>
              </w:rPr>
              <w:fldChar w:fldCharType="end"/>
            </w:r>
            <w:r>
              <w:rPr>
                <w:rFonts w:hint="default" w:ascii="Arial" w:hAnsi="Arial" w:cs="Arial"/>
                <w:bCs/>
                <w:kern w:val="0"/>
                <w:sz w:val="22"/>
                <w:szCs w:val="22"/>
              </w:rPr>
              <w:t>源头控制技术措施</w:t>
            </w:r>
          </w:p>
          <w:p w14:paraId="17286B84">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A、化肥品种选择。根据土壤供肥性能、作物营养特性、肥料特性及生态环境特点，合理选择化肥品种。适当增加有机肥料使用比例，提倡配方施肥，施用复合（混）肥料、缓效肥料。</w:t>
            </w:r>
          </w:p>
          <w:p w14:paraId="087CEAF8">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B、化肥用量控制。综合考虑作物种类、产量目标、土壤养分状况、其他养分输入方式、环境敏感程度，确定施肥量。靠近饮用水水源保护区土地要尽量少施或不施化肥。</w:t>
            </w:r>
          </w:p>
          <w:p w14:paraId="439D16C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 xml:space="preserve">C、化肥施用方法。化肥尽量施在作物根系吸收区，以提高化肥利用率，减少流失。 </w:t>
            </w:r>
          </w:p>
          <w:p w14:paraId="6F5DE27A">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2 \* GB3 </w:instrText>
            </w:r>
            <w:r>
              <w:rPr>
                <w:rFonts w:hint="default" w:ascii="Arial" w:hAnsi="Arial" w:cs="Arial"/>
                <w:bCs/>
                <w:kern w:val="0"/>
                <w:sz w:val="22"/>
                <w:szCs w:val="22"/>
              </w:rPr>
              <w:fldChar w:fldCharType="separate"/>
            </w:r>
            <w:r>
              <w:rPr>
                <w:rFonts w:hint="default" w:ascii="Arial" w:hAnsi="Arial" w:cs="Arial"/>
                <w:bCs/>
                <w:kern w:val="0"/>
                <w:sz w:val="22"/>
                <w:szCs w:val="22"/>
              </w:rPr>
              <w:t>②</w:t>
            </w:r>
            <w:r>
              <w:rPr>
                <w:rFonts w:hint="default" w:ascii="Arial" w:hAnsi="Arial" w:cs="Arial"/>
                <w:bCs/>
                <w:kern w:val="0"/>
                <w:sz w:val="22"/>
                <w:szCs w:val="22"/>
              </w:rPr>
              <w:fldChar w:fldCharType="end"/>
            </w:r>
            <w:r>
              <w:rPr>
                <w:rFonts w:hint="default" w:ascii="Arial" w:hAnsi="Arial" w:cs="Arial"/>
                <w:bCs/>
                <w:kern w:val="0"/>
                <w:sz w:val="22"/>
                <w:szCs w:val="22"/>
              </w:rPr>
              <w:t xml:space="preserve">减少化肥流失的措施 </w:t>
            </w:r>
          </w:p>
          <w:p w14:paraId="00635454">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A、采用合理的耕作方式。在坡度较大地区，易发生化肥径流流失，应采取保护耕作（免耕或少耕）以减少对土壤的扰动，还可利用秸秆还田减少径流流失。</w:t>
            </w:r>
          </w:p>
          <w:p w14:paraId="3100907D">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B、采用合理的灌溉方式。对旱作提倡采用滴灌、喷灌等先进灌溉方式，尽</w:t>
            </w:r>
          </w:p>
          <w:p w14:paraId="0FA8798C">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量减少大水漫灌；对水田要加强田间水管理，尽量减少农田水的排放。</w:t>
            </w:r>
          </w:p>
          <w:p w14:paraId="51E533C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C、采用适宜的轮作制度。适宜的轮作制度可提高化肥的利用率，减少流失。</w:t>
            </w:r>
          </w:p>
          <w:p w14:paraId="067A850E">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D、可利用田间渠道、靠近农田的水塘和沟渠等暂时接纳富营养的农田排水，灌溉时再使用，实现循环利用。</w:t>
            </w:r>
          </w:p>
          <w:p w14:paraId="20579E11">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E、在农田和受保护的水体之间，应利用自然生态系统建立缓冲带，或在河滨、湖滨人工设置保护带以拦截过滤从农田流出的养分，提高营养物质的净化能力，防止养分流入周围河流、湖泊和水库等水体。</w:t>
            </w:r>
          </w:p>
          <w:p w14:paraId="07399A9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3 \* GB3 </w:instrText>
            </w:r>
            <w:r>
              <w:rPr>
                <w:rFonts w:hint="default" w:ascii="Arial" w:hAnsi="Arial" w:cs="Arial"/>
                <w:bCs/>
                <w:kern w:val="0"/>
                <w:sz w:val="22"/>
                <w:szCs w:val="22"/>
              </w:rPr>
              <w:fldChar w:fldCharType="separate"/>
            </w:r>
            <w:r>
              <w:rPr>
                <w:rFonts w:hint="default" w:ascii="Arial" w:hAnsi="Arial" w:cs="Arial"/>
                <w:bCs/>
                <w:kern w:val="0"/>
                <w:sz w:val="22"/>
                <w:szCs w:val="22"/>
              </w:rPr>
              <w:t>③</w:t>
            </w:r>
            <w:r>
              <w:rPr>
                <w:rFonts w:hint="default" w:ascii="Arial" w:hAnsi="Arial" w:cs="Arial"/>
                <w:bCs/>
                <w:kern w:val="0"/>
                <w:sz w:val="22"/>
                <w:szCs w:val="22"/>
              </w:rPr>
              <w:fldChar w:fldCharType="end"/>
            </w:r>
            <w:r>
              <w:rPr>
                <w:rFonts w:hint="default" w:ascii="Arial" w:hAnsi="Arial" w:cs="Arial"/>
                <w:bCs/>
                <w:kern w:val="0"/>
                <w:sz w:val="22"/>
                <w:szCs w:val="22"/>
              </w:rPr>
              <w:t xml:space="preserve">化肥环境安全使用管理措施 </w:t>
            </w:r>
          </w:p>
          <w:p w14:paraId="76541C4D">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A、按照清洁生产的原则和循环经济的理念，鼓励农民从事生态农业生产方式，积极促进有机农业的发展，推广农业废弃物无害化、资源化综合利用。</w:t>
            </w:r>
          </w:p>
          <w:p w14:paraId="2816CF6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B、基于风险管理的思路，鼓励将高化肥投入的产业（如蔬菜生产）转移到面源污染风险较低的地区。</w:t>
            </w:r>
          </w:p>
          <w:p w14:paraId="0C121B72">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C、探索建立环境经济补偿制度，对因不施或少施化肥造成经济收入损失的种植业主实行经济补偿。</w:t>
            </w:r>
          </w:p>
          <w:p w14:paraId="0816D7AE">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 xml:space="preserve">D、鼓励化肥减量化使用技术、农田流失养分的生态拦截技术的研发与工程应用。加强农业生产区域的环境监测，及时掌握农田化肥流失后的环境影响。 </w:t>
            </w:r>
          </w:p>
          <w:p w14:paraId="475DD924">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E、结合生态县的建设，探索实行区域化肥使用总量控制。</w:t>
            </w:r>
          </w:p>
          <w:p w14:paraId="4104D2DE">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F、加强宣传教育和科普推广，充分发挥农业技术推广服务机构的职能，提高公众对不合理使用化肥所产生危害的认识。</w:t>
            </w:r>
          </w:p>
        </w:tc>
      </w:tr>
    </w:tbl>
    <w:p w14:paraId="7DCF3AC5">
      <w:pPr>
        <w:keepNext w:val="0"/>
        <w:keepLines w:val="0"/>
        <w:pageBreakBefore w:val="0"/>
        <w:widowControl w:val="0"/>
        <w:kinsoku/>
        <w:wordWrap/>
        <w:overflowPunct/>
        <w:topLinePunct w:val="0"/>
        <w:autoSpaceDE w:val="0"/>
        <w:autoSpaceDN w:val="0"/>
        <w:bidi w:val="0"/>
        <w:adjustRightInd w:val="0"/>
        <w:snapToGrid/>
        <w:spacing w:line="240" w:lineRule="exact"/>
        <w:ind w:firstLine="480" w:firstLineChars="200"/>
        <w:textAlignment w:val="auto"/>
        <w:rPr>
          <w:rFonts w:hint="eastAsia"/>
          <w:bCs/>
          <w:kern w:val="0"/>
          <w:sz w:val="24"/>
        </w:rPr>
      </w:pPr>
    </w:p>
    <w:p w14:paraId="267C4647">
      <w:pPr>
        <w:pStyle w:val="101"/>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jc w:val="both"/>
        <w:textAlignment w:val="auto"/>
        <w:rPr>
          <w:rFonts w:hint="default" w:ascii="Arial" w:hAnsi="Arial" w:eastAsia="宋体" w:cs="Arial"/>
          <w:b/>
          <w:color w:val="auto"/>
          <w:kern w:val="0"/>
          <w:sz w:val="26"/>
          <w:szCs w:val="26"/>
          <w:lang w:val="en-US" w:eastAsia="zh-CN" w:bidi="ar-SA"/>
        </w:rPr>
      </w:pPr>
      <w:r>
        <w:rPr>
          <w:rFonts w:hint="eastAsia" w:ascii="Arial" w:hAnsi="Arial" w:eastAsia="宋体" w:cs="Arial"/>
          <w:b/>
          <w:color w:val="auto"/>
          <w:kern w:val="0"/>
          <w:sz w:val="26"/>
          <w:szCs w:val="26"/>
          <w:lang w:val="en-US" w:eastAsia="zh-CN" w:bidi="ar-SA"/>
        </w:rPr>
        <w:t>6.7.3应急措施及预案</w:t>
      </w:r>
    </w:p>
    <w:p w14:paraId="11DB3098">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为预防风险事件对供水安全的影响，按照《突发环境事件应急管理办法》（环境保护部令2015年第34号）、《关于切实加强风险防范严格环境影响评价管理的通知》（环发</w:t>
      </w:r>
      <w:r>
        <w:rPr>
          <w:rFonts w:hint="eastAsia" w:ascii="宋体" w:hAnsi="宋体" w:eastAsia="宋体" w:cs="宋体"/>
          <w:bCs/>
          <w:kern w:val="0"/>
          <w:sz w:val="26"/>
          <w:szCs w:val="26"/>
        </w:rPr>
        <w:t>〔</w:t>
      </w:r>
      <w:r>
        <w:rPr>
          <w:rFonts w:hint="default" w:ascii="Arial" w:hAnsi="Arial" w:cs="Arial"/>
          <w:bCs/>
          <w:kern w:val="0"/>
          <w:sz w:val="26"/>
          <w:szCs w:val="26"/>
        </w:rPr>
        <w:t>2012</w:t>
      </w:r>
      <w:r>
        <w:rPr>
          <w:rFonts w:hint="eastAsia" w:ascii="宋体" w:hAnsi="宋体" w:eastAsia="宋体" w:cs="宋体"/>
          <w:bCs/>
          <w:kern w:val="0"/>
          <w:sz w:val="26"/>
          <w:szCs w:val="26"/>
        </w:rPr>
        <w:t>〕</w:t>
      </w:r>
      <w:r>
        <w:rPr>
          <w:rFonts w:hint="default" w:ascii="Arial" w:hAnsi="Arial" w:cs="Arial"/>
          <w:bCs/>
          <w:kern w:val="0"/>
          <w:sz w:val="26"/>
          <w:szCs w:val="26"/>
        </w:rPr>
        <w:t>98号）要求，企业事业单位应当按照相关法律法规和标准规范的要求，履行下列义务：</w:t>
      </w:r>
      <w:r>
        <w:rPr>
          <w:rFonts w:hint="eastAsia" w:ascii="Arial" w:hAnsi="Arial" w:cs="Arial"/>
          <w:bCs/>
          <w:kern w:val="0"/>
          <w:sz w:val="26"/>
          <w:szCs w:val="26"/>
          <w:lang w:eastAsia="zh-CN"/>
        </w:rPr>
        <w:t>（</w:t>
      </w:r>
      <w:r>
        <w:rPr>
          <w:rFonts w:hint="default" w:ascii="Arial" w:hAnsi="Arial" w:cs="Arial"/>
          <w:bCs/>
          <w:kern w:val="0"/>
          <w:sz w:val="26"/>
          <w:szCs w:val="26"/>
        </w:rPr>
        <w:t>一</w:t>
      </w:r>
      <w:r>
        <w:rPr>
          <w:rFonts w:hint="eastAsia" w:ascii="Arial" w:hAnsi="Arial" w:cs="Arial"/>
          <w:bCs/>
          <w:kern w:val="0"/>
          <w:sz w:val="26"/>
          <w:szCs w:val="26"/>
          <w:lang w:eastAsia="zh-CN"/>
        </w:rPr>
        <w:t>）</w:t>
      </w:r>
      <w:r>
        <w:rPr>
          <w:rFonts w:hint="default" w:ascii="Arial" w:hAnsi="Arial" w:cs="Arial"/>
          <w:bCs/>
          <w:kern w:val="0"/>
          <w:sz w:val="26"/>
          <w:szCs w:val="26"/>
        </w:rPr>
        <w:t>开展突发环境事件风险评估；</w:t>
      </w:r>
      <w:r>
        <w:rPr>
          <w:rFonts w:hint="eastAsia" w:ascii="Arial" w:hAnsi="Arial" w:cs="Arial"/>
          <w:bCs/>
          <w:kern w:val="0"/>
          <w:sz w:val="26"/>
          <w:szCs w:val="26"/>
          <w:lang w:eastAsia="zh-CN"/>
        </w:rPr>
        <w:t>（</w:t>
      </w:r>
      <w:r>
        <w:rPr>
          <w:rFonts w:hint="default" w:ascii="Arial" w:hAnsi="Arial" w:cs="Arial"/>
          <w:bCs/>
          <w:kern w:val="0"/>
          <w:sz w:val="26"/>
          <w:szCs w:val="26"/>
        </w:rPr>
        <w:t>二</w:t>
      </w:r>
      <w:r>
        <w:rPr>
          <w:rFonts w:hint="eastAsia" w:ascii="Arial" w:hAnsi="Arial" w:cs="Arial"/>
          <w:bCs/>
          <w:kern w:val="0"/>
          <w:sz w:val="26"/>
          <w:szCs w:val="26"/>
          <w:lang w:eastAsia="zh-CN"/>
        </w:rPr>
        <w:t>）</w:t>
      </w:r>
      <w:r>
        <w:rPr>
          <w:rFonts w:hint="default" w:ascii="Arial" w:hAnsi="Arial" w:cs="Arial"/>
          <w:bCs/>
          <w:kern w:val="0"/>
          <w:sz w:val="26"/>
          <w:szCs w:val="26"/>
        </w:rPr>
        <w:t>完善突发环境事件风险防控措施；</w:t>
      </w:r>
      <w:r>
        <w:rPr>
          <w:rFonts w:hint="eastAsia" w:ascii="Arial" w:hAnsi="Arial" w:cs="Arial"/>
          <w:bCs/>
          <w:kern w:val="0"/>
          <w:sz w:val="26"/>
          <w:szCs w:val="26"/>
          <w:lang w:eastAsia="zh-CN"/>
        </w:rPr>
        <w:t>（</w:t>
      </w:r>
      <w:r>
        <w:rPr>
          <w:rFonts w:hint="default" w:ascii="Arial" w:hAnsi="Arial" w:cs="Arial"/>
          <w:bCs/>
          <w:kern w:val="0"/>
          <w:sz w:val="26"/>
          <w:szCs w:val="26"/>
        </w:rPr>
        <w:t>三</w:t>
      </w:r>
      <w:r>
        <w:rPr>
          <w:rFonts w:hint="eastAsia" w:ascii="Arial" w:hAnsi="Arial" w:cs="Arial"/>
          <w:bCs/>
          <w:kern w:val="0"/>
          <w:sz w:val="26"/>
          <w:szCs w:val="26"/>
          <w:lang w:eastAsia="zh-CN"/>
        </w:rPr>
        <w:t>）</w:t>
      </w:r>
      <w:r>
        <w:rPr>
          <w:rFonts w:hint="default" w:ascii="Arial" w:hAnsi="Arial" w:cs="Arial"/>
          <w:bCs/>
          <w:kern w:val="0"/>
          <w:sz w:val="26"/>
          <w:szCs w:val="26"/>
        </w:rPr>
        <w:t>排查治理环境安全隐患；</w:t>
      </w:r>
      <w:r>
        <w:rPr>
          <w:rFonts w:hint="eastAsia" w:ascii="Arial" w:hAnsi="Arial" w:cs="Arial"/>
          <w:bCs/>
          <w:kern w:val="0"/>
          <w:sz w:val="26"/>
          <w:szCs w:val="26"/>
          <w:lang w:eastAsia="zh-CN"/>
        </w:rPr>
        <w:t>（</w:t>
      </w:r>
      <w:r>
        <w:rPr>
          <w:rFonts w:hint="default" w:ascii="Arial" w:hAnsi="Arial" w:cs="Arial"/>
          <w:bCs/>
          <w:kern w:val="0"/>
          <w:sz w:val="26"/>
          <w:szCs w:val="26"/>
        </w:rPr>
        <w:t>四</w:t>
      </w:r>
      <w:r>
        <w:rPr>
          <w:rFonts w:hint="eastAsia" w:ascii="Arial" w:hAnsi="Arial" w:cs="Arial"/>
          <w:bCs/>
          <w:kern w:val="0"/>
          <w:sz w:val="26"/>
          <w:szCs w:val="26"/>
          <w:lang w:eastAsia="zh-CN"/>
        </w:rPr>
        <w:t>）</w:t>
      </w:r>
      <w:r>
        <w:rPr>
          <w:rFonts w:hint="default" w:ascii="Arial" w:hAnsi="Arial" w:cs="Arial"/>
          <w:bCs/>
          <w:kern w:val="0"/>
          <w:sz w:val="26"/>
          <w:szCs w:val="26"/>
        </w:rPr>
        <w:t>制定突发环境事件应急预案并备案、演练；</w:t>
      </w:r>
      <w:r>
        <w:rPr>
          <w:rFonts w:hint="eastAsia" w:ascii="Arial" w:hAnsi="Arial" w:cs="Arial"/>
          <w:bCs/>
          <w:kern w:val="0"/>
          <w:sz w:val="26"/>
          <w:szCs w:val="26"/>
          <w:lang w:eastAsia="zh-CN"/>
        </w:rPr>
        <w:t>（</w:t>
      </w:r>
      <w:r>
        <w:rPr>
          <w:rFonts w:hint="default" w:ascii="Arial" w:hAnsi="Arial" w:cs="Arial"/>
          <w:bCs/>
          <w:kern w:val="0"/>
          <w:sz w:val="26"/>
          <w:szCs w:val="26"/>
        </w:rPr>
        <w:t>五</w:t>
      </w:r>
      <w:r>
        <w:rPr>
          <w:rFonts w:hint="eastAsia" w:ascii="Arial" w:hAnsi="Arial" w:cs="Arial"/>
          <w:bCs/>
          <w:kern w:val="0"/>
          <w:sz w:val="26"/>
          <w:szCs w:val="26"/>
          <w:lang w:eastAsia="zh-CN"/>
        </w:rPr>
        <w:t>）</w:t>
      </w:r>
      <w:r>
        <w:rPr>
          <w:rFonts w:hint="default" w:ascii="Arial" w:hAnsi="Arial" w:cs="Arial"/>
          <w:bCs/>
          <w:kern w:val="0"/>
          <w:sz w:val="26"/>
          <w:szCs w:val="26"/>
        </w:rPr>
        <w:t>加强环境应急能力保障建设。</w:t>
      </w:r>
    </w:p>
    <w:p w14:paraId="31E02327">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根据《集中式地表饮用水水源地环境应急管理工作指南（试行）》</w:t>
      </w:r>
      <w:r>
        <w:rPr>
          <w:rFonts w:hint="eastAsia" w:ascii="Arial" w:hAnsi="Arial" w:cs="Arial"/>
          <w:bCs/>
          <w:kern w:val="0"/>
          <w:sz w:val="26"/>
          <w:szCs w:val="26"/>
          <w:lang w:eastAsia="zh-CN"/>
        </w:rPr>
        <w:t>（</w:t>
      </w:r>
      <w:r>
        <w:rPr>
          <w:rFonts w:hint="default" w:ascii="Arial" w:hAnsi="Arial" w:cs="Arial"/>
          <w:bCs/>
          <w:kern w:val="0"/>
          <w:sz w:val="26"/>
          <w:szCs w:val="26"/>
        </w:rPr>
        <w:t>环办</w:t>
      </w:r>
      <w:r>
        <w:rPr>
          <w:rFonts w:hint="eastAsia" w:ascii="宋体" w:hAnsi="宋体" w:eastAsia="宋体" w:cs="宋体"/>
          <w:bCs/>
          <w:kern w:val="0"/>
          <w:sz w:val="26"/>
          <w:szCs w:val="26"/>
        </w:rPr>
        <w:t>〔</w:t>
      </w:r>
      <w:r>
        <w:rPr>
          <w:rFonts w:hint="default" w:ascii="Arial" w:hAnsi="Arial" w:cs="Arial"/>
          <w:bCs/>
          <w:kern w:val="0"/>
          <w:sz w:val="26"/>
          <w:szCs w:val="26"/>
        </w:rPr>
        <w:t>2011</w:t>
      </w:r>
      <w:r>
        <w:rPr>
          <w:rFonts w:hint="eastAsia" w:ascii="宋体" w:hAnsi="宋体" w:eastAsia="宋体" w:cs="宋体"/>
          <w:bCs/>
          <w:kern w:val="0"/>
          <w:sz w:val="26"/>
          <w:szCs w:val="26"/>
        </w:rPr>
        <w:t>〕</w:t>
      </w:r>
      <w:r>
        <w:rPr>
          <w:rFonts w:hint="default" w:ascii="Arial" w:hAnsi="Arial" w:cs="Arial"/>
          <w:bCs/>
          <w:kern w:val="0"/>
          <w:sz w:val="26"/>
          <w:szCs w:val="26"/>
        </w:rPr>
        <w:t>93号</w:t>
      </w:r>
      <w:r>
        <w:rPr>
          <w:rFonts w:hint="eastAsia" w:ascii="Arial" w:hAnsi="Arial" w:cs="Arial"/>
          <w:bCs/>
          <w:kern w:val="0"/>
          <w:sz w:val="26"/>
          <w:szCs w:val="26"/>
          <w:lang w:eastAsia="zh-CN"/>
        </w:rPr>
        <w:t>）</w:t>
      </w:r>
      <w:r>
        <w:rPr>
          <w:rFonts w:hint="default" w:ascii="Arial" w:hAnsi="Arial" w:cs="Arial"/>
          <w:bCs/>
          <w:kern w:val="0"/>
          <w:sz w:val="26"/>
          <w:szCs w:val="26"/>
        </w:rPr>
        <w:t>，项目应设置水源水质保护应急预案，应急预案内容应包括：</w:t>
      </w:r>
    </w:p>
    <w:p w14:paraId="0E7FAB9A">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①环境风险防范，包括水源地外的风险防范、连接水体的风险防范、水源地的风险防范、特殊时期的风险防范等。</w:t>
      </w:r>
    </w:p>
    <w:p w14:paraId="120991B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②水源地预警体系建设，包括预警系统建设、信息研判、预警公告等。</w:t>
      </w:r>
    </w:p>
    <w:p w14:paraId="6B0F09BA">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③环境应急准备，包括预案体系建设、指挥系统建设、联动机制建设、能力保障等。</w:t>
      </w:r>
    </w:p>
    <w:p w14:paraId="6E74493F">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④环境应急响应，包括责任单位的应急响应与处置、环保部门的应急响应（指挥、监测、处置、信息发布、应急终止等）。</w:t>
      </w:r>
    </w:p>
    <w:p w14:paraId="63F811D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⑤事后管理，包括事件总结、原因调查与追责、事件评估、措施改进。</w:t>
      </w:r>
    </w:p>
    <w:p w14:paraId="52AA555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根据同类型的水库制定的应急预案，采取的监控和应急措施包括：</w:t>
      </w:r>
    </w:p>
    <w:p w14:paraId="3CB31DE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①设立水源水质自动监测点，对突发污染事件或累积性污染事件进行长期监测与报警。同时，水源水质自动监测的数据，既可为水厂制水提供季节性和时段性的参考，又可为深度处理的实施提供有力的依据。</w:t>
      </w:r>
    </w:p>
    <w:p w14:paraId="6AA6922B">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②在水源地边界应设置明显的水源保护标识。</w:t>
      </w:r>
    </w:p>
    <w:p w14:paraId="02FC8B09">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③发生一般污染风险事故时，立即督促供水企业采取停水、减压供水、改路供水，启用备用水源；迅速采取有效措施，降低污染物浓度和影响程度，关闭相应的闸口，将受污染水体疏导排放至安全区域，并通知沿途居民停止取水、用水；必要时通知下游水厂停止供水或采取保护措施。</w:t>
      </w:r>
    </w:p>
    <w:p w14:paraId="3568D1E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④如是危险品事故，在第③条的基础上，公安部门实施交通管制、疏散人群、保护高危人群等措施，保护公众生命安全与身体健康。公安交警部门迅速处置事故车辆，向有关部门报告事故情况，并协助做好危险化学品的收储工作，防止污染进一步蔓延；公安消防部门迅速处置因危险化学品污染事故引发的火灾，参加有关危险化学品的处置工作。环保部门按照其预先制定的应急预案，迅速采取有效措施，消除污染源，开展应急现场监测工作，跟踪水质变化情况。</w:t>
      </w:r>
    </w:p>
    <w:p w14:paraId="029FA37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default" w:ascii="Arial" w:hAnsi="Arial" w:cs="Arial"/>
          <w:kern w:val="0"/>
          <w:sz w:val="26"/>
          <w:szCs w:val="26"/>
          <w:lang w:val="en-US"/>
        </w:rPr>
      </w:pPr>
      <w:r>
        <w:rPr>
          <w:rFonts w:hint="default" w:ascii="Arial" w:hAnsi="Arial" w:eastAsia="宋体" w:cs="Arial"/>
          <w:b/>
          <w:bCs/>
          <w:color w:val="000000"/>
          <w:kern w:val="0"/>
          <w:sz w:val="26"/>
          <w:szCs w:val="26"/>
          <w:lang w:val="en-US" w:eastAsia="zh-CN"/>
        </w:rPr>
        <w:t>6.</w:t>
      </w:r>
      <w:r>
        <w:rPr>
          <w:rFonts w:hint="eastAsia" w:ascii="Arial" w:hAnsi="Arial" w:eastAsia="宋体" w:cs="Arial"/>
          <w:b/>
          <w:bCs/>
          <w:color w:val="000000"/>
          <w:kern w:val="0"/>
          <w:sz w:val="26"/>
          <w:szCs w:val="26"/>
          <w:lang w:val="en-US" w:eastAsia="zh-CN"/>
        </w:rPr>
        <w:t>8自查表</w:t>
      </w:r>
    </w:p>
    <w:p w14:paraId="671D3784">
      <w:pPr>
        <w:spacing w:line="440" w:lineRule="exact"/>
        <w:ind w:firstLine="520" w:firstLineChars="200"/>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本项目生态环境、地表水环境影响自查表分别详见表6.8-1、6.8-2所示。</w:t>
      </w:r>
    </w:p>
    <w:p w14:paraId="60D3E194">
      <w:pPr>
        <w:pStyle w:val="1085"/>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Arial" w:hAnsi="Arial" w:cs="Arial"/>
          <w:sz w:val="26"/>
          <w:szCs w:val="26"/>
          <w:highlight w:val="none"/>
        </w:rPr>
      </w:pPr>
    </w:p>
    <w:p w14:paraId="0123B47C">
      <w:pPr>
        <w:pStyle w:val="1085"/>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Arial" w:hAnsi="Arial" w:cs="Arial"/>
          <w:sz w:val="26"/>
          <w:szCs w:val="26"/>
          <w:highlight w:val="none"/>
        </w:rPr>
      </w:pPr>
      <w:r>
        <w:rPr>
          <w:rFonts w:hint="default" w:ascii="Arial" w:hAnsi="Arial" w:cs="Arial"/>
          <w:sz w:val="26"/>
          <w:szCs w:val="26"/>
          <w:highlight w:val="none"/>
        </w:rPr>
        <w:t>表6.</w:t>
      </w:r>
      <w:r>
        <w:rPr>
          <w:rFonts w:hint="eastAsia" w:ascii="Arial" w:hAnsi="Arial" w:cs="Arial"/>
          <w:sz w:val="26"/>
          <w:szCs w:val="26"/>
          <w:highlight w:val="none"/>
          <w:lang w:val="en-US" w:eastAsia="zh-CN"/>
        </w:rPr>
        <w:t>8</w:t>
      </w:r>
      <w:r>
        <w:rPr>
          <w:rFonts w:hint="default" w:ascii="Arial" w:hAnsi="Arial" w:cs="Arial"/>
          <w:sz w:val="26"/>
          <w:szCs w:val="26"/>
          <w:highlight w:val="none"/>
          <w:lang w:val="en-US" w:eastAsia="zh-CN"/>
        </w:rPr>
        <w:t>-1</w:t>
      </w:r>
      <w:r>
        <w:rPr>
          <w:rFonts w:hint="default" w:ascii="Arial" w:hAnsi="Arial" w:cs="Arial"/>
          <w:sz w:val="26"/>
          <w:szCs w:val="26"/>
          <w:highlight w:val="none"/>
        </w:rPr>
        <w:t xml:space="preserve">  地表水环境影响评价自查表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6"/>
        <w:gridCol w:w="1142"/>
        <w:gridCol w:w="1267"/>
        <w:gridCol w:w="75"/>
        <w:gridCol w:w="793"/>
        <w:gridCol w:w="844"/>
        <w:gridCol w:w="279"/>
        <w:gridCol w:w="1262"/>
        <w:gridCol w:w="768"/>
        <w:gridCol w:w="406"/>
        <w:gridCol w:w="657"/>
        <w:gridCol w:w="1125"/>
      </w:tblGrid>
      <w:tr w14:paraId="6026F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1" w:type="pct"/>
            <w:gridSpan w:val="2"/>
            <w:shd w:val="clear" w:color="auto" w:fill="auto"/>
            <w:vAlign w:val="center"/>
          </w:tcPr>
          <w:p w14:paraId="6F1EC46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工作内容</w:t>
            </w:r>
          </w:p>
        </w:tc>
        <w:tc>
          <w:tcPr>
            <w:tcW w:w="4128" w:type="pct"/>
            <w:gridSpan w:val="10"/>
            <w:shd w:val="clear" w:color="auto" w:fill="auto"/>
            <w:vAlign w:val="center"/>
          </w:tcPr>
          <w:p w14:paraId="756ECDA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自查项目</w:t>
            </w:r>
          </w:p>
        </w:tc>
      </w:tr>
      <w:tr w14:paraId="5E2B0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6DBC8FC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影响识别</w:t>
            </w:r>
          </w:p>
        </w:tc>
        <w:tc>
          <w:tcPr>
            <w:tcW w:w="630" w:type="pct"/>
            <w:shd w:val="clear" w:color="auto" w:fill="auto"/>
            <w:vAlign w:val="center"/>
          </w:tcPr>
          <w:p w14:paraId="0BB9349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影响类型</w:t>
            </w:r>
          </w:p>
        </w:tc>
        <w:tc>
          <w:tcPr>
            <w:tcW w:w="4128" w:type="pct"/>
            <w:gridSpan w:val="10"/>
            <w:shd w:val="clear" w:color="auto" w:fill="auto"/>
            <w:vAlign w:val="center"/>
          </w:tcPr>
          <w:p w14:paraId="139ECBC8">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水污染影响型</w:t>
            </w:r>
            <w:r>
              <w:rPr>
                <w:rFonts w:hint="eastAsia" w:ascii="Arial" w:hAnsi="Arial" w:cs="Arial"/>
                <w:snapToGrid w:val="0"/>
                <w:sz w:val="22"/>
                <w:szCs w:val="22"/>
                <w:lang w:eastAsia="zh-CN"/>
              </w:rPr>
              <w:t>□</w:t>
            </w:r>
            <w:r>
              <w:rPr>
                <w:rFonts w:hint="default" w:ascii="Arial" w:hAnsi="Arial" w:cs="Arial"/>
                <w:snapToGrid w:val="0"/>
                <w:sz w:val="22"/>
                <w:szCs w:val="22"/>
              </w:rPr>
              <w:t>；</w:t>
            </w:r>
            <w:r>
              <w:rPr>
                <w:rFonts w:hint="default" w:ascii="Arial" w:hAnsi="Arial" w:cs="Arial"/>
                <w:snapToGrid w:val="0"/>
                <w:sz w:val="22"/>
                <w:szCs w:val="22"/>
                <w:highlight w:val="none"/>
              </w:rPr>
              <w:t>水文要素影响型</w:t>
            </w:r>
            <w:r>
              <w:rPr>
                <w:rFonts w:hint="eastAsia" w:ascii="Arial" w:hAnsi="Arial" w:cs="Arial"/>
                <w:snapToGrid w:val="0"/>
                <w:sz w:val="22"/>
                <w:szCs w:val="22"/>
                <w:lang w:eastAsia="zh-CN"/>
              </w:rPr>
              <w:t>☑</w:t>
            </w:r>
          </w:p>
        </w:tc>
      </w:tr>
      <w:tr w14:paraId="6232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13360EB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4987DBC1">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水环境保护目标</w:t>
            </w:r>
          </w:p>
        </w:tc>
        <w:tc>
          <w:tcPr>
            <w:tcW w:w="4128" w:type="pct"/>
            <w:gridSpan w:val="10"/>
            <w:shd w:val="clear" w:color="auto" w:fill="auto"/>
            <w:vAlign w:val="center"/>
          </w:tcPr>
          <w:p w14:paraId="567DC5FD">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饮用水水源保护区□；饮用水取水口□；涉水的自然保护区□；重要湿地□；重点保护与珍稀水生生物栖息地□；重要水生生物的自然产卵场及索饵场、越冬场和洄游通道、天然渔场等渔业水体□；涉水的风景名胜区□；其他</w:t>
            </w:r>
            <w:r>
              <w:rPr>
                <w:rFonts w:hint="eastAsia" w:ascii="Arial" w:hAnsi="Arial" w:cs="Arial"/>
                <w:snapToGrid w:val="0"/>
                <w:sz w:val="22"/>
                <w:szCs w:val="22"/>
                <w:lang w:eastAsia="zh-CN"/>
              </w:rPr>
              <w:t>☑</w:t>
            </w:r>
          </w:p>
        </w:tc>
      </w:tr>
      <w:tr w14:paraId="4BA65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1F7FDC6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48C8A52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影响途径</w:t>
            </w:r>
          </w:p>
        </w:tc>
        <w:tc>
          <w:tcPr>
            <w:tcW w:w="1800" w:type="pct"/>
            <w:gridSpan w:val="5"/>
            <w:shd w:val="clear" w:color="auto" w:fill="auto"/>
            <w:vAlign w:val="center"/>
          </w:tcPr>
          <w:p w14:paraId="08DA0E2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水污染影响型</w:t>
            </w:r>
            <w:r>
              <w:rPr>
                <w:rFonts w:hint="eastAsia" w:ascii="Arial" w:hAnsi="Arial" w:cs="Arial"/>
                <w:snapToGrid w:val="0"/>
                <w:sz w:val="22"/>
                <w:szCs w:val="22"/>
                <w:lang w:eastAsia="zh-CN"/>
              </w:rPr>
              <w:t>□</w:t>
            </w:r>
          </w:p>
        </w:tc>
        <w:tc>
          <w:tcPr>
            <w:tcW w:w="2328" w:type="pct"/>
            <w:gridSpan w:val="5"/>
            <w:shd w:val="clear" w:color="auto" w:fill="auto"/>
            <w:vAlign w:val="center"/>
          </w:tcPr>
          <w:p w14:paraId="1F4BA87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水文要素影响型</w:t>
            </w:r>
            <w:r>
              <w:rPr>
                <w:rFonts w:hint="eastAsia" w:ascii="Arial" w:hAnsi="Arial" w:cs="Arial"/>
                <w:snapToGrid w:val="0"/>
                <w:sz w:val="22"/>
                <w:szCs w:val="22"/>
                <w:lang w:eastAsia="zh-CN"/>
              </w:rPr>
              <w:t>☑</w:t>
            </w:r>
          </w:p>
        </w:tc>
      </w:tr>
      <w:tr w14:paraId="4780A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CA52B0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21AB30A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1ADE042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直接排放□；间接排放</w:t>
            </w:r>
            <w:r>
              <w:rPr>
                <w:rFonts w:hint="eastAsia" w:ascii="Arial" w:hAnsi="Arial" w:cs="Arial"/>
                <w:snapToGrid w:val="0"/>
                <w:sz w:val="22"/>
                <w:szCs w:val="22"/>
                <w:lang w:eastAsia="zh-CN"/>
              </w:rPr>
              <w:t>□</w:t>
            </w:r>
            <w:r>
              <w:rPr>
                <w:rFonts w:hint="default" w:ascii="Arial" w:hAnsi="Arial" w:cs="Arial"/>
                <w:snapToGrid w:val="0"/>
                <w:sz w:val="22"/>
                <w:szCs w:val="22"/>
              </w:rPr>
              <w:t>；其他□</w:t>
            </w:r>
          </w:p>
        </w:tc>
        <w:tc>
          <w:tcPr>
            <w:tcW w:w="2328" w:type="pct"/>
            <w:gridSpan w:val="5"/>
            <w:shd w:val="clear" w:color="auto" w:fill="auto"/>
            <w:vAlign w:val="center"/>
          </w:tcPr>
          <w:p w14:paraId="0B363565">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水温</w:t>
            </w:r>
            <w:r>
              <w:rPr>
                <w:rFonts w:hint="eastAsia" w:ascii="Arial" w:hAnsi="Arial" w:cs="Arial"/>
                <w:snapToGrid w:val="0"/>
                <w:sz w:val="22"/>
                <w:szCs w:val="22"/>
                <w:lang w:eastAsia="zh-CN"/>
              </w:rPr>
              <w:t>☑</w:t>
            </w:r>
            <w:r>
              <w:rPr>
                <w:rFonts w:hint="default" w:ascii="Arial" w:hAnsi="Arial" w:cs="Arial"/>
                <w:snapToGrid w:val="0"/>
                <w:sz w:val="22"/>
                <w:szCs w:val="22"/>
              </w:rPr>
              <w:t>；径流</w:t>
            </w:r>
            <w:r>
              <w:rPr>
                <w:rFonts w:hint="eastAsia" w:ascii="Arial" w:hAnsi="Arial" w:cs="Arial"/>
                <w:snapToGrid w:val="0"/>
                <w:sz w:val="22"/>
                <w:szCs w:val="22"/>
                <w:lang w:eastAsia="zh-CN"/>
              </w:rPr>
              <w:t>☑</w:t>
            </w:r>
            <w:r>
              <w:rPr>
                <w:rFonts w:hint="default" w:ascii="Arial" w:hAnsi="Arial" w:cs="Arial"/>
                <w:snapToGrid w:val="0"/>
                <w:sz w:val="22"/>
                <w:szCs w:val="22"/>
              </w:rPr>
              <w:t>；水域面积</w:t>
            </w:r>
            <w:r>
              <w:rPr>
                <w:rFonts w:hint="eastAsia" w:ascii="Arial" w:hAnsi="Arial" w:cs="Arial"/>
                <w:snapToGrid w:val="0"/>
                <w:sz w:val="22"/>
                <w:szCs w:val="22"/>
                <w:lang w:eastAsia="zh-CN"/>
              </w:rPr>
              <w:t>☑</w:t>
            </w:r>
          </w:p>
        </w:tc>
      </w:tr>
      <w:tr w14:paraId="122D1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2D91653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12041B5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影响因子</w:t>
            </w:r>
          </w:p>
        </w:tc>
        <w:tc>
          <w:tcPr>
            <w:tcW w:w="1800" w:type="pct"/>
            <w:gridSpan w:val="5"/>
            <w:shd w:val="clear" w:color="auto" w:fill="auto"/>
            <w:vAlign w:val="center"/>
          </w:tcPr>
          <w:p w14:paraId="4B0C41D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持久性污染物□；有毒有害污染物□；非持久性污染物</w:t>
            </w:r>
            <w:r>
              <w:rPr>
                <w:rFonts w:hint="eastAsia" w:ascii="Arial" w:hAnsi="Arial" w:cs="Arial"/>
                <w:snapToGrid w:val="0"/>
                <w:sz w:val="22"/>
                <w:szCs w:val="22"/>
                <w:lang w:eastAsia="zh-CN"/>
              </w:rPr>
              <w:t>□</w:t>
            </w:r>
            <w:r>
              <w:rPr>
                <w:rFonts w:hint="default" w:ascii="Arial" w:hAnsi="Arial" w:cs="Arial"/>
                <w:snapToGrid w:val="0"/>
                <w:sz w:val="22"/>
                <w:szCs w:val="22"/>
              </w:rPr>
              <w:t>；pH值□；热污染□；富营养化□；其他□</w:t>
            </w:r>
          </w:p>
        </w:tc>
        <w:tc>
          <w:tcPr>
            <w:tcW w:w="2328" w:type="pct"/>
            <w:gridSpan w:val="5"/>
            <w:shd w:val="clear" w:color="auto" w:fill="auto"/>
            <w:vAlign w:val="center"/>
          </w:tcPr>
          <w:p w14:paraId="53BF004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水温</w:t>
            </w:r>
            <w:r>
              <w:rPr>
                <w:rFonts w:hint="eastAsia" w:ascii="Arial" w:hAnsi="Arial" w:cs="Arial"/>
                <w:snapToGrid w:val="0"/>
                <w:sz w:val="22"/>
                <w:szCs w:val="22"/>
                <w:lang w:eastAsia="zh-CN"/>
              </w:rPr>
              <w:t>☑</w:t>
            </w:r>
            <w:r>
              <w:rPr>
                <w:rFonts w:hint="default" w:ascii="Arial" w:hAnsi="Arial" w:cs="Arial"/>
                <w:snapToGrid w:val="0"/>
                <w:sz w:val="22"/>
                <w:szCs w:val="22"/>
              </w:rPr>
              <w:t xml:space="preserve">；水位(水深) </w:t>
            </w:r>
            <w:r>
              <w:rPr>
                <w:rFonts w:hint="eastAsia" w:ascii="Arial" w:hAnsi="Arial" w:cs="Arial"/>
                <w:snapToGrid w:val="0"/>
                <w:sz w:val="22"/>
                <w:szCs w:val="22"/>
                <w:lang w:eastAsia="zh-CN"/>
              </w:rPr>
              <w:t>☑</w:t>
            </w:r>
            <w:r>
              <w:rPr>
                <w:rFonts w:hint="default" w:ascii="Arial" w:hAnsi="Arial" w:cs="Arial"/>
                <w:snapToGrid w:val="0"/>
                <w:sz w:val="22"/>
                <w:szCs w:val="22"/>
              </w:rPr>
              <w:t>；</w:t>
            </w:r>
          </w:p>
          <w:p w14:paraId="651EF8C0">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流速</w:t>
            </w:r>
            <w:r>
              <w:rPr>
                <w:rFonts w:hint="eastAsia" w:ascii="Arial" w:hAnsi="Arial" w:cs="Arial"/>
                <w:snapToGrid w:val="0"/>
                <w:sz w:val="22"/>
                <w:szCs w:val="22"/>
                <w:lang w:eastAsia="zh-CN"/>
              </w:rPr>
              <w:t>☑</w:t>
            </w:r>
            <w:r>
              <w:rPr>
                <w:rFonts w:hint="default" w:ascii="Arial" w:hAnsi="Arial" w:cs="Arial"/>
                <w:snapToGrid w:val="0"/>
                <w:sz w:val="22"/>
                <w:szCs w:val="22"/>
              </w:rPr>
              <w:t>；流量</w:t>
            </w:r>
            <w:r>
              <w:rPr>
                <w:rFonts w:hint="eastAsia" w:ascii="Arial" w:hAnsi="Arial" w:cs="Arial"/>
                <w:snapToGrid w:val="0"/>
                <w:sz w:val="22"/>
                <w:szCs w:val="22"/>
                <w:lang w:eastAsia="zh-CN"/>
              </w:rPr>
              <w:t>☑</w:t>
            </w:r>
            <w:r>
              <w:rPr>
                <w:rFonts w:hint="default" w:ascii="Arial" w:hAnsi="Arial" w:cs="Arial"/>
                <w:snapToGrid w:val="0"/>
                <w:sz w:val="22"/>
                <w:szCs w:val="22"/>
              </w:rPr>
              <w:t>；其他</w:t>
            </w:r>
            <w:r>
              <w:rPr>
                <w:rFonts w:hint="eastAsia" w:ascii="Arial" w:hAnsi="Arial" w:cs="Arial"/>
                <w:snapToGrid w:val="0"/>
                <w:sz w:val="22"/>
                <w:szCs w:val="22"/>
                <w:lang w:eastAsia="zh-CN"/>
              </w:rPr>
              <w:t>☑</w:t>
            </w:r>
          </w:p>
        </w:tc>
      </w:tr>
      <w:tr w14:paraId="05BEE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1" w:type="pct"/>
            <w:gridSpan w:val="2"/>
            <w:vMerge w:val="restart"/>
            <w:shd w:val="clear" w:color="auto" w:fill="auto"/>
            <w:vAlign w:val="center"/>
          </w:tcPr>
          <w:p w14:paraId="32A265D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评价等级</w:t>
            </w:r>
          </w:p>
        </w:tc>
        <w:tc>
          <w:tcPr>
            <w:tcW w:w="1800" w:type="pct"/>
            <w:gridSpan w:val="5"/>
            <w:shd w:val="clear" w:color="auto" w:fill="auto"/>
            <w:vAlign w:val="center"/>
          </w:tcPr>
          <w:p w14:paraId="548F64E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水污染影响型</w:t>
            </w:r>
          </w:p>
        </w:tc>
        <w:tc>
          <w:tcPr>
            <w:tcW w:w="2328" w:type="pct"/>
            <w:gridSpan w:val="5"/>
            <w:shd w:val="clear" w:color="auto" w:fill="auto"/>
            <w:vAlign w:val="center"/>
          </w:tcPr>
          <w:p w14:paraId="4C0B21C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水文要素影响型</w:t>
            </w:r>
          </w:p>
        </w:tc>
      </w:tr>
      <w:tr w14:paraId="0C052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1" w:type="pct"/>
            <w:gridSpan w:val="2"/>
            <w:vMerge w:val="continue"/>
            <w:shd w:val="clear" w:color="auto" w:fill="auto"/>
            <w:vAlign w:val="center"/>
          </w:tcPr>
          <w:p w14:paraId="077012A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73FD6C1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一级□；二级□；三级A□；三级B</w:t>
            </w:r>
            <w:r>
              <w:rPr>
                <w:rFonts w:hint="eastAsia" w:ascii="Arial" w:hAnsi="Arial" w:cs="Arial"/>
                <w:snapToGrid w:val="0"/>
                <w:sz w:val="22"/>
                <w:szCs w:val="22"/>
                <w:lang w:eastAsia="zh-CN"/>
              </w:rPr>
              <w:t>□</w:t>
            </w:r>
          </w:p>
        </w:tc>
        <w:tc>
          <w:tcPr>
            <w:tcW w:w="2328" w:type="pct"/>
            <w:gridSpan w:val="5"/>
            <w:shd w:val="clear" w:color="auto" w:fill="auto"/>
            <w:vAlign w:val="center"/>
          </w:tcPr>
          <w:p w14:paraId="1C1994B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一级</w:t>
            </w:r>
            <w:r>
              <w:rPr>
                <w:rFonts w:hint="eastAsia" w:ascii="Arial" w:hAnsi="Arial" w:cs="Arial"/>
                <w:snapToGrid w:val="0"/>
                <w:sz w:val="22"/>
                <w:szCs w:val="22"/>
                <w:lang w:eastAsia="zh-CN"/>
              </w:rPr>
              <w:t>☑</w:t>
            </w:r>
            <w:r>
              <w:rPr>
                <w:rFonts w:hint="default" w:ascii="Arial" w:hAnsi="Arial" w:cs="Arial"/>
                <w:snapToGrid w:val="0"/>
                <w:sz w:val="22"/>
                <w:szCs w:val="22"/>
              </w:rPr>
              <w:t>；二级□；三级</w:t>
            </w:r>
            <w:r>
              <w:rPr>
                <w:rFonts w:hint="eastAsia" w:ascii="Arial" w:hAnsi="Arial" w:cs="Arial"/>
                <w:snapToGrid w:val="0"/>
                <w:sz w:val="22"/>
                <w:szCs w:val="22"/>
                <w:lang w:eastAsia="zh-CN"/>
              </w:rPr>
              <w:t>□</w:t>
            </w:r>
          </w:p>
        </w:tc>
      </w:tr>
      <w:tr w14:paraId="1B4B88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42B01BD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现状调查</w:t>
            </w:r>
          </w:p>
        </w:tc>
        <w:tc>
          <w:tcPr>
            <w:tcW w:w="630" w:type="pct"/>
            <w:vMerge w:val="restart"/>
            <w:shd w:val="clear" w:color="auto" w:fill="auto"/>
            <w:vAlign w:val="center"/>
          </w:tcPr>
          <w:p w14:paraId="611FA12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区域</w:t>
            </w:r>
          </w:p>
          <w:p w14:paraId="4D168EA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污染源</w:t>
            </w:r>
          </w:p>
        </w:tc>
        <w:tc>
          <w:tcPr>
            <w:tcW w:w="1800" w:type="pct"/>
            <w:gridSpan w:val="5"/>
            <w:shd w:val="clear" w:color="auto" w:fill="auto"/>
            <w:vAlign w:val="center"/>
          </w:tcPr>
          <w:p w14:paraId="146BBE9D">
            <w:pPr>
              <w:keepNext/>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调查项目</w:t>
            </w:r>
          </w:p>
        </w:tc>
        <w:tc>
          <w:tcPr>
            <w:tcW w:w="2328" w:type="pct"/>
            <w:gridSpan w:val="5"/>
            <w:shd w:val="clear" w:color="auto" w:fill="auto"/>
            <w:vAlign w:val="center"/>
          </w:tcPr>
          <w:p w14:paraId="1F4BC37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数据来源</w:t>
            </w:r>
          </w:p>
        </w:tc>
      </w:tr>
      <w:tr w14:paraId="07DA7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269FA9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0030DB4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180" w:type="pct"/>
            <w:gridSpan w:val="3"/>
            <w:shd w:val="clear" w:color="auto" w:fill="auto"/>
            <w:vAlign w:val="center"/>
          </w:tcPr>
          <w:p w14:paraId="65406D0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已建□；在建□；拟建□；其他□</w:t>
            </w:r>
          </w:p>
        </w:tc>
        <w:tc>
          <w:tcPr>
            <w:tcW w:w="620" w:type="pct"/>
            <w:gridSpan w:val="2"/>
            <w:shd w:val="clear" w:color="auto" w:fill="auto"/>
            <w:vAlign w:val="center"/>
          </w:tcPr>
          <w:p w14:paraId="35CECCA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拟替代的污染源□</w:t>
            </w:r>
          </w:p>
        </w:tc>
        <w:tc>
          <w:tcPr>
            <w:tcW w:w="2328" w:type="pct"/>
            <w:gridSpan w:val="5"/>
            <w:shd w:val="clear" w:color="auto" w:fill="auto"/>
            <w:vAlign w:val="center"/>
          </w:tcPr>
          <w:p w14:paraId="5934D6A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排污许可证□；环评□；环保验收□；既有实测</w:t>
            </w:r>
            <w:r>
              <w:rPr>
                <w:rFonts w:hint="eastAsia" w:ascii="Arial" w:hAnsi="Arial" w:cs="Arial"/>
                <w:snapToGrid w:val="0"/>
                <w:sz w:val="22"/>
                <w:szCs w:val="22"/>
                <w:lang w:eastAsia="zh-CN"/>
              </w:rPr>
              <w:t>☑</w:t>
            </w:r>
            <w:r>
              <w:rPr>
                <w:rFonts w:hint="default" w:ascii="Arial" w:hAnsi="Arial" w:cs="Arial"/>
                <w:snapToGrid w:val="0"/>
                <w:sz w:val="22"/>
                <w:szCs w:val="22"/>
              </w:rPr>
              <w:t>；现场监测</w:t>
            </w:r>
            <w:r>
              <w:rPr>
                <w:rFonts w:hint="eastAsia" w:ascii="Arial" w:hAnsi="Arial" w:cs="Arial"/>
                <w:snapToGrid w:val="0"/>
                <w:sz w:val="22"/>
                <w:szCs w:val="22"/>
                <w:lang w:eastAsia="zh-CN"/>
              </w:rPr>
              <w:t>☑</w:t>
            </w:r>
            <w:r>
              <w:rPr>
                <w:rFonts w:hint="default" w:ascii="Arial" w:hAnsi="Arial" w:cs="Arial"/>
                <w:snapToGrid w:val="0"/>
                <w:sz w:val="22"/>
                <w:szCs w:val="22"/>
              </w:rPr>
              <w:t>；入河排放口数据□；其他</w:t>
            </w:r>
            <w:r>
              <w:rPr>
                <w:rFonts w:hint="eastAsia" w:ascii="Arial" w:hAnsi="Arial" w:cs="Arial"/>
                <w:snapToGrid w:val="0"/>
                <w:sz w:val="22"/>
                <w:szCs w:val="22"/>
                <w:lang w:eastAsia="zh-CN"/>
              </w:rPr>
              <w:t>☑</w:t>
            </w:r>
          </w:p>
        </w:tc>
      </w:tr>
      <w:tr w14:paraId="0BE62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2AB3B1F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0EC1C8D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受影响水体水环境质量</w:t>
            </w:r>
          </w:p>
        </w:tc>
        <w:tc>
          <w:tcPr>
            <w:tcW w:w="1800" w:type="pct"/>
            <w:gridSpan w:val="5"/>
            <w:shd w:val="clear" w:color="auto" w:fill="auto"/>
            <w:vAlign w:val="center"/>
          </w:tcPr>
          <w:p w14:paraId="7302310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调查时期</w:t>
            </w:r>
          </w:p>
        </w:tc>
        <w:tc>
          <w:tcPr>
            <w:tcW w:w="2328" w:type="pct"/>
            <w:gridSpan w:val="5"/>
            <w:shd w:val="clear" w:color="auto" w:fill="auto"/>
            <w:vAlign w:val="center"/>
          </w:tcPr>
          <w:p w14:paraId="22B3D31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数据来源</w:t>
            </w:r>
          </w:p>
        </w:tc>
      </w:tr>
      <w:tr w14:paraId="383AE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166AFC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1135DA2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2077A10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丰水期□；平水期□；枯水期</w:t>
            </w:r>
            <w:r>
              <w:rPr>
                <w:rFonts w:hint="eastAsia" w:ascii="Arial" w:hAnsi="Arial" w:cs="Arial"/>
                <w:snapToGrid w:val="0"/>
                <w:sz w:val="22"/>
                <w:szCs w:val="22"/>
                <w:lang w:eastAsia="zh-CN"/>
              </w:rPr>
              <w:t>□</w:t>
            </w:r>
            <w:r>
              <w:rPr>
                <w:rFonts w:hint="default" w:ascii="Arial" w:hAnsi="Arial" w:cs="Arial"/>
                <w:snapToGrid w:val="0"/>
                <w:sz w:val="22"/>
                <w:szCs w:val="22"/>
              </w:rPr>
              <w:t>；</w:t>
            </w:r>
          </w:p>
          <w:p w14:paraId="32DFD19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冰封期□；春季□；夏季□；秋季□；冬季□</w:t>
            </w:r>
          </w:p>
        </w:tc>
        <w:tc>
          <w:tcPr>
            <w:tcW w:w="2328" w:type="pct"/>
            <w:gridSpan w:val="5"/>
            <w:shd w:val="clear" w:color="auto" w:fill="auto"/>
            <w:vAlign w:val="center"/>
          </w:tcPr>
          <w:p w14:paraId="0B58B3F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生态环境保护主管部门</w:t>
            </w:r>
            <w:r>
              <w:rPr>
                <w:rFonts w:hint="eastAsia" w:ascii="Arial" w:hAnsi="Arial" w:cs="Arial"/>
                <w:snapToGrid w:val="0"/>
                <w:sz w:val="22"/>
                <w:szCs w:val="22"/>
                <w:lang w:eastAsia="zh-CN"/>
              </w:rPr>
              <w:t>☑</w:t>
            </w:r>
            <w:r>
              <w:rPr>
                <w:rFonts w:hint="default" w:ascii="Arial" w:hAnsi="Arial" w:cs="Arial"/>
                <w:snapToGrid w:val="0"/>
                <w:sz w:val="22"/>
                <w:szCs w:val="22"/>
              </w:rPr>
              <w:t>；补充监测</w:t>
            </w:r>
            <w:r>
              <w:rPr>
                <w:rFonts w:hint="eastAsia" w:ascii="Arial" w:hAnsi="Arial" w:cs="Arial"/>
                <w:snapToGrid w:val="0"/>
                <w:sz w:val="22"/>
                <w:szCs w:val="22"/>
                <w:lang w:eastAsia="zh-CN"/>
              </w:rPr>
              <w:t>☑</w:t>
            </w:r>
            <w:r>
              <w:rPr>
                <w:rFonts w:hint="default" w:ascii="Arial" w:hAnsi="Arial" w:cs="Arial"/>
                <w:snapToGrid w:val="0"/>
                <w:sz w:val="22"/>
                <w:szCs w:val="22"/>
              </w:rPr>
              <w:t>；其他□</w:t>
            </w:r>
          </w:p>
        </w:tc>
      </w:tr>
      <w:tr w14:paraId="0F0C5F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6E89963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643368A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区域水资源开发利用状况</w:t>
            </w:r>
          </w:p>
        </w:tc>
        <w:tc>
          <w:tcPr>
            <w:tcW w:w="4128" w:type="pct"/>
            <w:gridSpan w:val="10"/>
            <w:shd w:val="clear" w:color="auto" w:fill="auto"/>
            <w:vAlign w:val="center"/>
          </w:tcPr>
          <w:p w14:paraId="2B3E275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未开发</w:t>
            </w:r>
            <w:r>
              <w:rPr>
                <w:rFonts w:hint="eastAsia" w:ascii="Arial" w:hAnsi="Arial" w:cs="Arial"/>
                <w:snapToGrid w:val="0"/>
                <w:sz w:val="22"/>
                <w:szCs w:val="22"/>
                <w:lang w:eastAsia="zh-CN"/>
              </w:rPr>
              <w:t>☑</w:t>
            </w:r>
            <w:r>
              <w:rPr>
                <w:rFonts w:hint="default" w:ascii="Arial" w:hAnsi="Arial" w:cs="Arial"/>
                <w:snapToGrid w:val="0"/>
                <w:sz w:val="22"/>
                <w:szCs w:val="22"/>
              </w:rPr>
              <w:t>；开发量40%以下□；开发量40%以上□</w:t>
            </w:r>
          </w:p>
        </w:tc>
      </w:tr>
      <w:tr w14:paraId="5B7AB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297FC01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364C311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水文情势调查</w:t>
            </w:r>
          </w:p>
        </w:tc>
        <w:tc>
          <w:tcPr>
            <w:tcW w:w="1800" w:type="pct"/>
            <w:gridSpan w:val="5"/>
            <w:shd w:val="clear" w:color="auto" w:fill="auto"/>
            <w:vAlign w:val="center"/>
          </w:tcPr>
          <w:p w14:paraId="2D1AC68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调查时期</w:t>
            </w:r>
          </w:p>
        </w:tc>
        <w:tc>
          <w:tcPr>
            <w:tcW w:w="2328" w:type="pct"/>
            <w:gridSpan w:val="5"/>
            <w:shd w:val="clear" w:color="auto" w:fill="auto"/>
            <w:vAlign w:val="center"/>
          </w:tcPr>
          <w:p w14:paraId="6734CE5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数据来源</w:t>
            </w:r>
          </w:p>
        </w:tc>
      </w:tr>
      <w:tr w14:paraId="42AEA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4F6ED9C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7B4C841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3DB5C8B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w:t>
            </w:r>
            <w:r>
              <w:rPr>
                <w:rFonts w:hint="eastAsia" w:ascii="Arial" w:hAnsi="Arial" w:cs="Arial"/>
                <w:snapToGrid w:val="0"/>
                <w:sz w:val="22"/>
                <w:szCs w:val="22"/>
                <w:lang w:eastAsia="zh-CN"/>
              </w:rPr>
              <w:t>☑</w:t>
            </w:r>
            <w:r>
              <w:rPr>
                <w:rFonts w:hint="default" w:ascii="Arial" w:hAnsi="Arial" w:cs="Arial"/>
                <w:snapToGrid w:val="0"/>
                <w:sz w:val="22"/>
                <w:szCs w:val="22"/>
              </w:rPr>
              <w:t>；平水期□；枯水期</w:t>
            </w:r>
            <w:r>
              <w:rPr>
                <w:rFonts w:hint="eastAsia" w:ascii="Arial" w:hAnsi="Arial" w:cs="Arial"/>
                <w:snapToGrid w:val="0"/>
                <w:sz w:val="22"/>
                <w:szCs w:val="22"/>
                <w:lang w:eastAsia="zh-CN"/>
              </w:rPr>
              <w:t>☑</w:t>
            </w:r>
            <w:r>
              <w:rPr>
                <w:rFonts w:hint="default" w:ascii="Arial" w:hAnsi="Arial" w:cs="Arial"/>
                <w:snapToGrid w:val="0"/>
                <w:sz w:val="22"/>
                <w:szCs w:val="22"/>
              </w:rPr>
              <w:t>；</w:t>
            </w:r>
          </w:p>
          <w:p w14:paraId="7F73D9C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冰封期□；春季□；夏季□；秋季□；冬季□</w:t>
            </w:r>
          </w:p>
        </w:tc>
        <w:tc>
          <w:tcPr>
            <w:tcW w:w="2328" w:type="pct"/>
            <w:gridSpan w:val="5"/>
            <w:shd w:val="clear" w:color="auto" w:fill="auto"/>
            <w:vAlign w:val="center"/>
          </w:tcPr>
          <w:p w14:paraId="089B450F">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水行政主管部门□；补充监测□；其他</w:t>
            </w:r>
            <w:r>
              <w:rPr>
                <w:rFonts w:hint="eastAsia" w:ascii="Arial" w:hAnsi="Arial" w:cs="Arial"/>
                <w:snapToGrid w:val="0"/>
                <w:sz w:val="22"/>
                <w:szCs w:val="22"/>
                <w:lang w:eastAsia="zh-CN"/>
              </w:rPr>
              <w:t>☑</w:t>
            </w:r>
          </w:p>
        </w:tc>
      </w:tr>
      <w:tr w14:paraId="3AB8C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F86519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770CF75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补充监测</w:t>
            </w:r>
          </w:p>
        </w:tc>
        <w:tc>
          <w:tcPr>
            <w:tcW w:w="1800" w:type="pct"/>
            <w:gridSpan w:val="5"/>
            <w:shd w:val="clear" w:color="auto" w:fill="auto"/>
            <w:vAlign w:val="center"/>
          </w:tcPr>
          <w:p w14:paraId="47222BB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监测时期</w:t>
            </w:r>
          </w:p>
        </w:tc>
        <w:tc>
          <w:tcPr>
            <w:tcW w:w="1708" w:type="pct"/>
            <w:gridSpan w:val="4"/>
            <w:shd w:val="clear" w:color="auto" w:fill="auto"/>
            <w:vAlign w:val="center"/>
          </w:tcPr>
          <w:p w14:paraId="7CE5158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监测因子</w:t>
            </w:r>
          </w:p>
        </w:tc>
        <w:tc>
          <w:tcPr>
            <w:tcW w:w="620" w:type="pct"/>
            <w:shd w:val="clear" w:color="auto" w:fill="auto"/>
            <w:vAlign w:val="center"/>
          </w:tcPr>
          <w:p w14:paraId="674063B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监测断面或点位</w:t>
            </w:r>
          </w:p>
        </w:tc>
      </w:tr>
      <w:tr w14:paraId="01F9E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16F2452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3541CD5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79985D8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w:t>
            </w:r>
            <w:r>
              <w:rPr>
                <w:rFonts w:hint="eastAsia" w:ascii="Arial" w:hAnsi="Arial" w:cs="Arial"/>
                <w:snapToGrid w:val="0"/>
                <w:sz w:val="22"/>
                <w:szCs w:val="22"/>
                <w:lang w:eastAsia="zh-CN"/>
              </w:rPr>
              <w:t>☑</w:t>
            </w:r>
            <w:r>
              <w:rPr>
                <w:rFonts w:hint="default" w:ascii="Arial" w:hAnsi="Arial" w:cs="Arial"/>
                <w:snapToGrid w:val="0"/>
                <w:sz w:val="22"/>
                <w:szCs w:val="22"/>
              </w:rPr>
              <w:t>；平水期□；枯水期</w:t>
            </w:r>
            <w:r>
              <w:rPr>
                <w:rFonts w:hint="eastAsia" w:ascii="Arial" w:hAnsi="Arial" w:cs="Arial"/>
                <w:snapToGrid w:val="0"/>
                <w:sz w:val="22"/>
                <w:szCs w:val="22"/>
                <w:lang w:eastAsia="zh-CN"/>
              </w:rPr>
              <w:t>☑</w:t>
            </w:r>
            <w:r>
              <w:rPr>
                <w:rFonts w:hint="default" w:ascii="Arial" w:hAnsi="Arial" w:cs="Arial"/>
                <w:snapToGrid w:val="0"/>
                <w:sz w:val="22"/>
                <w:szCs w:val="22"/>
              </w:rPr>
              <w:t>；</w:t>
            </w:r>
          </w:p>
          <w:p w14:paraId="22CFEA7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冰封期□；春季□；夏季□；秋季□；冬季□</w:t>
            </w:r>
          </w:p>
        </w:tc>
        <w:tc>
          <w:tcPr>
            <w:tcW w:w="1708" w:type="pct"/>
            <w:gridSpan w:val="4"/>
            <w:shd w:val="clear" w:color="auto" w:fill="auto"/>
            <w:vAlign w:val="center"/>
          </w:tcPr>
          <w:p w14:paraId="28131024">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eastAsia" w:ascii="Arial" w:hAnsi="Arial" w:cs="Arial"/>
                <w:snapToGrid w:val="0"/>
                <w:sz w:val="22"/>
                <w:szCs w:val="22"/>
                <w:lang w:eastAsia="zh-CN"/>
              </w:rPr>
              <w:t>（</w:t>
            </w:r>
            <w:r>
              <w:rPr>
                <w:rFonts w:hint="default" w:ascii="Arial" w:hAnsi="Arial" w:cs="Arial"/>
                <w:b w:val="0"/>
                <w:bCs w:val="0"/>
                <w:snapToGrid w:val="0"/>
                <w:color w:val="auto"/>
                <w:kern w:val="0"/>
                <w:sz w:val="22"/>
                <w:szCs w:val="22"/>
                <w:highlight w:val="none"/>
                <w:lang w:bidi="ar"/>
              </w:rPr>
              <w:t>水温、pH、DO、高锰酸盐指数、COD、总磷、BOD</w:t>
            </w:r>
            <w:r>
              <w:rPr>
                <w:rFonts w:hint="default" w:ascii="Arial" w:hAnsi="Arial" w:cs="Arial"/>
                <w:b w:val="0"/>
                <w:bCs w:val="0"/>
                <w:snapToGrid w:val="0"/>
                <w:color w:val="auto"/>
                <w:kern w:val="0"/>
                <w:sz w:val="22"/>
                <w:szCs w:val="22"/>
                <w:highlight w:val="none"/>
                <w:vertAlign w:val="subscript"/>
                <w:lang w:bidi="ar"/>
              </w:rPr>
              <w:t>5</w:t>
            </w:r>
            <w:r>
              <w:rPr>
                <w:rFonts w:hint="default" w:ascii="Arial" w:hAnsi="Arial" w:cs="Arial"/>
                <w:b w:val="0"/>
                <w:bCs w:val="0"/>
                <w:snapToGrid w:val="0"/>
                <w:color w:val="auto"/>
                <w:kern w:val="0"/>
                <w:sz w:val="22"/>
                <w:szCs w:val="22"/>
                <w:highlight w:val="none"/>
                <w:lang w:bidi="ar"/>
              </w:rPr>
              <w:t>、氨氮、总氮、铜、锌、氟化物、硒、砷、汞、镉、铬（六价）、铅、氰化物、挥发酚、石油类、阴离子表面活性剂、硫化物、粪大肠菌群、叶绿素a、透明度、硫酸盐、氯化物、铁、锰、硝酸盐</w:t>
            </w:r>
            <w:r>
              <w:rPr>
                <w:rFonts w:hint="eastAsia" w:ascii="Arial" w:hAnsi="Arial" w:cs="Arial"/>
                <w:snapToGrid w:val="0"/>
                <w:sz w:val="22"/>
                <w:szCs w:val="22"/>
                <w:lang w:eastAsia="zh-CN"/>
              </w:rPr>
              <w:t>）</w:t>
            </w:r>
          </w:p>
        </w:tc>
        <w:tc>
          <w:tcPr>
            <w:tcW w:w="620" w:type="pct"/>
            <w:shd w:val="clear" w:color="auto" w:fill="auto"/>
            <w:vAlign w:val="center"/>
          </w:tcPr>
          <w:p w14:paraId="16D03D1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监测断面或点位个数</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3）</w:t>
            </w:r>
            <w:r>
              <w:rPr>
                <w:rFonts w:hint="default" w:ascii="Arial" w:hAnsi="Arial" w:cs="Arial"/>
                <w:snapToGrid w:val="0"/>
                <w:sz w:val="22"/>
                <w:szCs w:val="22"/>
              </w:rPr>
              <w:t>个</w:t>
            </w:r>
          </w:p>
        </w:tc>
      </w:tr>
      <w:tr w14:paraId="2C85D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51511E2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现状评价</w:t>
            </w:r>
          </w:p>
        </w:tc>
        <w:tc>
          <w:tcPr>
            <w:tcW w:w="630" w:type="pct"/>
            <w:shd w:val="clear" w:color="auto" w:fill="auto"/>
            <w:vAlign w:val="center"/>
          </w:tcPr>
          <w:p w14:paraId="24B4C54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评价范围</w:t>
            </w:r>
          </w:p>
        </w:tc>
        <w:tc>
          <w:tcPr>
            <w:tcW w:w="4128" w:type="pct"/>
            <w:gridSpan w:val="10"/>
            <w:shd w:val="clear" w:color="auto" w:fill="auto"/>
            <w:vAlign w:val="center"/>
          </w:tcPr>
          <w:p w14:paraId="0C64F86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河流：长度</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8.48</w:t>
            </w:r>
            <w:r>
              <w:rPr>
                <w:rFonts w:hint="eastAsia" w:ascii="Arial" w:hAnsi="Arial" w:cs="Arial"/>
                <w:snapToGrid w:val="0"/>
                <w:sz w:val="22"/>
                <w:szCs w:val="22"/>
                <w:lang w:eastAsia="zh-CN"/>
              </w:rPr>
              <w:t>）</w:t>
            </w:r>
            <w:r>
              <w:rPr>
                <w:rFonts w:hint="default" w:ascii="Arial" w:hAnsi="Arial" w:cs="Arial"/>
                <w:snapToGrid w:val="0"/>
                <w:sz w:val="22"/>
                <w:szCs w:val="22"/>
              </w:rPr>
              <w:t>km；湖库、河口及近岸海域：面积</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r>
              <w:rPr>
                <w:rFonts w:hint="default" w:ascii="Arial" w:hAnsi="Arial" w:cs="Arial"/>
                <w:snapToGrid w:val="0"/>
                <w:sz w:val="22"/>
                <w:szCs w:val="22"/>
              </w:rPr>
              <w:t>km</w:t>
            </w:r>
            <w:r>
              <w:rPr>
                <w:rFonts w:hint="default" w:ascii="Arial" w:hAnsi="Arial" w:cs="Arial"/>
                <w:snapToGrid w:val="0"/>
                <w:sz w:val="22"/>
                <w:szCs w:val="22"/>
                <w:vertAlign w:val="superscript"/>
              </w:rPr>
              <w:t>2</w:t>
            </w:r>
          </w:p>
        </w:tc>
      </w:tr>
      <w:tr w14:paraId="2470F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DF8453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23EC706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评价因子</w:t>
            </w:r>
          </w:p>
        </w:tc>
        <w:tc>
          <w:tcPr>
            <w:tcW w:w="4128" w:type="pct"/>
            <w:gridSpan w:val="10"/>
            <w:shd w:val="clear" w:color="auto" w:fill="auto"/>
            <w:vAlign w:val="center"/>
          </w:tcPr>
          <w:p w14:paraId="0E8A2AE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宋体" w:hAnsi="宋体" w:eastAsia="宋体" w:cs="宋体"/>
                <w:snapToGrid w:val="0"/>
                <w:sz w:val="22"/>
                <w:szCs w:val="22"/>
              </w:rPr>
              <w:t>(</w:t>
            </w:r>
            <w:r>
              <w:rPr>
                <w:rFonts w:hint="default" w:ascii="Arial" w:hAnsi="Arial" w:cs="Arial"/>
                <w:b w:val="0"/>
                <w:bCs w:val="0"/>
                <w:snapToGrid w:val="0"/>
                <w:color w:val="auto"/>
                <w:kern w:val="0"/>
                <w:sz w:val="22"/>
                <w:szCs w:val="22"/>
                <w:highlight w:val="none"/>
                <w:lang w:bidi="ar"/>
              </w:rPr>
              <w:t>水温、pH、DO、高锰酸盐指数、COD、总磷、BOD</w:t>
            </w:r>
            <w:r>
              <w:rPr>
                <w:rFonts w:hint="default" w:ascii="Arial" w:hAnsi="Arial" w:cs="Arial"/>
                <w:b w:val="0"/>
                <w:bCs w:val="0"/>
                <w:snapToGrid w:val="0"/>
                <w:color w:val="auto"/>
                <w:kern w:val="0"/>
                <w:sz w:val="22"/>
                <w:szCs w:val="22"/>
                <w:highlight w:val="none"/>
                <w:vertAlign w:val="subscript"/>
                <w:lang w:bidi="ar"/>
              </w:rPr>
              <w:t>5</w:t>
            </w:r>
            <w:r>
              <w:rPr>
                <w:rFonts w:hint="default" w:ascii="Arial" w:hAnsi="Arial" w:cs="Arial"/>
                <w:b w:val="0"/>
                <w:bCs w:val="0"/>
                <w:snapToGrid w:val="0"/>
                <w:color w:val="auto"/>
                <w:kern w:val="0"/>
                <w:sz w:val="22"/>
                <w:szCs w:val="22"/>
                <w:highlight w:val="none"/>
                <w:lang w:bidi="ar"/>
              </w:rPr>
              <w:t>、氨氮、总氮、铜、锌、氟化物、硒、砷、汞、镉、铬（六价）、铅、氰化物、挥发酚、石油类、阴离子表面活性剂、硫化物、粪大肠菌群、叶绿素a、透明度、硫酸盐、氯化物、铁、锰、硝酸盐</w:t>
            </w:r>
            <w:r>
              <w:rPr>
                <w:rFonts w:hint="eastAsia" w:ascii="宋体" w:hAnsi="宋体" w:eastAsia="宋体" w:cs="宋体"/>
                <w:snapToGrid w:val="0"/>
                <w:sz w:val="22"/>
                <w:szCs w:val="22"/>
              </w:rPr>
              <w:t>)</w:t>
            </w:r>
          </w:p>
        </w:tc>
      </w:tr>
      <w:tr w14:paraId="2CDED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287F06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797F1F0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评价标准</w:t>
            </w:r>
          </w:p>
        </w:tc>
        <w:tc>
          <w:tcPr>
            <w:tcW w:w="4128" w:type="pct"/>
            <w:gridSpan w:val="10"/>
            <w:shd w:val="clear" w:color="auto" w:fill="auto"/>
            <w:vAlign w:val="center"/>
          </w:tcPr>
          <w:p w14:paraId="585B88A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河流、湖库、河口：Ⅰ类□；Ⅱ类□；Ⅲ类</w:t>
            </w:r>
            <w:r>
              <w:rPr>
                <w:rFonts w:hint="eastAsia" w:ascii="Arial" w:hAnsi="Arial" w:cs="Arial"/>
                <w:snapToGrid w:val="0"/>
                <w:sz w:val="22"/>
                <w:szCs w:val="22"/>
                <w:lang w:eastAsia="zh-CN"/>
              </w:rPr>
              <w:t>☑</w:t>
            </w:r>
            <w:r>
              <w:rPr>
                <w:rFonts w:hint="default" w:ascii="Arial" w:hAnsi="Arial" w:cs="Arial"/>
                <w:snapToGrid w:val="0"/>
                <w:sz w:val="22"/>
                <w:szCs w:val="22"/>
              </w:rPr>
              <w:t>；Ⅳ类□；Ⅴ类□；</w:t>
            </w:r>
          </w:p>
          <w:p w14:paraId="1BFBB8C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近岸海域：第一类□；第二类□；第三类□；第四类□；</w:t>
            </w:r>
          </w:p>
        </w:tc>
      </w:tr>
      <w:tr w14:paraId="7B873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9F18C6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74156CF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评价时期</w:t>
            </w:r>
          </w:p>
        </w:tc>
        <w:tc>
          <w:tcPr>
            <w:tcW w:w="4128" w:type="pct"/>
            <w:gridSpan w:val="10"/>
            <w:shd w:val="clear" w:color="auto" w:fill="auto"/>
            <w:vAlign w:val="center"/>
          </w:tcPr>
          <w:p w14:paraId="0006718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w:t>
            </w:r>
            <w:r>
              <w:rPr>
                <w:rFonts w:hint="eastAsia" w:ascii="Arial" w:hAnsi="Arial" w:cs="Arial"/>
                <w:snapToGrid w:val="0"/>
                <w:sz w:val="22"/>
                <w:szCs w:val="22"/>
                <w:lang w:eastAsia="zh-CN"/>
              </w:rPr>
              <w:t>☑</w:t>
            </w:r>
            <w:r>
              <w:rPr>
                <w:rFonts w:hint="default" w:ascii="Arial" w:hAnsi="Arial" w:cs="Arial"/>
                <w:snapToGrid w:val="0"/>
                <w:sz w:val="22"/>
                <w:szCs w:val="22"/>
              </w:rPr>
              <w:t>；平水期□；枯水期</w:t>
            </w:r>
            <w:r>
              <w:rPr>
                <w:rFonts w:hint="eastAsia" w:ascii="Arial" w:hAnsi="Arial" w:cs="Arial"/>
                <w:snapToGrid w:val="0"/>
                <w:sz w:val="22"/>
                <w:szCs w:val="22"/>
                <w:lang w:eastAsia="zh-CN"/>
              </w:rPr>
              <w:t>☑</w:t>
            </w:r>
            <w:r>
              <w:rPr>
                <w:rFonts w:hint="default" w:ascii="Arial" w:hAnsi="Arial" w:cs="Arial"/>
                <w:snapToGrid w:val="0"/>
                <w:sz w:val="22"/>
                <w:szCs w:val="22"/>
              </w:rPr>
              <w:t>；冰封期□；</w:t>
            </w:r>
          </w:p>
          <w:p w14:paraId="40EA855B">
            <w:pPr>
              <w:keepLines w:val="0"/>
              <w:pageBreakBefore w:val="0"/>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春季□；夏季□；秋季□；冬季□</w:t>
            </w:r>
          </w:p>
        </w:tc>
      </w:tr>
      <w:tr w14:paraId="7F4F8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68A115F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48BB683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评价结论</w:t>
            </w:r>
          </w:p>
        </w:tc>
        <w:tc>
          <w:tcPr>
            <w:tcW w:w="3508" w:type="pct"/>
            <w:gridSpan w:val="9"/>
            <w:shd w:val="clear" w:color="auto" w:fill="auto"/>
            <w:vAlign w:val="center"/>
          </w:tcPr>
          <w:p w14:paraId="55B84B06">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水环境功能区水质达标状况：达标</w:t>
            </w:r>
            <w:r>
              <w:rPr>
                <w:rFonts w:hint="eastAsia" w:ascii="Arial" w:hAnsi="Arial" w:cs="Arial"/>
                <w:snapToGrid w:val="0"/>
                <w:sz w:val="22"/>
                <w:szCs w:val="22"/>
                <w:lang w:eastAsia="zh-CN"/>
              </w:rPr>
              <w:t>☑</w:t>
            </w:r>
            <w:r>
              <w:rPr>
                <w:rFonts w:hint="default" w:ascii="Arial" w:hAnsi="Arial" w:cs="Arial"/>
                <w:snapToGrid w:val="0"/>
                <w:sz w:val="22"/>
                <w:szCs w:val="22"/>
              </w:rPr>
              <w:t>；不达标□</w:t>
            </w:r>
          </w:p>
          <w:p w14:paraId="68B2C02A">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水环境控制单元或断面水质达标状况：达标</w:t>
            </w:r>
            <w:r>
              <w:rPr>
                <w:rFonts w:hint="eastAsia" w:ascii="Arial" w:hAnsi="Arial" w:cs="Arial"/>
                <w:snapToGrid w:val="0"/>
                <w:sz w:val="22"/>
                <w:szCs w:val="22"/>
                <w:lang w:eastAsia="zh-CN"/>
              </w:rPr>
              <w:t>☑</w:t>
            </w:r>
            <w:r>
              <w:rPr>
                <w:rFonts w:hint="default" w:ascii="Arial" w:hAnsi="Arial" w:cs="Arial"/>
                <w:snapToGrid w:val="0"/>
                <w:sz w:val="22"/>
                <w:szCs w:val="22"/>
              </w:rPr>
              <w:t>；不达标□</w:t>
            </w:r>
          </w:p>
          <w:p w14:paraId="16AE4455">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水环境保护目标质量状况：达标</w:t>
            </w:r>
            <w:r>
              <w:rPr>
                <w:rFonts w:hint="eastAsia" w:ascii="Arial" w:hAnsi="Arial" w:cs="Arial"/>
                <w:snapToGrid w:val="0"/>
                <w:sz w:val="22"/>
                <w:szCs w:val="22"/>
                <w:lang w:eastAsia="zh-CN"/>
              </w:rPr>
              <w:t>☑</w:t>
            </w:r>
            <w:r>
              <w:rPr>
                <w:rFonts w:hint="default" w:ascii="Arial" w:hAnsi="Arial" w:cs="Arial"/>
                <w:snapToGrid w:val="0"/>
                <w:sz w:val="22"/>
                <w:szCs w:val="22"/>
              </w:rPr>
              <w:t>；不达标□</w:t>
            </w:r>
          </w:p>
          <w:p w14:paraId="793DE191">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对照断面、控制断面等代表性断面水质：达标</w:t>
            </w:r>
            <w:r>
              <w:rPr>
                <w:rFonts w:hint="eastAsia" w:ascii="Arial" w:hAnsi="Arial" w:cs="Arial"/>
                <w:snapToGrid w:val="0"/>
                <w:sz w:val="22"/>
                <w:szCs w:val="22"/>
                <w:lang w:eastAsia="zh-CN"/>
              </w:rPr>
              <w:t>☑</w:t>
            </w:r>
            <w:r>
              <w:rPr>
                <w:rFonts w:hint="default" w:ascii="Arial" w:hAnsi="Arial" w:cs="Arial"/>
                <w:snapToGrid w:val="0"/>
                <w:sz w:val="22"/>
                <w:szCs w:val="22"/>
              </w:rPr>
              <w:t>；不达标□</w:t>
            </w:r>
          </w:p>
          <w:p w14:paraId="2C44B985">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底泥污染评价 </w:t>
            </w:r>
            <w:r>
              <w:rPr>
                <w:rFonts w:hint="eastAsia" w:ascii="Arial" w:hAnsi="Arial" w:cs="Arial"/>
                <w:snapToGrid w:val="0"/>
                <w:sz w:val="22"/>
                <w:szCs w:val="22"/>
                <w:lang w:eastAsia="zh-CN"/>
              </w:rPr>
              <w:t>☑</w:t>
            </w:r>
          </w:p>
          <w:p w14:paraId="1DFCAF0D">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水资源与开发利用程度及其水文情势评价 </w:t>
            </w:r>
            <w:r>
              <w:rPr>
                <w:rFonts w:hint="eastAsia" w:ascii="Arial" w:hAnsi="Arial" w:cs="Arial"/>
                <w:snapToGrid w:val="0"/>
                <w:sz w:val="22"/>
                <w:szCs w:val="22"/>
                <w:lang w:eastAsia="zh-CN"/>
              </w:rPr>
              <w:t>☑</w:t>
            </w:r>
          </w:p>
          <w:p w14:paraId="090C84E4">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水环境质量回顾评价 </w:t>
            </w:r>
            <w:r>
              <w:rPr>
                <w:rFonts w:hint="eastAsia" w:ascii="Arial" w:hAnsi="Arial" w:cs="Arial"/>
                <w:snapToGrid w:val="0"/>
                <w:sz w:val="22"/>
                <w:szCs w:val="22"/>
                <w:lang w:eastAsia="zh-CN"/>
              </w:rPr>
              <w:t>☑</w:t>
            </w:r>
          </w:p>
          <w:p w14:paraId="1E564B64">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流域(区域)水资源(包括水能资源)与开发利用总体状况、生态流量管理要求与现状满足程度、建设项目占用水域空间的水流状况与河湖演变状况 </w:t>
            </w:r>
            <w:r>
              <w:rPr>
                <w:rFonts w:hint="eastAsia" w:ascii="Arial" w:hAnsi="Arial" w:cs="Arial"/>
                <w:snapToGrid w:val="0"/>
                <w:sz w:val="22"/>
                <w:szCs w:val="22"/>
                <w:lang w:eastAsia="zh-CN"/>
              </w:rPr>
              <w:t>☑</w:t>
            </w:r>
          </w:p>
        </w:tc>
        <w:tc>
          <w:tcPr>
            <w:tcW w:w="620" w:type="pct"/>
            <w:shd w:val="clear" w:color="auto" w:fill="auto"/>
            <w:vAlign w:val="center"/>
          </w:tcPr>
          <w:p w14:paraId="291BF6D8">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达标区</w:t>
            </w:r>
            <w:r>
              <w:rPr>
                <w:rFonts w:hint="eastAsia" w:ascii="Arial" w:hAnsi="Arial" w:cs="Arial"/>
                <w:snapToGrid w:val="0"/>
                <w:sz w:val="22"/>
                <w:szCs w:val="22"/>
                <w:lang w:eastAsia="zh-CN"/>
              </w:rPr>
              <w:t>☑</w:t>
            </w:r>
          </w:p>
          <w:p w14:paraId="4D91639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不达标区□</w:t>
            </w:r>
          </w:p>
        </w:tc>
      </w:tr>
      <w:tr w14:paraId="13193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19B1987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影响预测</w:t>
            </w:r>
          </w:p>
        </w:tc>
        <w:tc>
          <w:tcPr>
            <w:tcW w:w="630" w:type="pct"/>
            <w:shd w:val="clear" w:color="auto" w:fill="auto"/>
            <w:vAlign w:val="center"/>
          </w:tcPr>
          <w:p w14:paraId="548EA4B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预测范围</w:t>
            </w:r>
          </w:p>
        </w:tc>
        <w:tc>
          <w:tcPr>
            <w:tcW w:w="4128" w:type="pct"/>
            <w:gridSpan w:val="10"/>
            <w:shd w:val="clear" w:color="auto" w:fill="auto"/>
            <w:vAlign w:val="center"/>
          </w:tcPr>
          <w:p w14:paraId="353218E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河流：长度</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8.48</w:t>
            </w:r>
            <w:r>
              <w:rPr>
                <w:rFonts w:hint="eastAsia" w:ascii="Arial" w:hAnsi="Arial" w:cs="Arial"/>
                <w:snapToGrid w:val="0"/>
                <w:sz w:val="22"/>
                <w:szCs w:val="22"/>
                <w:lang w:eastAsia="zh-CN"/>
              </w:rPr>
              <w:t>）</w:t>
            </w:r>
            <w:r>
              <w:rPr>
                <w:rFonts w:hint="default" w:ascii="Arial" w:hAnsi="Arial" w:cs="Arial"/>
                <w:snapToGrid w:val="0"/>
                <w:sz w:val="22"/>
                <w:szCs w:val="22"/>
              </w:rPr>
              <w:t>km；湖库、河口及近岸海域：面积</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r>
              <w:rPr>
                <w:rFonts w:hint="default" w:ascii="Arial" w:hAnsi="Arial" w:cs="Arial"/>
                <w:snapToGrid w:val="0"/>
                <w:sz w:val="22"/>
                <w:szCs w:val="22"/>
              </w:rPr>
              <w:t>km</w:t>
            </w:r>
            <w:r>
              <w:rPr>
                <w:rFonts w:hint="default" w:ascii="Arial" w:hAnsi="Arial" w:cs="Arial"/>
                <w:snapToGrid w:val="0"/>
                <w:sz w:val="22"/>
                <w:szCs w:val="22"/>
                <w:vertAlign w:val="superscript"/>
              </w:rPr>
              <w:t>2</w:t>
            </w:r>
          </w:p>
        </w:tc>
      </w:tr>
      <w:tr w14:paraId="78A0E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6DBEFE8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7C2FC41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预测因子</w:t>
            </w:r>
          </w:p>
        </w:tc>
        <w:tc>
          <w:tcPr>
            <w:tcW w:w="4128" w:type="pct"/>
            <w:gridSpan w:val="10"/>
            <w:shd w:val="clear" w:color="auto" w:fill="auto"/>
            <w:vAlign w:val="center"/>
          </w:tcPr>
          <w:p w14:paraId="74851C1A">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eastAsia" w:ascii="Arial" w:hAnsi="Arial" w:cs="Arial"/>
                <w:snapToGrid w:val="0"/>
                <w:sz w:val="22"/>
                <w:szCs w:val="22"/>
                <w:lang w:eastAsia="zh-CN"/>
              </w:rPr>
              <w:t>（流速、流量、水面宽度、水深）</w:t>
            </w:r>
          </w:p>
        </w:tc>
      </w:tr>
      <w:tr w14:paraId="14C84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9E3F49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270194B1">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预测时期</w:t>
            </w:r>
          </w:p>
        </w:tc>
        <w:tc>
          <w:tcPr>
            <w:tcW w:w="4128" w:type="pct"/>
            <w:gridSpan w:val="10"/>
            <w:shd w:val="clear" w:color="auto" w:fill="auto"/>
            <w:vAlign w:val="center"/>
          </w:tcPr>
          <w:p w14:paraId="719DD9F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w:t>
            </w:r>
            <w:r>
              <w:rPr>
                <w:rFonts w:hint="eastAsia" w:ascii="Arial" w:hAnsi="Arial" w:cs="Arial"/>
                <w:snapToGrid w:val="0"/>
                <w:sz w:val="22"/>
                <w:szCs w:val="22"/>
                <w:lang w:eastAsia="zh-CN"/>
              </w:rPr>
              <w:t>☑</w:t>
            </w:r>
            <w:r>
              <w:rPr>
                <w:rFonts w:hint="default" w:ascii="Arial" w:hAnsi="Arial" w:cs="Arial"/>
                <w:snapToGrid w:val="0"/>
                <w:sz w:val="22"/>
                <w:szCs w:val="22"/>
              </w:rPr>
              <w:t>；平水期□；枯水期</w:t>
            </w:r>
            <w:r>
              <w:rPr>
                <w:rFonts w:hint="eastAsia" w:ascii="Arial" w:hAnsi="Arial" w:cs="Arial"/>
                <w:snapToGrid w:val="0"/>
                <w:sz w:val="22"/>
                <w:szCs w:val="22"/>
                <w:lang w:eastAsia="zh-CN"/>
              </w:rPr>
              <w:t>☑</w:t>
            </w:r>
            <w:r>
              <w:rPr>
                <w:rFonts w:hint="default" w:ascii="Arial" w:hAnsi="Arial" w:cs="Arial"/>
                <w:snapToGrid w:val="0"/>
                <w:sz w:val="22"/>
                <w:szCs w:val="22"/>
              </w:rPr>
              <w:t>；冰封期□；</w:t>
            </w:r>
          </w:p>
          <w:p w14:paraId="4409630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春季□；夏季□；秋季□；冬季□</w:t>
            </w:r>
          </w:p>
          <w:p w14:paraId="6E0589F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设计水文条件□</w:t>
            </w:r>
          </w:p>
        </w:tc>
      </w:tr>
      <w:tr w14:paraId="295421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3D15FCE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6187C2F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预测情景</w:t>
            </w:r>
          </w:p>
        </w:tc>
        <w:tc>
          <w:tcPr>
            <w:tcW w:w="4128" w:type="pct"/>
            <w:gridSpan w:val="10"/>
            <w:shd w:val="clear" w:color="auto" w:fill="auto"/>
            <w:vAlign w:val="center"/>
          </w:tcPr>
          <w:p w14:paraId="532E1E8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 xml:space="preserve">建设期□；生产运行期 </w:t>
            </w:r>
            <w:r>
              <w:rPr>
                <w:rFonts w:hint="eastAsia" w:ascii="Arial" w:hAnsi="Arial" w:cs="Arial"/>
                <w:snapToGrid w:val="0"/>
                <w:sz w:val="22"/>
                <w:szCs w:val="22"/>
                <w:lang w:eastAsia="zh-CN"/>
              </w:rPr>
              <w:t>☑</w:t>
            </w:r>
            <w:r>
              <w:rPr>
                <w:rFonts w:hint="default" w:ascii="Arial" w:hAnsi="Arial" w:cs="Arial"/>
                <w:snapToGrid w:val="0"/>
                <w:sz w:val="22"/>
                <w:szCs w:val="22"/>
              </w:rPr>
              <w:t>；服务期满后 □</w:t>
            </w:r>
          </w:p>
          <w:p w14:paraId="7A85F26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 xml:space="preserve">正常工况 </w:t>
            </w:r>
            <w:r>
              <w:rPr>
                <w:rFonts w:hint="eastAsia" w:ascii="Arial" w:hAnsi="Arial" w:cs="Arial"/>
                <w:snapToGrid w:val="0"/>
                <w:sz w:val="22"/>
                <w:szCs w:val="22"/>
                <w:lang w:eastAsia="zh-CN"/>
              </w:rPr>
              <w:t>☑</w:t>
            </w:r>
            <w:r>
              <w:rPr>
                <w:rFonts w:hint="default" w:ascii="Arial" w:hAnsi="Arial" w:cs="Arial"/>
                <w:snapToGrid w:val="0"/>
                <w:sz w:val="22"/>
                <w:szCs w:val="22"/>
              </w:rPr>
              <w:t>；非正常工况□</w:t>
            </w:r>
          </w:p>
          <w:p w14:paraId="0BA6BFF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污染控制和减排措施方案 □</w:t>
            </w:r>
          </w:p>
          <w:p w14:paraId="5DF480B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区(流)域环境质量改善目标要求 □</w:t>
            </w:r>
          </w:p>
        </w:tc>
      </w:tr>
      <w:tr w14:paraId="7400E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2EDDA9E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0D52626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预测方法</w:t>
            </w:r>
          </w:p>
        </w:tc>
        <w:tc>
          <w:tcPr>
            <w:tcW w:w="4128" w:type="pct"/>
            <w:gridSpan w:val="10"/>
            <w:shd w:val="clear" w:color="auto" w:fill="auto"/>
            <w:vAlign w:val="center"/>
          </w:tcPr>
          <w:p w14:paraId="42D220E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数值解 □；解析解 □；其他 □；</w:t>
            </w:r>
          </w:p>
          <w:p w14:paraId="0C41A27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导则推荐模式 □；其他□</w:t>
            </w:r>
          </w:p>
        </w:tc>
      </w:tr>
      <w:tr w14:paraId="1C3FA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750DA54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影响评价</w:t>
            </w:r>
          </w:p>
        </w:tc>
        <w:tc>
          <w:tcPr>
            <w:tcW w:w="630" w:type="pct"/>
            <w:shd w:val="clear" w:color="auto" w:fill="auto"/>
            <w:vAlign w:val="center"/>
          </w:tcPr>
          <w:p w14:paraId="78412D9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水污染控制和水环境影响减缓措施有效性评价</w:t>
            </w:r>
          </w:p>
        </w:tc>
        <w:tc>
          <w:tcPr>
            <w:tcW w:w="4128" w:type="pct"/>
            <w:gridSpan w:val="10"/>
            <w:shd w:val="clear" w:color="auto" w:fill="auto"/>
            <w:vAlign w:val="center"/>
          </w:tcPr>
          <w:p w14:paraId="653B99E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区(流)域水环境质量改善目标 □；替代削减源 □</w:t>
            </w:r>
          </w:p>
        </w:tc>
      </w:tr>
      <w:tr w14:paraId="57BCD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856B68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2BB54A2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水环境影响评价</w:t>
            </w:r>
          </w:p>
        </w:tc>
        <w:tc>
          <w:tcPr>
            <w:tcW w:w="4128" w:type="pct"/>
            <w:gridSpan w:val="10"/>
            <w:shd w:val="clear" w:color="auto" w:fill="auto"/>
            <w:vAlign w:val="center"/>
          </w:tcPr>
          <w:p w14:paraId="5B35095A">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排放口混合区外满足水环境管理要求 □</w:t>
            </w:r>
          </w:p>
          <w:p w14:paraId="625C148C">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水环境功能区或水功能区、近岸海域环境功能区水质达标 </w:t>
            </w:r>
            <w:r>
              <w:rPr>
                <w:rFonts w:hint="eastAsia" w:ascii="Arial" w:hAnsi="Arial" w:cs="Arial"/>
                <w:snapToGrid w:val="0"/>
                <w:sz w:val="22"/>
                <w:szCs w:val="22"/>
                <w:lang w:eastAsia="zh-CN"/>
              </w:rPr>
              <w:t>☑</w:t>
            </w:r>
          </w:p>
          <w:p w14:paraId="0EE65C33">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满足水环境保护目标水域水环境质量要求 </w:t>
            </w:r>
            <w:r>
              <w:rPr>
                <w:rFonts w:hint="eastAsia" w:ascii="Arial" w:hAnsi="Arial" w:cs="Arial"/>
                <w:snapToGrid w:val="0"/>
                <w:sz w:val="22"/>
                <w:szCs w:val="22"/>
                <w:lang w:eastAsia="zh-CN"/>
              </w:rPr>
              <w:t>☑</w:t>
            </w:r>
          </w:p>
          <w:p w14:paraId="0511833E">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水环境控制单元或断面水质达标 </w:t>
            </w:r>
            <w:r>
              <w:rPr>
                <w:rFonts w:hint="eastAsia" w:ascii="Arial" w:hAnsi="Arial" w:cs="Arial"/>
                <w:snapToGrid w:val="0"/>
                <w:sz w:val="22"/>
                <w:szCs w:val="22"/>
                <w:lang w:eastAsia="zh-CN"/>
              </w:rPr>
              <w:t>☑</w:t>
            </w:r>
          </w:p>
          <w:p w14:paraId="44370E4F">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满足重点水污染排放总量控制指标要求，重点行业建设项目，主要污染物排放满足等量或减量替代要求 □</w:t>
            </w:r>
          </w:p>
          <w:p w14:paraId="123D2EEE">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水文要素影响型建设项目同时应包括水文情势变化评价、主要水文特征值影响评价、生态流量符合性评价 □</w:t>
            </w:r>
          </w:p>
          <w:p w14:paraId="2DBC50EB">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新设或调整入河排放口建设项目，应包括排放口设置的环境合理性评价 □</w:t>
            </w:r>
          </w:p>
          <w:p w14:paraId="793C4F74">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满足生态保护红线、水环境质量底线、资源利用上线和环境准入清单管理要求 </w:t>
            </w:r>
            <w:r>
              <w:rPr>
                <w:rFonts w:hint="eastAsia" w:ascii="Arial" w:hAnsi="Arial" w:cs="Arial"/>
                <w:snapToGrid w:val="0"/>
                <w:sz w:val="22"/>
                <w:szCs w:val="22"/>
                <w:lang w:eastAsia="zh-CN"/>
              </w:rPr>
              <w:t>☑</w:t>
            </w:r>
          </w:p>
        </w:tc>
      </w:tr>
      <w:tr w14:paraId="3AA1D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131A64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3966908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污染源排放量</w:t>
            </w:r>
          </w:p>
          <w:p w14:paraId="32409DC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核算</w:t>
            </w:r>
          </w:p>
        </w:tc>
        <w:tc>
          <w:tcPr>
            <w:tcW w:w="1646" w:type="pct"/>
            <w:gridSpan w:val="4"/>
            <w:shd w:val="clear" w:color="auto" w:fill="auto"/>
            <w:vAlign w:val="center"/>
          </w:tcPr>
          <w:p w14:paraId="39C8D54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污染物名称</w:t>
            </w:r>
          </w:p>
        </w:tc>
        <w:tc>
          <w:tcPr>
            <w:tcW w:w="1275" w:type="pct"/>
            <w:gridSpan w:val="3"/>
            <w:shd w:val="clear" w:color="auto" w:fill="auto"/>
            <w:vAlign w:val="center"/>
          </w:tcPr>
          <w:p w14:paraId="0A05C0D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排放量，t/a</w:t>
            </w:r>
          </w:p>
        </w:tc>
        <w:tc>
          <w:tcPr>
            <w:tcW w:w="1207" w:type="pct"/>
            <w:gridSpan w:val="3"/>
            <w:shd w:val="clear" w:color="auto" w:fill="auto"/>
            <w:vAlign w:val="center"/>
          </w:tcPr>
          <w:p w14:paraId="7018F18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排放浓度，mg/L</w:t>
            </w:r>
          </w:p>
        </w:tc>
      </w:tr>
      <w:tr w14:paraId="6B42D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1C54FF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18DFE16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646" w:type="pct"/>
            <w:gridSpan w:val="4"/>
            <w:shd w:val="clear" w:color="auto" w:fill="auto"/>
            <w:vAlign w:val="center"/>
          </w:tcPr>
          <w:p w14:paraId="6F43E1C9">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275" w:type="pct"/>
            <w:gridSpan w:val="3"/>
            <w:shd w:val="clear" w:color="auto" w:fill="auto"/>
            <w:vAlign w:val="center"/>
          </w:tcPr>
          <w:p w14:paraId="1B12D7F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207" w:type="pct"/>
            <w:gridSpan w:val="3"/>
            <w:shd w:val="clear" w:color="auto" w:fill="auto"/>
            <w:vAlign w:val="center"/>
          </w:tcPr>
          <w:p w14:paraId="25015F1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r>
      <w:tr w14:paraId="65437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4085DFB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10AA0BB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646" w:type="pct"/>
            <w:gridSpan w:val="4"/>
            <w:shd w:val="clear" w:color="auto" w:fill="auto"/>
            <w:vAlign w:val="center"/>
          </w:tcPr>
          <w:p w14:paraId="40BC406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275" w:type="pct"/>
            <w:gridSpan w:val="3"/>
            <w:shd w:val="clear" w:color="auto" w:fill="auto"/>
            <w:vAlign w:val="center"/>
          </w:tcPr>
          <w:p w14:paraId="772B6BA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207" w:type="pct"/>
            <w:gridSpan w:val="3"/>
            <w:shd w:val="clear" w:color="auto" w:fill="auto"/>
            <w:vAlign w:val="center"/>
          </w:tcPr>
          <w:p w14:paraId="3CD1D78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r>
      <w:tr w14:paraId="24254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5EADB0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40E4806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替代源排放情况</w:t>
            </w:r>
          </w:p>
        </w:tc>
        <w:tc>
          <w:tcPr>
            <w:tcW w:w="742" w:type="pct"/>
            <w:gridSpan w:val="2"/>
            <w:shd w:val="clear" w:color="auto" w:fill="auto"/>
            <w:vAlign w:val="center"/>
          </w:tcPr>
          <w:p w14:paraId="507FCC1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污染源名称</w:t>
            </w:r>
          </w:p>
        </w:tc>
        <w:tc>
          <w:tcPr>
            <w:tcW w:w="904" w:type="pct"/>
            <w:gridSpan w:val="2"/>
            <w:shd w:val="clear" w:color="auto" w:fill="auto"/>
            <w:vAlign w:val="center"/>
          </w:tcPr>
          <w:p w14:paraId="320DB68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排污许可证</w:t>
            </w:r>
          </w:p>
          <w:p w14:paraId="6FFADF1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编号</w:t>
            </w:r>
          </w:p>
        </w:tc>
        <w:tc>
          <w:tcPr>
            <w:tcW w:w="851" w:type="pct"/>
            <w:gridSpan w:val="2"/>
            <w:shd w:val="clear" w:color="auto" w:fill="auto"/>
            <w:vAlign w:val="center"/>
          </w:tcPr>
          <w:p w14:paraId="02689A3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污染物名称</w:t>
            </w:r>
          </w:p>
        </w:tc>
        <w:tc>
          <w:tcPr>
            <w:tcW w:w="648" w:type="pct"/>
            <w:gridSpan w:val="2"/>
            <w:shd w:val="clear" w:color="auto" w:fill="auto"/>
            <w:vAlign w:val="center"/>
          </w:tcPr>
          <w:p w14:paraId="3991778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排放量，t/a</w:t>
            </w:r>
          </w:p>
        </w:tc>
        <w:tc>
          <w:tcPr>
            <w:tcW w:w="982" w:type="pct"/>
            <w:gridSpan w:val="2"/>
            <w:shd w:val="clear" w:color="auto" w:fill="auto"/>
            <w:vAlign w:val="center"/>
          </w:tcPr>
          <w:p w14:paraId="65CCF5F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排放浓度，mg/L</w:t>
            </w:r>
          </w:p>
        </w:tc>
      </w:tr>
      <w:tr w14:paraId="7AEA6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9B264F1">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53E1FBC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742" w:type="pct"/>
            <w:gridSpan w:val="2"/>
            <w:shd w:val="clear" w:color="auto" w:fill="auto"/>
            <w:vAlign w:val="center"/>
          </w:tcPr>
          <w:p w14:paraId="57BFD40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c>
          <w:tcPr>
            <w:tcW w:w="904" w:type="pct"/>
            <w:gridSpan w:val="2"/>
            <w:shd w:val="clear" w:color="auto" w:fill="auto"/>
            <w:vAlign w:val="center"/>
          </w:tcPr>
          <w:p w14:paraId="10E0810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c>
          <w:tcPr>
            <w:tcW w:w="851" w:type="pct"/>
            <w:gridSpan w:val="2"/>
            <w:shd w:val="clear" w:color="auto" w:fill="auto"/>
            <w:vAlign w:val="center"/>
          </w:tcPr>
          <w:p w14:paraId="15CAFFF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c>
          <w:tcPr>
            <w:tcW w:w="648" w:type="pct"/>
            <w:gridSpan w:val="2"/>
            <w:shd w:val="clear" w:color="auto" w:fill="auto"/>
            <w:vAlign w:val="center"/>
          </w:tcPr>
          <w:p w14:paraId="0489780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c>
          <w:tcPr>
            <w:tcW w:w="982" w:type="pct"/>
            <w:gridSpan w:val="2"/>
            <w:shd w:val="clear" w:color="auto" w:fill="auto"/>
            <w:vAlign w:val="center"/>
          </w:tcPr>
          <w:p w14:paraId="6509F18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r>
      <w:tr w14:paraId="3D1C1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EA2807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5A1B55B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生态流量确定</w:t>
            </w:r>
          </w:p>
        </w:tc>
        <w:tc>
          <w:tcPr>
            <w:tcW w:w="4128" w:type="pct"/>
            <w:gridSpan w:val="10"/>
            <w:shd w:val="clear" w:color="auto" w:fill="auto"/>
            <w:vAlign w:val="center"/>
          </w:tcPr>
          <w:p w14:paraId="756F102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生态流量：一般水期</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0.005</w:t>
            </w:r>
            <w:r>
              <w:rPr>
                <w:rFonts w:hint="eastAsia" w:ascii="Arial" w:hAnsi="Arial" w:cs="Arial"/>
                <w:snapToGrid w:val="0"/>
                <w:sz w:val="22"/>
                <w:szCs w:val="22"/>
                <w:lang w:eastAsia="zh-CN"/>
              </w:rPr>
              <w:t>）</w:t>
            </w:r>
            <w:r>
              <w:rPr>
                <w:rFonts w:hint="default" w:ascii="Arial" w:hAnsi="Arial" w:cs="Arial"/>
                <w:snapToGrid w:val="0"/>
                <w:sz w:val="22"/>
                <w:szCs w:val="22"/>
              </w:rPr>
              <w:t>m</w:t>
            </w:r>
            <w:r>
              <w:rPr>
                <w:rFonts w:hint="default" w:ascii="Arial" w:hAnsi="Arial" w:cs="Arial"/>
                <w:snapToGrid w:val="0"/>
                <w:sz w:val="22"/>
                <w:szCs w:val="22"/>
                <w:vertAlign w:val="superscript"/>
              </w:rPr>
              <w:t>3</w:t>
            </w:r>
            <w:r>
              <w:rPr>
                <w:rFonts w:hint="default" w:ascii="Arial" w:hAnsi="Arial" w:cs="Arial"/>
                <w:snapToGrid w:val="0"/>
                <w:sz w:val="22"/>
                <w:szCs w:val="22"/>
              </w:rPr>
              <w:t>/s；鱼类繁殖期</w:t>
            </w:r>
            <w:r>
              <w:rPr>
                <w:rFonts w:hint="eastAsia" w:ascii="Arial" w:hAnsi="Arial" w:cs="Arial"/>
                <w:snapToGrid w:val="0"/>
                <w:sz w:val="22"/>
                <w:szCs w:val="22"/>
                <w:lang w:eastAsia="zh-CN"/>
              </w:rPr>
              <w:t>（）</w:t>
            </w:r>
            <w:r>
              <w:rPr>
                <w:rFonts w:hint="default" w:ascii="Arial" w:hAnsi="Arial" w:cs="Arial"/>
                <w:snapToGrid w:val="0"/>
                <w:sz w:val="22"/>
                <w:szCs w:val="22"/>
              </w:rPr>
              <w:t>m</w:t>
            </w:r>
            <w:r>
              <w:rPr>
                <w:rFonts w:hint="default" w:ascii="Arial" w:hAnsi="Arial" w:cs="Arial"/>
                <w:snapToGrid w:val="0"/>
                <w:sz w:val="22"/>
                <w:szCs w:val="22"/>
                <w:vertAlign w:val="superscript"/>
              </w:rPr>
              <w:t>3</w:t>
            </w:r>
            <w:r>
              <w:rPr>
                <w:rFonts w:hint="default" w:ascii="Arial" w:hAnsi="Arial" w:cs="Arial"/>
                <w:snapToGrid w:val="0"/>
                <w:sz w:val="22"/>
                <w:szCs w:val="22"/>
              </w:rPr>
              <w:t>/s；其他</w:t>
            </w:r>
            <w:r>
              <w:rPr>
                <w:rFonts w:hint="eastAsia" w:ascii="Arial" w:hAnsi="Arial" w:cs="Arial"/>
                <w:snapToGrid w:val="0"/>
                <w:sz w:val="22"/>
                <w:szCs w:val="22"/>
                <w:lang w:eastAsia="zh-CN"/>
              </w:rPr>
              <w:t>（）</w:t>
            </w:r>
            <w:r>
              <w:rPr>
                <w:rFonts w:hint="default" w:ascii="Arial" w:hAnsi="Arial" w:cs="Arial"/>
                <w:snapToGrid w:val="0"/>
                <w:sz w:val="22"/>
                <w:szCs w:val="22"/>
              </w:rPr>
              <w:t>m</w:t>
            </w:r>
            <w:r>
              <w:rPr>
                <w:rFonts w:hint="default" w:ascii="Arial" w:hAnsi="Arial" w:cs="Arial"/>
                <w:snapToGrid w:val="0"/>
                <w:sz w:val="22"/>
                <w:szCs w:val="22"/>
                <w:vertAlign w:val="superscript"/>
              </w:rPr>
              <w:t>3</w:t>
            </w:r>
            <w:r>
              <w:rPr>
                <w:rFonts w:hint="default" w:ascii="Arial" w:hAnsi="Arial" w:cs="Arial"/>
                <w:snapToGrid w:val="0"/>
                <w:sz w:val="22"/>
                <w:szCs w:val="22"/>
              </w:rPr>
              <w:t>/s</w:t>
            </w:r>
          </w:p>
          <w:p w14:paraId="753C219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生态水位：一般水期</w:t>
            </w:r>
            <w:r>
              <w:rPr>
                <w:rFonts w:hint="eastAsia" w:ascii="Arial" w:hAnsi="Arial" w:cs="Arial"/>
                <w:snapToGrid w:val="0"/>
                <w:sz w:val="22"/>
                <w:szCs w:val="22"/>
                <w:lang w:eastAsia="zh-CN"/>
              </w:rPr>
              <w:t>（）</w:t>
            </w:r>
            <w:r>
              <w:rPr>
                <w:rFonts w:hint="default" w:ascii="Arial" w:hAnsi="Arial" w:cs="Arial"/>
                <w:snapToGrid w:val="0"/>
                <w:sz w:val="22"/>
                <w:szCs w:val="22"/>
              </w:rPr>
              <w:t>m； 鱼类繁殖期</w:t>
            </w:r>
            <w:r>
              <w:rPr>
                <w:rFonts w:hint="eastAsia" w:ascii="Arial" w:hAnsi="Arial" w:cs="Arial"/>
                <w:snapToGrid w:val="0"/>
                <w:sz w:val="22"/>
                <w:szCs w:val="22"/>
                <w:lang w:eastAsia="zh-CN"/>
              </w:rPr>
              <w:t>（）</w:t>
            </w:r>
            <w:r>
              <w:rPr>
                <w:rFonts w:hint="default" w:ascii="Arial" w:hAnsi="Arial" w:cs="Arial"/>
                <w:snapToGrid w:val="0"/>
                <w:sz w:val="22"/>
                <w:szCs w:val="22"/>
              </w:rPr>
              <w:t>m； 其他</w:t>
            </w:r>
            <w:r>
              <w:rPr>
                <w:rFonts w:hint="eastAsia" w:ascii="Arial" w:hAnsi="Arial" w:cs="Arial"/>
                <w:snapToGrid w:val="0"/>
                <w:sz w:val="22"/>
                <w:szCs w:val="22"/>
                <w:lang w:eastAsia="zh-CN"/>
              </w:rPr>
              <w:t>（）</w:t>
            </w:r>
            <w:r>
              <w:rPr>
                <w:rFonts w:hint="default" w:ascii="Arial" w:hAnsi="Arial" w:cs="Arial"/>
                <w:snapToGrid w:val="0"/>
                <w:sz w:val="22"/>
                <w:szCs w:val="22"/>
              </w:rPr>
              <w:t>m</w:t>
            </w:r>
          </w:p>
        </w:tc>
      </w:tr>
      <w:tr w14:paraId="2A63A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3836A4C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防治措施</w:t>
            </w:r>
          </w:p>
        </w:tc>
        <w:tc>
          <w:tcPr>
            <w:tcW w:w="630" w:type="pct"/>
            <w:shd w:val="clear" w:color="auto" w:fill="auto"/>
            <w:vAlign w:val="center"/>
          </w:tcPr>
          <w:p w14:paraId="04164C8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环保措施</w:t>
            </w:r>
          </w:p>
        </w:tc>
        <w:tc>
          <w:tcPr>
            <w:tcW w:w="4128" w:type="pct"/>
            <w:gridSpan w:val="10"/>
            <w:shd w:val="clear" w:color="auto" w:fill="auto"/>
            <w:vAlign w:val="center"/>
          </w:tcPr>
          <w:p w14:paraId="63DD2B7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 xml:space="preserve">污水处理设施 </w:t>
            </w:r>
            <w:r>
              <w:rPr>
                <w:rFonts w:hint="eastAsia" w:ascii="Arial" w:hAnsi="Arial" w:cs="Arial"/>
                <w:snapToGrid w:val="0"/>
                <w:sz w:val="22"/>
                <w:szCs w:val="22"/>
                <w:lang w:eastAsia="zh-CN"/>
              </w:rPr>
              <w:t>☑</w:t>
            </w:r>
            <w:r>
              <w:rPr>
                <w:rFonts w:hint="default" w:ascii="Arial" w:hAnsi="Arial" w:cs="Arial"/>
                <w:snapToGrid w:val="0"/>
                <w:sz w:val="22"/>
                <w:szCs w:val="22"/>
              </w:rPr>
              <w:t xml:space="preserve">；水文减缓措施 </w:t>
            </w:r>
            <w:r>
              <w:rPr>
                <w:rFonts w:hint="eastAsia" w:ascii="Arial" w:hAnsi="Arial" w:cs="Arial"/>
                <w:snapToGrid w:val="0"/>
                <w:sz w:val="22"/>
                <w:szCs w:val="22"/>
                <w:lang w:eastAsia="zh-CN"/>
              </w:rPr>
              <w:t>☑</w:t>
            </w:r>
            <w:r>
              <w:rPr>
                <w:rFonts w:hint="default" w:ascii="Arial" w:hAnsi="Arial" w:cs="Arial"/>
                <w:snapToGrid w:val="0"/>
                <w:sz w:val="22"/>
                <w:szCs w:val="22"/>
              </w:rPr>
              <w:t xml:space="preserve">；生态流量保障设施 </w:t>
            </w:r>
            <w:r>
              <w:rPr>
                <w:rFonts w:hint="eastAsia" w:ascii="Arial" w:hAnsi="Arial" w:cs="Arial"/>
                <w:snapToGrid w:val="0"/>
                <w:sz w:val="22"/>
                <w:szCs w:val="22"/>
                <w:lang w:eastAsia="zh-CN"/>
              </w:rPr>
              <w:t>☑</w:t>
            </w:r>
            <w:r>
              <w:rPr>
                <w:rFonts w:hint="default" w:ascii="Arial" w:hAnsi="Arial" w:cs="Arial"/>
                <w:snapToGrid w:val="0"/>
                <w:sz w:val="22"/>
                <w:szCs w:val="22"/>
              </w:rPr>
              <w:t>；</w:t>
            </w:r>
          </w:p>
          <w:p w14:paraId="5DDEFFE8">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区域削减 □；依托其他工程措施 □；其他 </w:t>
            </w:r>
            <w:r>
              <w:rPr>
                <w:rFonts w:hint="eastAsia" w:ascii="Arial" w:hAnsi="Arial" w:cs="Arial"/>
                <w:snapToGrid w:val="0"/>
                <w:sz w:val="22"/>
                <w:szCs w:val="22"/>
                <w:lang w:eastAsia="zh-CN"/>
              </w:rPr>
              <w:t>□</w:t>
            </w:r>
          </w:p>
        </w:tc>
      </w:tr>
      <w:tr w14:paraId="4ACF9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4C9C3D2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63AC207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监测计划</w:t>
            </w:r>
          </w:p>
        </w:tc>
        <w:tc>
          <w:tcPr>
            <w:tcW w:w="700" w:type="pct"/>
            <w:shd w:val="clear" w:color="auto" w:fill="auto"/>
            <w:vAlign w:val="center"/>
          </w:tcPr>
          <w:p w14:paraId="421DCD1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796" w:type="pct"/>
            <w:gridSpan w:val="5"/>
            <w:shd w:val="clear" w:color="auto" w:fill="auto"/>
            <w:vAlign w:val="center"/>
          </w:tcPr>
          <w:p w14:paraId="422C039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环境质量</w:t>
            </w:r>
          </w:p>
        </w:tc>
        <w:tc>
          <w:tcPr>
            <w:tcW w:w="1631" w:type="pct"/>
            <w:gridSpan w:val="4"/>
            <w:shd w:val="clear" w:color="auto" w:fill="auto"/>
            <w:vAlign w:val="center"/>
          </w:tcPr>
          <w:p w14:paraId="45D13BC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污染源</w:t>
            </w:r>
          </w:p>
        </w:tc>
      </w:tr>
      <w:tr w14:paraId="244FA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4EAB48E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2E9DF78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700" w:type="pct"/>
            <w:shd w:val="clear" w:color="auto" w:fill="auto"/>
            <w:vAlign w:val="center"/>
          </w:tcPr>
          <w:p w14:paraId="45C29D2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监测方式</w:t>
            </w:r>
          </w:p>
        </w:tc>
        <w:tc>
          <w:tcPr>
            <w:tcW w:w="1796" w:type="pct"/>
            <w:gridSpan w:val="5"/>
            <w:shd w:val="clear" w:color="auto" w:fill="auto"/>
            <w:vAlign w:val="center"/>
          </w:tcPr>
          <w:p w14:paraId="47456970">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手动□；自动□；无监测</w:t>
            </w:r>
            <w:r>
              <w:rPr>
                <w:rFonts w:hint="eastAsia" w:ascii="Arial" w:hAnsi="Arial" w:cs="Arial"/>
                <w:snapToGrid w:val="0"/>
                <w:sz w:val="22"/>
                <w:szCs w:val="22"/>
                <w:lang w:eastAsia="zh-CN"/>
              </w:rPr>
              <w:t>☑</w:t>
            </w:r>
          </w:p>
        </w:tc>
        <w:tc>
          <w:tcPr>
            <w:tcW w:w="1631" w:type="pct"/>
            <w:gridSpan w:val="4"/>
            <w:shd w:val="clear" w:color="auto" w:fill="auto"/>
            <w:vAlign w:val="center"/>
          </w:tcPr>
          <w:p w14:paraId="3EB68615">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手动 □；自动 □；无监测 </w:t>
            </w:r>
            <w:r>
              <w:rPr>
                <w:rFonts w:hint="eastAsia" w:ascii="Arial" w:hAnsi="Arial" w:cs="Arial"/>
                <w:snapToGrid w:val="0"/>
                <w:sz w:val="22"/>
                <w:szCs w:val="22"/>
                <w:lang w:eastAsia="zh-CN"/>
              </w:rPr>
              <w:t>☑</w:t>
            </w:r>
          </w:p>
        </w:tc>
      </w:tr>
      <w:tr w14:paraId="1D8A0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61E1549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5A2AE81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700" w:type="pct"/>
            <w:shd w:val="clear" w:color="auto" w:fill="auto"/>
            <w:vAlign w:val="center"/>
          </w:tcPr>
          <w:p w14:paraId="6EEE071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监测点位</w:t>
            </w:r>
          </w:p>
        </w:tc>
        <w:tc>
          <w:tcPr>
            <w:tcW w:w="1796" w:type="pct"/>
            <w:gridSpan w:val="5"/>
            <w:shd w:val="clear" w:color="auto" w:fill="auto"/>
            <w:vAlign w:val="center"/>
          </w:tcPr>
          <w:p w14:paraId="76BAC19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eastAsia="宋体" w:cs="Arial"/>
                <w:snapToGrid w:val="0"/>
                <w:kern w:val="2"/>
                <w:sz w:val="22"/>
                <w:szCs w:val="22"/>
                <w:lang w:val="en-US" w:eastAsia="zh-CN" w:bidi="ar-SA"/>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631" w:type="pct"/>
            <w:gridSpan w:val="4"/>
            <w:shd w:val="clear" w:color="auto" w:fill="auto"/>
            <w:vAlign w:val="center"/>
          </w:tcPr>
          <w:p w14:paraId="30DCBBD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eastAsia="宋体" w:cs="Arial"/>
                <w:snapToGrid w:val="0"/>
                <w:kern w:val="2"/>
                <w:sz w:val="22"/>
                <w:szCs w:val="22"/>
                <w:lang w:val="en-US" w:eastAsia="zh-CN" w:bidi="ar-SA"/>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r>
      <w:tr w14:paraId="337C1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089669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358D452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700" w:type="pct"/>
            <w:shd w:val="clear" w:color="auto" w:fill="auto"/>
            <w:vAlign w:val="center"/>
          </w:tcPr>
          <w:p w14:paraId="21BDD6A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监测因子</w:t>
            </w:r>
          </w:p>
        </w:tc>
        <w:tc>
          <w:tcPr>
            <w:tcW w:w="1796" w:type="pct"/>
            <w:gridSpan w:val="5"/>
            <w:shd w:val="clear" w:color="auto" w:fill="auto"/>
            <w:vAlign w:val="center"/>
          </w:tcPr>
          <w:p w14:paraId="1160BDB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eastAsia="宋体" w:cs="Arial"/>
                <w:snapToGrid w:val="0"/>
                <w:kern w:val="2"/>
                <w:sz w:val="22"/>
                <w:szCs w:val="22"/>
                <w:lang w:val="en-US" w:eastAsia="zh-CN" w:bidi="ar-SA"/>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631" w:type="pct"/>
            <w:gridSpan w:val="4"/>
            <w:shd w:val="clear" w:color="auto" w:fill="auto"/>
            <w:vAlign w:val="center"/>
          </w:tcPr>
          <w:p w14:paraId="1B647F0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eastAsia="宋体" w:cs="Arial"/>
                <w:snapToGrid w:val="0"/>
                <w:kern w:val="2"/>
                <w:sz w:val="22"/>
                <w:szCs w:val="22"/>
                <w:lang w:val="en-US" w:eastAsia="zh-CN" w:bidi="ar-SA"/>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r>
      <w:tr w14:paraId="79CD4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563D701">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63C322D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污染物排放清单</w:t>
            </w:r>
          </w:p>
        </w:tc>
        <w:tc>
          <w:tcPr>
            <w:tcW w:w="4128" w:type="pct"/>
            <w:gridSpan w:val="10"/>
            <w:shd w:val="clear" w:color="auto" w:fill="auto"/>
            <w:vAlign w:val="center"/>
          </w:tcPr>
          <w:p w14:paraId="769D0C49">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eastAsia" w:ascii="Arial" w:hAnsi="Arial" w:cs="Arial"/>
                <w:snapToGrid w:val="0"/>
                <w:sz w:val="22"/>
                <w:szCs w:val="22"/>
                <w:lang w:eastAsia="zh-CN"/>
              </w:rPr>
              <w:t>无</w:t>
            </w:r>
          </w:p>
        </w:tc>
      </w:tr>
      <w:tr w14:paraId="0BF34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1" w:type="pct"/>
            <w:gridSpan w:val="2"/>
            <w:shd w:val="clear" w:color="auto" w:fill="auto"/>
            <w:vAlign w:val="center"/>
          </w:tcPr>
          <w:p w14:paraId="628E0A4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评价结论</w:t>
            </w:r>
          </w:p>
        </w:tc>
        <w:tc>
          <w:tcPr>
            <w:tcW w:w="4128" w:type="pct"/>
            <w:gridSpan w:val="10"/>
            <w:shd w:val="clear" w:color="auto" w:fill="auto"/>
            <w:vAlign w:val="center"/>
          </w:tcPr>
          <w:p w14:paraId="2A3E325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 xml:space="preserve">可以接受 </w:t>
            </w:r>
            <w:r>
              <w:rPr>
                <w:rFonts w:hint="eastAsia" w:ascii="Arial" w:hAnsi="Arial" w:cs="Arial"/>
                <w:snapToGrid w:val="0"/>
                <w:sz w:val="22"/>
                <w:szCs w:val="22"/>
                <w:lang w:eastAsia="zh-CN"/>
              </w:rPr>
              <w:t>☑</w:t>
            </w:r>
            <w:r>
              <w:rPr>
                <w:rFonts w:hint="default" w:ascii="Arial" w:hAnsi="Arial" w:cs="Arial"/>
                <w:snapToGrid w:val="0"/>
                <w:sz w:val="22"/>
                <w:szCs w:val="22"/>
              </w:rPr>
              <w:t>；不可以接受 □</w:t>
            </w:r>
          </w:p>
        </w:tc>
      </w:tr>
      <w:tr w14:paraId="3B6DF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2"/>
            <w:shd w:val="clear" w:color="auto" w:fill="auto"/>
            <w:vAlign w:val="center"/>
          </w:tcPr>
          <w:p w14:paraId="32F1A3F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注：“□”为勾选项 ，填“√”；“</w:t>
            </w:r>
            <w:r>
              <w:rPr>
                <w:rFonts w:hint="eastAsia" w:ascii="Arial" w:hAnsi="Arial" w:cs="Arial"/>
                <w:snapToGrid w:val="0"/>
                <w:sz w:val="22"/>
                <w:szCs w:val="22"/>
                <w:lang w:eastAsia="zh-CN"/>
              </w:rPr>
              <w:t>（）</w:t>
            </w:r>
            <w:r>
              <w:rPr>
                <w:rFonts w:hint="default" w:ascii="Arial" w:hAnsi="Arial" w:cs="Arial"/>
                <w:snapToGrid w:val="0"/>
                <w:sz w:val="22"/>
                <w:szCs w:val="22"/>
              </w:rPr>
              <w:t>” 为内容填写项；“备注”为其他补充内容。</w:t>
            </w:r>
          </w:p>
        </w:tc>
      </w:tr>
    </w:tbl>
    <w:p w14:paraId="063EC661">
      <w:pPr>
        <w:pStyle w:val="1291"/>
        <w:keepNext w:val="0"/>
        <w:keepLines w:val="0"/>
        <w:pageBreakBefore w:val="0"/>
        <w:widowControl/>
        <w:kinsoku/>
        <w:wordWrap/>
        <w:overflowPunct/>
        <w:topLinePunct w:val="0"/>
        <w:autoSpaceDE/>
        <w:autoSpaceDN/>
        <w:bidi w:val="0"/>
        <w:adjustRightInd w:val="0"/>
        <w:snapToGrid w:val="0"/>
        <w:spacing w:line="240" w:lineRule="exact"/>
        <w:textAlignment w:val="auto"/>
        <w:outlineLvl w:val="9"/>
        <w:rPr>
          <w:sz w:val="24"/>
          <w:szCs w:val="24"/>
        </w:rPr>
      </w:pPr>
    </w:p>
    <w:p w14:paraId="5F0667A9">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eastAsia="宋体" w:cs="Arial"/>
          <w:color w:val="auto"/>
          <w:sz w:val="26"/>
          <w:szCs w:val="26"/>
          <w:lang w:val="en-US" w:eastAsia="zh-CN"/>
        </w:rPr>
      </w:pPr>
      <w:r>
        <w:rPr>
          <w:rFonts w:hint="eastAsia" w:ascii="Arial" w:hAnsi="Arial" w:eastAsia="宋体" w:cs="Arial"/>
          <w:color w:val="auto"/>
          <w:sz w:val="26"/>
          <w:szCs w:val="26"/>
          <w:lang w:val="en-US" w:eastAsia="zh-CN"/>
        </w:rPr>
        <w:t>本项目生态影响评价自查表见表</w:t>
      </w:r>
      <w:r>
        <w:rPr>
          <w:rFonts w:hint="default" w:ascii="Arial" w:hAnsi="Arial" w:eastAsia="宋体" w:cs="Arial"/>
          <w:color w:val="auto"/>
          <w:sz w:val="26"/>
          <w:szCs w:val="26"/>
          <w:lang w:val="en-US" w:eastAsia="zh-CN"/>
        </w:rPr>
        <w:t>6.</w:t>
      </w:r>
      <w:r>
        <w:rPr>
          <w:rFonts w:hint="eastAsia" w:ascii="Arial" w:hAnsi="Arial" w:cs="Arial"/>
          <w:color w:val="auto"/>
          <w:sz w:val="26"/>
          <w:szCs w:val="26"/>
          <w:lang w:val="en-US" w:eastAsia="zh-CN"/>
        </w:rPr>
        <w:t>8</w:t>
      </w:r>
      <w:r>
        <w:rPr>
          <w:rFonts w:hint="eastAsia" w:ascii="Arial" w:hAnsi="Arial" w:eastAsia="宋体" w:cs="Arial"/>
          <w:color w:val="auto"/>
          <w:sz w:val="26"/>
          <w:szCs w:val="26"/>
          <w:lang w:val="en-US" w:eastAsia="zh-CN"/>
        </w:rPr>
        <w:t>-</w:t>
      </w:r>
      <w:r>
        <w:rPr>
          <w:rFonts w:hint="eastAsia" w:ascii="Arial" w:hAnsi="Arial" w:cs="Arial"/>
          <w:color w:val="auto"/>
          <w:sz w:val="26"/>
          <w:szCs w:val="26"/>
          <w:lang w:val="en-US" w:eastAsia="zh-CN"/>
        </w:rPr>
        <w:t>2</w:t>
      </w:r>
      <w:r>
        <w:rPr>
          <w:rFonts w:hint="eastAsia" w:ascii="Arial" w:hAnsi="Arial" w:eastAsia="宋体" w:cs="Arial"/>
          <w:color w:val="auto"/>
          <w:sz w:val="26"/>
          <w:szCs w:val="26"/>
          <w:lang w:val="en-US" w:eastAsia="zh-CN"/>
        </w:rPr>
        <w:t>。</w:t>
      </w:r>
    </w:p>
    <w:p w14:paraId="71CBBBFC">
      <w:pPr>
        <w:pStyle w:val="1085"/>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Arial" w:hAnsi="Arial" w:cs="Arial"/>
          <w:color w:val="auto"/>
          <w:sz w:val="26"/>
          <w:szCs w:val="26"/>
          <w:highlight w:val="none"/>
        </w:rPr>
      </w:pPr>
      <w:r>
        <w:rPr>
          <w:rFonts w:hint="default" w:ascii="Arial" w:hAnsi="Arial" w:cs="Arial"/>
          <w:color w:val="auto"/>
          <w:sz w:val="26"/>
          <w:szCs w:val="26"/>
          <w:highlight w:val="none"/>
        </w:rPr>
        <w:t>表6.</w:t>
      </w:r>
      <w:r>
        <w:rPr>
          <w:rFonts w:hint="eastAsia" w:ascii="Arial" w:hAnsi="Arial" w:cs="Arial"/>
          <w:color w:val="auto"/>
          <w:sz w:val="26"/>
          <w:szCs w:val="26"/>
          <w:highlight w:val="none"/>
          <w:lang w:val="en-US" w:eastAsia="zh-CN"/>
        </w:rPr>
        <w:t>8</w:t>
      </w:r>
      <w:r>
        <w:rPr>
          <w:rFonts w:hint="default" w:ascii="Arial" w:hAnsi="Arial" w:cs="Arial"/>
          <w:color w:val="auto"/>
          <w:sz w:val="26"/>
          <w:szCs w:val="26"/>
          <w:highlight w:val="none"/>
          <w:lang w:val="en-US" w:eastAsia="zh-CN"/>
        </w:rPr>
        <w:t>-</w:t>
      </w:r>
      <w:r>
        <w:rPr>
          <w:rFonts w:hint="eastAsia" w:ascii="Arial" w:hAnsi="Arial" w:cs="Arial"/>
          <w:color w:val="auto"/>
          <w:sz w:val="26"/>
          <w:szCs w:val="26"/>
          <w:highlight w:val="none"/>
          <w:lang w:val="en-US" w:eastAsia="zh-CN"/>
        </w:rPr>
        <w:t>2</w:t>
      </w:r>
      <w:r>
        <w:rPr>
          <w:rFonts w:hint="default" w:ascii="Arial" w:hAnsi="Arial" w:cs="Arial"/>
          <w:color w:val="auto"/>
          <w:sz w:val="26"/>
          <w:szCs w:val="26"/>
          <w:highlight w:val="none"/>
        </w:rPr>
        <w:t xml:space="preserve">  生态影响评价自查表</w:t>
      </w:r>
    </w:p>
    <w:tbl>
      <w:tblPr>
        <w:tblStyle w:val="1893"/>
        <w:tblW w:w="507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45"/>
        <w:gridCol w:w="1338"/>
        <w:gridCol w:w="6718"/>
      </w:tblGrid>
      <w:tr w14:paraId="7E11EF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1268" w:type="pct"/>
            <w:gridSpan w:val="2"/>
            <w:tcBorders>
              <w:tl2br w:val="nil"/>
              <w:tr2bl w:val="nil"/>
            </w:tcBorders>
            <w:vAlign w:val="center"/>
          </w:tcPr>
          <w:p w14:paraId="098CBA4C">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工作内容</w:t>
            </w:r>
          </w:p>
        </w:tc>
        <w:tc>
          <w:tcPr>
            <w:tcW w:w="3732" w:type="pct"/>
            <w:tcBorders>
              <w:tl2br w:val="nil"/>
              <w:tr2bl w:val="nil"/>
            </w:tcBorders>
            <w:vAlign w:val="center"/>
          </w:tcPr>
          <w:p w14:paraId="339481CA">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自查项目</w:t>
            </w:r>
          </w:p>
        </w:tc>
      </w:tr>
      <w:tr w14:paraId="426024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restart"/>
            <w:tcBorders>
              <w:tl2br w:val="nil"/>
              <w:tr2bl w:val="nil"/>
            </w:tcBorders>
            <w:vAlign w:val="center"/>
          </w:tcPr>
          <w:p w14:paraId="39C566D6">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生态影响 识别</w:t>
            </w:r>
          </w:p>
        </w:tc>
        <w:tc>
          <w:tcPr>
            <w:tcW w:w="743" w:type="pct"/>
            <w:tcBorders>
              <w:tl2br w:val="nil"/>
              <w:tr2bl w:val="nil"/>
            </w:tcBorders>
            <w:vAlign w:val="center"/>
          </w:tcPr>
          <w:p w14:paraId="530F00B9">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生态保护目标</w:t>
            </w:r>
          </w:p>
        </w:tc>
        <w:tc>
          <w:tcPr>
            <w:tcW w:w="3732" w:type="pct"/>
            <w:tcBorders>
              <w:tl2br w:val="nil"/>
              <w:tr2bl w:val="nil"/>
            </w:tcBorders>
            <w:vAlign w:val="center"/>
          </w:tcPr>
          <w:p w14:paraId="1FD124B6">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color w:val="auto"/>
                <w:sz w:val="22"/>
                <w:szCs w:val="22"/>
                <w:lang w:eastAsia="zh-CN"/>
              </w:rPr>
            </w:pPr>
            <w:r>
              <w:rPr>
                <w:rFonts w:hint="default" w:ascii="Arial" w:hAnsi="Arial" w:cs="Arial"/>
                <w:color w:val="auto"/>
                <w:spacing w:val="2"/>
                <w:sz w:val="22"/>
                <w:szCs w:val="22"/>
                <w:lang w:eastAsia="zh-CN"/>
              </w:rPr>
              <w:t>重要物</w:t>
            </w:r>
            <w:r>
              <w:rPr>
                <w:rFonts w:hint="default" w:ascii="Arial" w:hAnsi="Arial" w:cs="Arial"/>
                <w:color w:val="auto"/>
                <w:spacing w:val="3"/>
                <w:sz w:val="22"/>
                <w:szCs w:val="22"/>
                <w:lang w:eastAsia="zh-CN"/>
              </w:rPr>
              <w:t>种</w:t>
            </w:r>
            <w:r>
              <w:rPr>
                <w:rFonts w:hint="eastAsia" w:ascii="Arial" w:hAnsi="Arial" w:cs="Arial"/>
                <w:snapToGrid w:val="0"/>
                <w:color w:val="auto"/>
                <w:sz w:val="22"/>
                <w:szCs w:val="22"/>
                <w:lang w:eastAsia="zh-CN"/>
              </w:rPr>
              <w:t>□</w:t>
            </w:r>
            <w:r>
              <w:rPr>
                <w:rFonts w:hint="default" w:ascii="Arial" w:hAnsi="Arial" w:cs="Arial"/>
                <w:color w:val="auto"/>
                <w:spacing w:val="2"/>
                <w:sz w:val="22"/>
                <w:szCs w:val="22"/>
                <w:lang w:eastAsia="zh-CN"/>
              </w:rPr>
              <w:t>；国家</w:t>
            </w:r>
            <w:r>
              <w:rPr>
                <w:rFonts w:hint="default" w:ascii="Arial" w:hAnsi="Arial" w:cs="Arial"/>
                <w:color w:val="auto"/>
                <w:sz w:val="22"/>
                <w:szCs w:val="22"/>
                <w:lang w:eastAsia="zh-CN"/>
              </w:rPr>
              <w:t>公</w:t>
            </w:r>
            <w:r>
              <w:rPr>
                <w:rFonts w:hint="default" w:ascii="Arial" w:hAnsi="Arial" w:cs="Arial"/>
                <w:color w:val="auto"/>
                <w:spacing w:val="2"/>
                <w:sz w:val="22"/>
                <w:szCs w:val="22"/>
                <w:lang w:eastAsia="zh-CN"/>
              </w:rPr>
              <w:t>园</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w:t>
            </w:r>
            <w:r>
              <w:rPr>
                <w:rFonts w:hint="default" w:ascii="Arial" w:hAnsi="Arial" w:cs="Arial"/>
                <w:color w:val="auto"/>
                <w:sz w:val="22"/>
                <w:szCs w:val="22"/>
                <w:lang w:eastAsia="zh-CN"/>
              </w:rPr>
              <w:t>自</w:t>
            </w:r>
            <w:r>
              <w:rPr>
                <w:rFonts w:hint="default" w:ascii="Arial" w:hAnsi="Arial" w:cs="Arial"/>
                <w:color w:val="auto"/>
                <w:spacing w:val="2"/>
                <w:sz w:val="22"/>
                <w:szCs w:val="22"/>
                <w:lang w:eastAsia="zh-CN"/>
              </w:rPr>
              <w:t>然保护</w:t>
            </w:r>
            <w:r>
              <w:rPr>
                <w:rFonts w:hint="default" w:ascii="Arial" w:hAnsi="Arial" w:cs="Arial"/>
                <w:color w:val="auto"/>
                <w:spacing w:val="3"/>
                <w:sz w:val="22"/>
                <w:szCs w:val="22"/>
                <w:lang w:eastAsia="zh-CN"/>
              </w:rPr>
              <w:t>区</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；自然</w:t>
            </w:r>
            <w:r>
              <w:rPr>
                <w:rFonts w:hint="default" w:ascii="Arial" w:hAnsi="Arial" w:cs="Arial"/>
                <w:color w:val="auto"/>
                <w:sz w:val="22"/>
                <w:szCs w:val="22"/>
                <w:lang w:eastAsia="zh-CN"/>
              </w:rPr>
              <w:t>公</w:t>
            </w:r>
            <w:r>
              <w:rPr>
                <w:rFonts w:hint="default" w:ascii="Arial" w:hAnsi="Arial" w:cs="Arial"/>
                <w:color w:val="auto"/>
                <w:spacing w:val="3"/>
                <w:sz w:val="22"/>
                <w:szCs w:val="22"/>
                <w:lang w:eastAsia="zh-CN"/>
              </w:rPr>
              <w:t>园</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w:t>
            </w:r>
            <w:r>
              <w:rPr>
                <w:rFonts w:hint="default" w:ascii="Arial" w:hAnsi="Arial" w:cs="Arial"/>
                <w:color w:val="auto"/>
                <w:sz w:val="22"/>
                <w:szCs w:val="22"/>
                <w:lang w:eastAsia="zh-CN"/>
              </w:rPr>
              <w:t>世</w:t>
            </w:r>
            <w:r>
              <w:rPr>
                <w:rFonts w:hint="default" w:ascii="Arial" w:hAnsi="Arial" w:cs="Arial"/>
                <w:color w:val="auto"/>
                <w:spacing w:val="2"/>
                <w:sz w:val="22"/>
                <w:szCs w:val="22"/>
                <w:lang w:eastAsia="zh-CN"/>
              </w:rPr>
              <w:t>界自然遗</w:t>
            </w:r>
            <w:r>
              <w:rPr>
                <w:rFonts w:hint="default" w:ascii="Arial" w:hAnsi="Arial" w:cs="Arial"/>
                <w:color w:val="auto"/>
                <w:spacing w:val="1"/>
                <w:sz w:val="22"/>
                <w:szCs w:val="22"/>
                <w:lang w:eastAsia="zh-CN"/>
              </w:rPr>
              <w:t>产</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；生</w:t>
            </w:r>
            <w:r>
              <w:rPr>
                <w:rFonts w:hint="default" w:ascii="Arial" w:hAnsi="Arial" w:cs="Arial"/>
                <w:color w:val="auto"/>
                <w:sz w:val="22"/>
                <w:szCs w:val="22"/>
                <w:lang w:eastAsia="zh-CN"/>
              </w:rPr>
              <w:t>态</w:t>
            </w:r>
            <w:r>
              <w:rPr>
                <w:rFonts w:hint="default" w:ascii="Arial" w:hAnsi="Arial" w:cs="Arial"/>
                <w:color w:val="auto"/>
                <w:spacing w:val="2"/>
                <w:sz w:val="22"/>
                <w:szCs w:val="22"/>
                <w:lang w:eastAsia="zh-CN"/>
              </w:rPr>
              <w:t>保</w:t>
            </w:r>
            <w:r>
              <w:rPr>
                <w:rFonts w:hint="default" w:ascii="Arial" w:hAnsi="Arial" w:cs="Arial"/>
                <w:color w:val="auto"/>
                <w:sz w:val="22"/>
                <w:szCs w:val="22"/>
                <w:lang w:eastAsia="zh-CN"/>
              </w:rPr>
              <w:t>护</w:t>
            </w:r>
            <w:r>
              <w:rPr>
                <w:rFonts w:hint="default" w:ascii="Arial" w:hAnsi="Arial" w:cs="Arial"/>
                <w:color w:val="auto"/>
                <w:spacing w:val="2"/>
                <w:sz w:val="22"/>
                <w:szCs w:val="22"/>
                <w:lang w:eastAsia="zh-CN"/>
              </w:rPr>
              <w:t>红</w:t>
            </w:r>
            <w:r>
              <w:rPr>
                <w:rFonts w:hint="default" w:ascii="Arial" w:hAnsi="Arial" w:cs="Arial"/>
                <w:color w:val="auto"/>
                <w:spacing w:val="3"/>
                <w:sz w:val="22"/>
                <w:szCs w:val="22"/>
                <w:lang w:eastAsia="zh-CN"/>
              </w:rPr>
              <w:t>线</w:t>
            </w:r>
            <w:r>
              <w:rPr>
                <w:rFonts w:hint="eastAsia" w:ascii="Arial" w:hAnsi="Arial" w:cs="Arial"/>
                <w:snapToGrid w:val="0"/>
                <w:color w:val="auto"/>
                <w:sz w:val="22"/>
                <w:szCs w:val="22"/>
                <w:lang w:eastAsia="zh-CN"/>
              </w:rPr>
              <w:t>□</w:t>
            </w:r>
            <w:r>
              <w:rPr>
                <w:rFonts w:hint="default" w:ascii="Arial" w:hAnsi="Arial" w:cs="Arial"/>
                <w:color w:val="auto"/>
                <w:spacing w:val="2"/>
                <w:sz w:val="22"/>
                <w:szCs w:val="22"/>
                <w:lang w:eastAsia="zh-CN"/>
              </w:rPr>
              <w:t>；</w:t>
            </w:r>
            <w:r>
              <w:rPr>
                <w:rFonts w:hint="default" w:ascii="Arial" w:hAnsi="Arial" w:cs="Arial"/>
                <w:color w:val="auto"/>
                <w:sz w:val="22"/>
                <w:szCs w:val="22"/>
                <w:lang w:eastAsia="zh-CN"/>
              </w:rPr>
              <w:t>重</w:t>
            </w:r>
            <w:r>
              <w:rPr>
                <w:rFonts w:hint="default" w:ascii="Arial" w:hAnsi="Arial" w:cs="Arial"/>
                <w:color w:val="auto"/>
                <w:spacing w:val="2"/>
                <w:sz w:val="22"/>
                <w:szCs w:val="22"/>
                <w:lang w:eastAsia="zh-CN"/>
              </w:rPr>
              <w:t>要生</w:t>
            </w:r>
            <w:r>
              <w:rPr>
                <w:rFonts w:hint="default" w:ascii="Arial" w:hAnsi="Arial" w:cs="Arial"/>
                <w:color w:val="auto"/>
                <w:spacing w:val="3"/>
                <w:sz w:val="22"/>
                <w:szCs w:val="22"/>
                <w:lang w:eastAsia="zh-CN"/>
              </w:rPr>
              <w:t>境</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；其他</w:t>
            </w:r>
            <w:r>
              <w:rPr>
                <w:rFonts w:hint="default" w:ascii="Arial" w:hAnsi="Arial" w:cs="Arial"/>
                <w:color w:val="auto"/>
                <w:sz w:val="22"/>
                <w:szCs w:val="22"/>
                <w:lang w:eastAsia="zh-CN"/>
              </w:rPr>
              <w:t>具</w:t>
            </w:r>
            <w:r>
              <w:rPr>
                <w:rFonts w:hint="default" w:ascii="Arial" w:hAnsi="Arial" w:cs="Arial"/>
                <w:color w:val="auto"/>
                <w:spacing w:val="2"/>
                <w:sz w:val="22"/>
                <w:szCs w:val="22"/>
                <w:lang w:eastAsia="zh-CN"/>
              </w:rPr>
              <w:t>有重要生</w:t>
            </w:r>
            <w:r>
              <w:rPr>
                <w:rFonts w:hint="default" w:ascii="Arial" w:hAnsi="Arial" w:cs="Arial"/>
                <w:color w:val="auto"/>
                <w:sz w:val="22"/>
                <w:szCs w:val="22"/>
                <w:lang w:eastAsia="zh-CN"/>
              </w:rPr>
              <w:t>态</w:t>
            </w:r>
            <w:r>
              <w:rPr>
                <w:rFonts w:hint="default" w:ascii="Arial" w:hAnsi="Arial" w:cs="Arial"/>
                <w:color w:val="auto"/>
                <w:spacing w:val="2"/>
                <w:sz w:val="22"/>
                <w:szCs w:val="22"/>
                <w:lang w:eastAsia="zh-CN"/>
              </w:rPr>
              <w:t>功能、</w:t>
            </w:r>
            <w:r>
              <w:rPr>
                <w:rFonts w:hint="default" w:ascii="Arial" w:hAnsi="Arial" w:cs="Arial"/>
                <w:color w:val="auto"/>
                <w:sz w:val="22"/>
                <w:szCs w:val="22"/>
                <w:lang w:eastAsia="zh-CN"/>
              </w:rPr>
              <w:t>对</w:t>
            </w:r>
            <w:r>
              <w:rPr>
                <w:rFonts w:hint="default" w:ascii="Arial" w:hAnsi="Arial" w:cs="Arial"/>
                <w:color w:val="auto"/>
                <w:spacing w:val="2"/>
                <w:sz w:val="22"/>
                <w:szCs w:val="22"/>
                <w:lang w:eastAsia="zh-CN"/>
              </w:rPr>
              <w:t>保护生</w:t>
            </w:r>
            <w:r>
              <w:rPr>
                <w:rFonts w:hint="default" w:ascii="Arial" w:hAnsi="Arial" w:cs="Arial"/>
                <w:color w:val="auto"/>
                <w:sz w:val="22"/>
                <w:szCs w:val="22"/>
                <w:lang w:eastAsia="zh-CN"/>
              </w:rPr>
              <w:t>物</w:t>
            </w:r>
            <w:r>
              <w:rPr>
                <w:rFonts w:hint="default" w:ascii="Arial" w:hAnsi="Arial" w:cs="Arial"/>
                <w:color w:val="auto"/>
                <w:spacing w:val="2"/>
                <w:sz w:val="22"/>
                <w:szCs w:val="22"/>
                <w:lang w:eastAsia="zh-CN"/>
              </w:rPr>
              <w:t>多样性具</w:t>
            </w:r>
            <w:r>
              <w:rPr>
                <w:rFonts w:hint="default" w:ascii="Arial" w:hAnsi="Arial" w:cs="Arial"/>
                <w:color w:val="auto"/>
                <w:sz w:val="22"/>
                <w:szCs w:val="22"/>
                <w:lang w:eastAsia="zh-CN"/>
              </w:rPr>
              <w:t>有</w:t>
            </w:r>
            <w:r>
              <w:rPr>
                <w:rFonts w:hint="default" w:ascii="Arial" w:hAnsi="Arial" w:cs="Arial"/>
                <w:color w:val="auto"/>
                <w:spacing w:val="2"/>
                <w:sz w:val="22"/>
                <w:szCs w:val="22"/>
                <w:lang w:eastAsia="zh-CN"/>
              </w:rPr>
              <w:t>重要意</w:t>
            </w:r>
            <w:r>
              <w:rPr>
                <w:rFonts w:hint="default" w:ascii="Arial" w:hAnsi="Arial" w:cs="Arial"/>
                <w:color w:val="auto"/>
                <w:sz w:val="22"/>
                <w:szCs w:val="22"/>
                <w:lang w:eastAsia="zh-CN"/>
              </w:rPr>
              <w:t>义</w:t>
            </w:r>
            <w:r>
              <w:rPr>
                <w:rFonts w:hint="default" w:ascii="Arial" w:hAnsi="Arial" w:cs="Arial"/>
                <w:color w:val="auto"/>
                <w:spacing w:val="2"/>
                <w:sz w:val="22"/>
                <w:szCs w:val="22"/>
                <w:lang w:eastAsia="zh-CN"/>
              </w:rPr>
              <w:t>的</w:t>
            </w:r>
            <w:r>
              <w:rPr>
                <w:rFonts w:hint="default" w:ascii="Arial" w:hAnsi="Arial" w:cs="Arial"/>
                <w:color w:val="auto"/>
                <w:sz w:val="22"/>
                <w:szCs w:val="22"/>
                <w:lang w:eastAsia="zh-CN"/>
              </w:rPr>
              <w:t>区域</w:t>
            </w:r>
            <w:r>
              <w:rPr>
                <w:rFonts w:hint="default" w:ascii="Arial" w:hAnsi="Arial" w:cs="Arial"/>
                <w:snapToGrid w:val="0"/>
                <w:color w:val="auto"/>
                <w:sz w:val="22"/>
                <w:szCs w:val="22"/>
                <w:lang w:eastAsia="zh-CN"/>
              </w:rPr>
              <w:t>□</w:t>
            </w:r>
            <w:r>
              <w:rPr>
                <w:rFonts w:hint="default" w:ascii="Arial" w:hAnsi="Arial" w:cs="Arial"/>
                <w:color w:val="auto"/>
                <w:sz w:val="22"/>
                <w:szCs w:val="22"/>
                <w:lang w:eastAsia="zh-CN"/>
              </w:rPr>
              <w:t>；其他</w:t>
            </w:r>
            <w:r>
              <w:rPr>
                <w:rFonts w:hint="eastAsia" w:ascii="Arial" w:hAnsi="Arial" w:cs="Arial"/>
                <w:snapToGrid w:val="0"/>
                <w:color w:val="auto"/>
                <w:sz w:val="22"/>
                <w:szCs w:val="22"/>
                <w:lang w:eastAsia="zh-CN"/>
              </w:rPr>
              <w:t>☑</w:t>
            </w:r>
          </w:p>
        </w:tc>
      </w:tr>
      <w:tr w14:paraId="21FCA1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2BDB4C37">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040895B4">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影响方式</w:t>
            </w:r>
          </w:p>
        </w:tc>
        <w:tc>
          <w:tcPr>
            <w:tcW w:w="3732" w:type="pct"/>
            <w:tcBorders>
              <w:tl2br w:val="nil"/>
              <w:tr2bl w:val="nil"/>
            </w:tcBorders>
            <w:vAlign w:val="center"/>
          </w:tcPr>
          <w:p w14:paraId="51A7B6EF">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color w:val="auto"/>
                <w:sz w:val="22"/>
                <w:szCs w:val="22"/>
                <w:lang w:eastAsia="zh-CN"/>
              </w:rPr>
            </w:pPr>
            <w:r>
              <w:rPr>
                <w:rFonts w:hint="default" w:ascii="Arial" w:hAnsi="Arial" w:cs="Arial"/>
                <w:color w:val="auto"/>
                <w:sz w:val="22"/>
                <w:szCs w:val="22"/>
                <w:lang w:eastAsia="zh-CN"/>
              </w:rPr>
              <w:t>工程占用</w:t>
            </w:r>
            <w:r>
              <w:rPr>
                <w:rFonts w:hint="eastAsia" w:ascii="Arial" w:hAnsi="Arial" w:cs="Arial"/>
                <w:snapToGrid w:val="0"/>
                <w:color w:val="auto"/>
                <w:sz w:val="22"/>
                <w:szCs w:val="22"/>
                <w:lang w:eastAsia="zh-CN"/>
              </w:rPr>
              <w:t>☑</w:t>
            </w:r>
            <w:r>
              <w:rPr>
                <w:rFonts w:hint="default" w:ascii="Arial" w:hAnsi="Arial" w:cs="Arial"/>
                <w:color w:val="auto"/>
                <w:sz w:val="22"/>
                <w:szCs w:val="22"/>
                <w:lang w:eastAsia="zh-CN"/>
              </w:rPr>
              <w:t>；施工活动干扰</w:t>
            </w:r>
            <w:r>
              <w:rPr>
                <w:rFonts w:hint="eastAsia" w:ascii="Arial" w:hAnsi="Arial" w:cs="Arial"/>
                <w:snapToGrid w:val="0"/>
                <w:color w:val="auto"/>
                <w:sz w:val="22"/>
                <w:szCs w:val="22"/>
                <w:lang w:eastAsia="zh-CN"/>
              </w:rPr>
              <w:t>☑</w:t>
            </w:r>
            <w:r>
              <w:rPr>
                <w:rFonts w:hint="default" w:ascii="Arial" w:hAnsi="Arial" w:cs="Arial"/>
                <w:color w:val="auto"/>
                <w:sz w:val="22"/>
                <w:szCs w:val="22"/>
                <w:lang w:eastAsia="zh-CN"/>
              </w:rPr>
              <w:t>；改变环境条件</w:t>
            </w:r>
            <w:r>
              <w:rPr>
                <w:rFonts w:hint="eastAsia" w:ascii="Arial" w:hAnsi="Arial" w:cs="Arial"/>
                <w:snapToGrid w:val="0"/>
                <w:color w:val="auto"/>
                <w:sz w:val="22"/>
                <w:szCs w:val="22"/>
                <w:lang w:eastAsia="zh-CN"/>
              </w:rPr>
              <w:t>☑</w:t>
            </w:r>
            <w:r>
              <w:rPr>
                <w:rFonts w:hint="default" w:ascii="Arial" w:hAnsi="Arial" w:cs="Arial"/>
                <w:color w:val="auto"/>
                <w:sz w:val="22"/>
                <w:szCs w:val="22"/>
                <w:lang w:eastAsia="zh-CN"/>
              </w:rPr>
              <w:t>；其他</w:t>
            </w:r>
            <w:r>
              <w:rPr>
                <w:rFonts w:hint="default" w:ascii="Arial" w:hAnsi="Arial" w:cs="Arial"/>
                <w:snapToGrid w:val="0"/>
                <w:color w:val="auto"/>
                <w:sz w:val="22"/>
                <w:szCs w:val="22"/>
                <w:lang w:eastAsia="zh-CN"/>
              </w:rPr>
              <w:t>□</w:t>
            </w:r>
          </w:p>
        </w:tc>
      </w:tr>
      <w:tr w14:paraId="58205F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4CF61780">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65283F48">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评价因子</w:t>
            </w:r>
          </w:p>
        </w:tc>
        <w:tc>
          <w:tcPr>
            <w:tcW w:w="3732" w:type="pct"/>
            <w:tcBorders>
              <w:tl2br w:val="nil"/>
              <w:tr2bl w:val="nil"/>
            </w:tcBorders>
            <w:vAlign w:val="center"/>
          </w:tcPr>
          <w:p w14:paraId="67F28DF6">
            <w:pPr>
              <w:pStyle w:val="147"/>
              <w:keepNext w:val="0"/>
              <w:keepLines w:val="0"/>
              <w:pageBreakBefore w:val="0"/>
              <w:widowControl w:val="0"/>
              <w:tabs>
                <w:tab w:val="left" w:pos="2628"/>
              </w:tabs>
              <w:kinsoku/>
              <w:wordWrap/>
              <w:overflowPunct/>
              <w:topLinePunct w:val="0"/>
              <w:autoSpaceDE w:val="0"/>
              <w:autoSpaceDN w:val="0"/>
              <w:bidi w:val="0"/>
              <w:adjustRightInd/>
              <w:snapToGrid/>
              <w:spacing w:line="300" w:lineRule="exact"/>
              <w:jc w:val="both"/>
              <w:textAlignment w:val="auto"/>
              <w:rPr>
                <w:rFonts w:hint="eastAsia" w:ascii="Arial" w:hAnsi="Arial" w:eastAsia="宋体" w:cs="Arial"/>
                <w:color w:val="auto"/>
                <w:sz w:val="22"/>
                <w:szCs w:val="22"/>
                <w:lang w:eastAsia="zh-CN"/>
              </w:rPr>
            </w:pPr>
            <w:r>
              <w:rPr>
                <w:rFonts w:hint="default" w:ascii="Arial" w:hAnsi="Arial" w:cs="Arial"/>
                <w:color w:val="auto"/>
                <w:sz w:val="22"/>
                <w:szCs w:val="22"/>
                <w:lang w:eastAsia="en-US"/>
              </w:rPr>
              <w:t>物种</w:t>
            </w:r>
            <w:r>
              <w:rPr>
                <w:rFonts w:hint="eastAsia" w:ascii="Arial" w:hAnsi="Arial" w:cs="Arial"/>
                <w:snapToGrid w:val="0"/>
                <w:color w:val="auto"/>
                <w:sz w:val="22"/>
                <w:szCs w:val="22"/>
                <w:lang w:eastAsia="zh-CN"/>
              </w:rPr>
              <w:t>☑</w:t>
            </w:r>
            <w:r>
              <w:rPr>
                <w:rFonts w:hint="eastAsia" w:ascii="Arial" w:hAnsi="Arial" w:cs="Arial"/>
                <w:color w:val="auto"/>
                <w:sz w:val="22"/>
                <w:szCs w:val="22"/>
                <w:lang w:eastAsia="zh-CN"/>
              </w:rPr>
              <w:t>（</w:t>
            </w:r>
            <w:r>
              <w:rPr>
                <w:rFonts w:hint="default" w:ascii="Arial" w:hAnsi="Arial" w:eastAsia="宋体" w:cs="Arial"/>
                <w:color w:val="auto"/>
                <w:sz w:val="22"/>
                <w:szCs w:val="22"/>
              </w:rPr>
              <w:t>分布范围、种群数量、种群结构、行为等</w:t>
            </w:r>
            <w:r>
              <w:rPr>
                <w:rFonts w:hint="eastAsia" w:ascii="Arial" w:hAnsi="Arial" w:eastAsia="宋体" w:cs="Arial"/>
                <w:color w:val="auto"/>
                <w:sz w:val="22"/>
                <w:szCs w:val="22"/>
                <w:lang w:eastAsia="zh-CN"/>
              </w:rPr>
              <w:t>）</w:t>
            </w:r>
          </w:p>
          <w:p w14:paraId="48E63BAC">
            <w:pPr>
              <w:pStyle w:val="147"/>
              <w:keepNext w:val="0"/>
              <w:keepLines w:val="0"/>
              <w:pageBreakBefore w:val="0"/>
              <w:widowControl w:val="0"/>
              <w:tabs>
                <w:tab w:val="left" w:pos="2628"/>
              </w:tabs>
              <w:kinsoku/>
              <w:wordWrap/>
              <w:overflowPunct/>
              <w:topLinePunct w:val="0"/>
              <w:autoSpaceDE w:val="0"/>
              <w:autoSpaceDN w:val="0"/>
              <w:bidi w:val="0"/>
              <w:adjustRightInd/>
              <w:snapToGrid/>
              <w:spacing w:line="300" w:lineRule="exact"/>
              <w:jc w:val="both"/>
              <w:textAlignment w:val="auto"/>
              <w:rPr>
                <w:rFonts w:hint="default" w:ascii="Arial" w:hAnsi="Arial" w:cs="Arial"/>
                <w:color w:val="auto"/>
                <w:sz w:val="22"/>
                <w:szCs w:val="22"/>
                <w:lang w:eastAsia="zh-CN"/>
              </w:rPr>
            </w:pPr>
            <w:r>
              <w:rPr>
                <w:rFonts w:hint="default" w:ascii="Arial" w:hAnsi="Arial" w:cs="Arial"/>
                <w:color w:val="auto"/>
                <w:sz w:val="22"/>
                <w:szCs w:val="22"/>
                <w:lang w:eastAsia="zh-CN"/>
              </w:rPr>
              <w:t>生境</w:t>
            </w:r>
            <w:r>
              <w:rPr>
                <w:rFonts w:hint="eastAsia" w:ascii="Arial" w:hAnsi="Arial" w:cs="Arial"/>
                <w:snapToGrid w:val="0"/>
                <w:color w:val="auto"/>
                <w:sz w:val="22"/>
                <w:szCs w:val="22"/>
                <w:lang w:eastAsia="zh-CN"/>
              </w:rPr>
              <w:t>☑</w:t>
            </w:r>
            <w:r>
              <w:rPr>
                <w:rFonts w:hint="eastAsia" w:ascii="Arial" w:hAnsi="Arial" w:cs="Arial"/>
                <w:color w:val="auto"/>
                <w:sz w:val="22"/>
                <w:szCs w:val="22"/>
                <w:lang w:eastAsia="zh-CN"/>
              </w:rPr>
              <w:t>（</w:t>
            </w:r>
            <w:r>
              <w:rPr>
                <w:rFonts w:hint="default" w:ascii="Arial" w:hAnsi="Arial" w:cs="Arial"/>
                <w:color w:val="auto"/>
                <w:sz w:val="22"/>
                <w:szCs w:val="22"/>
                <w:lang w:eastAsia="zh-CN"/>
              </w:rPr>
              <w:t>动物分布生境</w:t>
            </w:r>
            <w:r>
              <w:rPr>
                <w:rFonts w:hint="eastAsia" w:ascii="Arial" w:hAnsi="Arial" w:cs="Arial"/>
                <w:color w:val="auto"/>
                <w:sz w:val="22"/>
                <w:szCs w:val="22"/>
                <w:lang w:eastAsia="zh-CN"/>
              </w:rPr>
              <w:t>）</w:t>
            </w:r>
          </w:p>
          <w:p w14:paraId="1F6EB75D">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生物群落</w:t>
            </w:r>
            <w:r>
              <w:rPr>
                <w:rFonts w:hint="eastAsia" w:ascii="Arial" w:hAnsi="Arial" w:cs="Arial"/>
                <w:snapToGrid w:val="0"/>
                <w:color w:val="auto"/>
                <w:sz w:val="22"/>
                <w:szCs w:val="22"/>
                <w:lang w:eastAsia="zh-CN"/>
              </w:rPr>
              <w:t>☑</w:t>
            </w:r>
            <w:r>
              <w:rPr>
                <w:rFonts w:hint="default" w:ascii="Arial" w:hAnsi="Arial" w:eastAsia="宋体" w:cs="Arial"/>
                <w:color w:val="auto"/>
                <w:sz w:val="22"/>
                <w:szCs w:val="22"/>
              </w:rPr>
              <w:t>（物种组成，群落结构）</w:t>
            </w:r>
          </w:p>
          <w:p w14:paraId="4E749870">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生态系统</w:t>
            </w:r>
            <w:r>
              <w:rPr>
                <w:rFonts w:hint="eastAsia" w:ascii="Arial" w:hAnsi="Arial" w:cs="Arial"/>
                <w:snapToGrid w:val="0"/>
                <w:color w:val="auto"/>
                <w:sz w:val="22"/>
                <w:szCs w:val="22"/>
                <w:lang w:eastAsia="zh-CN"/>
              </w:rPr>
              <w:t>☑</w:t>
            </w:r>
            <w:r>
              <w:rPr>
                <w:rFonts w:hint="default" w:ascii="Arial" w:hAnsi="Arial" w:eastAsia="宋体" w:cs="Arial"/>
                <w:color w:val="auto"/>
                <w:sz w:val="22"/>
                <w:szCs w:val="22"/>
              </w:rPr>
              <w:t>（植被覆盖度、生物量、生态系统功能）</w:t>
            </w:r>
          </w:p>
          <w:p w14:paraId="1777530A">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生物多样性</w:t>
            </w:r>
            <w:r>
              <w:rPr>
                <w:rFonts w:hint="eastAsia" w:ascii="Arial" w:hAnsi="Arial" w:cs="Arial"/>
                <w:color w:val="auto"/>
                <w:sz w:val="22"/>
                <w:szCs w:val="22"/>
                <w:lang w:eastAsia="zh-CN"/>
              </w:rPr>
              <w:t>☑</w:t>
            </w:r>
            <w:r>
              <w:rPr>
                <w:rFonts w:hint="default" w:ascii="Arial" w:hAnsi="Arial" w:eastAsia="宋体" w:cs="Arial"/>
                <w:color w:val="auto"/>
                <w:sz w:val="22"/>
                <w:szCs w:val="22"/>
              </w:rPr>
              <w:t>（ ）</w:t>
            </w:r>
          </w:p>
          <w:p w14:paraId="67246B89">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生态敏感区</w:t>
            </w:r>
            <w:r>
              <w:rPr>
                <w:rFonts w:hint="eastAsia" w:ascii="Arial" w:hAnsi="Arial" w:cs="Arial"/>
                <w:color w:val="auto"/>
                <w:sz w:val="22"/>
                <w:szCs w:val="22"/>
                <w:lang w:eastAsia="zh-CN"/>
              </w:rPr>
              <w:t>□</w:t>
            </w:r>
            <w:r>
              <w:rPr>
                <w:rFonts w:hint="default" w:ascii="Arial" w:hAnsi="Arial" w:eastAsia="宋体" w:cs="Arial"/>
                <w:color w:val="auto"/>
                <w:sz w:val="22"/>
                <w:szCs w:val="22"/>
              </w:rPr>
              <w:t>（ ）</w:t>
            </w:r>
          </w:p>
          <w:p w14:paraId="7F1F1C31">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自然景观□（ ）</w:t>
            </w:r>
          </w:p>
          <w:p w14:paraId="7A83EA00">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自然遗迹□（ ）</w:t>
            </w:r>
          </w:p>
          <w:p w14:paraId="31948B4E">
            <w:pPr>
              <w:pStyle w:val="147"/>
              <w:keepNext w:val="0"/>
              <w:keepLines w:val="0"/>
              <w:pageBreakBefore w:val="0"/>
              <w:widowControl w:val="0"/>
              <w:tabs>
                <w:tab w:val="left" w:pos="2628"/>
              </w:tabs>
              <w:kinsoku/>
              <w:wordWrap/>
              <w:overflowPunct/>
              <w:topLinePunct w:val="0"/>
              <w:autoSpaceDE w:val="0"/>
              <w:autoSpaceDN w:val="0"/>
              <w:bidi w:val="0"/>
              <w:adjustRightInd/>
              <w:snapToGrid/>
              <w:spacing w:line="300" w:lineRule="exact"/>
              <w:jc w:val="both"/>
              <w:textAlignment w:val="auto"/>
              <w:rPr>
                <w:rFonts w:hint="default" w:ascii="Arial" w:hAnsi="Arial" w:cs="Arial"/>
                <w:color w:val="auto"/>
                <w:sz w:val="22"/>
                <w:szCs w:val="22"/>
                <w:lang w:eastAsia="en-US"/>
              </w:rPr>
            </w:pPr>
            <w:r>
              <w:rPr>
                <w:rFonts w:hint="default" w:ascii="Arial" w:hAnsi="Arial" w:eastAsia="宋体" w:cs="Arial"/>
                <w:color w:val="auto"/>
                <w:sz w:val="22"/>
                <w:szCs w:val="22"/>
              </w:rPr>
              <w:t>其他□（主要动植物）</w:t>
            </w:r>
          </w:p>
        </w:tc>
      </w:tr>
      <w:tr w14:paraId="7EE726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68" w:type="pct"/>
            <w:gridSpan w:val="2"/>
            <w:tcBorders>
              <w:tl2br w:val="nil"/>
              <w:tr2bl w:val="nil"/>
            </w:tcBorders>
            <w:vAlign w:val="center"/>
          </w:tcPr>
          <w:p w14:paraId="2D0B8650">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评价等级</w:t>
            </w:r>
          </w:p>
        </w:tc>
        <w:tc>
          <w:tcPr>
            <w:tcW w:w="3732" w:type="pct"/>
            <w:tcBorders>
              <w:tl2br w:val="nil"/>
              <w:tr2bl w:val="nil"/>
            </w:tcBorders>
            <w:vAlign w:val="center"/>
          </w:tcPr>
          <w:p w14:paraId="6191167B">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一级</w:t>
            </w:r>
            <w:r>
              <w:rPr>
                <w:rFonts w:hint="eastAsia" w:ascii="Arial" w:hAnsi="Arial" w:cs="Arial"/>
                <w:snapToGrid w:val="0"/>
                <w:sz w:val="22"/>
                <w:szCs w:val="22"/>
                <w:lang w:eastAsia="zh-CN"/>
              </w:rPr>
              <w:t>☑</w:t>
            </w:r>
            <w:r>
              <w:rPr>
                <w:rFonts w:hint="default" w:ascii="Arial" w:hAnsi="Arial" w:cs="Arial"/>
                <w:sz w:val="22"/>
                <w:szCs w:val="22"/>
                <w:lang w:eastAsia="zh-CN"/>
              </w:rPr>
              <w:tab/>
            </w:r>
            <w:r>
              <w:rPr>
                <w:rFonts w:hint="default" w:ascii="Arial" w:hAnsi="Arial" w:cs="Arial"/>
                <w:sz w:val="22"/>
                <w:szCs w:val="22"/>
                <w:lang w:eastAsia="zh-CN"/>
              </w:rPr>
              <w:t xml:space="preserve">    二级</w:t>
            </w:r>
            <w:r>
              <w:rPr>
                <w:rFonts w:hint="eastAsia" w:ascii="Arial" w:hAnsi="Arial" w:cs="Arial"/>
                <w:snapToGrid w:val="0"/>
                <w:sz w:val="22"/>
                <w:szCs w:val="22"/>
                <w:lang w:eastAsia="zh-CN"/>
              </w:rPr>
              <w:t>☑</w:t>
            </w:r>
            <w:r>
              <w:rPr>
                <w:rFonts w:hint="default" w:ascii="Arial" w:hAnsi="Arial" w:cs="Arial"/>
                <w:sz w:val="22"/>
                <w:szCs w:val="22"/>
                <w:lang w:eastAsia="zh-CN"/>
              </w:rPr>
              <w:tab/>
            </w:r>
            <w:r>
              <w:rPr>
                <w:rFonts w:hint="default" w:ascii="Arial" w:hAnsi="Arial" w:cs="Arial"/>
                <w:sz w:val="22"/>
                <w:szCs w:val="22"/>
                <w:lang w:eastAsia="zh-CN"/>
              </w:rPr>
              <w:t xml:space="preserve">    三级</w:t>
            </w:r>
            <w:r>
              <w:rPr>
                <w:rFonts w:hint="eastAsia" w:ascii="Arial" w:hAnsi="Arial" w:cs="Arial"/>
                <w:snapToGrid w:val="0"/>
                <w:sz w:val="22"/>
                <w:szCs w:val="22"/>
                <w:lang w:eastAsia="zh-CN"/>
              </w:rPr>
              <w:t>□</w:t>
            </w:r>
            <w:r>
              <w:rPr>
                <w:rFonts w:hint="default" w:ascii="Arial" w:hAnsi="Arial" w:cs="Arial"/>
                <w:sz w:val="22"/>
                <w:szCs w:val="22"/>
                <w:lang w:eastAsia="zh-CN"/>
              </w:rPr>
              <w:tab/>
            </w:r>
            <w:r>
              <w:rPr>
                <w:rFonts w:hint="default" w:ascii="Arial" w:hAnsi="Arial" w:cs="Arial"/>
                <w:sz w:val="22"/>
                <w:szCs w:val="22"/>
                <w:lang w:eastAsia="zh-CN"/>
              </w:rPr>
              <w:t xml:space="preserve">    生态影</w:t>
            </w:r>
            <w:r>
              <w:rPr>
                <w:rFonts w:hint="default" w:ascii="Arial" w:hAnsi="Arial" w:cs="Arial"/>
                <w:spacing w:val="-3"/>
                <w:sz w:val="22"/>
                <w:szCs w:val="22"/>
                <w:lang w:eastAsia="zh-CN"/>
              </w:rPr>
              <w:t>响</w:t>
            </w:r>
            <w:r>
              <w:rPr>
                <w:rFonts w:hint="default" w:ascii="Arial" w:hAnsi="Arial" w:cs="Arial"/>
                <w:sz w:val="22"/>
                <w:szCs w:val="22"/>
                <w:lang w:eastAsia="zh-CN"/>
              </w:rPr>
              <w:t>简单分析</w:t>
            </w:r>
            <w:r>
              <w:rPr>
                <w:rFonts w:hint="default" w:ascii="Arial" w:hAnsi="Arial" w:cs="Arial"/>
                <w:snapToGrid w:val="0"/>
                <w:sz w:val="22"/>
                <w:szCs w:val="22"/>
                <w:lang w:eastAsia="zh-CN"/>
              </w:rPr>
              <w:t>□</w:t>
            </w:r>
          </w:p>
        </w:tc>
      </w:tr>
      <w:tr w14:paraId="54B6AA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68" w:type="pct"/>
            <w:gridSpan w:val="2"/>
            <w:tcBorders>
              <w:tl2br w:val="nil"/>
              <w:tr2bl w:val="nil"/>
            </w:tcBorders>
            <w:vAlign w:val="center"/>
          </w:tcPr>
          <w:p w14:paraId="15FBF06A">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评价范围</w:t>
            </w:r>
          </w:p>
        </w:tc>
        <w:tc>
          <w:tcPr>
            <w:tcW w:w="3732" w:type="pct"/>
            <w:tcBorders>
              <w:tl2br w:val="nil"/>
              <w:tr2bl w:val="nil"/>
            </w:tcBorders>
            <w:vAlign w:val="center"/>
          </w:tcPr>
          <w:p w14:paraId="01AE99F3">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陆域面</w:t>
            </w:r>
            <w:r>
              <w:rPr>
                <w:rFonts w:hint="default" w:ascii="Arial" w:hAnsi="Arial" w:cs="Arial"/>
                <w:color w:val="auto"/>
                <w:sz w:val="22"/>
                <w:szCs w:val="22"/>
                <w:highlight w:val="none"/>
                <w:lang w:eastAsia="zh-CN"/>
              </w:rPr>
              <w:t>积</w:t>
            </w:r>
            <w:r>
              <w:rPr>
                <w:rFonts w:hint="default" w:ascii="Arial" w:hAnsi="Arial" w:cs="Arial"/>
                <w:color w:val="auto"/>
                <w:spacing w:val="-92"/>
                <w:sz w:val="22"/>
                <w:szCs w:val="22"/>
                <w:highlight w:val="none"/>
                <w:lang w:eastAsia="zh-CN"/>
              </w:rPr>
              <w:t>：</w:t>
            </w:r>
            <w:r>
              <w:rPr>
                <w:rFonts w:hint="eastAsia" w:ascii="宋体" w:hAnsi="宋体" w:eastAsia="宋体" w:cs="宋体"/>
                <w:color w:val="auto"/>
                <w:sz w:val="22"/>
                <w:szCs w:val="22"/>
                <w:highlight w:val="none"/>
                <w:lang w:eastAsia="zh-CN"/>
              </w:rPr>
              <w:t>(</w:t>
            </w:r>
            <w:r>
              <w:rPr>
                <w:rFonts w:hint="eastAsia" w:ascii="Arial" w:hAnsi="Arial" w:cs="Arial"/>
                <w:color w:val="auto"/>
                <w:sz w:val="22"/>
                <w:szCs w:val="22"/>
                <w:highlight w:val="none"/>
                <w:lang w:val="en-US" w:eastAsia="zh-CN"/>
              </w:rPr>
              <w:t>18.991</w:t>
            </w:r>
            <w:r>
              <w:rPr>
                <w:rFonts w:hint="eastAsia" w:ascii="宋体" w:hAnsi="宋体" w:eastAsia="宋体" w:cs="宋体"/>
                <w:color w:val="auto"/>
                <w:sz w:val="22"/>
                <w:szCs w:val="22"/>
                <w:highlight w:val="none"/>
                <w:lang w:eastAsia="zh-CN"/>
              </w:rPr>
              <w:t>)</w:t>
            </w:r>
            <w:r>
              <w:rPr>
                <w:rFonts w:hint="default" w:ascii="Arial" w:hAnsi="Arial" w:eastAsia="宋体" w:cs="Arial"/>
                <w:color w:val="auto"/>
                <w:spacing w:val="-2"/>
                <w:sz w:val="22"/>
                <w:szCs w:val="22"/>
                <w:highlight w:val="none"/>
                <w:lang w:eastAsia="zh-CN"/>
              </w:rPr>
              <w:t>k</w:t>
            </w:r>
            <w:r>
              <w:rPr>
                <w:rFonts w:hint="default" w:ascii="Arial" w:hAnsi="Arial" w:cs="Arial"/>
                <w:color w:val="auto"/>
                <w:spacing w:val="-4"/>
                <w:sz w:val="22"/>
                <w:szCs w:val="22"/>
                <w:highlight w:val="none"/>
                <w:lang w:eastAsia="zh-CN"/>
              </w:rPr>
              <w:t>m</w:t>
            </w:r>
            <w:r>
              <w:rPr>
                <w:rFonts w:hint="default" w:ascii="Arial" w:hAnsi="Arial" w:cs="Arial"/>
                <w:color w:val="auto"/>
                <w:spacing w:val="-4"/>
                <w:sz w:val="22"/>
                <w:szCs w:val="22"/>
                <w:highlight w:val="none"/>
                <w:vertAlign w:val="superscript"/>
                <w:lang w:eastAsia="zh-CN"/>
              </w:rPr>
              <w:t>2</w:t>
            </w:r>
            <w:r>
              <w:rPr>
                <w:rFonts w:hint="default" w:ascii="Arial" w:hAnsi="Arial" w:cs="Arial"/>
                <w:color w:val="auto"/>
                <w:sz w:val="22"/>
                <w:szCs w:val="22"/>
                <w:highlight w:val="none"/>
                <w:lang w:eastAsia="zh-CN"/>
              </w:rPr>
              <w:t>；水</w:t>
            </w:r>
            <w:r>
              <w:rPr>
                <w:rFonts w:hint="default" w:ascii="Arial" w:hAnsi="Arial" w:cs="Arial"/>
                <w:color w:val="auto"/>
                <w:spacing w:val="2"/>
                <w:sz w:val="22"/>
                <w:szCs w:val="22"/>
                <w:highlight w:val="none"/>
                <w:lang w:eastAsia="zh-CN"/>
              </w:rPr>
              <w:t>域</w:t>
            </w:r>
            <w:r>
              <w:rPr>
                <w:rFonts w:hint="default" w:ascii="Arial" w:hAnsi="Arial" w:cs="Arial"/>
                <w:color w:val="auto"/>
                <w:sz w:val="22"/>
                <w:szCs w:val="22"/>
                <w:highlight w:val="none"/>
                <w:lang w:eastAsia="zh-CN"/>
              </w:rPr>
              <w:t>面积</w:t>
            </w:r>
            <w:r>
              <w:rPr>
                <w:rFonts w:hint="eastAsia" w:ascii="宋体" w:hAnsi="宋体" w:eastAsia="宋体" w:cs="宋体"/>
                <w:color w:val="auto"/>
                <w:spacing w:val="-92"/>
                <w:sz w:val="22"/>
                <w:szCs w:val="22"/>
                <w:highlight w:val="none"/>
                <w:lang w:eastAsia="zh-CN"/>
              </w:rPr>
              <w:t>：</w:t>
            </w:r>
            <w:r>
              <w:rPr>
                <w:rFonts w:hint="eastAsia" w:ascii="宋体" w:hAnsi="宋体" w:eastAsia="宋体" w:cs="宋体"/>
                <w:color w:val="auto"/>
                <w:sz w:val="22"/>
                <w:szCs w:val="22"/>
                <w:highlight w:val="none"/>
                <w:lang w:eastAsia="zh-CN"/>
              </w:rPr>
              <w:t>(</w:t>
            </w:r>
            <w:r>
              <w:rPr>
                <w:rFonts w:hint="eastAsia" w:ascii="Arial" w:hAnsi="Arial" w:cs="Arial"/>
                <w:color w:val="auto"/>
                <w:sz w:val="22"/>
                <w:szCs w:val="22"/>
                <w:highlight w:val="none"/>
                <w:lang w:val="en-US" w:eastAsia="zh-CN"/>
              </w:rPr>
              <w:t xml:space="preserve">  /  </w:t>
            </w:r>
            <w:r>
              <w:rPr>
                <w:rFonts w:hint="eastAsia" w:ascii="宋体" w:hAnsi="宋体" w:eastAsia="宋体" w:cs="宋体"/>
                <w:color w:val="auto"/>
                <w:sz w:val="22"/>
                <w:szCs w:val="22"/>
                <w:highlight w:val="none"/>
                <w:lang w:eastAsia="zh-CN"/>
              </w:rPr>
              <w:t>)</w:t>
            </w:r>
            <w:r>
              <w:rPr>
                <w:rFonts w:hint="default" w:ascii="Arial" w:hAnsi="Arial" w:cs="Arial"/>
                <w:color w:val="auto"/>
                <w:spacing w:val="-2"/>
                <w:sz w:val="22"/>
                <w:szCs w:val="22"/>
                <w:highlight w:val="none"/>
                <w:lang w:eastAsia="zh-CN"/>
              </w:rPr>
              <w:t>k</w:t>
            </w:r>
            <w:r>
              <w:rPr>
                <w:rFonts w:hint="default" w:ascii="Arial" w:hAnsi="Arial" w:cs="Arial"/>
                <w:color w:val="auto"/>
                <w:spacing w:val="-4"/>
                <w:sz w:val="22"/>
                <w:szCs w:val="22"/>
                <w:highlight w:val="none"/>
                <w:lang w:eastAsia="zh-CN"/>
              </w:rPr>
              <w:t>m</w:t>
            </w:r>
            <w:r>
              <w:rPr>
                <w:rFonts w:hint="default" w:ascii="Arial" w:hAnsi="Arial" w:cs="Arial"/>
                <w:color w:val="auto"/>
                <w:spacing w:val="-4"/>
                <w:sz w:val="22"/>
                <w:szCs w:val="22"/>
                <w:highlight w:val="none"/>
                <w:vertAlign w:val="superscript"/>
                <w:lang w:eastAsia="zh-CN"/>
              </w:rPr>
              <w:t>2</w:t>
            </w:r>
          </w:p>
        </w:tc>
      </w:tr>
      <w:tr w14:paraId="67118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restart"/>
            <w:tcBorders>
              <w:tl2br w:val="nil"/>
              <w:tr2bl w:val="nil"/>
            </w:tcBorders>
            <w:vAlign w:val="center"/>
          </w:tcPr>
          <w:p w14:paraId="08DFC886">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生态现状 调查与评价</w:t>
            </w:r>
          </w:p>
        </w:tc>
        <w:tc>
          <w:tcPr>
            <w:tcW w:w="743" w:type="pct"/>
            <w:tcBorders>
              <w:tl2br w:val="nil"/>
              <w:tr2bl w:val="nil"/>
            </w:tcBorders>
            <w:vAlign w:val="center"/>
          </w:tcPr>
          <w:p w14:paraId="24869692">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调查方法</w:t>
            </w:r>
          </w:p>
        </w:tc>
        <w:tc>
          <w:tcPr>
            <w:tcW w:w="3732" w:type="pct"/>
            <w:tcBorders>
              <w:tl2br w:val="nil"/>
              <w:tr2bl w:val="nil"/>
            </w:tcBorders>
            <w:vAlign w:val="center"/>
          </w:tcPr>
          <w:p w14:paraId="7E8623F6">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pacing w:val="2"/>
                <w:sz w:val="22"/>
                <w:szCs w:val="22"/>
                <w:lang w:eastAsia="zh-CN"/>
              </w:rPr>
              <w:t>资料收</w:t>
            </w:r>
            <w:r>
              <w:rPr>
                <w:rFonts w:hint="default" w:ascii="Arial" w:hAnsi="Arial" w:cs="Arial"/>
                <w:spacing w:val="3"/>
                <w:sz w:val="22"/>
                <w:szCs w:val="22"/>
                <w:lang w:eastAsia="zh-CN"/>
              </w:rPr>
              <w:t>集</w:t>
            </w:r>
            <w:r>
              <w:rPr>
                <w:rFonts w:hint="eastAsia" w:ascii="Arial" w:hAnsi="Arial" w:cs="Arial"/>
                <w:snapToGrid w:val="0"/>
                <w:sz w:val="22"/>
                <w:szCs w:val="22"/>
                <w:lang w:eastAsia="zh-CN"/>
              </w:rPr>
              <w:t>☑</w:t>
            </w:r>
            <w:r>
              <w:rPr>
                <w:rFonts w:hint="default" w:ascii="Arial" w:hAnsi="Arial" w:cs="Arial"/>
                <w:spacing w:val="2"/>
                <w:sz w:val="22"/>
                <w:szCs w:val="22"/>
                <w:lang w:eastAsia="zh-CN"/>
              </w:rPr>
              <w:t>；遥感</w:t>
            </w:r>
            <w:r>
              <w:rPr>
                <w:rFonts w:hint="default" w:ascii="Arial" w:hAnsi="Arial" w:cs="Arial"/>
                <w:sz w:val="22"/>
                <w:szCs w:val="22"/>
                <w:lang w:eastAsia="zh-CN"/>
              </w:rPr>
              <w:t>调</w:t>
            </w:r>
            <w:r>
              <w:rPr>
                <w:rFonts w:hint="default" w:ascii="Arial" w:hAnsi="Arial" w:cs="Arial"/>
                <w:spacing w:val="2"/>
                <w:sz w:val="22"/>
                <w:szCs w:val="22"/>
                <w:lang w:eastAsia="zh-CN"/>
              </w:rPr>
              <w:t>查</w:t>
            </w:r>
            <w:r>
              <w:rPr>
                <w:rFonts w:hint="eastAsia" w:ascii="Arial" w:hAnsi="Arial" w:cs="Arial"/>
                <w:snapToGrid w:val="0"/>
                <w:sz w:val="22"/>
                <w:szCs w:val="22"/>
                <w:lang w:eastAsia="zh-CN"/>
              </w:rPr>
              <w:t>☑</w:t>
            </w:r>
            <w:r>
              <w:rPr>
                <w:rFonts w:hint="default" w:ascii="Arial" w:hAnsi="Arial" w:cs="Arial"/>
                <w:spacing w:val="2"/>
                <w:sz w:val="22"/>
                <w:szCs w:val="22"/>
                <w:lang w:eastAsia="zh-CN"/>
              </w:rPr>
              <w:t>；</w:t>
            </w:r>
            <w:r>
              <w:rPr>
                <w:rFonts w:hint="default" w:ascii="Arial" w:hAnsi="Arial" w:cs="Arial"/>
                <w:sz w:val="22"/>
                <w:szCs w:val="22"/>
                <w:lang w:eastAsia="zh-CN"/>
              </w:rPr>
              <w:t>调</w:t>
            </w:r>
            <w:r>
              <w:rPr>
                <w:rFonts w:hint="default" w:ascii="Arial" w:hAnsi="Arial" w:cs="Arial"/>
                <w:spacing w:val="2"/>
                <w:sz w:val="22"/>
                <w:szCs w:val="22"/>
                <w:lang w:eastAsia="zh-CN"/>
              </w:rPr>
              <w:t>查样</w:t>
            </w:r>
            <w:r>
              <w:rPr>
                <w:rFonts w:hint="default" w:ascii="Arial" w:hAnsi="Arial" w:cs="Arial"/>
                <w:spacing w:val="3"/>
                <w:sz w:val="22"/>
                <w:szCs w:val="22"/>
                <w:lang w:eastAsia="zh-CN"/>
              </w:rPr>
              <w:t>方</w:t>
            </w:r>
            <w:r>
              <w:rPr>
                <w:rFonts w:hint="default" w:ascii="Arial" w:hAnsi="Arial" w:cs="Arial"/>
                <w:spacing w:val="2"/>
                <w:sz w:val="22"/>
                <w:szCs w:val="22"/>
                <w:lang w:eastAsia="zh-CN"/>
              </w:rPr>
              <w:t>、</w:t>
            </w:r>
            <w:r>
              <w:rPr>
                <w:rFonts w:hint="default" w:ascii="Arial" w:hAnsi="Arial" w:cs="Arial"/>
                <w:sz w:val="22"/>
                <w:szCs w:val="22"/>
                <w:lang w:eastAsia="zh-CN"/>
              </w:rPr>
              <w:t>样</w:t>
            </w:r>
            <w:r>
              <w:rPr>
                <w:rFonts w:hint="default" w:ascii="Arial" w:hAnsi="Arial" w:cs="Arial"/>
                <w:spacing w:val="2"/>
                <w:sz w:val="22"/>
                <w:szCs w:val="22"/>
                <w:lang w:eastAsia="zh-CN"/>
              </w:rPr>
              <w:t>线</w:t>
            </w:r>
            <w:r>
              <w:rPr>
                <w:rFonts w:hint="eastAsia" w:ascii="Arial" w:hAnsi="Arial" w:cs="Arial"/>
                <w:snapToGrid w:val="0"/>
                <w:sz w:val="22"/>
                <w:szCs w:val="22"/>
                <w:lang w:eastAsia="zh-CN"/>
              </w:rPr>
              <w:t>☑</w:t>
            </w:r>
            <w:r>
              <w:rPr>
                <w:rFonts w:hint="default" w:ascii="Arial" w:hAnsi="Arial" w:cs="Arial"/>
                <w:spacing w:val="2"/>
                <w:sz w:val="22"/>
                <w:szCs w:val="22"/>
                <w:lang w:eastAsia="zh-CN"/>
              </w:rPr>
              <w:t>；</w:t>
            </w:r>
            <w:r>
              <w:rPr>
                <w:rFonts w:hint="default" w:ascii="Arial" w:hAnsi="Arial" w:cs="Arial"/>
                <w:sz w:val="22"/>
                <w:szCs w:val="22"/>
                <w:lang w:eastAsia="zh-CN"/>
              </w:rPr>
              <w:t>调</w:t>
            </w:r>
            <w:r>
              <w:rPr>
                <w:rFonts w:hint="default" w:ascii="Arial" w:hAnsi="Arial" w:cs="Arial"/>
                <w:spacing w:val="2"/>
                <w:sz w:val="22"/>
                <w:szCs w:val="22"/>
                <w:lang w:eastAsia="zh-CN"/>
              </w:rPr>
              <w:t>查点位</w:t>
            </w:r>
            <w:r>
              <w:rPr>
                <w:rFonts w:hint="default" w:ascii="Arial" w:hAnsi="Arial" w:cs="Arial"/>
                <w:sz w:val="22"/>
                <w:szCs w:val="22"/>
                <w:lang w:eastAsia="zh-CN"/>
              </w:rPr>
              <w:t>、</w:t>
            </w:r>
            <w:r>
              <w:rPr>
                <w:rFonts w:hint="default" w:ascii="Arial" w:hAnsi="Arial" w:cs="Arial"/>
                <w:spacing w:val="2"/>
                <w:sz w:val="22"/>
                <w:szCs w:val="22"/>
                <w:lang w:eastAsia="zh-CN"/>
              </w:rPr>
              <w:t>断</w:t>
            </w:r>
            <w:r>
              <w:rPr>
                <w:rFonts w:hint="default" w:ascii="Arial" w:hAnsi="Arial" w:cs="Arial"/>
                <w:spacing w:val="4"/>
                <w:sz w:val="22"/>
                <w:szCs w:val="22"/>
                <w:lang w:eastAsia="zh-CN"/>
              </w:rPr>
              <w:t>面</w:t>
            </w:r>
            <w:r>
              <w:rPr>
                <w:rFonts w:hint="eastAsia" w:ascii="Arial" w:hAnsi="Arial" w:cs="Arial"/>
                <w:snapToGrid w:val="0"/>
                <w:sz w:val="22"/>
                <w:szCs w:val="22"/>
                <w:lang w:eastAsia="zh-CN"/>
              </w:rPr>
              <w:t>☑</w:t>
            </w:r>
            <w:r>
              <w:rPr>
                <w:rFonts w:hint="default" w:ascii="Arial" w:hAnsi="Arial" w:cs="Arial"/>
                <w:spacing w:val="2"/>
                <w:sz w:val="22"/>
                <w:szCs w:val="22"/>
                <w:lang w:eastAsia="zh-CN"/>
              </w:rPr>
              <w:t>；</w:t>
            </w:r>
            <w:r>
              <w:rPr>
                <w:rFonts w:hint="default" w:ascii="Arial" w:hAnsi="Arial" w:cs="Arial"/>
                <w:sz w:val="22"/>
                <w:szCs w:val="22"/>
                <w:lang w:eastAsia="zh-CN"/>
              </w:rPr>
              <w:t>专</w:t>
            </w:r>
            <w:r>
              <w:rPr>
                <w:rFonts w:hint="default" w:ascii="Arial" w:hAnsi="Arial" w:cs="Arial"/>
                <w:spacing w:val="2"/>
                <w:sz w:val="22"/>
                <w:szCs w:val="22"/>
                <w:lang w:eastAsia="zh-CN"/>
              </w:rPr>
              <w:t>家和公</w:t>
            </w:r>
            <w:r>
              <w:rPr>
                <w:rFonts w:hint="default" w:ascii="Arial" w:hAnsi="Arial" w:cs="Arial"/>
                <w:sz w:val="22"/>
                <w:szCs w:val="22"/>
                <w:lang w:eastAsia="zh-CN"/>
              </w:rPr>
              <w:t>众</w:t>
            </w:r>
            <w:r>
              <w:rPr>
                <w:rFonts w:hint="default" w:ascii="Arial" w:hAnsi="Arial" w:cs="Arial"/>
                <w:spacing w:val="2"/>
                <w:sz w:val="22"/>
                <w:szCs w:val="22"/>
                <w:lang w:eastAsia="zh-CN"/>
              </w:rPr>
              <w:t>咨</w:t>
            </w:r>
            <w:r>
              <w:rPr>
                <w:rFonts w:hint="default" w:ascii="Arial" w:hAnsi="Arial" w:cs="Arial"/>
                <w:sz w:val="22"/>
                <w:szCs w:val="22"/>
                <w:lang w:eastAsia="zh-CN"/>
              </w:rPr>
              <w:t>询法</w:t>
            </w:r>
            <w:r>
              <w:rPr>
                <w:rFonts w:hint="eastAsia"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26A294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1E39C4B8">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20F5B1B8">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调查时间</w:t>
            </w:r>
          </w:p>
        </w:tc>
        <w:tc>
          <w:tcPr>
            <w:tcW w:w="3732" w:type="pct"/>
            <w:tcBorders>
              <w:tl2br w:val="nil"/>
              <w:tr2bl w:val="nil"/>
            </w:tcBorders>
            <w:vAlign w:val="center"/>
          </w:tcPr>
          <w:p w14:paraId="2C06209A">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en-US"/>
              </w:rPr>
            </w:pPr>
            <w:r>
              <w:rPr>
                <w:rFonts w:hint="default" w:ascii="Arial" w:hAnsi="Arial" w:cs="Arial"/>
                <w:sz w:val="22"/>
                <w:szCs w:val="22"/>
                <w:lang w:eastAsia="en-US"/>
              </w:rPr>
              <w:t>春季</w:t>
            </w:r>
            <w:r>
              <w:rPr>
                <w:rFonts w:hint="eastAsia" w:ascii="Arial" w:hAnsi="Arial" w:cs="Arial"/>
                <w:snapToGrid w:val="0"/>
                <w:sz w:val="22"/>
                <w:szCs w:val="22"/>
                <w:lang w:eastAsia="zh-CN"/>
              </w:rPr>
              <w:t>☑</w:t>
            </w:r>
            <w:r>
              <w:rPr>
                <w:rFonts w:hint="default" w:ascii="Arial" w:hAnsi="Arial" w:cs="Arial"/>
                <w:sz w:val="22"/>
                <w:szCs w:val="22"/>
                <w:lang w:eastAsia="en-US"/>
              </w:rPr>
              <w:t>；夏季</w:t>
            </w:r>
            <w:r>
              <w:rPr>
                <w:rFonts w:hint="eastAsia" w:ascii="Arial" w:hAnsi="Arial" w:cs="Arial"/>
                <w:snapToGrid w:val="0"/>
                <w:sz w:val="22"/>
                <w:szCs w:val="22"/>
                <w:lang w:eastAsia="zh-CN"/>
              </w:rPr>
              <w:t>□</w:t>
            </w:r>
            <w:r>
              <w:rPr>
                <w:rFonts w:hint="default" w:ascii="Arial" w:hAnsi="Arial" w:cs="Arial"/>
                <w:sz w:val="22"/>
                <w:szCs w:val="22"/>
                <w:lang w:eastAsia="en-US"/>
              </w:rPr>
              <w:t>；秋季</w:t>
            </w:r>
            <w:r>
              <w:rPr>
                <w:rFonts w:hint="eastAsia" w:ascii="Arial" w:hAnsi="Arial" w:cs="Arial"/>
                <w:snapToGrid w:val="0"/>
                <w:sz w:val="22"/>
                <w:szCs w:val="22"/>
                <w:lang w:eastAsia="zh-CN"/>
              </w:rPr>
              <w:t>☑</w:t>
            </w:r>
            <w:r>
              <w:rPr>
                <w:rFonts w:hint="default" w:ascii="Arial" w:hAnsi="Arial" w:cs="Arial"/>
                <w:sz w:val="22"/>
                <w:szCs w:val="22"/>
                <w:lang w:eastAsia="en-US"/>
              </w:rPr>
              <w:t>；冬季</w:t>
            </w:r>
            <w:r>
              <w:rPr>
                <w:rFonts w:hint="default" w:ascii="Arial" w:hAnsi="Arial" w:cs="Arial"/>
                <w:snapToGrid w:val="0"/>
                <w:sz w:val="22"/>
                <w:szCs w:val="22"/>
                <w:lang w:eastAsia="en-US"/>
              </w:rPr>
              <w:t>□</w:t>
            </w:r>
          </w:p>
          <w:p w14:paraId="267A62FF">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en-US"/>
              </w:rPr>
            </w:pPr>
            <w:r>
              <w:rPr>
                <w:rFonts w:hint="default" w:ascii="Arial" w:hAnsi="Arial" w:cs="Arial"/>
                <w:sz w:val="22"/>
                <w:szCs w:val="22"/>
                <w:lang w:eastAsia="en-US"/>
              </w:rPr>
              <w:t>丰水期</w:t>
            </w:r>
            <w:r>
              <w:rPr>
                <w:rFonts w:hint="eastAsia" w:ascii="Arial" w:hAnsi="Arial" w:cs="Arial"/>
                <w:snapToGrid w:val="0"/>
                <w:sz w:val="22"/>
                <w:szCs w:val="22"/>
                <w:lang w:eastAsia="zh-CN"/>
              </w:rPr>
              <w:t>☑</w:t>
            </w:r>
            <w:r>
              <w:rPr>
                <w:rFonts w:hint="default" w:ascii="Arial" w:hAnsi="Arial" w:cs="Arial"/>
                <w:sz w:val="22"/>
                <w:szCs w:val="22"/>
                <w:lang w:eastAsia="en-US"/>
              </w:rPr>
              <w:t>；枯水期</w:t>
            </w:r>
            <w:r>
              <w:rPr>
                <w:rFonts w:hint="eastAsia" w:ascii="Arial" w:hAnsi="Arial" w:cs="Arial"/>
                <w:snapToGrid w:val="0"/>
                <w:sz w:val="22"/>
                <w:szCs w:val="22"/>
                <w:lang w:eastAsia="zh-CN"/>
              </w:rPr>
              <w:t>☑</w:t>
            </w:r>
            <w:r>
              <w:rPr>
                <w:rFonts w:hint="default" w:ascii="Arial" w:hAnsi="Arial" w:cs="Arial"/>
                <w:sz w:val="22"/>
                <w:szCs w:val="22"/>
                <w:lang w:eastAsia="en-US"/>
              </w:rPr>
              <w:t>；平水期</w:t>
            </w:r>
            <w:r>
              <w:rPr>
                <w:rFonts w:hint="default" w:ascii="Arial" w:hAnsi="Arial" w:cs="Arial"/>
                <w:snapToGrid w:val="0"/>
                <w:sz w:val="22"/>
                <w:szCs w:val="22"/>
                <w:lang w:eastAsia="en-US"/>
              </w:rPr>
              <w:t>□</w:t>
            </w:r>
          </w:p>
        </w:tc>
      </w:tr>
      <w:tr w14:paraId="397AE7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7D43FEAF">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p>
        </w:tc>
        <w:tc>
          <w:tcPr>
            <w:tcW w:w="743" w:type="pct"/>
            <w:tcBorders>
              <w:tl2br w:val="nil"/>
              <w:tr2bl w:val="nil"/>
            </w:tcBorders>
            <w:vAlign w:val="center"/>
          </w:tcPr>
          <w:p w14:paraId="64119C2F">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所在区域的生态问题</w:t>
            </w:r>
          </w:p>
        </w:tc>
        <w:tc>
          <w:tcPr>
            <w:tcW w:w="3732" w:type="pct"/>
            <w:tcBorders>
              <w:tl2br w:val="nil"/>
              <w:tr2bl w:val="nil"/>
            </w:tcBorders>
            <w:vAlign w:val="center"/>
          </w:tcPr>
          <w:p w14:paraId="38CA6C32">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水土流失</w:t>
            </w:r>
            <w:r>
              <w:rPr>
                <w:rFonts w:hint="default" w:ascii="Arial" w:hAnsi="Arial" w:cs="Arial"/>
                <w:snapToGrid w:val="0"/>
                <w:sz w:val="22"/>
                <w:szCs w:val="22"/>
                <w:lang w:eastAsia="zh-CN"/>
              </w:rPr>
              <w:t>□</w:t>
            </w:r>
            <w:r>
              <w:rPr>
                <w:rFonts w:hint="default" w:ascii="Arial" w:hAnsi="Arial" w:cs="Arial"/>
                <w:sz w:val="22"/>
                <w:szCs w:val="22"/>
                <w:lang w:eastAsia="zh-CN"/>
              </w:rPr>
              <w:t>；沙漠化</w:t>
            </w:r>
            <w:r>
              <w:rPr>
                <w:rFonts w:hint="default" w:ascii="Arial" w:hAnsi="Arial" w:cs="Arial"/>
                <w:snapToGrid w:val="0"/>
                <w:sz w:val="22"/>
                <w:szCs w:val="22"/>
                <w:lang w:eastAsia="zh-CN"/>
              </w:rPr>
              <w:t>□</w:t>
            </w:r>
            <w:r>
              <w:rPr>
                <w:rFonts w:hint="default" w:ascii="Arial" w:hAnsi="Arial" w:cs="Arial"/>
                <w:sz w:val="22"/>
                <w:szCs w:val="22"/>
                <w:lang w:eastAsia="zh-CN"/>
              </w:rPr>
              <w:t>；石漠化</w:t>
            </w:r>
            <w:r>
              <w:rPr>
                <w:rFonts w:hint="default" w:ascii="Arial" w:hAnsi="Arial" w:cs="Arial"/>
                <w:snapToGrid w:val="0"/>
                <w:sz w:val="22"/>
                <w:szCs w:val="22"/>
                <w:lang w:eastAsia="zh-CN"/>
              </w:rPr>
              <w:t>□</w:t>
            </w:r>
            <w:r>
              <w:rPr>
                <w:rFonts w:hint="default" w:ascii="Arial" w:hAnsi="Arial" w:cs="Arial"/>
                <w:sz w:val="22"/>
                <w:szCs w:val="22"/>
                <w:lang w:eastAsia="zh-CN"/>
              </w:rPr>
              <w:t>；盐渍化</w:t>
            </w:r>
            <w:r>
              <w:rPr>
                <w:rFonts w:hint="default" w:ascii="Arial" w:hAnsi="Arial" w:cs="Arial"/>
                <w:snapToGrid w:val="0"/>
                <w:sz w:val="22"/>
                <w:szCs w:val="22"/>
                <w:lang w:eastAsia="zh-CN"/>
              </w:rPr>
              <w:t>□</w:t>
            </w:r>
            <w:r>
              <w:rPr>
                <w:rFonts w:hint="default" w:ascii="Arial" w:hAnsi="Arial" w:cs="Arial"/>
                <w:sz w:val="22"/>
                <w:szCs w:val="22"/>
                <w:lang w:eastAsia="zh-CN"/>
              </w:rPr>
              <w:t>；生物入侵</w:t>
            </w:r>
            <w:r>
              <w:rPr>
                <w:rFonts w:hint="default" w:ascii="Arial" w:hAnsi="Arial" w:cs="Arial"/>
                <w:snapToGrid w:val="0"/>
                <w:sz w:val="22"/>
                <w:szCs w:val="22"/>
                <w:lang w:eastAsia="zh-CN"/>
              </w:rPr>
              <w:t>□</w:t>
            </w:r>
            <w:r>
              <w:rPr>
                <w:rFonts w:hint="default" w:ascii="Arial" w:hAnsi="Arial" w:cs="Arial"/>
                <w:sz w:val="22"/>
                <w:szCs w:val="22"/>
                <w:lang w:eastAsia="zh-CN"/>
              </w:rPr>
              <w:t>；污染危害</w:t>
            </w:r>
            <w:r>
              <w:rPr>
                <w:rFonts w:hint="default" w:ascii="Arial" w:hAnsi="Arial" w:cs="Arial"/>
                <w:snapToGrid w:val="0"/>
                <w:sz w:val="22"/>
                <w:szCs w:val="22"/>
                <w:lang w:eastAsia="zh-CN"/>
              </w:rPr>
              <w:t>□</w:t>
            </w:r>
            <w:r>
              <w:rPr>
                <w:rFonts w:hint="default" w:ascii="Arial" w:hAnsi="Arial" w:cs="Arial"/>
                <w:sz w:val="22"/>
                <w:szCs w:val="22"/>
                <w:lang w:eastAsia="zh-CN"/>
              </w:rPr>
              <w:t>；其他</w:t>
            </w:r>
            <w:r>
              <w:rPr>
                <w:rFonts w:hint="eastAsia" w:ascii="Arial" w:hAnsi="Arial" w:cs="Arial"/>
                <w:snapToGrid w:val="0"/>
                <w:sz w:val="22"/>
                <w:szCs w:val="22"/>
                <w:lang w:eastAsia="zh-CN"/>
              </w:rPr>
              <w:t>□</w:t>
            </w:r>
          </w:p>
        </w:tc>
      </w:tr>
      <w:tr w14:paraId="4F99F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08FE9375">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5058B512">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评价内容</w:t>
            </w:r>
          </w:p>
        </w:tc>
        <w:tc>
          <w:tcPr>
            <w:tcW w:w="3732" w:type="pct"/>
            <w:tcBorders>
              <w:tl2br w:val="nil"/>
              <w:tr2bl w:val="nil"/>
            </w:tcBorders>
            <w:vAlign w:val="center"/>
          </w:tcPr>
          <w:p w14:paraId="47BB1F49">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植被/植物群落</w:t>
            </w:r>
            <w:r>
              <w:rPr>
                <w:rFonts w:hint="eastAsia" w:ascii="Arial" w:hAnsi="Arial" w:cs="Arial"/>
                <w:snapToGrid w:val="0"/>
                <w:sz w:val="22"/>
                <w:szCs w:val="22"/>
                <w:lang w:eastAsia="zh-CN"/>
              </w:rPr>
              <w:t>☑</w:t>
            </w:r>
            <w:r>
              <w:rPr>
                <w:rFonts w:hint="default" w:ascii="Arial" w:hAnsi="Arial" w:cs="Arial"/>
                <w:sz w:val="22"/>
                <w:szCs w:val="22"/>
                <w:lang w:eastAsia="zh-CN"/>
              </w:rPr>
              <w:t>；</w:t>
            </w:r>
            <w:r>
              <w:rPr>
                <w:rFonts w:hint="default" w:ascii="Arial" w:hAnsi="Arial" w:cs="Arial"/>
                <w:spacing w:val="2"/>
                <w:sz w:val="22"/>
                <w:szCs w:val="22"/>
                <w:lang w:eastAsia="zh-CN"/>
              </w:rPr>
              <w:t>土</w:t>
            </w:r>
            <w:r>
              <w:rPr>
                <w:rFonts w:hint="default" w:ascii="Arial" w:hAnsi="Arial" w:cs="Arial"/>
                <w:sz w:val="22"/>
                <w:szCs w:val="22"/>
                <w:lang w:eastAsia="zh-CN"/>
              </w:rPr>
              <w:t>地利用</w:t>
            </w:r>
            <w:r>
              <w:rPr>
                <w:rFonts w:hint="eastAsia" w:ascii="Arial" w:hAnsi="Arial" w:cs="Arial"/>
                <w:snapToGrid w:val="0"/>
                <w:sz w:val="22"/>
                <w:szCs w:val="22"/>
                <w:lang w:eastAsia="zh-CN"/>
              </w:rPr>
              <w:t>☑</w:t>
            </w:r>
            <w:r>
              <w:rPr>
                <w:rFonts w:hint="default" w:ascii="Arial" w:hAnsi="Arial" w:cs="Arial"/>
                <w:sz w:val="22"/>
                <w:szCs w:val="22"/>
                <w:lang w:eastAsia="zh-CN"/>
              </w:rPr>
              <w:t>；生态系统</w:t>
            </w:r>
            <w:r>
              <w:rPr>
                <w:rFonts w:hint="eastAsia" w:ascii="Arial" w:hAnsi="Arial" w:cs="Arial"/>
                <w:snapToGrid w:val="0"/>
                <w:sz w:val="22"/>
                <w:szCs w:val="22"/>
                <w:lang w:eastAsia="zh-CN"/>
              </w:rPr>
              <w:t>☑</w:t>
            </w:r>
            <w:r>
              <w:rPr>
                <w:rFonts w:hint="default" w:ascii="Arial" w:hAnsi="Arial" w:cs="Arial"/>
                <w:sz w:val="22"/>
                <w:szCs w:val="22"/>
                <w:lang w:eastAsia="zh-CN"/>
              </w:rPr>
              <w:t>；生</w:t>
            </w:r>
            <w:r>
              <w:rPr>
                <w:rFonts w:hint="default" w:ascii="Arial" w:hAnsi="Arial" w:cs="Arial"/>
                <w:spacing w:val="2"/>
                <w:sz w:val="22"/>
                <w:szCs w:val="22"/>
                <w:lang w:eastAsia="zh-CN"/>
              </w:rPr>
              <w:t>物</w:t>
            </w:r>
            <w:r>
              <w:rPr>
                <w:rFonts w:hint="default" w:ascii="Arial" w:hAnsi="Arial" w:cs="Arial"/>
                <w:sz w:val="22"/>
                <w:szCs w:val="22"/>
                <w:lang w:eastAsia="zh-CN"/>
              </w:rPr>
              <w:t>多样性</w:t>
            </w:r>
            <w:r>
              <w:rPr>
                <w:rFonts w:hint="eastAsia" w:ascii="Arial" w:hAnsi="Arial" w:cs="Arial"/>
                <w:snapToGrid w:val="0"/>
                <w:sz w:val="22"/>
                <w:szCs w:val="22"/>
                <w:lang w:eastAsia="zh-CN"/>
              </w:rPr>
              <w:t>☑</w:t>
            </w:r>
            <w:r>
              <w:rPr>
                <w:rFonts w:hint="default" w:ascii="Arial" w:hAnsi="Arial" w:cs="Arial"/>
                <w:sz w:val="22"/>
                <w:szCs w:val="22"/>
                <w:lang w:eastAsia="zh-CN"/>
              </w:rPr>
              <w:t>；重要物种</w:t>
            </w:r>
            <w:r>
              <w:rPr>
                <w:rFonts w:hint="eastAsia" w:ascii="Arial" w:hAnsi="Arial" w:cs="Arial"/>
                <w:snapToGrid w:val="0"/>
                <w:sz w:val="22"/>
                <w:szCs w:val="22"/>
                <w:lang w:eastAsia="zh-CN"/>
              </w:rPr>
              <w:t>□</w:t>
            </w:r>
            <w:r>
              <w:rPr>
                <w:rFonts w:hint="default" w:ascii="Arial" w:hAnsi="Arial" w:cs="Arial"/>
                <w:sz w:val="22"/>
                <w:szCs w:val="22"/>
                <w:lang w:eastAsia="zh-CN"/>
              </w:rPr>
              <w:t>；生</w:t>
            </w:r>
            <w:r>
              <w:rPr>
                <w:rFonts w:hint="default" w:ascii="Arial" w:hAnsi="Arial" w:cs="Arial"/>
                <w:spacing w:val="2"/>
                <w:sz w:val="22"/>
                <w:szCs w:val="22"/>
                <w:lang w:eastAsia="zh-CN"/>
              </w:rPr>
              <w:t>态</w:t>
            </w:r>
            <w:r>
              <w:rPr>
                <w:rFonts w:hint="default" w:ascii="Arial" w:hAnsi="Arial" w:cs="Arial"/>
                <w:sz w:val="22"/>
                <w:szCs w:val="22"/>
                <w:lang w:eastAsia="zh-CN"/>
              </w:rPr>
              <w:t>敏感区</w:t>
            </w:r>
            <w:r>
              <w:rPr>
                <w:rFonts w:hint="eastAsia"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084199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restart"/>
            <w:tcBorders>
              <w:tl2br w:val="nil"/>
              <w:tr2bl w:val="nil"/>
            </w:tcBorders>
            <w:vAlign w:val="center"/>
          </w:tcPr>
          <w:p w14:paraId="75C0EBE1">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生态影响 预测与评价</w:t>
            </w:r>
          </w:p>
        </w:tc>
        <w:tc>
          <w:tcPr>
            <w:tcW w:w="743" w:type="pct"/>
            <w:tcBorders>
              <w:tl2br w:val="nil"/>
              <w:tr2bl w:val="nil"/>
            </w:tcBorders>
            <w:vAlign w:val="center"/>
          </w:tcPr>
          <w:p w14:paraId="75C270E7">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评价方法</w:t>
            </w:r>
          </w:p>
        </w:tc>
        <w:tc>
          <w:tcPr>
            <w:tcW w:w="3732" w:type="pct"/>
            <w:tcBorders>
              <w:tl2br w:val="nil"/>
              <w:tr2bl w:val="nil"/>
            </w:tcBorders>
            <w:vAlign w:val="center"/>
          </w:tcPr>
          <w:p w14:paraId="05FB3471">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en-US"/>
              </w:rPr>
            </w:pPr>
            <w:r>
              <w:rPr>
                <w:rFonts w:hint="default" w:ascii="Arial" w:hAnsi="Arial" w:cs="Arial"/>
                <w:sz w:val="22"/>
                <w:szCs w:val="22"/>
                <w:lang w:eastAsia="en-US"/>
              </w:rPr>
              <w:t>定性</w:t>
            </w:r>
            <w:r>
              <w:rPr>
                <w:rFonts w:hint="default" w:ascii="Arial" w:hAnsi="Arial" w:cs="Arial"/>
                <w:snapToGrid w:val="0"/>
                <w:sz w:val="22"/>
                <w:szCs w:val="22"/>
                <w:lang w:eastAsia="en-US"/>
              </w:rPr>
              <w:t>□</w:t>
            </w:r>
            <w:r>
              <w:rPr>
                <w:rFonts w:hint="default" w:ascii="Arial" w:hAnsi="Arial" w:cs="Arial"/>
                <w:sz w:val="22"/>
                <w:szCs w:val="22"/>
                <w:lang w:eastAsia="en-US"/>
              </w:rPr>
              <w:t>；定性和定量</w:t>
            </w:r>
            <w:r>
              <w:rPr>
                <w:rFonts w:hint="eastAsia" w:ascii="Arial" w:hAnsi="Arial" w:cs="Arial"/>
                <w:snapToGrid w:val="0"/>
                <w:sz w:val="22"/>
                <w:szCs w:val="22"/>
                <w:lang w:eastAsia="zh-CN"/>
              </w:rPr>
              <w:t>☑</w:t>
            </w:r>
          </w:p>
        </w:tc>
      </w:tr>
      <w:tr w14:paraId="0B9DC2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70239E74">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p>
        </w:tc>
        <w:tc>
          <w:tcPr>
            <w:tcW w:w="743" w:type="pct"/>
            <w:tcBorders>
              <w:tl2br w:val="nil"/>
              <w:tr2bl w:val="nil"/>
            </w:tcBorders>
            <w:vAlign w:val="center"/>
          </w:tcPr>
          <w:p w14:paraId="474BBDAE">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评价内容</w:t>
            </w:r>
          </w:p>
        </w:tc>
        <w:tc>
          <w:tcPr>
            <w:tcW w:w="3732" w:type="pct"/>
            <w:tcBorders>
              <w:tl2br w:val="nil"/>
              <w:tr2bl w:val="nil"/>
            </w:tcBorders>
            <w:vAlign w:val="center"/>
          </w:tcPr>
          <w:p w14:paraId="05FF6760">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植被/植物群落</w:t>
            </w:r>
            <w:r>
              <w:rPr>
                <w:rFonts w:hint="eastAsia" w:ascii="Arial" w:hAnsi="Arial" w:cs="Arial"/>
                <w:snapToGrid w:val="0"/>
                <w:sz w:val="22"/>
                <w:szCs w:val="22"/>
                <w:lang w:eastAsia="zh-CN"/>
              </w:rPr>
              <w:t>☑</w:t>
            </w:r>
            <w:r>
              <w:rPr>
                <w:rFonts w:hint="default" w:ascii="Arial" w:hAnsi="Arial" w:cs="Arial"/>
                <w:sz w:val="22"/>
                <w:szCs w:val="22"/>
                <w:lang w:eastAsia="zh-CN"/>
              </w:rPr>
              <w:t>；土地利用</w:t>
            </w:r>
            <w:r>
              <w:rPr>
                <w:rFonts w:hint="eastAsia" w:ascii="Arial" w:hAnsi="Arial" w:cs="Arial"/>
                <w:snapToGrid w:val="0"/>
                <w:sz w:val="22"/>
                <w:szCs w:val="22"/>
                <w:lang w:eastAsia="zh-CN"/>
              </w:rPr>
              <w:t>☑</w:t>
            </w:r>
            <w:r>
              <w:rPr>
                <w:rFonts w:hint="default" w:ascii="Arial" w:hAnsi="Arial" w:cs="Arial"/>
                <w:sz w:val="22"/>
                <w:szCs w:val="22"/>
                <w:lang w:eastAsia="zh-CN"/>
              </w:rPr>
              <w:t>；生态系统</w:t>
            </w:r>
            <w:r>
              <w:rPr>
                <w:rFonts w:hint="eastAsia" w:ascii="Arial" w:hAnsi="Arial" w:cs="Arial"/>
                <w:snapToGrid w:val="0"/>
                <w:sz w:val="22"/>
                <w:szCs w:val="22"/>
                <w:lang w:eastAsia="zh-CN"/>
              </w:rPr>
              <w:t>☑</w:t>
            </w:r>
            <w:r>
              <w:rPr>
                <w:rFonts w:hint="default" w:ascii="Arial" w:hAnsi="Arial" w:cs="Arial"/>
                <w:sz w:val="22"/>
                <w:szCs w:val="22"/>
                <w:lang w:eastAsia="zh-CN"/>
              </w:rPr>
              <w:t>；生物多样性</w:t>
            </w:r>
            <w:r>
              <w:rPr>
                <w:rFonts w:hint="eastAsia" w:ascii="Arial" w:hAnsi="Arial" w:cs="Arial"/>
                <w:snapToGrid w:val="0"/>
                <w:sz w:val="22"/>
                <w:szCs w:val="22"/>
                <w:lang w:eastAsia="zh-CN"/>
              </w:rPr>
              <w:t>☑</w:t>
            </w:r>
            <w:r>
              <w:rPr>
                <w:rFonts w:hint="default" w:ascii="Arial" w:hAnsi="Arial" w:cs="Arial"/>
                <w:sz w:val="22"/>
                <w:szCs w:val="22"/>
                <w:lang w:eastAsia="zh-CN"/>
              </w:rPr>
              <w:t>；重要物种</w:t>
            </w:r>
            <w:r>
              <w:rPr>
                <w:rFonts w:hint="eastAsia" w:ascii="Arial" w:hAnsi="Arial" w:cs="Arial"/>
                <w:snapToGrid w:val="0"/>
                <w:sz w:val="22"/>
                <w:szCs w:val="22"/>
                <w:lang w:eastAsia="zh-CN"/>
              </w:rPr>
              <w:t>□</w:t>
            </w:r>
            <w:r>
              <w:rPr>
                <w:rFonts w:hint="default" w:ascii="Arial" w:hAnsi="Arial" w:cs="Arial"/>
                <w:sz w:val="22"/>
                <w:szCs w:val="22"/>
                <w:lang w:eastAsia="zh-CN"/>
              </w:rPr>
              <w:t>；生态敏感区</w:t>
            </w:r>
            <w:r>
              <w:rPr>
                <w:rFonts w:hint="eastAsia" w:ascii="Arial" w:hAnsi="Arial" w:cs="Arial"/>
                <w:snapToGrid w:val="0"/>
                <w:sz w:val="22"/>
                <w:szCs w:val="22"/>
                <w:lang w:eastAsia="zh-CN"/>
              </w:rPr>
              <w:t>□</w:t>
            </w:r>
            <w:r>
              <w:rPr>
                <w:rFonts w:hint="default" w:ascii="Arial" w:hAnsi="Arial" w:cs="Arial"/>
                <w:sz w:val="22"/>
                <w:szCs w:val="22"/>
                <w:lang w:eastAsia="zh-CN"/>
              </w:rPr>
              <w:t>；生物入侵风险</w:t>
            </w:r>
            <w:r>
              <w:rPr>
                <w:rFonts w:hint="eastAsia"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2F29B7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restart"/>
            <w:tcBorders>
              <w:tl2br w:val="nil"/>
              <w:tr2bl w:val="nil"/>
            </w:tcBorders>
            <w:vAlign w:val="center"/>
          </w:tcPr>
          <w:p w14:paraId="21287AE1">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生态保护 对策措施</w:t>
            </w:r>
          </w:p>
        </w:tc>
        <w:tc>
          <w:tcPr>
            <w:tcW w:w="743" w:type="pct"/>
            <w:tcBorders>
              <w:tl2br w:val="nil"/>
              <w:tr2bl w:val="nil"/>
            </w:tcBorders>
            <w:vAlign w:val="center"/>
          </w:tcPr>
          <w:p w14:paraId="589D25DC">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对策措施</w:t>
            </w:r>
          </w:p>
        </w:tc>
        <w:tc>
          <w:tcPr>
            <w:tcW w:w="3732" w:type="pct"/>
            <w:tcBorders>
              <w:tl2br w:val="nil"/>
              <w:tr2bl w:val="nil"/>
            </w:tcBorders>
            <w:vAlign w:val="center"/>
          </w:tcPr>
          <w:p w14:paraId="123CFF82">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避让</w:t>
            </w:r>
            <w:r>
              <w:rPr>
                <w:rFonts w:hint="default" w:ascii="Arial" w:hAnsi="Arial" w:cs="Arial"/>
                <w:snapToGrid w:val="0"/>
                <w:sz w:val="22"/>
                <w:szCs w:val="22"/>
                <w:lang w:eastAsia="zh-CN"/>
              </w:rPr>
              <w:t>□</w:t>
            </w:r>
            <w:r>
              <w:rPr>
                <w:rFonts w:hint="default" w:ascii="Arial" w:hAnsi="Arial" w:cs="Arial"/>
                <w:sz w:val="22"/>
                <w:szCs w:val="22"/>
                <w:lang w:eastAsia="zh-CN"/>
              </w:rPr>
              <w:t>；减缓</w:t>
            </w:r>
            <w:r>
              <w:rPr>
                <w:rFonts w:hint="eastAsia" w:ascii="Arial" w:hAnsi="Arial" w:cs="Arial"/>
                <w:snapToGrid w:val="0"/>
                <w:sz w:val="22"/>
                <w:szCs w:val="22"/>
                <w:lang w:eastAsia="zh-CN"/>
              </w:rPr>
              <w:t>☑</w:t>
            </w:r>
            <w:r>
              <w:rPr>
                <w:rFonts w:hint="default" w:ascii="Arial" w:hAnsi="Arial" w:cs="Arial"/>
                <w:sz w:val="22"/>
                <w:szCs w:val="22"/>
                <w:lang w:eastAsia="zh-CN"/>
              </w:rPr>
              <w:t>；生态修复</w:t>
            </w:r>
            <w:r>
              <w:rPr>
                <w:rFonts w:hint="eastAsia" w:ascii="Arial" w:hAnsi="Arial" w:cs="Arial"/>
                <w:snapToGrid w:val="0"/>
                <w:sz w:val="22"/>
                <w:szCs w:val="22"/>
                <w:lang w:eastAsia="zh-CN"/>
              </w:rPr>
              <w:t>☑</w:t>
            </w:r>
            <w:r>
              <w:rPr>
                <w:rFonts w:hint="default" w:ascii="Arial" w:hAnsi="Arial" w:cs="Arial"/>
                <w:sz w:val="22"/>
                <w:szCs w:val="22"/>
                <w:lang w:eastAsia="zh-CN"/>
              </w:rPr>
              <w:t>；生态补偿</w:t>
            </w:r>
            <w:r>
              <w:rPr>
                <w:rFonts w:hint="default" w:ascii="Arial" w:hAnsi="Arial" w:cs="Arial"/>
                <w:snapToGrid w:val="0"/>
                <w:sz w:val="22"/>
                <w:szCs w:val="22"/>
                <w:lang w:eastAsia="zh-CN"/>
              </w:rPr>
              <w:t>□</w:t>
            </w:r>
            <w:r>
              <w:rPr>
                <w:rFonts w:hint="default" w:ascii="Arial" w:hAnsi="Arial" w:cs="Arial"/>
                <w:sz w:val="22"/>
                <w:szCs w:val="22"/>
                <w:lang w:eastAsia="zh-CN"/>
              </w:rPr>
              <w:t>；科研</w:t>
            </w:r>
            <w:r>
              <w:rPr>
                <w:rFonts w:hint="default"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081089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4B2A19BF">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2756CFA3">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生态监测计划</w:t>
            </w:r>
          </w:p>
        </w:tc>
        <w:tc>
          <w:tcPr>
            <w:tcW w:w="3732" w:type="pct"/>
            <w:tcBorders>
              <w:tl2br w:val="nil"/>
              <w:tr2bl w:val="nil"/>
            </w:tcBorders>
            <w:vAlign w:val="center"/>
          </w:tcPr>
          <w:p w14:paraId="76FA3BDD">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全生命周期</w:t>
            </w:r>
            <w:r>
              <w:rPr>
                <w:rFonts w:hint="default" w:ascii="Arial" w:hAnsi="Arial" w:cs="Arial"/>
                <w:snapToGrid w:val="0"/>
                <w:sz w:val="22"/>
                <w:szCs w:val="22"/>
                <w:lang w:eastAsia="zh-CN"/>
              </w:rPr>
              <w:t>□</w:t>
            </w:r>
            <w:r>
              <w:rPr>
                <w:rFonts w:hint="default" w:ascii="Arial" w:hAnsi="Arial" w:cs="Arial"/>
                <w:sz w:val="22"/>
                <w:szCs w:val="22"/>
                <w:lang w:eastAsia="zh-CN"/>
              </w:rPr>
              <w:t>；长期跟踪</w:t>
            </w:r>
            <w:r>
              <w:rPr>
                <w:rFonts w:hint="default" w:ascii="Arial" w:hAnsi="Arial" w:cs="Arial"/>
                <w:snapToGrid w:val="0"/>
                <w:sz w:val="22"/>
                <w:szCs w:val="22"/>
                <w:lang w:eastAsia="zh-CN"/>
              </w:rPr>
              <w:t>□</w:t>
            </w:r>
            <w:r>
              <w:rPr>
                <w:rFonts w:hint="default" w:ascii="Arial" w:hAnsi="Arial" w:cs="Arial"/>
                <w:sz w:val="22"/>
                <w:szCs w:val="22"/>
                <w:lang w:eastAsia="zh-CN"/>
              </w:rPr>
              <w:t>；常规</w:t>
            </w:r>
            <w:r>
              <w:rPr>
                <w:rFonts w:hint="eastAsia" w:ascii="Arial" w:hAnsi="Arial" w:cs="Arial"/>
                <w:snapToGrid w:val="0"/>
                <w:sz w:val="22"/>
                <w:szCs w:val="22"/>
                <w:lang w:eastAsia="zh-CN"/>
              </w:rPr>
              <w:t>☑</w:t>
            </w:r>
            <w:r>
              <w:rPr>
                <w:rFonts w:hint="default" w:ascii="Arial" w:hAnsi="Arial" w:cs="Arial"/>
                <w:sz w:val="22"/>
                <w:szCs w:val="22"/>
                <w:lang w:eastAsia="zh-CN"/>
              </w:rPr>
              <w:t>；无</w:t>
            </w:r>
            <w:r>
              <w:rPr>
                <w:rFonts w:hint="default" w:ascii="Arial" w:hAnsi="Arial" w:cs="Arial"/>
                <w:snapToGrid w:val="0"/>
                <w:sz w:val="22"/>
                <w:szCs w:val="22"/>
                <w:lang w:eastAsia="zh-CN"/>
              </w:rPr>
              <w:t>□</w:t>
            </w:r>
          </w:p>
        </w:tc>
      </w:tr>
      <w:tr w14:paraId="28CF3A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2EC4EC76">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4B73E684">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环境管理</w:t>
            </w:r>
          </w:p>
        </w:tc>
        <w:tc>
          <w:tcPr>
            <w:tcW w:w="3732" w:type="pct"/>
            <w:tcBorders>
              <w:tl2br w:val="nil"/>
              <w:tr2bl w:val="nil"/>
            </w:tcBorders>
            <w:vAlign w:val="center"/>
          </w:tcPr>
          <w:p w14:paraId="3A95D567">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环境监理</w:t>
            </w:r>
            <w:r>
              <w:rPr>
                <w:rFonts w:hint="eastAsia" w:ascii="Arial" w:hAnsi="Arial" w:cs="Arial"/>
                <w:snapToGrid w:val="0"/>
                <w:sz w:val="22"/>
                <w:szCs w:val="22"/>
                <w:lang w:eastAsia="zh-CN"/>
              </w:rPr>
              <w:t>☑</w:t>
            </w:r>
            <w:r>
              <w:rPr>
                <w:rFonts w:hint="default" w:ascii="Arial" w:hAnsi="Arial" w:cs="Arial"/>
                <w:sz w:val="22"/>
                <w:szCs w:val="22"/>
                <w:lang w:eastAsia="zh-CN"/>
              </w:rPr>
              <w:t>；环境影响后评价</w:t>
            </w:r>
            <w:r>
              <w:rPr>
                <w:rFonts w:hint="default"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7A94BE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tcBorders>
              <w:tl2br w:val="nil"/>
              <w:tr2bl w:val="nil"/>
            </w:tcBorders>
            <w:vAlign w:val="center"/>
          </w:tcPr>
          <w:p w14:paraId="57B2D1DF">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评价结论</w:t>
            </w:r>
          </w:p>
        </w:tc>
        <w:tc>
          <w:tcPr>
            <w:tcW w:w="743" w:type="pct"/>
            <w:tcBorders>
              <w:tl2br w:val="nil"/>
              <w:tr2bl w:val="nil"/>
            </w:tcBorders>
            <w:vAlign w:val="center"/>
          </w:tcPr>
          <w:p w14:paraId="472D0BAC">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生态影响</w:t>
            </w:r>
          </w:p>
        </w:tc>
        <w:tc>
          <w:tcPr>
            <w:tcW w:w="3732" w:type="pct"/>
            <w:tcBorders>
              <w:tl2br w:val="nil"/>
              <w:tr2bl w:val="nil"/>
            </w:tcBorders>
            <w:vAlign w:val="center"/>
          </w:tcPr>
          <w:p w14:paraId="094EBC7F">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en-US"/>
              </w:rPr>
            </w:pPr>
            <w:r>
              <w:rPr>
                <w:rFonts w:hint="default" w:ascii="Arial" w:hAnsi="Arial" w:cs="Arial"/>
                <w:sz w:val="22"/>
                <w:szCs w:val="22"/>
                <w:lang w:eastAsia="en-US"/>
              </w:rPr>
              <w:t>可行</w:t>
            </w:r>
            <w:r>
              <w:rPr>
                <w:rFonts w:hint="eastAsia" w:ascii="Arial" w:hAnsi="Arial" w:cs="Arial"/>
                <w:snapToGrid w:val="0"/>
                <w:sz w:val="22"/>
                <w:szCs w:val="22"/>
                <w:lang w:eastAsia="zh-CN"/>
              </w:rPr>
              <w:t>☑</w:t>
            </w:r>
            <w:r>
              <w:rPr>
                <w:rFonts w:hint="default" w:ascii="Arial" w:hAnsi="Arial" w:cs="Arial"/>
                <w:sz w:val="22"/>
                <w:szCs w:val="22"/>
                <w:lang w:eastAsia="en-US"/>
              </w:rPr>
              <w:t>；不可行</w:t>
            </w:r>
            <w:r>
              <w:rPr>
                <w:rFonts w:hint="default" w:ascii="Arial" w:hAnsi="Arial" w:cs="Arial"/>
                <w:snapToGrid w:val="0"/>
                <w:sz w:val="22"/>
                <w:szCs w:val="22"/>
                <w:lang w:eastAsia="en-US"/>
              </w:rPr>
              <w:t>□</w:t>
            </w:r>
          </w:p>
        </w:tc>
      </w:tr>
      <w:tr w14:paraId="0A0E0F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3"/>
            <w:tcBorders>
              <w:tl2br w:val="nil"/>
              <w:tr2bl w:val="nil"/>
            </w:tcBorders>
            <w:vAlign w:val="center"/>
          </w:tcPr>
          <w:p w14:paraId="1D76E5C3">
            <w:pPr>
              <w:pStyle w:val="147"/>
              <w:keepNext w:val="0"/>
              <w:keepLines w:val="0"/>
              <w:pageBreakBefore w:val="0"/>
              <w:widowControl w:val="0"/>
              <w:kinsoku/>
              <w:wordWrap/>
              <w:overflowPunct/>
              <w:topLinePunct w:val="0"/>
              <w:autoSpaceDE w:val="0"/>
              <w:autoSpaceDN w:val="0"/>
              <w:bidi w:val="0"/>
              <w:adjustRightInd/>
              <w:snapToGrid/>
              <w:spacing w:line="300" w:lineRule="exact"/>
              <w:jc w:val="left"/>
              <w:textAlignment w:val="auto"/>
              <w:rPr>
                <w:rFonts w:hint="default" w:ascii="Arial" w:hAnsi="Arial" w:cs="Arial"/>
                <w:sz w:val="22"/>
                <w:szCs w:val="22"/>
                <w:lang w:eastAsia="zh-CN"/>
              </w:rPr>
            </w:pPr>
            <w:r>
              <w:rPr>
                <w:rFonts w:hint="default" w:ascii="Arial" w:hAnsi="Arial" w:cs="Arial"/>
                <w:sz w:val="22"/>
                <w:szCs w:val="22"/>
                <w:lang w:eastAsia="zh-CN"/>
              </w:rPr>
              <w:t>注：</w:t>
            </w:r>
            <w:r>
              <w:rPr>
                <w:rFonts w:hint="eastAsia" w:ascii="宋体" w:hAnsi="宋体" w:eastAsia="宋体" w:cs="宋体"/>
                <w:spacing w:val="1"/>
                <w:sz w:val="22"/>
                <w:szCs w:val="22"/>
                <w:lang w:eastAsia="zh-CN"/>
              </w:rPr>
              <w:t xml:space="preserve"> </w:t>
            </w:r>
            <w:r>
              <w:rPr>
                <w:rFonts w:hint="eastAsia" w:ascii="宋体" w:hAnsi="宋体" w:eastAsia="宋体" w:cs="宋体"/>
                <w:sz w:val="22"/>
                <w:szCs w:val="22"/>
                <w:lang w:eastAsia="zh-CN"/>
              </w:rPr>
              <w:t>“</w:t>
            </w:r>
            <w:r>
              <w:rPr>
                <w:rFonts w:hint="eastAsia" w:ascii="宋体" w:hAnsi="宋体" w:eastAsia="宋体" w:cs="宋体"/>
                <w:snapToGrid w:val="0"/>
                <w:sz w:val="22"/>
                <w:szCs w:val="22"/>
                <w:lang w:eastAsia="zh-CN"/>
              </w:rPr>
              <w:t>□</w:t>
            </w:r>
            <w:r>
              <w:rPr>
                <w:rFonts w:hint="eastAsia" w:ascii="宋体" w:hAnsi="宋体" w:eastAsia="宋体" w:cs="宋体"/>
                <w:sz w:val="22"/>
                <w:szCs w:val="22"/>
                <w:lang w:eastAsia="zh-CN"/>
              </w:rPr>
              <w:t>”</w:t>
            </w:r>
            <w:r>
              <w:rPr>
                <w:rFonts w:hint="eastAsia" w:ascii="宋体" w:hAnsi="宋体" w:eastAsia="宋体" w:cs="宋体"/>
                <w:spacing w:val="1"/>
                <w:sz w:val="22"/>
                <w:szCs w:val="22"/>
                <w:lang w:eastAsia="zh-CN"/>
              </w:rPr>
              <w:t xml:space="preserve"> </w:t>
            </w:r>
            <w:r>
              <w:rPr>
                <w:rFonts w:hint="default" w:ascii="Arial" w:hAnsi="Arial" w:cs="Arial"/>
                <w:sz w:val="22"/>
                <w:szCs w:val="22"/>
                <w:lang w:eastAsia="zh-CN"/>
              </w:rPr>
              <w:t>为勾选项</w:t>
            </w:r>
            <w:r>
              <w:rPr>
                <w:rFonts w:hint="default" w:ascii="Arial" w:hAnsi="Arial" w:cs="Arial"/>
                <w:spacing w:val="1"/>
                <w:sz w:val="22"/>
                <w:szCs w:val="22"/>
                <w:lang w:eastAsia="zh-CN"/>
              </w:rPr>
              <w:t xml:space="preserve"> </w:t>
            </w:r>
            <w:r>
              <w:rPr>
                <w:rFonts w:hint="default" w:ascii="Arial" w:hAnsi="Arial" w:cs="Arial"/>
                <w:sz w:val="22"/>
                <w:szCs w:val="22"/>
                <w:lang w:eastAsia="zh-CN"/>
              </w:rPr>
              <w:t>，可√；</w:t>
            </w:r>
            <w:r>
              <w:rPr>
                <w:rFonts w:hint="eastAsia" w:ascii="宋体" w:hAnsi="宋体" w:eastAsia="宋体" w:cs="宋体"/>
                <w:sz w:val="22"/>
                <w:szCs w:val="22"/>
                <w:lang w:eastAsia="zh-CN"/>
              </w:rPr>
              <w:t xml:space="preserve">“(  </w:t>
            </w:r>
            <w:r>
              <w:rPr>
                <w:rFonts w:hint="eastAsia" w:ascii="宋体" w:hAnsi="宋体" w:eastAsia="宋体" w:cs="宋体"/>
                <w:spacing w:val="-92"/>
                <w:sz w:val="22"/>
                <w:szCs w:val="22"/>
                <w:lang w:eastAsia="zh-CN"/>
              </w:rPr>
              <w:t>)</w:t>
            </w:r>
            <w:r>
              <w:rPr>
                <w:rFonts w:hint="eastAsia" w:ascii="宋体" w:hAnsi="宋体" w:eastAsia="宋体" w:cs="宋体"/>
                <w:spacing w:val="1"/>
                <w:sz w:val="22"/>
                <w:szCs w:val="22"/>
                <w:lang w:eastAsia="zh-CN"/>
              </w:rPr>
              <w:t>”</w:t>
            </w:r>
            <w:r>
              <w:rPr>
                <w:rFonts w:hint="default" w:ascii="Arial" w:hAnsi="Arial" w:cs="Arial"/>
                <w:sz w:val="22"/>
                <w:szCs w:val="22"/>
                <w:lang w:eastAsia="zh-CN"/>
              </w:rPr>
              <w:t>为内容填写项。</w:t>
            </w:r>
          </w:p>
        </w:tc>
      </w:tr>
    </w:tbl>
    <w:p w14:paraId="4A002B81">
      <w:pPr>
        <w:pStyle w:val="1873"/>
      </w:pPr>
    </w:p>
    <w:p w14:paraId="5ED520E2">
      <w:pPr>
        <w:pStyle w:val="1873"/>
      </w:pPr>
    </w:p>
    <w:p w14:paraId="39751FCF">
      <w:pPr>
        <w:pStyle w:val="1873"/>
        <w:rPr>
          <w:b/>
          <w:sz w:val="28"/>
          <w:szCs w:val="28"/>
        </w:rPr>
      </w:pPr>
      <w:r>
        <w:br w:type="page"/>
      </w:r>
    </w:p>
    <w:p w14:paraId="463B87C7">
      <w:pPr>
        <w:keepNext w:val="0"/>
        <w:keepLines w:val="0"/>
        <w:pageBreakBefore w:val="0"/>
        <w:widowControl w:val="0"/>
        <w:kinsoku/>
        <w:wordWrap/>
        <w:overflowPunct/>
        <w:topLinePunct w:val="0"/>
        <w:autoSpaceDE/>
        <w:autoSpaceDN/>
        <w:bidi w:val="0"/>
        <w:adjustRightInd/>
        <w:snapToGrid/>
        <w:spacing w:before="313" w:beforeLines="100" w:after="313" w:afterLines="100" w:line="460" w:lineRule="exact"/>
        <w:jc w:val="center"/>
        <w:textAlignment w:val="auto"/>
        <w:outlineLvl w:val="0"/>
        <w:rPr>
          <w:rFonts w:hint="eastAsia" w:ascii="Arial" w:hAnsi="Arial" w:eastAsia="宋体" w:cs="Arial"/>
          <w:b/>
          <w:sz w:val="26"/>
          <w:szCs w:val="26"/>
          <w:lang w:eastAsia="zh-CN"/>
        </w:rPr>
      </w:pPr>
      <w:bookmarkStart w:id="119" w:name="_Toc28969"/>
      <w:r>
        <w:rPr>
          <w:rFonts w:hint="default" w:ascii="Arial" w:hAnsi="Arial" w:cs="Arial"/>
          <w:b/>
          <w:sz w:val="26"/>
          <w:szCs w:val="26"/>
          <w:lang w:val="en-US" w:eastAsia="zh-CN"/>
        </w:rPr>
        <w:t>7</w:t>
      </w:r>
      <w:r>
        <w:rPr>
          <w:rFonts w:hint="default" w:ascii="Arial" w:hAnsi="Arial" w:cs="Arial"/>
          <w:b/>
          <w:sz w:val="26"/>
          <w:szCs w:val="26"/>
        </w:rPr>
        <w:t xml:space="preserve"> 环境</w:t>
      </w:r>
      <w:bookmarkEnd w:id="119"/>
      <w:r>
        <w:rPr>
          <w:rFonts w:hint="eastAsia" w:ascii="Arial" w:hAnsi="Arial" w:cs="Arial"/>
          <w:b/>
          <w:sz w:val="26"/>
          <w:szCs w:val="26"/>
          <w:lang w:eastAsia="zh-CN"/>
        </w:rPr>
        <w:t>保护措施及其可行性论证</w:t>
      </w:r>
    </w:p>
    <w:p w14:paraId="0FEA4EFB">
      <w:pPr>
        <w:pStyle w:val="2018"/>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eastAsia="zh-CN"/>
        </w:rPr>
      </w:pPr>
      <w:bookmarkStart w:id="120" w:name="_Toc164444948"/>
      <w:bookmarkStart w:id="121" w:name="_Toc52094398"/>
      <w:bookmarkStart w:id="122" w:name="_Toc47925452"/>
      <w:bookmarkStart w:id="123" w:name="_Toc154809029"/>
      <w:bookmarkStart w:id="124" w:name="_Toc22645"/>
      <w:bookmarkStart w:id="125" w:name="_Toc427599819"/>
      <w:r>
        <w:rPr>
          <w:rFonts w:hint="eastAsia" w:ascii="Arial" w:hAnsi="Arial" w:cs="Arial"/>
          <w:sz w:val="26"/>
          <w:szCs w:val="26"/>
          <w:lang w:val="en-US" w:eastAsia="zh-CN"/>
        </w:rPr>
        <w:t>7</w:t>
      </w:r>
      <w:r>
        <w:rPr>
          <w:rFonts w:hint="default" w:ascii="Arial" w:hAnsi="Arial" w:cs="Arial"/>
          <w:sz w:val="26"/>
          <w:szCs w:val="26"/>
        </w:rPr>
        <w:t>.1</w:t>
      </w:r>
      <w:bookmarkEnd w:id="120"/>
      <w:bookmarkEnd w:id="121"/>
      <w:bookmarkEnd w:id="122"/>
      <w:bookmarkEnd w:id="123"/>
      <w:r>
        <w:rPr>
          <w:rFonts w:hint="eastAsia" w:ascii="Arial" w:hAnsi="Arial" w:cs="Arial"/>
          <w:sz w:val="26"/>
          <w:szCs w:val="26"/>
          <w:lang w:eastAsia="zh-CN"/>
        </w:rPr>
        <w:t>施工期</w:t>
      </w:r>
      <w:bookmarkEnd w:id="124"/>
      <w:r>
        <w:rPr>
          <w:rFonts w:hint="eastAsia" w:ascii="Arial" w:hAnsi="Arial" w:cs="Arial"/>
          <w:sz w:val="26"/>
          <w:szCs w:val="26"/>
          <w:lang w:eastAsia="zh-CN"/>
        </w:rPr>
        <w:t>环境保护措施</w:t>
      </w:r>
    </w:p>
    <w:p w14:paraId="4A24132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7.1.1</w:t>
      </w:r>
      <w:r>
        <w:rPr>
          <w:rFonts w:hint="eastAsia" w:ascii="Arial" w:hAnsi="Arial" w:cs="Arial"/>
          <w:b/>
          <w:bCs/>
          <w:sz w:val="26"/>
          <w:szCs w:val="26"/>
          <w:lang w:val="en-US" w:eastAsia="zh-CN"/>
        </w:rPr>
        <w:t>地表水污染防治措施</w:t>
      </w:r>
    </w:p>
    <w:p w14:paraId="29E1F7F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outlineLvl w:val="2"/>
        <w:rPr>
          <w:rFonts w:hint="eastAsia" w:ascii="Arial" w:hAnsi="Arial" w:cs="Arial"/>
          <w:b w:val="0"/>
          <w:bCs/>
          <w:sz w:val="26"/>
          <w:szCs w:val="26"/>
          <w:lang w:val="en-US" w:eastAsia="zh-CN"/>
        </w:rPr>
      </w:pPr>
      <w:r>
        <w:rPr>
          <w:rFonts w:hint="eastAsia" w:ascii="Arial" w:hAnsi="Arial" w:cs="Arial"/>
          <w:b w:val="0"/>
          <w:bCs/>
          <w:sz w:val="26"/>
          <w:szCs w:val="26"/>
          <w:lang w:val="en-US" w:eastAsia="zh-CN"/>
        </w:rPr>
        <w:t>项目施工废水主要为混凝土拌合系统废水、基坑废水、车辆及施工设备冲洗等产生的含油废水、管道试压废水等生产废水，以及施工场地初期雨水和施工人员产生的生活污水。</w:t>
      </w:r>
    </w:p>
    <w:p w14:paraId="015AFA6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bCs/>
          <w:sz w:val="26"/>
          <w:szCs w:val="26"/>
          <w:lang w:val="en-US" w:eastAsia="zh-CN"/>
        </w:rPr>
      </w:pPr>
      <w:r>
        <w:rPr>
          <w:rFonts w:hint="eastAsia" w:ascii="Arial" w:hAnsi="Arial" w:cs="Arial"/>
          <w:b/>
          <w:bCs/>
          <w:sz w:val="26"/>
          <w:szCs w:val="26"/>
          <w:lang w:val="en-US" w:eastAsia="zh-CN"/>
        </w:rPr>
        <w:t>（1）混凝土拌合系统废水</w:t>
      </w:r>
    </w:p>
    <w:p w14:paraId="40F92CC0">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eastAsia="宋体" w:cs="Arial"/>
          <w:sz w:val="26"/>
          <w:szCs w:val="26"/>
          <w:lang w:val="en-US" w:eastAsia="zh-CN"/>
        </w:rPr>
      </w:pPr>
      <w:r>
        <w:rPr>
          <w:rFonts w:hint="eastAsia" w:ascii="Arial" w:hAnsi="Arial" w:cs="Arial"/>
          <w:b w:val="0"/>
          <w:bCs/>
          <w:sz w:val="26"/>
          <w:szCs w:val="26"/>
          <w:lang w:val="en-US" w:eastAsia="zh-CN"/>
        </w:rPr>
        <w:t>混凝土加工系统废水来源于混凝土转筒和料罐的冲洗、混凝土养护废水，混凝土浇筑养护也会产生少量废水，均为碱性废水，主要污染因子为pH、SS。在枢纽工程施工场地混凝土搅拌系统区域四周设置截排水沟，末端设置一座容积合计为30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的三级沉淀池，第一级投加中和剂调节pH，第二级投加絮凝剂使悬浮物沉淀，第三级则为滤池。混凝土拌合系统废水在经过上述工艺处理后，上清液可回用作混凝土拌合、养护等生产用水，或抑尘洒水，不外排地表水体。</w:t>
      </w:r>
    </w:p>
    <w:p w14:paraId="465407C1">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（2）清洗含油废水</w:t>
      </w:r>
    </w:p>
    <w:p w14:paraId="07BD30B3">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eastAsia="宋体" w:cs="Arial"/>
          <w:sz w:val="26"/>
          <w:szCs w:val="26"/>
          <w:lang w:val="en-US" w:eastAsia="zh-CN"/>
        </w:rPr>
      </w:pPr>
      <w:r>
        <w:rPr>
          <w:rFonts w:hint="eastAsia" w:ascii="Arial" w:hAnsi="Arial" w:eastAsia="宋体" w:cs="Arial"/>
          <w:b w:val="0"/>
          <w:bCs/>
          <w:sz w:val="26"/>
          <w:szCs w:val="26"/>
          <w:lang w:val="en-US" w:eastAsia="zh-CN"/>
        </w:rPr>
        <w:t>施工机械、运输车辆在保养、冲洗过程中均会有含油废水产生，主要污染因子为石油类、SS，间歇产生。在枢纽工程、</w:t>
      </w:r>
      <w:r>
        <w:rPr>
          <w:rFonts w:hint="eastAsia" w:ascii="Arial" w:hAnsi="Arial" w:cs="Arial"/>
          <w:b w:val="0"/>
          <w:bCs/>
          <w:sz w:val="26"/>
          <w:szCs w:val="26"/>
          <w:lang w:val="en-US" w:eastAsia="zh-CN"/>
        </w:rPr>
        <w:t>输水工程</w:t>
      </w:r>
      <w:r>
        <w:rPr>
          <w:rFonts w:hint="eastAsia" w:ascii="Arial" w:hAnsi="Arial" w:eastAsia="宋体" w:cs="Arial"/>
          <w:b w:val="0"/>
          <w:bCs/>
          <w:sz w:val="26"/>
          <w:szCs w:val="26"/>
          <w:lang w:val="en-US" w:eastAsia="zh-CN"/>
        </w:rPr>
        <w:t>各设置一座容积分别为5m</w:t>
      </w:r>
      <w:r>
        <w:rPr>
          <w:rFonts w:hint="eastAsia" w:ascii="Arial" w:hAnsi="Arial" w:eastAsia="宋体" w:cs="Arial"/>
          <w:b w:val="0"/>
          <w:bCs/>
          <w:sz w:val="26"/>
          <w:szCs w:val="26"/>
          <w:vertAlign w:val="superscript"/>
          <w:lang w:val="en-US" w:eastAsia="zh-CN"/>
        </w:rPr>
        <w:t>3</w:t>
      </w:r>
      <w:r>
        <w:rPr>
          <w:rFonts w:hint="eastAsia" w:ascii="Arial" w:hAnsi="Arial" w:eastAsia="宋体" w:cs="Arial"/>
          <w:b w:val="0"/>
          <w:bCs/>
          <w:sz w:val="26"/>
          <w:szCs w:val="26"/>
          <w:lang w:val="en-US" w:eastAsia="zh-CN"/>
        </w:rPr>
        <w:t>、3m</w:t>
      </w:r>
      <w:r>
        <w:rPr>
          <w:rFonts w:hint="eastAsia" w:ascii="Arial" w:hAnsi="Arial" w:eastAsia="宋体" w:cs="Arial"/>
          <w:b w:val="0"/>
          <w:bCs/>
          <w:sz w:val="26"/>
          <w:szCs w:val="26"/>
          <w:vertAlign w:val="superscript"/>
          <w:lang w:val="en-US" w:eastAsia="zh-CN"/>
        </w:rPr>
        <w:t>3</w:t>
      </w:r>
      <w:r>
        <w:rPr>
          <w:rFonts w:hint="eastAsia" w:ascii="Arial" w:hAnsi="Arial" w:eastAsia="宋体" w:cs="Arial"/>
          <w:b w:val="0"/>
          <w:bCs/>
          <w:sz w:val="26"/>
          <w:szCs w:val="26"/>
          <w:lang w:val="en-US" w:eastAsia="zh-CN"/>
        </w:rPr>
        <w:t>的隔油沉淀池，将清洗产生的含油废水收集处理后</w:t>
      </w:r>
      <w:r>
        <w:rPr>
          <w:rFonts w:hint="eastAsia" w:ascii="Arial" w:cs="Arial"/>
          <w:b w:val="0"/>
          <w:bCs/>
          <w:sz w:val="26"/>
          <w:szCs w:val="26"/>
          <w:lang w:eastAsia="zh-CN"/>
        </w:rPr>
        <w:t>全部回用，不外排地表水体</w:t>
      </w:r>
      <w:r>
        <w:rPr>
          <w:rFonts w:hint="eastAsia" w:ascii="Arial" w:hAnsi="Arial" w:eastAsia="宋体" w:cs="Arial"/>
          <w:b w:val="0"/>
          <w:bCs/>
          <w:sz w:val="26"/>
          <w:szCs w:val="26"/>
          <w:lang w:val="en-US" w:eastAsia="zh-CN"/>
        </w:rPr>
        <w:t>。</w:t>
      </w:r>
      <w:r>
        <w:rPr>
          <w:rFonts w:hint="eastAsia" w:ascii="Arial" w:hAnsi="宋体" w:cs="Arial"/>
          <w:sz w:val="26"/>
          <w:szCs w:val="26"/>
        </w:rPr>
        <w:t>隔油池除油效率在</w:t>
      </w:r>
      <w:r>
        <w:rPr>
          <w:rFonts w:ascii="Arial" w:hAnsi="宋体" w:cs="Arial"/>
          <w:sz w:val="26"/>
          <w:szCs w:val="26"/>
        </w:rPr>
        <w:t>60%~80%</w:t>
      </w:r>
      <w:r>
        <w:rPr>
          <w:rFonts w:hint="eastAsia" w:ascii="Arial" w:hAnsi="宋体" w:cs="Arial"/>
          <w:sz w:val="26"/>
          <w:szCs w:val="26"/>
        </w:rPr>
        <w:t>之间，处理后的出水含油浓度在</w:t>
      </w:r>
      <w:r>
        <w:rPr>
          <w:rFonts w:ascii="Arial" w:hAnsi="宋体" w:cs="Arial"/>
          <w:sz w:val="26"/>
          <w:szCs w:val="26"/>
        </w:rPr>
        <w:t>20~40mg/L</w:t>
      </w:r>
      <w:r>
        <w:rPr>
          <w:rFonts w:hint="eastAsia" w:ascii="Arial" w:hAnsi="宋体" w:cs="Arial"/>
          <w:sz w:val="26"/>
          <w:szCs w:val="26"/>
        </w:rPr>
        <w:t>，对水质要求不高的施工车辆、机械维修、清洗等可实现废水全部回用，不排入地表水体。</w:t>
      </w:r>
    </w:p>
    <w:p w14:paraId="256511F9">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（3）基坑排水</w:t>
      </w:r>
    </w:p>
    <w:p w14:paraId="3114BA71">
      <w:pPr>
        <w:spacing w:line="460" w:lineRule="exact"/>
        <w:ind w:firstLine="520" w:firstLineChars="200"/>
        <w:rPr>
          <w:rFonts w:ascii="Arial" w:cs="Arial"/>
          <w:sz w:val="26"/>
          <w:szCs w:val="26"/>
        </w:rPr>
      </w:pPr>
      <w:r>
        <w:rPr>
          <w:rFonts w:ascii="Arial" w:cs="Arial"/>
          <w:sz w:val="26"/>
          <w:szCs w:val="26"/>
        </w:rPr>
        <w:t>基坑排水分初期排水和经常性排水。</w:t>
      </w:r>
    </w:p>
    <w:p w14:paraId="4AB81615">
      <w:pPr>
        <w:spacing w:line="460" w:lineRule="exact"/>
        <w:ind w:firstLine="520" w:firstLineChars="200"/>
        <w:rPr>
          <w:rFonts w:hint="eastAsia" w:ascii="Arial" w:hAnsi="Arial" w:eastAsia="宋体" w:cs="Arial"/>
          <w:b w:val="0"/>
          <w:bCs/>
          <w:sz w:val="26"/>
          <w:szCs w:val="26"/>
          <w:lang w:val="en-US" w:eastAsia="zh-CN"/>
        </w:rPr>
      </w:pPr>
      <w:r>
        <w:rPr>
          <w:rFonts w:ascii="Arial" w:cs="Arial"/>
          <w:sz w:val="26"/>
          <w:szCs w:val="26"/>
        </w:rPr>
        <w:t>初期排水为截流后基坑内的积水，主要包括基坑积水、围堰渗水等，其特点是废水量大、以天然水体为主，</w:t>
      </w:r>
      <w:r>
        <w:rPr>
          <w:rFonts w:hint="eastAsia" w:ascii="Arial" w:cs="Arial"/>
          <w:sz w:val="26"/>
          <w:szCs w:val="26"/>
          <w:lang w:val="en-US" w:eastAsia="zh-CN"/>
        </w:rPr>
        <w:t>SS浓度低，</w:t>
      </w:r>
      <w:r>
        <w:rPr>
          <w:rFonts w:hint="eastAsia" w:ascii="Arial" w:hAnsi="Arial" w:eastAsia="宋体" w:cs="Arial"/>
          <w:b w:val="0"/>
          <w:bCs/>
          <w:sz w:val="26"/>
          <w:szCs w:val="26"/>
          <w:lang w:val="en-US" w:eastAsia="zh-CN"/>
        </w:rPr>
        <w:t>泵入下游河道后对河流水质影响较小。</w:t>
      </w:r>
    </w:p>
    <w:p w14:paraId="43CA984E">
      <w:pPr>
        <w:spacing w:line="460" w:lineRule="exact"/>
        <w:ind w:firstLine="520" w:firstLineChars="200"/>
        <w:rPr>
          <w:rFonts w:hint="eastAsia" w:ascii="Arial" w:hAnsi="Times New Roman" w:eastAsia="宋体" w:cs="Arial"/>
          <w:sz w:val="26"/>
          <w:szCs w:val="26"/>
          <w:lang w:val="en-US" w:eastAsia="zh-CN"/>
        </w:rPr>
      </w:pPr>
      <w:r>
        <w:rPr>
          <w:rFonts w:hint="eastAsia" w:ascii="Arial" w:hAnsi="Times New Roman" w:eastAsia="宋体" w:cs="Arial"/>
          <w:sz w:val="26"/>
          <w:szCs w:val="26"/>
          <w:lang w:val="en-US" w:eastAsia="zh-CN"/>
        </w:rPr>
        <w:t>经常性排水</w:t>
      </w:r>
      <w:r>
        <w:rPr>
          <w:rFonts w:ascii="Arial" w:hAnsi="Times New Roman" w:eastAsia="宋体" w:cs="Arial"/>
          <w:sz w:val="26"/>
          <w:szCs w:val="26"/>
        </w:rPr>
        <w:t>主要</w:t>
      </w:r>
      <w:r>
        <w:rPr>
          <w:rFonts w:hint="eastAsia" w:ascii="Arial" w:hAnsi="Times New Roman" w:eastAsia="宋体" w:cs="Arial"/>
          <w:sz w:val="26"/>
          <w:szCs w:val="26"/>
          <w:lang w:eastAsia="zh-CN"/>
        </w:rPr>
        <w:t>受</w:t>
      </w:r>
      <w:r>
        <w:rPr>
          <w:rFonts w:ascii="Arial" w:hAnsi="Times New Roman" w:eastAsia="宋体" w:cs="Arial"/>
          <w:sz w:val="26"/>
          <w:szCs w:val="26"/>
        </w:rPr>
        <w:t>堰体渗水</w:t>
      </w:r>
      <w:r>
        <w:rPr>
          <w:rFonts w:hint="eastAsia" w:ascii="Arial" w:hAnsi="Times New Roman" w:eastAsia="宋体" w:cs="Arial"/>
          <w:sz w:val="26"/>
          <w:szCs w:val="26"/>
          <w:lang w:eastAsia="zh-CN"/>
        </w:rPr>
        <w:t>、施工废水（主要是混凝土养护废水）、</w:t>
      </w:r>
      <w:r>
        <w:rPr>
          <w:rFonts w:ascii="Arial" w:hAnsi="Times New Roman" w:eastAsia="宋体" w:cs="Arial"/>
          <w:sz w:val="26"/>
          <w:szCs w:val="26"/>
        </w:rPr>
        <w:t>大气降水等</w:t>
      </w:r>
      <w:r>
        <w:rPr>
          <w:rFonts w:hint="eastAsia" w:ascii="Arial" w:hAnsi="Times New Roman" w:eastAsia="宋体" w:cs="Arial"/>
          <w:sz w:val="26"/>
          <w:szCs w:val="26"/>
          <w:lang w:eastAsia="zh-CN"/>
        </w:rPr>
        <w:t>因素影响</w:t>
      </w:r>
      <w:r>
        <w:rPr>
          <w:rFonts w:ascii="Arial" w:hAnsi="Times New Roman" w:eastAsia="宋体" w:cs="Arial"/>
          <w:sz w:val="26"/>
          <w:szCs w:val="26"/>
        </w:rPr>
        <w:t>，</w:t>
      </w:r>
      <w:r>
        <w:rPr>
          <w:rFonts w:hint="eastAsia" w:ascii="Arial" w:hAnsi="Times New Roman" w:eastAsia="宋体" w:cs="Arial"/>
          <w:sz w:val="26"/>
          <w:szCs w:val="26"/>
          <w:lang w:val="en-US" w:eastAsia="zh-CN"/>
        </w:rPr>
        <w:t>主要污染物</w:t>
      </w:r>
      <w:r>
        <w:rPr>
          <w:rFonts w:ascii="Arial" w:hAnsi="Times New Roman" w:eastAsia="宋体" w:cs="Arial"/>
          <w:sz w:val="26"/>
          <w:szCs w:val="26"/>
        </w:rPr>
        <w:t>SS浓度一般在</w:t>
      </w:r>
      <w:r>
        <w:rPr>
          <w:rFonts w:hint="eastAsia" w:ascii="Arial" w:hAnsi="Times New Roman" w:eastAsia="宋体" w:cs="Arial"/>
          <w:sz w:val="26"/>
          <w:szCs w:val="26"/>
          <w:lang w:val="en-US" w:eastAsia="zh-CN"/>
        </w:rPr>
        <w:t>1</w:t>
      </w:r>
      <w:r>
        <w:rPr>
          <w:rFonts w:ascii="Arial" w:hAnsi="Times New Roman" w:eastAsia="宋体" w:cs="Arial"/>
          <w:sz w:val="26"/>
          <w:szCs w:val="26"/>
        </w:rPr>
        <w:t>000mg/L左右，pH值为11~12</w:t>
      </w:r>
      <w:r>
        <w:rPr>
          <w:rFonts w:hint="eastAsia" w:ascii="Arial" w:hAnsi="Times New Roman" w:eastAsia="宋体" w:cs="Arial"/>
          <w:sz w:val="26"/>
          <w:szCs w:val="26"/>
          <w:lang w:val="en-US" w:eastAsia="zh-CN"/>
        </w:rPr>
        <w:t>。</w:t>
      </w:r>
      <w:r>
        <w:rPr>
          <w:rFonts w:ascii="Arial" w:hAnsi="Times New Roman" w:eastAsia="宋体" w:cs="Arial"/>
          <w:sz w:val="26"/>
          <w:szCs w:val="26"/>
        </w:rPr>
        <w:t>根据施工进度安排，施工时段</w:t>
      </w:r>
      <w:r>
        <w:rPr>
          <w:rFonts w:hint="eastAsia" w:ascii="Arial" w:hAnsi="Times New Roman" w:eastAsia="宋体" w:cs="Arial"/>
          <w:sz w:val="26"/>
          <w:szCs w:val="26"/>
          <w:lang w:eastAsia="zh-CN"/>
        </w:rPr>
        <w:t>优先</w:t>
      </w:r>
      <w:r>
        <w:rPr>
          <w:rFonts w:hint="eastAsia" w:ascii="Arial" w:hAnsi="Times New Roman" w:eastAsia="宋体" w:cs="Arial"/>
          <w:sz w:val="26"/>
          <w:szCs w:val="26"/>
        </w:rPr>
        <w:t>选择</w:t>
      </w:r>
      <w:r>
        <w:rPr>
          <w:rFonts w:hint="eastAsia" w:ascii="Arial" w:hAnsi="Times New Roman" w:eastAsia="宋体" w:cs="Arial"/>
          <w:sz w:val="26"/>
          <w:szCs w:val="26"/>
          <w:lang w:eastAsia="zh-CN"/>
        </w:rPr>
        <w:t>在</w:t>
      </w:r>
      <w:r>
        <w:rPr>
          <w:rFonts w:ascii="Arial" w:hAnsi="Times New Roman" w:eastAsia="宋体" w:cs="Arial"/>
          <w:sz w:val="26"/>
          <w:szCs w:val="26"/>
        </w:rPr>
        <w:t>枯水期完成，</w:t>
      </w:r>
      <w:r>
        <w:rPr>
          <w:rFonts w:hint="eastAsia" w:ascii="Arial" w:hAnsi="Times New Roman" w:eastAsia="宋体" w:cs="Arial"/>
          <w:sz w:val="26"/>
          <w:szCs w:val="26"/>
        </w:rPr>
        <w:t>分段施工，严格控制开挖面。</w:t>
      </w:r>
      <w:r>
        <w:rPr>
          <w:rFonts w:hint="eastAsia" w:ascii="Arial" w:hAnsi="Times New Roman" w:eastAsia="宋体" w:cs="Arial"/>
          <w:sz w:val="26"/>
          <w:szCs w:val="26"/>
          <w:lang w:val="en-US" w:eastAsia="zh-CN"/>
        </w:rPr>
        <w:t>根据相似水利工程经验，在基坑内设立截水沟、集水坑，将基坑废水收集并静置1~2h后，</w:t>
      </w:r>
      <w:r>
        <w:rPr>
          <w:rFonts w:hint="eastAsia" w:ascii="Arial" w:hAnsi="Arial" w:cs="Arial"/>
          <w:b w:val="0"/>
          <w:bCs/>
          <w:color w:val="auto"/>
          <w:sz w:val="26"/>
          <w:szCs w:val="26"/>
          <w:lang w:val="en-US" w:eastAsia="zh-CN"/>
        </w:rPr>
        <w:t>上清液可用作施工用水，多余部分泵入下游河道。同时，输水管线穿越河道时尽量采用顶管、定向钻等不涉水施工工艺，</w:t>
      </w:r>
      <w:r>
        <w:rPr>
          <w:rFonts w:hint="eastAsia" w:ascii="Arial" w:hAnsi="宋体" w:cs="Arial"/>
          <w:b w:val="0"/>
          <w:bCs/>
          <w:color w:val="auto"/>
          <w:spacing w:val="-4"/>
          <w:sz w:val="26"/>
          <w:szCs w:val="26"/>
        </w:rPr>
        <w:t>设置围挡，严格控制施工活动，做好废弃土石方的收集处理工作，严禁向</w:t>
      </w:r>
      <w:r>
        <w:rPr>
          <w:rFonts w:hint="eastAsia" w:ascii="Arial" w:hAnsi="宋体" w:cs="Arial"/>
          <w:b w:val="0"/>
          <w:bCs/>
          <w:color w:val="auto"/>
          <w:spacing w:val="-4"/>
          <w:sz w:val="26"/>
          <w:szCs w:val="26"/>
          <w:lang w:eastAsia="zh-CN"/>
        </w:rPr>
        <w:t>河道</w:t>
      </w:r>
      <w:r>
        <w:rPr>
          <w:rFonts w:hint="eastAsia" w:ascii="Arial" w:hAnsi="宋体" w:cs="Arial"/>
          <w:b w:val="0"/>
          <w:bCs/>
          <w:color w:val="auto"/>
          <w:spacing w:val="-4"/>
          <w:sz w:val="26"/>
          <w:szCs w:val="26"/>
        </w:rPr>
        <w:t>内倾倒废渣，减轻涉水作业对</w:t>
      </w:r>
      <w:r>
        <w:rPr>
          <w:rFonts w:hint="eastAsia" w:ascii="Arial" w:hAnsi="宋体" w:cs="Arial"/>
          <w:b w:val="0"/>
          <w:bCs/>
          <w:color w:val="auto"/>
          <w:spacing w:val="-4"/>
          <w:sz w:val="26"/>
          <w:szCs w:val="26"/>
          <w:lang w:eastAsia="zh-CN"/>
        </w:rPr>
        <w:t>河道</w:t>
      </w:r>
      <w:r>
        <w:rPr>
          <w:rFonts w:hint="eastAsia" w:ascii="Arial" w:hAnsi="宋体" w:cs="Arial"/>
          <w:b w:val="0"/>
          <w:bCs/>
          <w:color w:val="auto"/>
          <w:spacing w:val="-4"/>
          <w:sz w:val="26"/>
          <w:szCs w:val="26"/>
        </w:rPr>
        <w:t>水质影响。</w:t>
      </w:r>
    </w:p>
    <w:p w14:paraId="2DBD1C8D">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（4）初期雨水</w:t>
      </w:r>
    </w:p>
    <w:p w14:paraId="1084C046">
      <w:pPr>
        <w:spacing w:line="460" w:lineRule="exact"/>
        <w:ind w:firstLine="520" w:firstLineChars="200"/>
        <w:rPr>
          <w:rFonts w:hint="eastAsia" w:ascii="Arial" w:hAnsi="Times New Roman" w:eastAsia="宋体" w:cs="Arial"/>
          <w:sz w:val="26"/>
          <w:szCs w:val="26"/>
          <w:lang w:val="en-US" w:eastAsia="zh-CN"/>
        </w:rPr>
      </w:pPr>
      <w:r>
        <w:rPr>
          <w:rFonts w:hint="eastAsia" w:ascii="Arial" w:hAnsi="Times New Roman" w:eastAsia="宋体" w:cs="Arial"/>
          <w:sz w:val="26"/>
          <w:szCs w:val="26"/>
          <w:lang w:val="en-US" w:eastAsia="zh-CN"/>
        </w:rPr>
        <w:t>初期雨水主要为雨天产生，</w:t>
      </w:r>
      <w:r>
        <w:rPr>
          <w:rFonts w:hint="eastAsia" w:ascii="Arial" w:cs="Arial"/>
          <w:b w:val="0"/>
          <w:bCs/>
          <w:sz w:val="26"/>
          <w:szCs w:val="26"/>
          <w:lang w:eastAsia="zh-CN"/>
        </w:rPr>
        <w:t>主要污染物为SS，主要发生区域为施工临时用地区，尤其是砂石料及土方堆放场所。本评价要求施工单位根据施工进度，在</w:t>
      </w:r>
      <w:r>
        <w:rPr>
          <w:rFonts w:hint="eastAsia" w:ascii="Arial" w:cs="Arial"/>
          <w:sz w:val="26"/>
          <w:szCs w:val="26"/>
          <w:lang w:eastAsia="zh-CN"/>
        </w:rPr>
        <w:t>各施工作业点地势较高一侧设置截水沟，在场地地势较低一侧设置排水沟和沉砂池，一方面减少场地雨水汇入量，二是将初期雨水沉淀后回用作施工用水或排入环境。</w:t>
      </w:r>
    </w:p>
    <w:p w14:paraId="108E928F">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（5）生活污水</w:t>
      </w:r>
    </w:p>
    <w:p w14:paraId="55C1A514">
      <w:pPr>
        <w:spacing w:line="460" w:lineRule="exact"/>
        <w:ind w:firstLine="520" w:firstLineChars="200"/>
        <w:rPr>
          <w:rFonts w:hint="default" w:ascii="Arial" w:hAnsi="Times New Roman" w:eastAsia="宋体" w:cs="Arial"/>
          <w:sz w:val="26"/>
          <w:szCs w:val="26"/>
          <w:lang w:val="en-US" w:eastAsia="zh-CN"/>
        </w:rPr>
      </w:pPr>
      <w:r>
        <w:rPr>
          <w:rFonts w:hint="eastAsia" w:ascii="Arial" w:hAnsi="Times New Roman" w:eastAsia="宋体" w:cs="Arial"/>
          <w:sz w:val="26"/>
          <w:szCs w:val="26"/>
          <w:lang w:val="en-US" w:eastAsia="zh-CN"/>
        </w:rPr>
        <w:t>本项目租赁项目区已有居民房屋作施工营地，施工人员就近招用，仅少量管理人员、施工人员在营地内食宿，产生的生活污水</w:t>
      </w:r>
      <w:r>
        <w:rPr>
          <w:rFonts w:hint="eastAsia" w:ascii="Arial" w:cs="Arial"/>
          <w:b w:val="0"/>
          <w:bCs/>
          <w:sz w:val="26"/>
          <w:szCs w:val="26"/>
          <w:lang w:eastAsia="zh-CN"/>
        </w:rPr>
        <w:t>经租赁居民房屋内已有的旱厕收集处理后，全部用作农肥，不外排。根据现场勘查，项目地处山区，周围农耕作业覆盖范围大，有足够的田地可消纳本项目经处理后的生活污水。</w:t>
      </w:r>
      <w:r>
        <w:rPr>
          <w:rFonts w:hint="eastAsia"/>
          <w:kern w:val="28"/>
          <w:sz w:val="26"/>
          <w:szCs w:val="26"/>
        </w:rPr>
        <w:t>经厌氧消化后的生活污水作临近的林地、耕地灌溉水处理，一则可避免污水长途运输产生对环境的二次污染问题，二则实现的废物的资源化利用，为林地、耕地提供的肥料。</w:t>
      </w:r>
    </w:p>
    <w:p w14:paraId="0E99BAC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（6）围堰施工注意事项</w:t>
      </w:r>
    </w:p>
    <w:p w14:paraId="2636A3DD">
      <w:pPr>
        <w:spacing w:line="460" w:lineRule="exact"/>
        <w:ind w:firstLine="520" w:firstLineChars="200"/>
        <w:rPr>
          <w:rFonts w:hint="eastAsia" w:ascii="Arial" w:cs="Arial"/>
          <w:sz w:val="26"/>
          <w:szCs w:val="26"/>
        </w:rPr>
      </w:pPr>
      <w:r>
        <w:rPr>
          <w:rFonts w:hint="eastAsia"/>
          <w:sz w:val="26"/>
          <w:szCs w:val="26"/>
        </w:rPr>
        <w:t>本工程施工导流设施在枯水季节施工，汛期前完成围堰和导流设施施工。围堰施工初期受水流影响，可能有部分泥土冲刷入河流，为避免或减少这种影响，建议围堰初期采用</w:t>
      </w:r>
      <w:r>
        <w:rPr>
          <w:rFonts w:hint="eastAsia"/>
          <w:sz w:val="26"/>
          <w:szCs w:val="26"/>
          <w:lang w:eastAsia="zh-CN"/>
        </w:rPr>
        <w:t>开挖产生的土石料</w:t>
      </w:r>
      <w:r>
        <w:rPr>
          <w:rFonts w:hint="eastAsia"/>
          <w:sz w:val="26"/>
          <w:szCs w:val="26"/>
        </w:rPr>
        <w:t>进行拦挡</w:t>
      </w:r>
      <w:r>
        <w:rPr>
          <w:rFonts w:hint="eastAsia"/>
          <w:sz w:val="26"/>
          <w:szCs w:val="26"/>
          <w:lang w:eastAsia="zh-CN"/>
        </w:rPr>
        <w:t>，并敷设土工膜防渗</w:t>
      </w:r>
      <w:r>
        <w:rPr>
          <w:rFonts w:hint="eastAsia"/>
          <w:sz w:val="26"/>
          <w:szCs w:val="26"/>
        </w:rPr>
        <w:t>。</w:t>
      </w:r>
    </w:p>
    <w:p w14:paraId="1F8175F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Times New Roman" w:eastAsia="宋体" w:cs="Arial"/>
          <w:sz w:val="26"/>
          <w:szCs w:val="26"/>
          <w:lang w:val="en-US" w:eastAsia="zh-CN"/>
        </w:rPr>
      </w:pPr>
      <w:r>
        <w:rPr>
          <w:rFonts w:hint="eastAsia" w:ascii="Arial" w:hAnsi="Arial" w:cs="Arial"/>
          <w:b/>
          <w:bCs/>
          <w:sz w:val="26"/>
          <w:szCs w:val="26"/>
          <w:lang w:val="en-US" w:eastAsia="zh-CN"/>
        </w:rPr>
        <w:t>（7）管道试压废水</w:t>
      </w:r>
    </w:p>
    <w:p w14:paraId="532440BA">
      <w:pPr>
        <w:spacing w:line="460" w:lineRule="exact"/>
        <w:ind w:firstLine="520" w:firstLineChars="200"/>
        <w:rPr>
          <w:rFonts w:hint="eastAsia" w:ascii="Times New Roman" w:hAnsi="Times New Roman" w:eastAsia="宋体" w:cs="Times New Roman"/>
          <w:sz w:val="26"/>
          <w:szCs w:val="26"/>
        </w:rPr>
      </w:pPr>
      <w:r>
        <w:rPr>
          <w:rFonts w:hint="eastAsia" w:ascii="Arial" w:hAnsi="Times New Roman" w:eastAsia="宋体" w:cs="Arial"/>
          <w:b w:val="0"/>
          <w:bCs/>
          <w:kern w:val="2"/>
          <w:sz w:val="26"/>
          <w:szCs w:val="26"/>
          <w:lang w:val="en-US" w:eastAsia="zh-CN" w:bidi="ar-SA"/>
        </w:rPr>
        <w:t>输送管道敷设完成后，将按照《给水排水管道工程施工及验收规范》（GB50268-2008）进行试压作业，试压采用河道清水，且试压点相对分散，局部排水量小，试压排水水质较好，属于清净下水，可直接用于浇灌周边林草，无污废水产生。</w:t>
      </w:r>
    </w:p>
    <w:p w14:paraId="1AD77D34">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Times New Roman" w:eastAsia="宋体" w:cs="Arial"/>
          <w:sz w:val="26"/>
          <w:szCs w:val="26"/>
          <w:lang w:val="en-US" w:eastAsia="zh-CN"/>
        </w:rPr>
      </w:pPr>
      <w:r>
        <w:rPr>
          <w:rFonts w:hint="eastAsia" w:ascii="Arial" w:hAnsi="Arial" w:cs="Arial"/>
          <w:b/>
          <w:bCs/>
          <w:sz w:val="26"/>
          <w:szCs w:val="26"/>
          <w:lang w:val="en-US" w:eastAsia="zh-CN"/>
        </w:rPr>
        <w:t>（8）小结</w:t>
      </w:r>
    </w:p>
    <w:p w14:paraId="658FC523">
      <w:pPr>
        <w:spacing w:line="460" w:lineRule="exact"/>
        <w:ind w:firstLine="520" w:firstLineChars="200"/>
        <w:rPr>
          <w:rFonts w:hint="eastAsia" w:ascii="Times New Roman" w:hAnsi="Times New Roman" w:eastAsia="宋体" w:cs="Times New Roman"/>
          <w:sz w:val="26"/>
          <w:szCs w:val="26"/>
        </w:rPr>
      </w:pPr>
      <w:r>
        <w:rPr>
          <w:rFonts w:hint="eastAsia" w:ascii="Arial" w:cs="Arial"/>
          <w:sz w:val="26"/>
          <w:szCs w:val="26"/>
        </w:rPr>
        <w:t>综上所述，本项目施工期生产废水污染成份不复杂，经简单的沉淀或隔油处置后，可满足施工重复用水的要求；生活污水就近利用作林地或耕地肥料，实现废物的资源化利用。上述废水治理环保措施皆是国内类似工程施工常用且成熟的技术，从环保角度是可行的。经采取上述环保措施，本项目施工期无施工废水排入</w:t>
      </w:r>
      <w:r>
        <w:rPr>
          <w:rFonts w:hint="eastAsia" w:ascii="Arial" w:cs="Arial"/>
          <w:sz w:val="26"/>
          <w:szCs w:val="26"/>
          <w:lang w:eastAsia="zh-CN"/>
        </w:rPr>
        <w:t>海螺沟</w:t>
      </w:r>
      <w:r>
        <w:rPr>
          <w:rFonts w:hint="eastAsia" w:ascii="Arial" w:cs="Arial"/>
          <w:sz w:val="26"/>
          <w:szCs w:val="26"/>
        </w:rPr>
        <w:t>，对地表水环境质量影响较小。</w:t>
      </w:r>
    </w:p>
    <w:p w14:paraId="534443F2">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7.1.2</w:t>
      </w:r>
      <w:r>
        <w:rPr>
          <w:rFonts w:hint="eastAsia" w:ascii="Arial" w:hAnsi="Arial" w:cs="Arial"/>
          <w:b/>
          <w:bCs/>
          <w:sz w:val="26"/>
          <w:szCs w:val="26"/>
          <w:lang w:val="en-US" w:eastAsia="zh-CN"/>
        </w:rPr>
        <w:t>地下水污染防治措施</w:t>
      </w:r>
    </w:p>
    <w:p w14:paraId="62B96D41">
      <w:pPr>
        <w:spacing w:line="460" w:lineRule="exact"/>
        <w:ind w:firstLine="520" w:firstLineChars="200"/>
        <w:rPr>
          <w:rFonts w:hint="eastAsia" w:ascii="Arial" w:eastAsia="宋体" w:cs="Arial"/>
          <w:sz w:val="26"/>
          <w:szCs w:val="26"/>
          <w:lang w:eastAsia="zh-CN"/>
        </w:rPr>
      </w:pPr>
      <w:r>
        <w:rPr>
          <w:rFonts w:hint="eastAsia" w:ascii="Arial" w:cs="Arial"/>
          <w:sz w:val="26"/>
          <w:szCs w:val="26"/>
        </w:rPr>
        <w:t>拟建工程施工期对地下水的影响可能来源于</w:t>
      </w:r>
      <w:r>
        <w:rPr>
          <w:rFonts w:hint="eastAsia" w:ascii="Arial" w:cs="Arial"/>
          <w:sz w:val="26"/>
          <w:szCs w:val="26"/>
          <w:lang w:eastAsia="zh-CN"/>
        </w:rPr>
        <w:t>施工废水处理设施（如隔油</w:t>
      </w:r>
      <w:r>
        <w:rPr>
          <w:rFonts w:hint="eastAsia" w:ascii="Arial" w:cs="Arial"/>
          <w:sz w:val="26"/>
          <w:szCs w:val="26"/>
        </w:rPr>
        <w:t>沉淀池</w:t>
      </w:r>
      <w:r>
        <w:rPr>
          <w:rFonts w:hint="eastAsia" w:ascii="Arial" w:cs="Arial"/>
          <w:sz w:val="26"/>
          <w:szCs w:val="26"/>
          <w:lang w:eastAsia="zh-CN"/>
        </w:rPr>
        <w:t>）</w:t>
      </w:r>
      <w:r>
        <w:rPr>
          <w:rFonts w:hint="eastAsia" w:ascii="Arial" w:cs="Arial"/>
          <w:sz w:val="26"/>
          <w:szCs w:val="26"/>
        </w:rPr>
        <w:t>污废水、</w:t>
      </w:r>
      <w:r>
        <w:rPr>
          <w:rFonts w:hint="eastAsia" w:ascii="Arial" w:cs="Arial"/>
          <w:sz w:val="26"/>
          <w:szCs w:val="26"/>
          <w:lang w:eastAsia="zh-CN"/>
        </w:rPr>
        <w:t>油罐区、危废储存库等。为</w:t>
      </w:r>
      <w:r>
        <w:rPr>
          <w:rFonts w:hint="eastAsia" w:ascii="Arial" w:cs="Arial"/>
          <w:sz w:val="26"/>
          <w:szCs w:val="26"/>
        </w:rPr>
        <w:t>防止施工期污废水渗漏进入地下水体</w:t>
      </w:r>
      <w:r>
        <w:rPr>
          <w:rFonts w:hint="eastAsia" w:ascii="Arial" w:cs="Arial"/>
          <w:sz w:val="26"/>
          <w:szCs w:val="26"/>
          <w:lang w:eastAsia="zh-CN"/>
        </w:rPr>
        <w:t>，</w:t>
      </w:r>
      <w:r>
        <w:rPr>
          <w:rFonts w:hint="eastAsia" w:ascii="Arial" w:cs="Arial"/>
          <w:sz w:val="26"/>
          <w:szCs w:val="26"/>
        </w:rPr>
        <w:t>环评要求</w:t>
      </w:r>
      <w:r>
        <w:rPr>
          <w:rFonts w:hint="eastAsia" w:ascii="Arial" w:cs="Arial"/>
          <w:sz w:val="26"/>
          <w:szCs w:val="26"/>
          <w:lang w:eastAsia="zh-CN"/>
        </w:rPr>
        <w:t>对隔油池等进行防渗处理；施工燃用的柴油、汽油均采取桶装密闭储存，四周设置围堰，储存区地面及围堰均进行重点防渗处置，</w:t>
      </w:r>
      <w:r>
        <w:rPr>
          <w:rFonts w:hint="eastAsia" w:ascii="Arial" w:cs="Arial"/>
          <w:sz w:val="26"/>
          <w:szCs w:val="26"/>
        </w:rPr>
        <w:t>防渗性能不应低于</w:t>
      </w:r>
      <w:r>
        <w:rPr>
          <w:rFonts w:ascii="Arial" w:cs="Arial"/>
          <w:sz w:val="26"/>
          <w:szCs w:val="26"/>
        </w:rPr>
        <w:t>6.0m</w:t>
      </w:r>
      <w:r>
        <w:rPr>
          <w:rFonts w:hint="eastAsia" w:ascii="Arial" w:cs="Arial"/>
          <w:sz w:val="26"/>
          <w:szCs w:val="26"/>
        </w:rPr>
        <w:t>厚渗透系数为</w:t>
      </w:r>
      <w:r>
        <w:rPr>
          <w:rFonts w:ascii="Arial" w:cs="Arial"/>
          <w:sz w:val="26"/>
          <w:szCs w:val="26"/>
        </w:rPr>
        <w:t>1.0*10</w:t>
      </w:r>
      <w:r>
        <w:rPr>
          <w:rFonts w:ascii="Arial" w:cs="Arial"/>
          <w:sz w:val="26"/>
          <w:szCs w:val="26"/>
          <w:vertAlign w:val="superscript"/>
        </w:rPr>
        <w:t>-10</w:t>
      </w:r>
      <w:r>
        <w:rPr>
          <w:rFonts w:ascii="Arial" w:cs="Arial"/>
          <w:sz w:val="26"/>
          <w:szCs w:val="26"/>
        </w:rPr>
        <w:t>cm/s</w:t>
      </w:r>
      <w:r>
        <w:rPr>
          <w:rFonts w:hint="eastAsia" w:ascii="Arial" w:cs="Arial"/>
          <w:sz w:val="26"/>
          <w:szCs w:val="26"/>
        </w:rPr>
        <w:t>的黏土层的防渗性能要求</w:t>
      </w:r>
      <w:r>
        <w:rPr>
          <w:rFonts w:hint="eastAsia" w:ascii="Arial" w:cs="Arial"/>
          <w:sz w:val="26"/>
          <w:szCs w:val="26"/>
          <w:lang w:eastAsia="zh-CN"/>
        </w:rPr>
        <w:t>；废油桶装收集后暂存于施工场地所设危废贮存间内，危废贮存间进行“六防”处置，</w:t>
      </w:r>
      <w:r>
        <w:rPr>
          <w:rFonts w:hint="eastAsia" w:ascii="Arial" w:hAnsi="宋体" w:cs="Arial"/>
          <w:b w:val="0"/>
          <w:bCs w:val="0"/>
          <w:sz w:val="26"/>
          <w:szCs w:val="26"/>
          <w:lang w:eastAsia="zh-CN"/>
        </w:rPr>
        <w:t>储存区下方加设托盘。</w:t>
      </w:r>
      <w:r>
        <w:rPr>
          <w:rFonts w:hint="eastAsia" w:ascii="Arial" w:hAnsi="宋体" w:cs="Arial"/>
          <w:b w:val="0"/>
          <w:bCs w:val="0"/>
          <w:sz w:val="26"/>
          <w:szCs w:val="26"/>
        </w:rPr>
        <w:t>从而减轻对地下水环境的影响。</w:t>
      </w:r>
    </w:p>
    <w:p w14:paraId="6FC01C8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7.1.3</w:t>
      </w:r>
      <w:r>
        <w:rPr>
          <w:rFonts w:hint="eastAsia" w:ascii="Arial" w:hAnsi="Arial" w:cs="Arial"/>
          <w:b/>
          <w:bCs/>
          <w:sz w:val="26"/>
          <w:szCs w:val="26"/>
          <w:lang w:val="en-US" w:eastAsia="zh-CN"/>
        </w:rPr>
        <w:t>环境空气污染防治措施</w:t>
      </w:r>
    </w:p>
    <w:p w14:paraId="46DCDEBF">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color w:val="000000"/>
          <w:sz w:val="26"/>
          <w:szCs w:val="26"/>
        </w:rPr>
      </w:pPr>
      <w:r>
        <w:rPr>
          <w:rFonts w:hint="eastAsia" w:ascii="Arial" w:hAnsi="Arial" w:cs="Arial"/>
          <w:color w:val="000000"/>
          <w:sz w:val="26"/>
          <w:szCs w:val="26"/>
        </w:rPr>
        <w:t>本项目施工期外排废气主要为粉尘，执行《大气污染物综合排放标准》（</w:t>
      </w:r>
      <w:r>
        <w:rPr>
          <w:rFonts w:ascii="Arial" w:hAnsi="Arial" w:cs="Arial"/>
          <w:color w:val="000000"/>
          <w:sz w:val="26"/>
          <w:szCs w:val="26"/>
        </w:rPr>
        <w:t>DB50</w:t>
      </w:r>
      <w:r>
        <w:rPr>
          <w:rFonts w:hint="eastAsia" w:ascii="Arial" w:hAnsi="Arial" w:cs="Arial"/>
          <w:color w:val="000000"/>
          <w:sz w:val="26"/>
          <w:szCs w:val="26"/>
          <w:lang w:val="en-US" w:eastAsia="zh-CN"/>
        </w:rPr>
        <w:t>/</w:t>
      </w:r>
      <w:r>
        <w:rPr>
          <w:rFonts w:ascii="Arial" w:hAnsi="Arial" w:cs="Arial"/>
          <w:color w:val="000000"/>
          <w:sz w:val="26"/>
          <w:szCs w:val="26"/>
        </w:rPr>
        <w:t>418-2016</w:t>
      </w:r>
      <w:r>
        <w:rPr>
          <w:rFonts w:hint="eastAsia" w:ascii="Arial" w:hAnsi="Arial" w:cs="Arial"/>
          <w:color w:val="000000"/>
          <w:sz w:val="26"/>
          <w:szCs w:val="26"/>
        </w:rPr>
        <w:t>）表中</w:t>
      </w:r>
      <w:r>
        <w:rPr>
          <w:rFonts w:hint="eastAsia" w:ascii="Arial" w:hAnsi="Arial" w:cs="Arial"/>
          <w:color w:val="000000"/>
          <w:sz w:val="26"/>
          <w:szCs w:val="26"/>
          <w:lang w:eastAsia="zh-CN"/>
        </w:rPr>
        <w:t>“</w:t>
      </w:r>
      <w:r>
        <w:rPr>
          <w:rFonts w:hint="eastAsia" w:ascii="Arial" w:hAnsi="Arial" w:cs="Arial"/>
          <w:color w:val="000000"/>
          <w:sz w:val="26"/>
          <w:szCs w:val="26"/>
        </w:rPr>
        <w:t>其他区域</w:t>
      </w:r>
      <w:r>
        <w:rPr>
          <w:rFonts w:hint="eastAsia" w:ascii="Arial" w:hAnsi="Arial" w:cs="Arial"/>
          <w:color w:val="000000"/>
          <w:sz w:val="26"/>
          <w:szCs w:val="26"/>
          <w:lang w:eastAsia="zh-CN"/>
        </w:rPr>
        <w:t>”</w:t>
      </w:r>
      <w:r>
        <w:rPr>
          <w:rFonts w:hint="eastAsia" w:ascii="Arial" w:hAnsi="Arial" w:cs="Arial"/>
          <w:color w:val="000000"/>
          <w:sz w:val="26"/>
          <w:szCs w:val="26"/>
        </w:rPr>
        <w:t>无组织排放监控浓度限值，周界外浓度最高点的颗粒物浓度</w:t>
      </w:r>
      <w:r>
        <w:rPr>
          <w:rFonts w:ascii="宋体" w:hAnsi="宋体" w:cs="Arial"/>
          <w:color w:val="000000"/>
          <w:sz w:val="26"/>
          <w:szCs w:val="26"/>
        </w:rPr>
        <w:t>≤</w:t>
      </w:r>
      <w:r>
        <w:rPr>
          <w:rFonts w:ascii="Arial" w:hAnsi="Arial" w:cs="Arial"/>
          <w:color w:val="000000"/>
          <w:sz w:val="26"/>
          <w:szCs w:val="26"/>
        </w:rPr>
        <w:t>1.0mg/m</w:t>
      </w:r>
      <w:r>
        <w:rPr>
          <w:rFonts w:ascii="Arial" w:hAnsi="Arial" w:cs="Arial"/>
          <w:color w:val="000000"/>
          <w:sz w:val="26"/>
          <w:szCs w:val="26"/>
          <w:vertAlign w:val="superscript"/>
        </w:rPr>
        <w:t>3</w:t>
      </w:r>
      <w:r>
        <w:rPr>
          <w:rFonts w:hint="eastAsia" w:ascii="Arial" w:hAnsi="Arial" w:cs="Arial"/>
          <w:color w:val="000000"/>
          <w:sz w:val="26"/>
          <w:szCs w:val="26"/>
        </w:rPr>
        <w:t>。</w:t>
      </w:r>
      <w:r>
        <w:rPr>
          <w:rFonts w:hint="eastAsia" w:ascii="Arial" w:cs="Arial"/>
          <w:color w:val="000000"/>
          <w:sz w:val="26"/>
        </w:rPr>
        <w:t>为减轻项目施工粉尘对外环境的影响，本评价特提出如下控制措施。</w:t>
      </w:r>
    </w:p>
    <w:p w14:paraId="5FFBFA20">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rPr>
      </w:pPr>
      <w:r>
        <w:rPr>
          <w:rFonts w:hint="eastAsia" w:ascii="Arial" w:hAnsi="Arial" w:eastAsia="宋体" w:cs="Arial"/>
          <w:color w:val="000000"/>
          <w:sz w:val="26"/>
          <w:szCs w:val="26"/>
          <w:lang w:val="en-US" w:eastAsia="zh-CN"/>
        </w:rPr>
        <w:t>（1）</w:t>
      </w:r>
      <w:r>
        <w:rPr>
          <w:rFonts w:hint="eastAsia" w:ascii="Arial" w:hAnsi="Arial" w:eastAsia="宋体" w:cs="Arial"/>
          <w:color w:val="000000"/>
          <w:sz w:val="26"/>
          <w:szCs w:val="26"/>
        </w:rPr>
        <w:t>严格施工扬尘监管，建立扬尘控制责任制度。在建设项目招投标中增加控制扬尘污染指标的内容和责任承诺，将所需资金列入工程造价。在施工前，必须按照文明施工要求，制订控制扬尘污染方案，经主管部门审批后方可办理施工许可证。</w:t>
      </w:r>
    </w:p>
    <w:p w14:paraId="4C5AAFCF">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rPr>
      </w:pPr>
      <w:r>
        <w:rPr>
          <w:rFonts w:hint="eastAsia" w:ascii="Arial" w:hAnsi="Arial" w:eastAsia="宋体" w:cs="Arial"/>
          <w:color w:val="000000"/>
          <w:sz w:val="26"/>
          <w:szCs w:val="26"/>
          <w:lang w:eastAsia="zh-CN"/>
        </w:rPr>
        <w:t>（</w:t>
      </w:r>
      <w:r>
        <w:rPr>
          <w:rFonts w:hint="eastAsia" w:ascii="Arial" w:hAnsi="Arial" w:eastAsia="宋体" w:cs="Arial"/>
          <w:color w:val="000000"/>
          <w:sz w:val="26"/>
          <w:szCs w:val="26"/>
          <w:lang w:val="en-US" w:eastAsia="zh-CN"/>
        </w:rPr>
        <w:t>2）</w:t>
      </w:r>
      <w:r>
        <w:rPr>
          <w:rFonts w:hint="eastAsia" w:ascii="Arial" w:hAnsi="Arial" w:eastAsia="宋体" w:cs="Arial"/>
          <w:color w:val="000000"/>
          <w:sz w:val="26"/>
          <w:szCs w:val="26"/>
          <w:lang w:eastAsia="zh-CN"/>
        </w:rPr>
        <w:t>施工过程中推广湿法作业，配备洒水车，加强洒水防尘，大风天气增加洒水频次</w:t>
      </w:r>
      <w:r>
        <w:rPr>
          <w:rFonts w:hint="eastAsia" w:ascii="Arial" w:hAnsi="Arial" w:eastAsia="宋体" w:cs="Arial"/>
          <w:color w:val="000000"/>
          <w:sz w:val="26"/>
          <w:szCs w:val="26"/>
        </w:rPr>
        <w:t>。</w:t>
      </w:r>
    </w:p>
    <w:p w14:paraId="0FBD6CEC">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eastAsia="zh-CN"/>
        </w:rPr>
        <w:t>（</w:t>
      </w:r>
      <w:r>
        <w:rPr>
          <w:rFonts w:hint="eastAsia" w:ascii="Arial" w:hAnsi="Arial" w:eastAsia="宋体" w:cs="Arial"/>
          <w:color w:val="000000"/>
          <w:sz w:val="26"/>
          <w:szCs w:val="26"/>
          <w:lang w:val="en-US" w:eastAsia="zh-CN"/>
        </w:rPr>
        <w:t>3）施工场地内设置车辆冲洗装置，对进出场车辆进行冲洗，避免带泥上路引起二次扬尘，限速限载。施工道路需硬化，石灰、袋装水泥等粉质物料和渣土等运输过程中加盖篷布，安排专人清扫道路，减少积尘量，并洒水抑尘。合理安排运输路线，按规定线路行驶，尽量避开居民集中分布区域。</w:t>
      </w:r>
    </w:p>
    <w:p w14:paraId="0475EC75">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（4）混凝土拌合站水泥采取罐车运输、筒仓储存，筒仓上部安装仓顶除尘器，搅拌罐密闭设置，并洒水抑尘。</w:t>
      </w:r>
    </w:p>
    <w:p w14:paraId="2F7028D9">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（5）露天堆放的水泥、砂石等易起尘粉质物料应当设置不低于堆高的密闭围栏并予以覆盖，</w:t>
      </w:r>
      <w:r>
        <w:rPr>
          <w:rFonts w:hint="eastAsia" w:ascii="Arial" w:hAnsi="Arial" w:eastAsia="宋体" w:cs="Arial"/>
          <w:color w:val="000000"/>
          <w:sz w:val="26"/>
          <w:szCs w:val="26"/>
          <w:lang w:eastAsia="zh-CN"/>
        </w:rPr>
        <w:t>并</w:t>
      </w:r>
      <w:r>
        <w:rPr>
          <w:rFonts w:hint="eastAsia" w:ascii="Arial" w:hAnsi="Arial" w:eastAsia="宋体" w:cs="Arial"/>
          <w:color w:val="000000"/>
          <w:sz w:val="26"/>
          <w:szCs w:val="26"/>
        </w:rPr>
        <w:t>对其进行洒水，提高表面含水率，也能起到抑尘的效果</w:t>
      </w:r>
      <w:r>
        <w:rPr>
          <w:rFonts w:hint="eastAsia" w:ascii="Arial" w:hAnsi="Arial" w:eastAsia="宋体" w:cs="Arial"/>
          <w:color w:val="000000"/>
          <w:sz w:val="26"/>
          <w:szCs w:val="26"/>
          <w:lang w:eastAsia="zh-CN"/>
        </w:rPr>
        <w:t>；</w:t>
      </w:r>
      <w:r>
        <w:rPr>
          <w:rFonts w:hint="eastAsia" w:ascii="Arial" w:hAnsi="Arial" w:eastAsia="宋体" w:cs="Arial"/>
          <w:color w:val="000000"/>
          <w:sz w:val="26"/>
          <w:szCs w:val="26"/>
          <w:lang w:val="en-US" w:eastAsia="zh-CN"/>
        </w:rPr>
        <w:t>禁止从3m以上高处抛撒物料。</w:t>
      </w:r>
    </w:p>
    <w:p w14:paraId="0D741DA7">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（6）施工作业时间较长的区域，建议设置硬质围挡，以减轻粉尘对周围环境的影响</w:t>
      </w:r>
      <w:r>
        <w:rPr>
          <w:rFonts w:hint="eastAsia" w:ascii="Arial" w:hAnsi="Arial" w:eastAsia="宋体" w:cs="Arial"/>
          <w:color w:val="000000"/>
          <w:sz w:val="26"/>
          <w:szCs w:val="26"/>
        </w:rPr>
        <w:t>。</w:t>
      </w:r>
    </w:p>
    <w:p w14:paraId="51836566">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（7）加强对施工机具、车辆的维护和保养，确保其处于良好的运行状态，以轻质柴油</w:t>
      </w:r>
      <w:r>
        <w:rPr>
          <w:rFonts w:hint="eastAsia" w:ascii="Arial" w:hAnsi="Arial" w:cs="Arial"/>
          <w:color w:val="000000"/>
          <w:sz w:val="26"/>
          <w:szCs w:val="26"/>
          <w:lang w:val="en-US" w:eastAsia="zh-CN"/>
        </w:rPr>
        <w:t>、汽油</w:t>
      </w:r>
      <w:r>
        <w:rPr>
          <w:rFonts w:hint="eastAsia" w:ascii="Arial" w:hAnsi="Arial" w:eastAsia="宋体" w:cs="Arial"/>
          <w:color w:val="000000"/>
          <w:sz w:val="26"/>
          <w:szCs w:val="26"/>
          <w:lang w:val="en-US" w:eastAsia="zh-CN"/>
        </w:rPr>
        <w:t>为燃料，减少燃油尾气的产生和排放量。</w:t>
      </w:r>
    </w:p>
    <w:p w14:paraId="34127A53">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（8）合理安排施工作业时间，避开大风天气进行土石方挖填作业，</w:t>
      </w:r>
      <w:r>
        <w:rPr>
          <w:rFonts w:hint="eastAsia" w:ascii="Arial" w:hAnsi="Arial" w:cs="Arial"/>
          <w:kern w:val="0"/>
          <w:sz w:val="26"/>
          <w:szCs w:val="26"/>
          <w:lang w:val="en-US" w:eastAsia="zh-CN"/>
        </w:rPr>
        <w:t>分段施工，避免同步施工造成大面积裸露，引起风力扬尘；物料装卸过程中控制高度，洒水抑尘</w:t>
      </w:r>
      <w:r>
        <w:rPr>
          <w:rFonts w:hint="eastAsia" w:ascii="Arial" w:hAnsi="Arial" w:eastAsia="宋体" w:cs="Arial"/>
          <w:color w:val="000000"/>
          <w:sz w:val="26"/>
          <w:szCs w:val="26"/>
        </w:rPr>
        <w:t>。</w:t>
      </w:r>
    </w:p>
    <w:p w14:paraId="6EBA32C6">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（9）对闲置3个月以上的施工区进行覆盖、简易铺装或绿化。</w:t>
      </w:r>
    </w:p>
    <w:p w14:paraId="59BF5BE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（10）施工营地内以液化气、电等清洁能源为热能，烹饪油烟经油烟净化器收集处理后，引至超屋顶外排。生活垃圾定点存放，及时交市政部门处置，不得随意焚烧。</w:t>
      </w:r>
    </w:p>
    <w:p w14:paraId="7A9BA983">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（11）开挖产生的土石方及时回填，无再利用价值的及时清运至弃渣场内夯实堆存，达到台阶设计堆存高度后，及时覆土绿化。</w:t>
      </w:r>
    </w:p>
    <w:p w14:paraId="4EBDB7DA">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auto"/>
          <w:sz w:val="26"/>
          <w:szCs w:val="26"/>
          <w:lang w:val="en-US" w:eastAsia="zh-CN"/>
        </w:rPr>
      </w:pPr>
      <w:r>
        <w:rPr>
          <w:rFonts w:hint="eastAsia" w:ascii="Arial" w:hAnsi="Arial" w:cs="Arial"/>
          <w:color w:val="auto"/>
          <w:sz w:val="26"/>
          <w:szCs w:val="26"/>
          <w:lang w:val="en-US" w:eastAsia="zh-CN"/>
        </w:rPr>
        <w:t>（12）备用柴油发电机仅停电时临时启用，以轻质柴油为燃料，燃烧废气经自带排气筒外排。</w:t>
      </w:r>
    </w:p>
    <w:p w14:paraId="30D24799">
      <w:pPr>
        <w:pStyle w:val="1873"/>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在采取以上大气污染物防治措施后，可以有效抑制施工废气对环境的不良影响，对环境空气影响有限。</w:t>
      </w:r>
    </w:p>
    <w:p w14:paraId="5FD60782">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7.1.4</w:t>
      </w:r>
      <w:r>
        <w:rPr>
          <w:rFonts w:hint="eastAsia" w:ascii="Arial" w:hAnsi="Arial" w:cs="Arial"/>
          <w:b/>
          <w:bCs/>
          <w:sz w:val="26"/>
          <w:szCs w:val="26"/>
          <w:lang w:val="en-US" w:eastAsia="zh-CN"/>
        </w:rPr>
        <w:t>声环境污染防治措施</w:t>
      </w:r>
    </w:p>
    <w:p w14:paraId="1D5CCE09">
      <w:pPr>
        <w:spacing w:line="460" w:lineRule="exact"/>
        <w:ind w:firstLine="520" w:firstLineChars="200"/>
        <w:rPr>
          <w:rFonts w:hint="eastAsia"/>
          <w:sz w:val="26"/>
          <w:szCs w:val="26"/>
        </w:rPr>
      </w:pPr>
      <w:r>
        <w:rPr>
          <w:rFonts w:hint="eastAsia" w:ascii="Arial" w:hAnsi="Arial" w:cs="Arial"/>
          <w:sz w:val="26"/>
          <w:szCs w:val="26"/>
        </w:rPr>
        <w:t>本项目施工</w:t>
      </w:r>
      <w:r>
        <w:rPr>
          <w:rFonts w:hint="eastAsia" w:ascii="Arial" w:cs="Arial"/>
          <w:sz w:val="26"/>
          <w:szCs w:val="26"/>
        </w:rPr>
        <w:t>过程中主要的噪声源为施工机具、运输车辆等。为减轻对周边居民、运输道路沿线居民声环境的影响，根据</w:t>
      </w:r>
      <w:r>
        <w:rPr>
          <w:rFonts w:hint="eastAsia"/>
          <w:sz w:val="26"/>
          <w:szCs w:val="26"/>
        </w:rPr>
        <w:t>《重庆市噪声污染防治办法》</w:t>
      </w:r>
      <w:r>
        <w:rPr>
          <w:rFonts w:hint="eastAsia"/>
          <w:sz w:val="26"/>
          <w:szCs w:val="26"/>
          <w:lang w:eastAsia="zh-CN"/>
        </w:rPr>
        <w:t>（渝府令</w:t>
      </w:r>
      <w:r>
        <w:rPr>
          <w:rFonts w:hint="default" w:ascii="Arial" w:hAnsi="Arial" w:eastAsia="宋体" w:cs="Arial"/>
          <w:sz w:val="26"/>
          <w:szCs w:val="26"/>
          <w:lang w:eastAsia="zh-CN"/>
        </w:rPr>
        <w:t>〔</w:t>
      </w:r>
      <w:r>
        <w:rPr>
          <w:rFonts w:hint="default" w:ascii="Arial" w:hAnsi="Arial" w:eastAsia="宋体" w:cs="Arial"/>
          <w:sz w:val="26"/>
          <w:szCs w:val="26"/>
          <w:lang w:val="en-US" w:eastAsia="zh-CN"/>
        </w:rPr>
        <w:t>2023</w:t>
      </w:r>
      <w:r>
        <w:rPr>
          <w:rFonts w:hint="default" w:ascii="Arial" w:hAnsi="Arial" w:eastAsia="宋体" w:cs="Arial"/>
          <w:sz w:val="26"/>
          <w:szCs w:val="26"/>
          <w:lang w:eastAsia="zh-CN"/>
        </w:rPr>
        <w:t>〕</w:t>
      </w:r>
      <w:r>
        <w:rPr>
          <w:rFonts w:hint="default" w:ascii="Arial" w:hAnsi="Arial" w:eastAsia="宋体" w:cs="Arial"/>
          <w:sz w:val="26"/>
          <w:szCs w:val="26"/>
          <w:lang w:val="en-US" w:eastAsia="zh-CN"/>
        </w:rPr>
        <w:t>363</w:t>
      </w:r>
      <w:r>
        <w:rPr>
          <w:rFonts w:hint="eastAsia" w:ascii="宋体" w:hAnsi="宋体" w:eastAsia="宋体" w:cs="宋体"/>
          <w:sz w:val="26"/>
          <w:szCs w:val="26"/>
          <w:lang w:val="en-US" w:eastAsia="zh-CN"/>
        </w:rPr>
        <w:t>号）</w:t>
      </w:r>
      <w:r>
        <w:rPr>
          <w:rFonts w:hint="eastAsia"/>
          <w:sz w:val="26"/>
          <w:szCs w:val="26"/>
        </w:rPr>
        <w:t>的相关要求，以及本项目建设的实际情况，拟采取以下措施：</w:t>
      </w:r>
    </w:p>
    <w:p w14:paraId="11C6B393">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1）工程开工前15日，建设单位应向地方环境保护行政主管部门申报该工程名称、施工场所和期限，可能产生的环境噪声值，以及所采取的环境噪声污染防治措施情况，经环境保护行政主管部门批准后方能进行施工。</w:t>
      </w:r>
    </w:p>
    <w:p w14:paraId="3CF26583">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（2）优先选用低产噪设备，从根本上降低噪声源强，同时加强施工机械的维护保养，避免由于设备性能差而使机械噪声增大的现象发生。</w:t>
      </w:r>
    </w:p>
    <w:p w14:paraId="44DFD2C5">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default" w:ascii="Arial" w:hAnsi="Arial" w:eastAsia="宋体" w:cs="Arial"/>
          <w:kern w:val="0"/>
          <w:sz w:val="26"/>
          <w:szCs w:val="26"/>
          <w:lang w:val="en-US" w:eastAsia="zh-CN"/>
        </w:rPr>
      </w:pPr>
      <w:r>
        <w:rPr>
          <w:rFonts w:hint="eastAsia" w:ascii="Arial" w:hAnsi="Arial" w:eastAsia="宋体" w:cs="Arial"/>
          <w:kern w:val="0"/>
          <w:sz w:val="26"/>
          <w:szCs w:val="26"/>
          <w:lang w:val="en-US" w:eastAsia="zh-CN"/>
        </w:rPr>
        <w:t>（3）合理布局，合理安排施工作业强度，做好施工组织计划；施工场地内设置有综合加工厂、混凝土搅拌系统等可能产生高噪声的作业区域，应尽量远离敏感点布置，确实无法远离的，需加装临时隔声罩或者硬质围挡。</w:t>
      </w:r>
    </w:p>
    <w:p w14:paraId="06E1ECCC">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4）物料、挖方运输安排在昼间进行，并尽量避开沿线居民休息时间；运输车辆途径居民点分布较为集中区域限速、禁鸣；并在主要节点安排专人负责运输车辆的组织和指挥，合理疏导，防止引起交通阻塞和交通噪声影响。</w:t>
      </w:r>
    </w:p>
    <w:p w14:paraId="5F862389">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default" w:ascii="Arial" w:hAnsi="Arial" w:eastAsia="宋体" w:cs="Arial"/>
          <w:kern w:val="0"/>
          <w:sz w:val="26"/>
          <w:szCs w:val="26"/>
          <w:lang w:val="en-US" w:eastAsia="zh-CN"/>
        </w:rPr>
      </w:pPr>
      <w:r>
        <w:rPr>
          <w:rFonts w:hint="eastAsia" w:ascii="Arial" w:hAnsi="Arial" w:eastAsia="宋体" w:cs="Arial"/>
          <w:kern w:val="0"/>
          <w:sz w:val="26"/>
          <w:szCs w:val="26"/>
          <w:lang w:val="en-US" w:eastAsia="zh-CN"/>
        </w:rPr>
        <w:t>（5）合理安排施工作业时间，尽量避开夜间施工，因施工工艺需要必须进行夜间施工时，施工单位应当取得城市管理或者住房城乡建设部门的证明。建设单位应当于开始施工1日前在施工现场显著位置公示或者以其他方式公告附近居民。除抢修、抢险作业外，中等学校招生考试、高等学校招生统一考试结束前15日内以及其他特殊活动期间，禁止夜间在噪声敏感建筑物集中区域进行产生噪声扰民的活动；中等学校招生考试、高等学校招生统一考试等特殊活动期间，禁止在考场周围100m区域内进行产生噪声扰民的活动。</w:t>
      </w:r>
    </w:p>
    <w:p w14:paraId="3FE3EAAE">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（6）加强对施工人员的宣传教育，轻拿轻放，物料装卸可采取铺设草垫的方式降低碰撞噪声。</w:t>
      </w:r>
    </w:p>
    <w:p w14:paraId="0276D09E">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（7）施工单位需贯彻各项施工管理制度施工单位要确保施工噪声满足《建筑施工场界环境噪声排放标准》（</w:t>
      </w:r>
      <w:r>
        <w:rPr>
          <w:rFonts w:hint="default" w:ascii="Arial" w:hAnsi="Arial" w:eastAsia="宋体" w:cs="Arial"/>
          <w:kern w:val="0"/>
          <w:sz w:val="26"/>
          <w:szCs w:val="26"/>
          <w:lang w:val="en-US" w:eastAsia="zh-CN"/>
        </w:rPr>
        <w:t>GB12523-2011</w:t>
      </w:r>
      <w:r>
        <w:rPr>
          <w:rFonts w:hint="eastAsia" w:ascii="Arial" w:hAnsi="Arial" w:eastAsia="宋体" w:cs="Arial"/>
          <w:kern w:val="0"/>
          <w:sz w:val="26"/>
          <w:szCs w:val="26"/>
          <w:lang w:val="en-US" w:eastAsia="zh-CN"/>
        </w:rPr>
        <w:t>），在施工期应不定期地对声环境敏感点进行噪声监测。</w:t>
      </w:r>
    </w:p>
    <w:p w14:paraId="5C291F1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在采取上述降噪措施后，能最大限度的降低项目施工噪声对沿线区域声环境的影响。</w:t>
      </w:r>
    </w:p>
    <w:p w14:paraId="085A021E">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7.1.5</w:t>
      </w:r>
      <w:r>
        <w:rPr>
          <w:rFonts w:hint="eastAsia" w:ascii="Arial" w:hAnsi="Arial" w:cs="Arial"/>
          <w:b/>
          <w:bCs/>
          <w:sz w:val="26"/>
          <w:szCs w:val="26"/>
          <w:lang w:val="en-US" w:eastAsia="zh-CN"/>
        </w:rPr>
        <w:t>固体废物处置措施</w:t>
      </w:r>
    </w:p>
    <w:p w14:paraId="7B068DB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Times New Roman" w:eastAsia="宋体" w:cs="Arial"/>
          <w:b w:val="0"/>
          <w:color w:val="auto"/>
          <w:kern w:val="2"/>
          <w:sz w:val="26"/>
          <w:szCs w:val="26"/>
          <w:lang w:val="en-US" w:eastAsia="zh-CN" w:bidi="ar-SA"/>
        </w:rPr>
      </w:pPr>
      <w:r>
        <w:rPr>
          <w:rFonts w:hint="eastAsia" w:ascii="Arial" w:hAnsi="Times New Roman" w:eastAsia="宋体" w:cs="Arial"/>
          <w:b w:val="0"/>
          <w:color w:val="auto"/>
          <w:kern w:val="2"/>
          <w:sz w:val="26"/>
          <w:szCs w:val="26"/>
          <w:lang w:val="en-US" w:eastAsia="zh-CN" w:bidi="ar-SA"/>
        </w:rPr>
        <w:t>施工期固体废物来自场地清理出的表土、开挖产生的弃渣、施工机械及运输车辆维修废油、施工人员产生的生活垃圾和餐厨垃圾，以及库区清理出的林木。</w:t>
      </w:r>
    </w:p>
    <w:p w14:paraId="04D63A8C">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default" w:ascii="Arial" w:hAnsi="Arial" w:cs="Arial"/>
          <w:b/>
          <w:bCs/>
          <w:sz w:val="26"/>
          <w:szCs w:val="26"/>
          <w:lang w:val="en-US" w:eastAsia="zh-CN"/>
        </w:rPr>
        <w:t>1）表土</w:t>
      </w:r>
    </w:p>
    <w:p w14:paraId="1FF7E67B">
      <w:pPr>
        <w:spacing w:line="460" w:lineRule="exact"/>
        <w:ind w:firstLine="520" w:firstLineChars="200"/>
        <w:rPr>
          <w:rFonts w:hint="eastAsia" w:ascii="Times New Roman" w:hAnsi="Times New Roman" w:eastAsia="宋体" w:cs="Times New Roman"/>
          <w:sz w:val="26"/>
          <w:szCs w:val="26"/>
          <w:lang w:eastAsia="zh-CN"/>
        </w:rPr>
      </w:pPr>
      <w:r>
        <w:rPr>
          <w:rFonts w:hint="eastAsia" w:cs="Times New Roman"/>
          <w:sz w:val="26"/>
          <w:szCs w:val="26"/>
          <w:lang w:eastAsia="zh-CN"/>
        </w:rPr>
        <w:t>本项目施工期</w:t>
      </w:r>
      <w:r>
        <w:rPr>
          <w:rFonts w:hint="eastAsia" w:ascii="Arial" w:hAnsi="Arial" w:cs="Arial"/>
          <w:bCs/>
          <w:color w:val="auto"/>
          <w:sz w:val="26"/>
          <w:szCs w:val="26"/>
          <w:lang w:eastAsia="zh-CN"/>
        </w:rPr>
        <w:t>清表产生的表土约</w:t>
      </w:r>
      <w:r>
        <w:rPr>
          <w:rFonts w:hint="eastAsia" w:ascii="Arial" w:hAnsi="Arial" w:cs="Arial"/>
          <w:bCs/>
          <w:color w:val="auto"/>
          <w:sz w:val="26"/>
          <w:szCs w:val="26"/>
          <w:lang w:val="en-US" w:eastAsia="zh-CN"/>
        </w:rPr>
        <w:t>2.51万m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，集中收集后，分区暂存于项目所设弃渣场内，后期全部用作绿化覆土，不外排。</w:t>
      </w:r>
    </w:p>
    <w:p w14:paraId="7D670AC6">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2</w:t>
      </w:r>
      <w:r>
        <w:rPr>
          <w:rFonts w:hint="default" w:ascii="Arial" w:hAnsi="Arial" w:cs="Arial"/>
          <w:b/>
          <w:bCs/>
          <w:sz w:val="26"/>
          <w:szCs w:val="26"/>
          <w:lang w:val="en-US" w:eastAsia="zh-CN"/>
        </w:rPr>
        <w:t>）</w:t>
      </w:r>
      <w:r>
        <w:rPr>
          <w:rFonts w:hint="eastAsia" w:ascii="Arial" w:hAnsi="Arial" w:cs="Arial"/>
          <w:b/>
          <w:bCs/>
          <w:sz w:val="26"/>
          <w:szCs w:val="26"/>
          <w:lang w:val="en-US" w:eastAsia="zh-CN"/>
        </w:rPr>
        <w:t>弃渣</w:t>
      </w:r>
    </w:p>
    <w:p w14:paraId="092C6E40">
      <w:pPr>
        <w:spacing w:line="460" w:lineRule="exact"/>
        <w:ind w:firstLine="520" w:firstLineChars="200"/>
        <w:rPr>
          <w:rFonts w:hint="eastAsia" w:ascii="Arial" w:hAnsi="Arial" w:cs="Arial"/>
          <w:bCs/>
          <w:color w:val="auto"/>
          <w:sz w:val="26"/>
          <w:szCs w:val="26"/>
          <w:lang w:val="en-US" w:eastAsia="zh-CN"/>
        </w:rPr>
      </w:pPr>
      <w:r>
        <w:rPr>
          <w:rFonts w:hint="eastAsia" w:cs="Times New Roman"/>
          <w:sz w:val="26"/>
          <w:szCs w:val="26"/>
          <w:lang w:eastAsia="zh-CN"/>
        </w:rPr>
        <w:t>经挖填平衡后，本项目施工期枢纽工程、输水工程弃渣产生量合计为</w:t>
      </w:r>
      <w:r>
        <w:rPr>
          <w:rFonts w:hint="eastAsia" w:ascii="Arial" w:hAnsi="Arial" w:cs="Arial"/>
          <w:bCs/>
          <w:color w:val="auto"/>
          <w:sz w:val="26"/>
          <w:szCs w:val="26"/>
          <w:lang w:val="en-US" w:eastAsia="zh-CN"/>
        </w:rPr>
        <w:t>6.81万m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。采取汽车清运至项目所设弃渣场内填埋处置，弃渣前按规定修建挡墙、截排水沟、沉砂池等环保设施，分台阶堆存后及时覆土绿化</w:t>
      </w:r>
      <w:r>
        <w:rPr>
          <w:rFonts w:hint="eastAsia" w:ascii="Arial" w:hAnsi="宋体" w:cs="Arial"/>
          <w:color w:val="auto"/>
          <w:sz w:val="26"/>
          <w:szCs w:val="26"/>
        </w:rPr>
        <w:t>，对周边环境产生影响较小</w:t>
      </w:r>
      <w:r>
        <w:rPr>
          <w:rFonts w:hint="eastAsia" w:ascii="Arial" w:hAnsi="Arial" w:cs="Arial"/>
          <w:bCs/>
          <w:color w:val="auto"/>
          <w:sz w:val="26"/>
          <w:szCs w:val="26"/>
          <w:lang w:val="en-US" w:eastAsia="zh-CN"/>
        </w:rPr>
        <w:t>。</w:t>
      </w:r>
      <w:r>
        <w:rPr>
          <w:rFonts w:hint="eastAsia" w:ascii="Arial" w:cs="Arial"/>
          <w:bCs/>
          <w:color w:val="auto"/>
          <w:sz w:val="26"/>
        </w:rPr>
        <w:t>同时，输水管线施工段应设置临时围挡，严格控制施工活动，做好废弃土石方的暂存、清运工作，严禁向河道内倾倒废渣，减轻对</w:t>
      </w:r>
      <w:r>
        <w:rPr>
          <w:rFonts w:hint="eastAsia" w:ascii="Arial" w:cs="Arial"/>
          <w:bCs/>
          <w:color w:val="auto"/>
          <w:sz w:val="26"/>
          <w:lang w:eastAsia="zh-CN"/>
        </w:rPr>
        <w:t>河道水质、水生生态的</w:t>
      </w:r>
      <w:r>
        <w:rPr>
          <w:rFonts w:hint="eastAsia" w:ascii="Arial" w:cs="Arial"/>
          <w:bCs/>
          <w:color w:val="auto"/>
          <w:sz w:val="26"/>
        </w:rPr>
        <w:t>影响。</w:t>
      </w:r>
    </w:p>
    <w:p w14:paraId="2D85FEFF">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3</w:t>
      </w:r>
      <w:r>
        <w:rPr>
          <w:rFonts w:hint="default" w:ascii="Arial" w:hAnsi="Arial" w:cs="Arial"/>
          <w:b/>
          <w:bCs/>
          <w:sz w:val="26"/>
          <w:szCs w:val="26"/>
          <w:lang w:val="en-US" w:eastAsia="zh-CN"/>
        </w:rPr>
        <w:t>）</w:t>
      </w:r>
      <w:r>
        <w:rPr>
          <w:rFonts w:hint="eastAsia" w:ascii="Arial" w:hAnsi="Arial" w:cs="Arial"/>
          <w:b/>
          <w:bCs/>
          <w:sz w:val="26"/>
          <w:szCs w:val="26"/>
          <w:lang w:val="en-US" w:eastAsia="zh-CN"/>
        </w:rPr>
        <w:t>生活垃圾</w:t>
      </w:r>
    </w:p>
    <w:p w14:paraId="42FDD35F">
      <w:pPr>
        <w:spacing w:line="460" w:lineRule="exact"/>
        <w:ind w:firstLine="520" w:firstLineChars="200"/>
        <w:rPr>
          <w:rFonts w:hint="eastAsia" w:cs="Times New Roman"/>
          <w:sz w:val="26"/>
          <w:szCs w:val="26"/>
          <w:lang w:eastAsia="zh-CN"/>
        </w:rPr>
      </w:pPr>
      <w:r>
        <w:rPr>
          <w:rFonts w:hint="eastAsia" w:cs="Times New Roman"/>
          <w:sz w:val="26"/>
          <w:szCs w:val="26"/>
          <w:lang w:eastAsia="zh-CN"/>
        </w:rPr>
        <w:t>各施工区内施工人员生活垃圾应定点收集，统一交当地环卫部门清运处置。生活垃圾暂存过程中应定期喷洒消毒剂，以防止苍蝇等害虫滋生。</w:t>
      </w:r>
    </w:p>
    <w:p w14:paraId="31FC21C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4</w:t>
      </w:r>
      <w:r>
        <w:rPr>
          <w:rFonts w:hint="default" w:ascii="Arial" w:hAnsi="Arial" w:cs="Arial"/>
          <w:b/>
          <w:bCs/>
          <w:sz w:val="26"/>
          <w:szCs w:val="26"/>
          <w:lang w:val="en-US" w:eastAsia="zh-CN"/>
        </w:rPr>
        <w:t>）</w:t>
      </w:r>
      <w:r>
        <w:rPr>
          <w:rFonts w:hint="eastAsia" w:ascii="Arial" w:hAnsi="Arial" w:cs="Arial"/>
          <w:b/>
          <w:bCs/>
          <w:sz w:val="26"/>
          <w:szCs w:val="26"/>
          <w:lang w:val="en-US" w:eastAsia="zh-CN"/>
        </w:rPr>
        <w:t>餐厨垃圾</w:t>
      </w:r>
    </w:p>
    <w:p w14:paraId="68BCFAA6">
      <w:pPr>
        <w:spacing w:line="460" w:lineRule="exact"/>
        <w:ind w:firstLine="520" w:firstLineChars="200"/>
        <w:rPr>
          <w:rFonts w:hint="eastAsia" w:ascii="Arial" w:hAnsi="Arial" w:cs="Arial"/>
          <w:bCs/>
          <w:color w:val="auto"/>
          <w:sz w:val="26"/>
          <w:szCs w:val="26"/>
          <w:lang w:val="en-US" w:eastAsia="zh-CN"/>
        </w:rPr>
      </w:pPr>
      <w:r>
        <w:rPr>
          <w:rFonts w:hint="eastAsia" w:ascii="Arial" w:hAnsi="Arial" w:cs="Arial"/>
          <w:bCs/>
          <w:color w:val="auto"/>
          <w:sz w:val="26"/>
          <w:szCs w:val="26"/>
          <w:lang w:val="en-US" w:eastAsia="zh-CN"/>
        </w:rPr>
        <w:t>施工营地内餐厨垃圾应</w:t>
      </w:r>
      <w:r>
        <w:rPr>
          <w:rFonts w:hint="eastAsia" w:ascii="Arial" w:hAnsi="Arial" w:cs="Arial"/>
          <w:color w:val="auto"/>
          <w:sz w:val="26"/>
          <w:szCs w:val="26"/>
        </w:rPr>
        <w:t>桶装收集后，交有资质的单位清运处置。</w:t>
      </w:r>
    </w:p>
    <w:p w14:paraId="51CCFB76">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5</w:t>
      </w:r>
      <w:r>
        <w:rPr>
          <w:rFonts w:hint="default" w:ascii="Arial" w:hAnsi="Arial" w:cs="Arial"/>
          <w:b/>
          <w:bCs/>
          <w:sz w:val="26"/>
          <w:szCs w:val="26"/>
          <w:lang w:val="en-US" w:eastAsia="zh-CN"/>
        </w:rPr>
        <w:t>）</w:t>
      </w:r>
      <w:r>
        <w:rPr>
          <w:rFonts w:hint="eastAsia" w:ascii="Arial" w:hAnsi="Arial" w:cs="Arial"/>
          <w:b/>
          <w:bCs/>
          <w:sz w:val="26"/>
          <w:szCs w:val="26"/>
          <w:lang w:val="en-US" w:eastAsia="zh-CN"/>
        </w:rPr>
        <w:t>废油</w:t>
      </w:r>
    </w:p>
    <w:p w14:paraId="489E9696">
      <w:pPr>
        <w:spacing w:line="460" w:lineRule="exact"/>
        <w:ind w:firstLine="520" w:firstLineChars="200"/>
        <w:rPr>
          <w:rFonts w:hint="eastAsia" w:ascii="Arial" w:hAnsi="Arial" w:cs="Arial"/>
          <w:color w:val="auto"/>
          <w:sz w:val="26"/>
          <w:szCs w:val="26"/>
        </w:rPr>
      </w:pPr>
      <w:r>
        <w:rPr>
          <w:rFonts w:hint="eastAsia" w:ascii="Arial" w:hAnsi="Arial" w:cs="Arial"/>
          <w:color w:val="auto"/>
          <w:sz w:val="26"/>
          <w:szCs w:val="26"/>
        </w:rPr>
        <w:t>施工机械及运输车辆检修、维修等产生少量废油，</w:t>
      </w:r>
      <w:r>
        <w:rPr>
          <w:rFonts w:hint="eastAsia" w:ascii="Arial" w:hAnsi="Arial" w:cs="Arial"/>
          <w:color w:val="auto"/>
          <w:sz w:val="26"/>
          <w:szCs w:val="26"/>
          <w:lang w:eastAsia="zh-CN"/>
        </w:rPr>
        <w:t>属于危险废物，桶装收集后，</w:t>
      </w:r>
      <w:r>
        <w:rPr>
          <w:rFonts w:hint="eastAsia" w:ascii="Arial" w:hAnsi="Arial" w:cs="Arial"/>
          <w:color w:val="auto"/>
          <w:sz w:val="26"/>
          <w:szCs w:val="26"/>
        </w:rPr>
        <w:t>暂存于施工</w:t>
      </w:r>
      <w:r>
        <w:rPr>
          <w:rFonts w:hint="eastAsia" w:ascii="Arial" w:hAnsi="Arial" w:cs="Arial"/>
          <w:color w:val="auto"/>
          <w:sz w:val="26"/>
          <w:szCs w:val="26"/>
          <w:lang w:eastAsia="zh-CN"/>
        </w:rPr>
        <w:t>场地</w:t>
      </w:r>
      <w:r>
        <w:rPr>
          <w:rFonts w:hint="eastAsia" w:ascii="Arial" w:hAnsi="Arial" w:cs="Arial"/>
          <w:color w:val="auto"/>
          <w:sz w:val="26"/>
          <w:szCs w:val="26"/>
        </w:rPr>
        <w:t>内独立设置的危废</w:t>
      </w:r>
      <w:r>
        <w:rPr>
          <w:rFonts w:hint="eastAsia" w:ascii="Arial" w:hAnsi="Arial" w:cs="Arial"/>
          <w:color w:val="auto"/>
          <w:sz w:val="26"/>
          <w:szCs w:val="26"/>
          <w:lang w:eastAsia="zh-CN"/>
        </w:rPr>
        <w:t>贮存区内</w:t>
      </w:r>
      <w:r>
        <w:rPr>
          <w:rFonts w:hint="eastAsia" w:ascii="Arial" w:hAnsi="Arial" w:cs="Arial"/>
          <w:color w:val="auto"/>
          <w:sz w:val="26"/>
          <w:szCs w:val="26"/>
        </w:rPr>
        <w:t>，按规定进行“</w:t>
      </w:r>
      <w:r>
        <w:rPr>
          <w:rFonts w:hint="eastAsia" w:ascii="Arial" w:hAnsi="Arial" w:cs="Arial"/>
          <w:color w:val="auto"/>
          <w:sz w:val="26"/>
          <w:szCs w:val="26"/>
          <w:lang w:eastAsia="zh-CN"/>
        </w:rPr>
        <w:t>六</w:t>
      </w:r>
      <w:r>
        <w:rPr>
          <w:rFonts w:hint="eastAsia" w:ascii="Arial" w:hAnsi="Arial" w:cs="Arial"/>
          <w:color w:val="auto"/>
          <w:sz w:val="26"/>
          <w:szCs w:val="26"/>
        </w:rPr>
        <w:t>防”处置，最终交有有资质的单位回收处置。</w:t>
      </w:r>
    </w:p>
    <w:p w14:paraId="6733F9D3">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6</w:t>
      </w:r>
      <w:r>
        <w:rPr>
          <w:rFonts w:hint="default" w:ascii="Arial" w:hAnsi="Arial" w:cs="Arial"/>
          <w:b/>
          <w:bCs/>
          <w:sz w:val="26"/>
          <w:szCs w:val="26"/>
          <w:lang w:val="en-US" w:eastAsia="zh-CN"/>
        </w:rPr>
        <w:t>）</w:t>
      </w:r>
      <w:r>
        <w:rPr>
          <w:rFonts w:hint="eastAsia" w:ascii="Arial" w:hAnsi="Arial" w:cs="Arial"/>
          <w:b/>
          <w:bCs/>
          <w:sz w:val="26"/>
          <w:szCs w:val="26"/>
          <w:lang w:val="en-US" w:eastAsia="zh-CN"/>
        </w:rPr>
        <w:t>清库垃圾</w:t>
      </w:r>
    </w:p>
    <w:p w14:paraId="47E4080D">
      <w:pPr>
        <w:spacing w:line="460" w:lineRule="exact"/>
        <w:ind w:firstLine="520" w:firstLineChars="200"/>
        <w:rPr>
          <w:rFonts w:hint="eastAsia" w:ascii="Arial" w:hAnsi="Arial" w:cs="Arial"/>
          <w:color w:val="auto"/>
          <w:sz w:val="26"/>
          <w:szCs w:val="26"/>
        </w:rPr>
      </w:pPr>
      <w:r>
        <w:rPr>
          <w:rFonts w:hint="eastAsia" w:ascii="Arial" w:hAnsi="宋体" w:cs="Arial"/>
          <w:color w:val="auto"/>
          <w:sz w:val="26"/>
          <w:szCs w:val="26"/>
        </w:rPr>
        <w:t>清理出来的废物按要求进行分类收集，建筑垃圾运至弃渣场处置，生活垃圾等运至当地垃圾填埋场处置，林木外卖综合利用，运输过程中需加盖、遮挡，避免二次污染，不得擅自丢弃或违法处置，对环境影响小。</w:t>
      </w:r>
    </w:p>
    <w:p w14:paraId="072EA34E">
      <w:pPr>
        <w:spacing w:line="460" w:lineRule="exact"/>
        <w:ind w:firstLine="520" w:firstLineChars="200"/>
        <w:rPr>
          <w:rFonts w:hint="eastAsia" w:ascii="Arial" w:hAnsi="Arial" w:cs="Arial"/>
          <w:color w:val="auto"/>
          <w:sz w:val="26"/>
          <w:szCs w:val="26"/>
          <w:lang w:eastAsia="zh-CN"/>
        </w:rPr>
      </w:pPr>
      <w:r>
        <w:rPr>
          <w:rFonts w:hint="eastAsia" w:ascii="Arial" w:hAnsi="Arial" w:cs="Arial"/>
          <w:color w:val="auto"/>
          <w:sz w:val="26"/>
          <w:szCs w:val="26"/>
          <w:lang w:eastAsia="zh-CN"/>
        </w:rPr>
        <w:t>综上所述，本项目施工期各类固体废物均得到了合理有效的处置，不会对区域外环境造成二次污染。</w:t>
      </w:r>
    </w:p>
    <w:p w14:paraId="7117AA00">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w:t>
      </w:r>
      <w:r>
        <w:rPr>
          <w:rFonts w:hint="eastAsia" w:ascii="Arial" w:hAnsi="Arial" w:cs="Arial"/>
          <w:b/>
          <w:bCs/>
          <w:sz w:val="26"/>
          <w:szCs w:val="26"/>
          <w:lang w:val="en-US" w:eastAsia="zh-CN"/>
        </w:rPr>
        <w:t>6环境风险防范措施</w:t>
      </w:r>
    </w:p>
    <w:p w14:paraId="02484A60">
      <w:pPr>
        <w:pStyle w:val="1873"/>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auto"/>
          <w:kern w:val="2"/>
          <w:sz w:val="26"/>
          <w:szCs w:val="26"/>
          <w:lang w:val="en-US" w:eastAsia="zh-CN" w:bidi="ar-SA"/>
        </w:rPr>
      </w:pPr>
      <w:r>
        <w:rPr>
          <w:rFonts w:hint="eastAsia" w:ascii="Arial" w:hAnsi="Arial" w:cs="Arial"/>
          <w:color w:val="auto"/>
          <w:sz w:val="26"/>
          <w:szCs w:val="26"/>
          <w:lang w:eastAsia="zh-CN"/>
        </w:rPr>
        <w:t>本项目施工期环境风险物质主要有枢纽工程施工区内暂存的施工机械用燃油，包括柴油、汽油。</w:t>
      </w:r>
      <w:r>
        <w:rPr>
          <w:rFonts w:hint="eastAsia" w:ascii="Arial" w:hAnsi="Arial" w:cs="Arial"/>
          <w:color w:val="auto"/>
          <w:sz w:val="26"/>
          <w:szCs w:val="26"/>
          <w:highlight w:val="none"/>
          <w:lang w:val="en-US" w:eastAsia="zh-CN"/>
        </w:rPr>
        <w:t>燃油均</w:t>
      </w:r>
      <w:r>
        <w:rPr>
          <w:rFonts w:hint="eastAsia" w:ascii="Arial" w:hAnsi="Arial" w:eastAsia="宋体" w:cs="Arial"/>
          <w:color w:val="auto"/>
          <w:sz w:val="26"/>
          <w:szCs w:val="26"/>
          <w:highlight w:val="none"/>
          <w:lang w:val="en-US" w:eastAsia="zh-CN"/>
        </w:rPr>
        <w:t>采取</w:t>
      </w:r>
      <w:r>
        <w:rPr>
          <w:rFonts w:hint="eastAsia" w:ascii="Arial" w:hAnsi="Arial" w:cs="Arial"/>
          <w:color w:val="auto"/>
          <w:sz w:val="26"/>
          <w:szCs w:val="26"/>
          <w:highlight w:val="none"/>
          <w:lang w:val="en-US" w:eastAsia="zh-CN"/>
        </w:rPr>
        <w:t>桶装密闭储存</w:t>
      </w:r>
      <w:r>
        <w:rPr>
          <w:rFonts w:hint="eastAsia" w:ascii="Arial" w:hAnsi="Arial" w:eastAsia="宋体" w:cs="Arial"/>
          <w:color w:val="auto"/>
          <w:sz w:val="26"/>
          <w:szCs w:val="26"/>
          <w:highlight w:val="none"/>
          <w:lang w:val="en-US" w:eastAsia="zh-CN"/>
        </w:rPr>
        <w:t>，</w:t>
      </w:r>
      <w:r>
        <w:rPr>
          <w:rFonts w:hint="eastAsia" w:ascii="Arial" w:hAnsi="Arial" w:cs="Arial"/>
          <w:color w:val="auto"/>
          <w:sz w:val="26"/>
          <w:szCs w:val="26"/>
          <w:highlight w:val="none"/>
          <w:lang w:val="en-US" w:eastAsia="zh-CN"/>
        </w:rPr>
        <w:t>暂存区四周设围堰，围堰和地面均进行重点防渗处置；</w:t>
      </w:r>
      <w:r>
        <w:rPr>
          <w:rFonts w:hint="eastAsia" w:ascii="Arial" w:hAnsi="Arial" w:eastAsia="宋体" w:cs="Arial"/>
          <w:color w:val="auto"/>
          <w:sz w:val="26"/>
          <w:szCs w:val="26"/>
          <w:highlight w:val="none"/>
          <w:lang w:val="en-US" w:eastAsia="zh-CN"/>
        </w:rPr>
        <w:t>配置灭火器、消防砂、铁铲</w:t>
      </w:r>
      <w:r>
        <w:rPr>
          <w:rFonts w:hint="eastAsia" w:ascii="Arial" w:hAnsi="Arial" w:cs="Arial"/>
          <w:color w:val="auto"/>
          <w:sz w:val="26"/>
          <w:szCs w:val="26"/>
          <w:highlight w:val="none"/>
          <w:lang w:val="en-US" w:eastAsia="zh-CN"/>
        </w:rPr>
        <w:t>、铁桶</w:t>
      </w:r>
      <w:r>
        <w:rPr>
          <w:rFonts w:hint="eastAsia" w:ascii="Arial" w:hAnsi="Arial" w:eastAsia="宋体" w:cs="Arial"/>
          <w:color w:val="auto"/>
          <w:sz w:val="26"/>
          <w:szCs w:val="26"/>
          <w:highlight w:val="none"/>
          <w:lang w:val="en-US" w:eastAsia="zh-CN"/>
        </w:rPr>
        <w:t>的应急物资</w:t>
      </w:r>
      <w:r>
        <w:rPr>
          <w:rFonts w:hint="eastAsia" w:ascii="Arial" w:hAnsi="Arial" w:cs="Arial"/>
          <w:color w:val="auto"/>
          <w:sz w:val="26"/>
          <w:szCs w:val="26"/>
          <w:highlight w:val="none"/>
          <w:lang w:val="en-US" w:eastAsia="zh-CN"/>
        </w:rPr>
        <w:t>，远离火源；</w:t>
      </w:r>
      <w:r>
        <w:rPr>
          <w:rFonts w:hint="eastAsia" w:ascii="Arial" w:hAnsi="Arial" w:cs="Arial"/>
          <w:color w:val="auto"/>
          <w:sz w:val="26"/>
          <w:szCs w:val="26"/>
          <w:highlight w:val="none"/>
        </w:rPr>
        <w:t>建立日常巡检制度，一旦发现</w:t>
      </w:r>
      <w:r>
        <w:rPr>
          <w:rFonts w:hint="eastAsia" w:ascii="Arial" w:hAnsi="Arial" w:cs="Arial"/>
          <w:color w:val="auto"/>
          <w:sz w:val="26"/>
          <w:szCs w:val="26"/>
          <w:highlight w:val="none"/>
          <w:lang w:eastAsia="zh-CN"/>
        </w:rPr>
        <w:t>储罐</w:t>
      </w:r>
      <w:r>
        <w:rPr>
          <w:rFonts w:hint="eastAsia" w:ascii="Arial" w:hAnsi="Arial" w:cs="Arial"/>
          <w:color w:val="auto"/>
          <w:sz w:val="26"/>
          <w:szCs w:val="26"/>
          <w:highlight w:val="none"/>
        </w:rPr>
        <w:t>破损，立即对</w:t>
      </w:r>
      <w:r>
        <w:rPr>
          <w:rFonts w:hint="eastAsia" w:ascii="Arial" w:hAnsi="Arial" w:cs="Arial"/>
          <w:color w:val="auto"/>
          <w:sz w:val="26"/>
          <w:szCs w:val="26"/>
          <w:highlight w:val="none"/>
          <w:lang w:eastAsia="zh-CN"/>
        </w:rPr>
        <w:t>桶</w:t>
      </w:r>
      <w:r>
        <w:rPr>
          <w:rFonts w:hint="eastAsia" w:ascii="Arial" w:hAnsi="Arial" w:cs="Arial"/>
          <w:color w:val="auto"/>
          <w:sz w:val="26"/>
          <w:szCs w:val="26"/>
          <w:highlight w:val="none"/>
        </w:rPr>
        <w:t>内</w:t>
      </w:r>
      <w:r>
        <w:rPr>
          <w:rFonts w:hint="eastAsia" w:ascii="Arial" w:hAnsi="Arial" w:cs="Arial"/>
          <w:color w:val="auto"/>
          <w:sz w:val="26"/>
          <w:szCs w:val="26"/>
          <w:highlight w:val="none"/>
          <w:lang w:eastAsia="zh-CN"/>
        </w:rPr>
        <w:t>油料</w:t>
      </w:r>
      <w:r>
        <w:rPr>
          <w:rFonts w:hint="eastAsia" w:ascii="Arial" w:hAnsi="Arial" w:cs="Arial"/>
          <w:color w:val="auto"/>
          <w:sz w:val="26"/>
          <w:szCs w:val="26"/>
          <w:highlight w:val="none"/>
        </w:rPr>
        <w:t>进行转移</w:t>
      </w:r>
      <w:r>
        <w:rPr>
          <w:rFonts w:hint="eastAsia" w:ascii="Arial" w:hAnsi="Arial" w:cs="Arial"/>
          <w:color w:val="auto"/>
          <w:sz w:val="26"/>
          <w:szCs w:val="26"/>
          <w:highlight w:val="none"/>
          <w:lang w:val="en-US" w:eastAsia="zh-CN"/>
        </w:rPr>
        <w:t>；</w:t>
      </w:r>
      <w:r>
        <w:rPr>
          <w:rFonts w:hint="eastAsia" w:ascii="Arial" w:hAnsi="Arial" w:eastAsia="宋体" w:cs="Arial"/>
          <w:color w:val="auto"/>
          <w:kern w:val="2"/>
          <w:sz w:val="26"/>
          <w:szCs w:val="26"/>
          <w:lang w:val="en-US" w:eastAsia="zh-CN" w:bidi="ar-SA"/>
        </w:rPr>
        <w:t>定期对施工机械进行维护和保养，防止跑、冒、漏、滴。</w:t>
      </w:r>
    </w:p>
    <w:p w14:paraId="6E8E04B9">
      <w:pPr>
        <w:pStyle w:val="2018"/>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eastAsia="zh-CN"/>
        </w:rPr>
      </w:pPr>
      <w:r>
        <w:rPr>
          <w:rFonts w:hint="eastAsia" w:ascii="Arial" w:hAnsi="Arial" w:cs="Arial"/>
          <w:sz w:val="26"/>
          <w:szCs w:val="26"/>
          <w:lang w:val="en-US" w:eastAsia="zh-CN"/>
        </w:rPr>
        <w:t>7</w:t>
      </w:r>
      <w:r>
        <w:rPr>
          <w:rFonts w:hint="default" w:ascii="Arial" w:hAnsi="Arial" w:cs="Arial"/>
          <w:sz w:val="26"/>
          <w:szCs w:val="26"/>
        </w:rPr>
        <w:t>.</w:t>
      </w:r>
      <w:r>
        <w:rPr>
          <w:rFonts w:hint="eastAsia" w:ascii="Arial" w:hAnsi="Arial" w:cs="Arial"/>
          <w:sz w:val="26"/>
          <w:szCs w:val="26"/>
          <w:lang w:val="en-US" w:eastAsia="zh-CN"/>
        </w:rPr>
        <w:t>2</w:t>
      </w:r>
      <w:r>
        <w:rPr>
          <w:rFonts w:hint="eastAsia" w:ascii="Arial" w:hAnsi="Arial" w:cs="Arial"/>
          <w:sz w:val="26"/>
          <w:szCs w:val="26"/>
          <w:lang w:eastAsia="zh-CN"/>
        </w:rPr>
        <w:t>运营期环境保护措施</w:t>
      </w:r>
    </w:p>
    <w:p w14:paraId="1D932111">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7.2.1水环境保护措施</w:t>
      </w:r>
    </w:p>
    <w:p w14:paraId="02DCEA05">
      <w:pPr>
        <w:spacing w:line="460" w:lineRule="exact"/>
        <w:ind w:firstLine="520" w:firstLineChars="200"/>
        <w:rPr>
          <w:rFonts w:hint="eastAsia" w:ascii="Arial" w:hAnsi="宋体" w:cs="Arial"/>
          <w:color w:val="auto"/>
          <w:sz w:val="26"/>
          <w:szCs w:val="26"/>
          <w:lang w:val="en-US" w:eastAsia="zh-CN"/>
        </w:rPr>
      </w:pPr>
      <w:r>
        <w:rPr>
          <w:rFonts w:hint="eastAsia" w:ascii="Arial" w:hAnsi="宋体" w:cs="Arial"/>
          <w:color w:val="auto"/>
          <w:sz w:val="26"/>
          <w:szCs w:val="26"/>
          <w:lang w:eastAsia="zh-CN"/>
        </w:rPr>
        <w:t>本项目属于生态类，运营期仅管理用房内</w:t>
      </w:r>
      <w:r>
        <w:rPr>
          <w:rFonts w:hint="eastAsia" w:ascii="Arial" w:hAnsi="宋体" w:cs="Arial"/>
          <w:color w:val="auto"/>
          <w:sz w:val="26"/>
          <w:szCs w:val="26"/>
          <w:lang w:val="en-US" w:eastAsia="zh-CN"/>
        </w:rPr>
        <w:t>4个工作人员产生少量生活污水，经化粪池收集处理后，交附近居民作农肥，不外排。项目所在地为农村，四周分布有较多的农耕地，可消耗经处理后的职工生活污水。</w:t>
      </w:r>
    </w:p>
    <w:p w14:paraId="3FEFE395">
      <w:pPr>
        <w:spacing w:line="460" w:lineRule="exact"/>
        <w:ind w:firstLine="520" w:firstLineChars="200"/>
        <w:rPr>
          <w:rFonts w:hint="eastAsia" w:ascii="Arial" w:hAnsi="Arial" w:eastAsia="宋体" w:cs="Arial"/>
          <w:bCs/>
          <w:sz w:val="26"/>
          <w:szCs w:val="26"/>
        </w:rPr>
      </w:pPr>
      <w:r>
        <w:rPr>
          <w:rFonts w:hint="eastAsia" w:ascii="Arial" w:hAnsi="宋体" w:cs="Arial"/>
          <w:color w:val="auto"/>
          <w:sz w:val="26"/>
          <w:szCs w:val="26"/>
          <w:lang w:val="en-US" w:eastAsia="zh-CN"/>
        </w:rPr>
        <w:t>本项目蓄水初期，考虑下游河道生态用水调度方案如下：</w:t>
      </w:r>
      <w:r>
        <w:rPr>
          <w:rFonts w:hint="eastAsia" w:ascii="Arial" w:hAnsi="Arial" w:cs="Arial"/>
          <w:bCs/>
          <w:sz w:val="26"/>
          <w:szCs w:val="26"/>
          <w:lang w:eastAsia="zh-CN"/>
        </w:rPr>
        <w:t>当坝址来水小于生态流量</w:t>
      </w:r>
      <w:r>
        <w:rPr>
          <w:rFonts w:hint="eastAsia" w:ascii="Arial" w:hAnsi="Arial" w:cs="Arial"/>
          <w:bCs/>
          <w:sz w:val="26"/>
          <w:szCs w:val="26"/>
          <w:lang w:val="en-US" w:eastAsia="zh-CN"/>
        </w:rPr>
        <w:t>0.005m</w:t>
      </w:r>
      <w:r>
        <w:rPr>
          <w:rFonts w:hint="eastAsia" w:ascii="Arial" w:hAnsi="Arial" w:cs="Arial"/>
          <w:bCs/>
          <w:sz w:val="26"/>
          <w:szCs w:val="26"/>
          <w:vertAlign w:val="superscript"/>
          <w:lang w:val="en-US" w:eastAsia="zh-CN"/>
        </w:rPr>
        <w:t>3</w:t>
      </w:r>
      <w:r>
        <w:rPr>
          <w:rFonts w:hint="eastAsia" w:ascii="Arial" w:hAnsi="Arial" w:cs="Arial"/>
          <w:bCs/>
          <w:sz w:val="26"/>
          <w:szCs w:val="26"/>
          <w:lang w:val="en-US" w:eastAsia="zh-CN"/>
        </w:rPr>
        <w:t>/s时不蓄水，证下游河道的生态用水；</w:t>
      </w:r>
      <w:r>
        <w:rPr>
          <w:rFonts w:hint="eastAsia" w:ascii="Arial" w:hAnsi="Arial" w:cs="Arial"/>
          <w:bCs/>
          <w:sz w:val="26"/>
          <w:szCs w:val="26"/>
        </w:rPr>
        <w:t>封堵导流设施蓄水至死水位</w:t>
      </w:r>
      <w:r>
        <w:rPr>
          <w:rFonts w:hint="eastAsia" w:ascii="Arial" w:hAnsi="Arial" w:cs="Arial"/>
          <w:bCs/>
          <w:sz w:val="26"/>
          <w:szCs w:val="26"/>
          <w:lang w:val="en-US" w:eastAsia="zh-CN"/>
        </w:rPr>
        <w:t>407.5</w:t>
      </w:r>
      <w:r>
        <w:rPr>
          <w:rFonts w:ascii="Arial" w:hAnsi="Arial" w:cs="Arial"/>
          <w:bCs/>
          <w:sz w:val="26"/>
          <w:szCs w:val="26"/>
        </w:rPr>
        <w:t>m</w:t>
      </w:r>
      <w:r>
        <w:rPr>
          <w:rFonts w:hint="eastAsia" w:ascii="Arial" w:hAnsi="Arial" w:cs="Arial"/>
          <w:bCs/>
          <w:sz w:val="26"/>
          <w:szCs w:val="26"/>
          <w:lang w:eastAsia="zh-CN"/>
        </w:rPr>
        <w:t>时</w:t>
      </w:r>
      <w:r>
        <w:rPr>
          <w:rFonts w:hint="eastAsia" w:ascii="Arial" w:hAnsi="Arial" w:cs="Arial"/>
          <w:bCs/>
          <w:sz w:val="26"/>
          <w:szCs w:val="26"/>
        </w:rPr>
        <w:t>，</w:t>
      </w:r>
      <w:r>
        <w:rPr>
          <w:rFonts w:hint="eastAsia" w:ascii="Arial" w:hAnsi="Arial" w:cs="Arial"/>
          <w:bCs/>
          <w:sz w:val="26"/>
          <w:szCs w:val="26"/>
          <w:lang w:eastAsia="zh-CN"/>
        </w:rPr>
        <w:t>通过水泵抽水来满足下游河道的生态蓄水；当水位在</w:t>
      </w:r>
      <w:r>
        <w:rPr>
          <w:rFonts w:hint="eastAsia" w:ascii="Arial" w:hAnsi="Arial" w:cs="Arial"/>
          <w:bCs/>
          <w:sz w:val="26"/>
          <w:szCs w:val="26"/>
          <w:lang w:val="en-US" w:eastAsia="zh-CN"/>
        </w:rPr>
        <w:t>407.5m~420m之间时，直接通过生</w:t>
      </w:r>
      <w:r>
        <w:rPr>
          <w:rFonts w:hint="eastAsia" w:ascii="Arial" w:hAnsi="Arial" w:eastAsia="宋体" w:cs="Arial"/>
          <w:bCs/>
          <w:sz w:val="26"/>
          <w:szCs w:val="26"/>
          <w:lang w:val="en-US" w:eastAsia="zh-CN"/>
        </w:rPr>
        <w:t>态放流管下泄生态流量。</w:t>
      </w:r>
      <w:r>
        <w:rPr>
          <w:rFonts w:hint="eastAsia" w:ascii="Arial" w:hAnsi="Arial" w:cs="Arial"/>
          <w:bCs/>
          <w:sz w:val="26"/>
          <w:szCs w:val="26"/>
          <w:lang w:val="en-US" w:eastAsia="zh-CN"/>
        </w:rPr>
        <w:t>蓄水初期在采取必要的生态放流措施情况下，不会造成坝后脱水河段。在</w:t>
      </w:r>
      <w:r>
        <w:rPr>
          <w:rFonts w:hint="eastAsia" w:ascii="Arial" w:hAnsi="Arial" w:eastAsia="宋体" w:cs="Arial"/>
          <w:bCs/>
          <w:sz w:val="26"/>
          <w:szCs w:val="26"/>
        </w:rPr>
        <w:t>初期蓄水过程中，岸边原有松散物质易冲入水库，影响水质，因此评价要求蓄水前清库工作严格按照《长江三峡水库库底固体废物清理技术规范》</w:t>
      </w:r>
      <w:r>
        <w:rPr>
          <w:rFonts w:hint="eastAsia" w:ascii="Arial" w:hAnsi="Arial" w:eastAsia="宋体" w:cs="Arial"/>
          <w:bCs/>
          <w:sz w:val="26"/>
          <w:szCs w:val="26"/>
          <w:lang w:eastAsia="zh-CN"/>
        </w:rPr>
        <w:t>（</w:t>
      </w:r>
      <w:r>
        <w:rPr>
          <w:rFonts w:hint="eastAsia" w:ascii="Arial" w:hAnsi="Arial" w:eastAsia="宋体" w:cs="Arial"/>
          <w:bCs/>
          <w:sz w:val="26"/>
          <w:szCs w:val="26"/>
        </w:rPr>
        <w:t>HJ85-2005</w:t>
      </w:r>
      <w:r>
        <w:rPr>
          <w:rFonts w:hint="eastAsia" w:ascii="Arial" w:hAnsi="Arial" w:eastAsia="宋体" w:cs="Arial"/>
          <w:bCs/>
          <w:sz w:val="26"/>
          <w:szCs w:val="26"/>
          <w:lang w:eastAsia="zh-CN"/>
        </w:rPr>
        <w:t>）</w:t>
      </w:r>
      <w:r>
        <w:rPr>
          <w:rFonts w:hint="eastAsia" w:ascii="Arial" w:hAnsi="Arial" w:eastAsia="宋体" w:cs="Arial"/>
          <w:bCs/>
          <w:sz w:val="26"/>
          <w:szCs w:val="26"/>
        </w:rPr>
        <w:t>、《长江三峡水库库底卫生清理规范》</w:t>
      </w:r>
      <w:r>
        <w:rPr>
          <w:rFonts w:hint="eastAsia" w:ascii="Arial" w:hAnsi="Arial" w:eastAsia="宋体" w:cs="Arial"/>
          <w:bCs/>
          <w:sz w:val="26"/>
          <w:szCs w:val="26"/>
          <w:lang w:eastAsia="zh-CN"/>
        </w:rPr>
        <w:t>（</w:t>
      </w:r>
      <w:r>
        <w:rPr>
          <w:rFonts w:hint="eastAsia" w:ascii="Arial" w:hAnsi="Arial" w:eastAsia="宋体" w:cs="Arial"/>
          <w:bCs/>
          <w:sz w:val="26"/>
          <w:szCs w:val="26"/>
        </w:rPr>
        <w:t>卫疾控发</w:t>
      </w:r>
      <w:r>
        <w:rPr>
          <w:rFonts w:hint="eastAsia" w:ascii="宋体" w:hAnsi="宋体" w:eastAsia="宋体" w:cs="宋体"/>
          <w:bCs/>
          <w:sz w:val="26"/>
          <w:szCs w:val="26"/>
        </w:rPr>
        <w:t>〔</w:t>
      </w:r>
      <w:r>
        <w:rPr>
          <w:rFonts w:hint="eastAsia" w:ascii="Arial" w:hAnsi="Arial" w:eastAsia="宋体" w:cs="Arial"/>
          <w:bCs/>
          <w:sz w:val="26"/>
          <w:szCs w:val="26"/>
        </w:rPr>
        <w:t>2005</w:t>
      </w:r>
      <w:r>
        <w:rPr>
          <w:rFonts w:hint="eastAsia" w:ascii="宋体" w:hAnsi="宋体" w:eastAsia="宋体" w:cs="宋体"/>
          <w:bCs/>
          <w:sz w:val="26"/>
          <w:szCs w:val="26"/>
        </w:rPr>
        <w:t>〕</w:t>
      </w:r>
      <w:r>
        <w:rPr>
          <w:rFonts w:hint="eastAsia" w:ascii="Arial" w:hAnsi="Arial" w:eastAsia="宋体" w:cs="Arial"/>
          <w:bCs/>
          <w:sz w:val="26"/>
          <w:szCs w:val="26"/>
        </w:rPr>
        <w:t>261号</w:t>
      </w:r>
      <w:r>
        <w:rPr>
          <w:rFonts w:hint="eastAsia" w:ascii="Arial" w:hAnsi="Arial" w:eastAsia="宋体" w:cs="Arial"/>
          <w:bCs/>
          <w:sz w:val="26"/>
          <w:szCs w:val="26"/>
          <w:lang w:eastAsia="zh-CN"/>
        </w:rPr>
        <w:t>）</w:t>
      </w:r>
      <w:r>
        <w:rPr>
          <w:rFonts w:hint="eastAsia" w:ascii="Arial" w:hAnsi="Arial" w:eastAsia="宋体" w:cs="Arial"/>
          <w:bCs/>
          <w:sz w:val="26"/>
          <w:szCs w:val="26"/>
        </w:rPr>
        <w:t>等要求进行；蓄水后，及时对库区漂浮物进行打捞，避免影响水库水质。</w:t>
      </w:r>
    </w:p>
    <w:p w14:paraId="7D20C2CF">
      <w:pPr>
        <w:spacing w:line="460" w:lineRule="exact"/>
        <w:ind w:firstLine="520" w:firstLineChars="200"/>
        <w:rPr>
          <w:rFonts w:hint="eastAsia" w:ascii="Arial" w:hAnsi="宋体" w:cs="Arial"/>
          <w:color w:val="auto"/>
          <w:sz w:val="26"/>
          <w:szCs w:val="26"/>
        </w:rPr>
      </w:pPr>
      <w:r>
        <w:rPr>
          <w:rFonts w:hint="eastAsia" w:ascii="Arial" w:hAnsi="宋体" w:cs="Arial"/>
          <w:color w:val="auto"/>
          <w:sz w:val="26"/>
          <w:szCs w:val="26"/>
        </w:rPr>
        <w:t>灌区回归水需以节水灌溉为主要措施，并</w:t>
      </w:r>
      <w:r>
        <w:rPr>
          <w:rFonts w:hint="eastAsia" w:ascii="Arial" w:hAnsi="宋体" w:cs="Arial"/>
          <w:bCs/>
          <w:color w:val="auto"/>
          <w:sz w:val="26"/>
          <w:szCs w:val="26"/>
        </w:rPr>
        <w:t>根据《长江保护修复攻坚战行动计划》，落实化肥、农药施用量负增长行动，通过开展化肥、农药减量利用和替代利用，加大测土配方施肥推广力度，引导科学合理施肥施药，</w:t>
      </w:r>
      <w:r>
        <w:rPr>
          <w:rFonts w:hint="eastAsia" w:ascii="Arial" w:hAnsi="宋体" w:cs="Arial"/>
          <w:color w:val="auto"/>
          <w:sz w:val="26"/>
          <w:szCs w:val="26"/>
        </w:rPr>
        <w:t>减轻回归水对地表水环境的影响。</w:t>
      </w:r>
    </w:p>
    <w:p w14:paraId="2F10FAC6">
      <w:pPr>
        <w:spacing w:line="460" w:lineRule="exact"/>
        <w:ind w:firstLine="520" w:firstLineChars="200"/>
        <w:rPr>
          <w:rFonts w:hint="eastAsia" w:ascii="Arial" w:hAnsi="宋体" w:eastAsia="宋体" w:cs="Arial"/>
          <w:color w:val="auto"/>
          <w:sz w:val="26"/>
          <w:szCs w:val="26"/>
          <w:lang w:eastAsia="zh-CN"/>
        </w:rPr>
      </w:pPr>
      <w:r>
        <w:rPr>
          <w:rFonts w:hint="eastAsia" w:ascii="Arial" w:hAnsi="宋体" w:cs="Arial"/>
          <w:color w:val="auto"/>
          <w:sz w:val="26"/>
          <w:szCs w:val="26"/>
          <w:lang w:eastAsia="zh-CN"/>
        </w:rPr>
        <w:t>双龙社区人饮退水进入双龙镇污水处理厂内处理达标后，进入双龙河。田家山村、回龙场村人饮退水经各居民自建旱厕收集处理后，</w:t>
      </w:r>
      <w:r>
        <w:rPr>
          <w:rFonts w:hint="eastAsia" w:ascii="Arial" w:hAnsi="宋体" w:cs="Arial"/>
          <w:bCs/>
          <w:color w:val="auto"/>
          <w:sz w:val="26"/>
          <w:szCs w:val="26"/>
          <w:lang w:eastAsia="zh-CN"/>
        </w:rPr>
        <w:t>循序用作农肥，</w:t>
      </w:r>
      <w:r>
        <w:rPr>
          <w:rFonts w:hint="eastAsia" w:ascii="Arial" w:hAnsi="Arial" w:eastAsia="宋体" w:cs="Arial"/>
          <w:bCs/>
          <w:color w:val="auto"/>
          <w:sz w:val="26"/>
          <w:szCs w:val="26"/>
          <w:lang w:eastAsia="zh-CN"/>
        </w:rPr>
        <w:t>大部分有机物被农作物吸收利用，</w:t>
      </w:r>
      <w:r>
        <w:rPr>
          <w:rFonts w:hint="eastAsia" w:ascii="Arial" w:hAnsi="Arial" w:cs="Arial"/>
          <w:bCs/>
          <w:color w:val="auto"/>
          <w:sz w:val="26"/>
          <w:szCs w:val="26"/>
          <w:lang w:eastAsia="zh-CN"/>
        </w:rPr>
        <w:t>再经土壤的过滤、吸附和自然蒸发作用后，</w:t>
      </w:r>
      <w:r>
        <w:rPr>
          <w:rFonts w:hint="eastAsia" w:ascii="Arial" w:hAnsi="宋体" w:cs="Arial"/>
          <w:bCs/>
          <w:color w:val="auto"/>
          <w:sz w:val="26"/>
          <w:szCs w:val="26"/>
          <w:lang w:eastAsia="zh-CN"/>
        </w:rPr>
        <w:t>随降雨、地下水流进入河道内的量极小，对河道水质影响极小。</w:t>
      </w:r>
    </w:p>
    <w:p w14:paraId="53FF6A57">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7.2.2环境空气保护措施</w:t>
      </w:r>
    </w:p>
    <w:p w14:paraId="7DDC6291">
      <w:pPr>
        <w:spacing w:line="460" w:lineRule="exact"/>
        <w:ind w:firstLine="520" w:firstLineChars="200"/>
        <w:rPr>
          <w:rFonts w:hint="eastAsia" w:ascii="Arial" w:cs="Arial"/>
          <w:sz w:val="26"/>
          <w:szCs w:val="26"/>
        </w:rPr>
      </w:pPr>
      <w:r>
        <w:rPr>
          <w:rFonts w:hint="eastAsia" w:ascii="Arial" w:cs="Arial"/>
          <w:sz w:val="26"/>
          <w:szCs w:val="26"/>
        </w:rPr>
        <w:t>本项目属于水源工程，营运期自身无废气产生，管理</w:t>
      </w:r>
      <w:r>
        <w:rPr>
          <w:rFonts w:hint="eastAsia" w:ascii="Arial" w:cs="Arial"/>
          <w:sz w:val="26"/>
          <w:szCs w:val="26"/>
          <w:lang w:eastAsia="zh-CN"/>
        </w:rPr>
        <w:t>用房内</w:t>
      </w:r>
      <w:r>
        <w:rPr>
          <w:rFonts w:hint="eastAsia" w:ascii="Arial" w:cs="Arial"/>
          <w:sz w:val="26"/>
          <w:szCs w:val="26"/>
        </w:rPr>
        <w:t>设置有简易职工食堂，</w:t>
      </w:r>
      <w:r>
        <w:rPr>
          <w:rFonts w:hint="eastAsia" w:ascii="Arial" w:hAnsi="宋体" w:cs="Arial"/>
          <w:sz w:val="26"/>
          <w:szCs w:val="26"/>
        </w:rPr>
        <w:t>采用电能或液化石油天然气，均属于清洁能源，烟尘、</w:t>
      </w:r>
      <w:r>
        <w:rPr>
          <w:rFonts w:ascii="Arial" w:hAnsi="宋体" w:cs="Arial"/>
          <w:sz w:val="26"/>
          <w:szCs w:val="26"/>
        </w:rPr>
        <w:t>SO</w:t>
      </w:r>
      <w:r>
        <w:rPr>
          <w:rFonts w:ascii="Arial" w:hAnsi="宋体" w:cs="Arial"/>
          <w:sz w:val="26"/>
          <w:szCs w:val="26"/>
          <w:vertAlign w:val="subscript"/>
        </w:rPr>
        <w:t>2</w:t>
      </w:r>
      <w:r>
        <w:rPr>
          <w:rFonts w:hint="eastAsia" w:ascii="Arial" w:hAnsi="宋体" w:cs="Arial"/>
          <w:sz w:val="26"/>
          <w:szCs w:val="26"/>
        </w:rPr>
        <w:t>、</w:t>
      </w:r>
      <w:r>
        <w:rPr>
          <w:rFonts w:ascii="Arial" w:hAnsi="宋体" w:cs="Arial"/>
          <w:sz w:val="26"/>
          <w:szCs w:val="26"/>
        </w:rPr>
        <w:t>NOx</w:t>
      </w:r>
      <w:r>
        <w:rPr>
          <w:rFonts w:hint="eastAsia" w:ascii="Arial" w:hAnsi="宋体" w:cs="Arial"/>
          <w:sz w:val="26"/>
          <w:szCs w:val="26"/>
        </w:rPr>
        <w:t>和油烟等大气污染物产生量极少。食堂油烟采用油烟净化器处理后</w:t>
      </w:r>
      <w:r>
        <w:rPr>
          <w:rFonts w:hint="eastAsia" w:ascii="Arial" w:hAnsi="宋体" w:cs="Arial"/>
          <w:sz w:val="26"/>
          <w:szCs w:val="26"/>
          <w:lang w:eastAsia="zh-CN"/>
        </w:rPr>
        <w:t>引至屋顶</w:t>
      </w:r>
      <w:r>
        <w:rPr>
          <w:rFonts w:hint="eastAsia" w:ascii="Arial" w:hAnsi="宋体" w:cs="Arial"/>
          <w:sz w:val="26"/>
          <w:szCs w:val="26"/>
        </w:rPr>
        <w:t>排放，对区域环境空气基本无影响。</w:t>
      </w:r>
    </w:p>
    <w:p w14:paraId="2597E74A">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7.2.3声环境保护措施</w:t>
      </w:r>
    </w:p>
    <w:p w14:paraId="5856752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宋体" w:cs="Arial"/>
          <w:color w:val="auto"/>
          <w:sz w:val="26"/>
          <w:szCs w:val="26"/>
          <w:lang w:val="en-US" w:eastAsia="zh-CN"/>
        </w:rPr>
      </w:pPr>
      <w:r>
        <w:rPr>
          <w:rFonts w:hint="eastAsia" w:ascii="Arial" w:hAnsi="Arial" w:eastAsia="宋体" w:cs="Arial"/>
          <w:color w:val="000000"/>
          <w:sz w:val="26"/>
          <w:szCs w:val="26"/>
          <w:lang w:val="en-US" w:eastAsia="zh-CN"/>
        </w:rPr>
        <w:t>本工程属水源项目，枢纽工程主要噪声源为闸阀房内控制阀、溢洪道启闭设备运行噪声，属于偶发、瞬时性噪声源，无水泵等固定噪声源，且其四周200m范围内无居民点居住，对外环境影响小。输水工程均为重力自流，沿线未设置提升泵站等，对外环境影响小。上坝道路主要链接区域已建农村公路、大坝、闸阀房，车流量小，主要为库区人员、物料流动，且距离周边居民点较远，交通噪声对外环境影响小。</w:t>
      </w:r>
    </w:p>
    <w:p w14:paraId="6C44A55D">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7.2.4固体废物处置措施</w:t>
      </w:r>
    </w:p>
    <w:p w14:paraId="323B9A16">
      <w:pPr>
        <w:spacing w:line="460" w:lineRule="exact"/>
        <w:ind w:firstLine="520" w:firstLineChars="200"/>
        <w:rPr>
          <w:rFonts w:hint="eastAsia" w:ascii="Arial" w:hAnsi="宋体" w:cs="Arial"/>
          <w:sz w:val="26"/>
          <w:szCs w:val="26"/>
        </w:rPr>
      </w:pPr>
      <w:r>
        <w:rPr>
          <w:rFonts w:hint="eastAsia" w:ascii="Arial" w:cs="Arial"/>
          <w:sz w:val="26"/>
          <w:szCs w:val="26"/>
        </w:rPr>
        <w:t>生活垃圾集中收集后，交当地环卫部门统一清运处置；餐厨垃圾桶装收集后，交有资质单位清运处置</w:t>
      </w:r>
      <w:r>
        <w:rPr>
          <w:rFonts w:hint="eastAsia" w:ascii="Arial" w:hAnsi="宋体" w:cs="Arial"/>
          <w:sz w:val="26"/>
          <w:szCs w:val="26"/>
        </w:rPr>
        <w:t>。库区打捞出的漂浮物</w:t>
      </w:r>
      <w:r>
        <w:rPr>
          <w:rFonts w:hint="eastAsia" w:ascii="Arial" w:cs="Arial"/>
          <w:sz w:val="26"/>
          <w:szCs w:val="26"/>
        </w:rPr>
        <w:t>交当地环卫部门统一清运处置</w:t>
      </w:r>
      <w:r>
        <w:rPr>
          <w:rFonts w:hint="eastAsia" w:ascii="Arial" w:hAnsi="宋体" w:cs="Arial"/>
          <w:sz w:val="26"/>
          <w:szCs w:val="26"/>
        </w:rPr>
        <w:t>。</w:t>
      </w:r>
    </w:p>
    <w:p w14:paraId="7C0FBBA2">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7.2.5环境风险防范措施</w:t>
      </w:r>
    </w:p>
    <w:p w14:paraId="6768903E">
      <w:pPr>
        <w:spacing w:line="460" w:lineRule="exact"/>
        <w:ind w:firstLine="520" w:firstLineChars="200"/>
        <w:rPr>
          <w:rFonts w:hint="eastAsia" w:ascii="Arial" w:eastAsia="宋体" w:cs="Arial"/>
          <w:sz w:val="26"/>
          <w:szCs w:val="26"/>
          <w:lang w:eastAsia="zh-CN"/>
        </w:rPr>
      </w:pPr>
      <w:r>
        <w:rPr>
          <w:rFonts w:hint="eastAsia" w:ascii="Arial" w:cs="Arial"/>
          <w:sz w:val="26"/>
          <w:szCs w:val="26"/>
          <w:lang w:eastAsia="zh-CN"/>
        </w:rPr>
        <w:t>本项目运营期环境风险源主要为</w:t>
      </w:r>
      <w:r>
        <w:rPr>
          <w:rFonts w:hint="eastAsia" w:ascii="Arial" w:cs="Arial"/>
          <w:sz w:val="26"/>
          <w:szCs w:val="26"/>
        </w:rPr>
        <w:t>农业面源和</w:t>
      </w:r>
      <w:r>
        <w:rPr>
          <w:rFonts w:hint="eastAsia" w:ascii="Arial" w:cs="Arial"/>
          <w:sz w:val="26"/>
          <w:szCs w:val="26"/>
          <w:lang w:eastAsia="zh-CN"/>
        </w:rPr>
        <w:t>上坝</w:t>
      </w:r>
      <w:r>
        <w:rPr>
          <w:rFonts w:hint="eastAsia" w:ascii="Arial" w:cs="Arial"/>
          <w:sz w:val="26"/>
          <w:szCs w:val="26"/>
        </w:rPr>
        <w:t>道路车辆事故造成的污染</w:t>
      </w:r>
      <w:r>
        <w:rPr>
          <w:rFonts w:hint="eastAsia" w:ascii="Arial" w:cs="Arial"/>
          <w:sz w:val="26"/>
          <w:szCs w:val="26"/>
          <w:lang w:eastAsia="zh-CN"/>
        </w:rPr>
        <w:t>，通过加强管理，建立限速、保护水源等警示标识，与农业部门协作，正确引导居民少量、合理的施用化肥，</w:t>
      </w:r>
      <w:r>
        <w:rPr>
          <w:rFonts w:hint="default" w:ascii="Arial" w:hAnsi="Arial" w:cs="Arial"/>
          <w:bCs/>
          <w:kern w:val="0"/>
          <w:sz w:val="26"/>
          <w:szCs w:val="26"/>
        </w:rPr>
        <w:t>减少生活污水排放，是减少农业面源污染的主要途径</w:t>
      </w:r>
      <w:r>
        <w:rPr>
          <w:rFonts w:hint="eastAsia" w:ascii="Arial" w:hAnsi="Arial" w:cs="Arial"/>
          <w:bCs/>
          <w:kern w:val="0"/>
          <w:sz w:val="26"/>
          <w:szCs w:val="26"/>
          <w:lang w:eastAsia="zh-CN"/>
        </w:rPr>
        <w:t>；同时按照</w:t>
      </w:r>
      <w:r>
        <w:rPr>
          <w:rFonts w:hint="default" w:ascii="Arial" w:hAnsi="Arial" w:cs="Arial"/>
          <w:bCs/>
          <w:kern w:val="0"/>
          <w:sz w:val="26"/>
          <w:szCs w:val="26"/>
        </w:rPr>
        <w:t>《集中式地表饮用水水源地环境应急管理工作指南（试行）》</w:t>
      </w:r>
      <w:r>
        <w:rPr>
          <w:rFonts w:hint="eastAsia" w:ascii="Arial" w:hAnsi="Arial" w:cs="Arial"/>
          <w:bCs/>
          <w:kern w:val="0"/>
          <w:sz w:val="26"/>
          <w:szCs w:val="26"/>
          <w:lang w:eastAsia="zh-CN"/>
        </w:rPr>
        <w:t>（</w:t>
      </w:r>
      <w:r>
        <w:rPr>
          <w:rFonts w:hint="default" w:ascii="Arial" w:hAnsi="Arial" w:cs="Arial"/>
          <w:bCs/>
          <w:kern w:val="0"/>
          <w:sz w:val="26"/>
          <w:szCs w:val="26"/>
        </w:rPr>
        <w:t>环办</w:t>
      </w:r>
      <w:r>
        <w:rPr>
          <w:rFonts w:hint="eastAsia" w:ascii="宋体" w:hAnsi="宋体" w:eastAsia="宋体" w:cs="宋体"/>
          <w:bCs/>
          <w:kern w:val="0"/>
          <w:sz w:val="26"/>
          <w:szCs w:val="26"/>
        </w:rPr>
        <w:t>〔</w:t>
      </w:r>
      <w:r>
        <w:rPr>
          <w:rFonts w:hint="default" w:ascii="Arial" w:hAnsi="Arial" w:cs="Arial"/>
          <w:bCs/>
          <w:kern w:val="0"/>
          <w:sz w:val="26"/>
          <w:szCs w:val="26"/>
        </w:rPr>
        <w:t>2011</w:t>
      </w:r>
      <w:r>
        <w:rPr>
          <w:rFonts w:hint="eastAsia" w:ascii="宋体" w:hAnsi="宋体" w:eastAsia="宋体" w:cs="宋体"/>
          <w:bCs/>
          <w:kern w:val="0"/>
          <w:sz w:val="26"/>
          <w:szCs w:val="26"/>
        </w:rPr>
        <w:t>〕</w:t>
      </w:r>
      <w:r>
        <w:rPr>
          <w:rFonts w:hint="default" w:ascii="Arial" w:hAnsi="Arial" w:cs="Arial"/>
          <w:bCs/>
          <w:kern w:val="0"/>
          <w:sz w:val="26"/>
          <w:szCs w:val="26"/>
        </w:rPr>
        <w:t>93号</w:t>
      </w:r>
      <w:r>
        <w:rPr>
          <w:rFonts w:hint="eastAsia" w:ascii="Arial" w:hAnsi="Arial" w:cs="Arial"/>
          <w:bCs/>
          <w:kern w:val="0"/>
          <w:sz w:val="26"/>
          <w:szCs w:val="26"/>
          <w:lang w:eastAsia="zh-CN"/>
        </w:rPr>
        <w:t>），设置</w:t>
      </w:r>
      <w:r>
        <w:rPr>
          <w:rFonts w:hint="default" w:ascii="Arial" w:hAnsi="Arial" w:cs="Arial"/>
          <w:bCs/>
          <w:kern w:val="0"/>
          <w:sz w:val="26"/>
          <w:szCs w:val="26"/>
        </w:rPr>
        <w:t>水源水质保护应急预案</w:t>
      </w:r>
      <w:r>
        <w:rPr>
          <w:rFonts w:hint="eastAsia" w:ascii="Arial" w:hAnsi="Arial" w:cs="Arial"/>
          <w:bCs/>
          <w:kern w:val="0"/>
          <w:sz w:val="26"/>
          <w:szCs w:val="26"/>
          <w:lang w:eastAsia="zh-CN"/>
        </w:rPr>
        <w:t>。</w:t>
      </w:r>
    </w:p>
    <w:p w14:paraId="70A19AC5">
      <w:pPr>
        <w:pStyle w:val="2018"/>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eastAsia="zh-CN"/>
        </w:rPr>
      </w:pPr>
      <w:r>
        <w:rPr>
          <w:rFonts w:hint="eastAsia" w:ascii="Arial" w:hAnsi="Arial" w:cs="Arial"/>
          <w:sz w:val="26"/>
          <w:szCs w:val="26"/>
          <w:lang w:val="en-US" w:eastAsia="zh-CN"/>
        </w:rPr>
        <w:t>7</w:t>
      </w:r>
      <w:r>
        <w:rPr>
          <w:rFonts w:hint="default" w:ascii="Arial" w:hAnsi="Arial" w:cs="Arial"/>
          <w:sz w:val="26"/>
          <w:szCs w:val="26"/>
        </w:rPr>
        <w:t>.</w:t>
      </w:r>
      <w:r>
        <w:rPr>
          <w:rFonts w:hint="eastAsia" w:ascii="Arial" w:hAnsi="Arial" w:cs="Arial"/>
          <w:sz w:val="26"/>
          <w:szCs w:val="26"/>
          <w:lang w:val="en-US" w:eastAsia="zh-CN"/>
        </w:rPr>
        <w:t>3</w:t>
      </w:r>
      <w:r>
        <w:rPr>
          <w:rFonts w:hint="eastAsia" w:ascii="Arial" w:hAnsi="Arial" w:cs="Arial"/>
          <w:sz w:val="26"/>
          <w:szCs w:val="26"/>
          <w:lang w:eastAsia="zh-CN"/>
        </w:rPr>
        <w:t>生态环境保护措施</w:t>
      </w:r>
    </w:p>
    <w:p w14:paraId="50B628FD">
      <w:pPr>
        <w:spacing w:line="460" w:lineRule="exact"/>
        <w:ind w:firstLine="522" w:firstLineChars="200"/>
        <w:rPr>
          <w:rFonts w:hint="default" w:ascii="Arial" w:hAnsi="宋体" w:eastAsia="宋体" w:cs="Arial"/>
          <w:b/>
          <w:bCs/>
          <w:sz w:val="26"/>
          <w:szCs w:val="26"/>
          <w:lang w:val="en-US" w:eastAsia="zh-CN"/>
        </w:rPr>
      </w:pPr>
      <w:r>
        <w:rPr>
          <w:rFonts w:hint="eastAsia" w:ascii="Arial" w:hAnsi="宋体" w:cs="Arial"/>
          <w:b/>
          <w:bCs/>
          <w:sz w:val="26"/>
          <w:szCs w:val="26"/>
          <w:lang w:val="en-US" w:eastAsia="zh-CN"/>
        </w:rPr>
        <w:t>7.3.1生态环境影响避让措施</w:t>
      </w:r>
    </w:p>
    <w:p w14:paraId="24F5E33C">
      <w:pPr>
        <w:spacing w:line="460" w:lineRule="exact"/>
        <w:ind w:firstLine="520" w:firstLineChars="200"/>
        <w:rPr>
          <w:rFonts w:hint="eastAsia" w:ascii="Arial" w:hAnsi="宋体" w:cs="Arial"/>
          <w:sz w:val="26"/>
          <w:szCs w:val="26"/>
          <w:lang w:val="en-US" w:eastAsia="zh-CN"/>
        </w:rPr>
      </w:pPr>
      <w:r>
        <w:rPr>
          <w:rFonts w:hint="eastAsia" w:ascii="Arial" w:hAnsi="宋体" w:cs="Arial"/>
          <w:sz w:val="26"/>
          <w:szCs w:val="26"/>
          <w:lang w:val="en-US" w:eastAsia="zh-CN"/>
        </w:rPr>
        <w:t>根据叠图分析，本项目选址、选线不涉及丰都县划定的生态保护红线，同时根据2023年10月26日丰都县生态环境局出具的“关于丰都县海螺沟水库工程不涉及生态保护红线的说明”，本项目枢纽工程、淹没区占地均不在丰都县划定的生态环保红线内。根据2024年8月1日丰都县林业局出具的“关于丰都县海螺沟水库工程不涉及自然保护地的说明”，本项目枢纽工程、淹没区占地均不在丰都县划定的自然保护地内。</w:t>
      </w:r>
    </w:p>
    <w:p w14:paraId="2E5F0FA7">
      <w:pPr>
        <w:spacing w:line="460" w:lineRule="exact"/>
        <w:ind w:firstLine="520" w:firstLineChars="200"/>
        <w:rPr>
          <w:rFonts w:hint="default" w:ascii="Arial" w:hAnsi="宋体" w:cs="Arial"/>
          <w:sz w:val="26"/>
          <w:szCs w:val="26"/>
          <w:lang w:val="en-US" w:eastAsia="zh-CN"/>
        </w:rPr>
      </w:pPr>
      <w:r>
        <w:rPr>
          <w:rFonts w:hint="eastAsia" w:ascii="Arial" w:hAnsi="宋体" w:cs="Arial"/>
          <w:sz w:val="26"/>
          <w:szCs w:val="26"/>
          <w:lang w:val="en-US" w:eastAsia="zh-CN"/>
        </w:rPr>
        <w:t>由此可见，本项目在前期勘察选址、选线时，优先避让了丰都县生态保护线、自然保护地等特殊生态敏感区，现工程占地及影响范围内主要分布为耕地、林地，</w:t>
      </w:r>
      <w:r>
        <w:rPr>
          <w:rFonts w:hint="eastAsia" w:ascii="Arial" w:hAnsi="Arial" w:cs="Arial"/>
          <w:sz w:val="26"/>
          <w:szCs w:val="26"/>
        </w:rPr>
        <w:t>由于人类的干扰破坏，场地内主要为乔木、灌木，植物种类较少，</w:t>
      </w:r>
      <w:r>
        <w:rPr>
          <w:rFonts w:hint="eastAsia" w:ascii="Arial" w:hAnsi="宋体" w:cs="Arial"/>
          <w:bCs/>
          <w:sz w:val="26"/>
          <w:szCs w:val="26"/>
        </w:rPr>
        <w:t>无珍稀濒危动植物、名木古树分布。在施工结束后易于恢复，从环保角度基本可行。</w:t>
      </w:r>
    </w:p>
    <w:p w14:paraId="7496DAC5">
      <w:pPr>
        <w:spacing w:line="460" w:lineRule="exact"/>
        <w:ind w:firstLine="522" w:firstLineChars="200"/>
        <w:rPr>
          <w:rFonts w:hint="default" w:ascii="Arial" w:hAnsi="宋体" w:eastAsia="宋体" w:cs="Arial"/>
          <w:b/>
          <w:bCs/>
          <w:sz w:val="26"/>
          <w:szCs w:val="26"/>
          <w:lang w:val="en-US" w:eastAsia="zh-CN"/>
        </w:rPr>
      </w:pPr>
      <w:r>
        <w:rPr>
          <w:rFonts w:hint="eastAsia" w:ascii="Arial" w:hAnsi="宋体" w:cs="Arial"/>
          <w:b/>
          <w:bCs/>
          <w:sz w:val="26"/>
          <w:szCs w:val="26"/>
          <w:lang w:val="en-US" w:eastAsia="zh-CN"/>
        </w:rPr>
        <w:t>7.3.2生态环境影响减缓措施</w:t>
      </w:r>
    </w:p>
    <w:p w14:paraId="109FB5B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（1）施工管理</w:t>
      </w:r>
    </w:p>
    <w:p w14:paraId="588B3ABD">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sz w:val="26"/>
          <w:szCs w:val="26"/>
        </w:rPr>
      </w:pPr>
      <w:r>
        <w:rPr>
          <w:rFonts w:hint="default" w:ascii="Arial" w:hAnsi="Arial" w:cs="Arial"/>
          <w:sz w:val="26"/>
          <w:szCs w:val="26"/>
          <w:lang w:eastAsia="zh-CN"/>
        </w:rPr>
        <w:t>①</w:t>
      </w:r>
      <w:r>
        <w:rPr>
          <w:rFonts w:hint="default" w:ascii="Arial" w:hAnsi="Arial" w:cs="Arial"/>
          <w:sz w:val="26"/>
          <w:szCs w:val="26"/>
        </w:rPr>
        <w:t>各施工建设单位，应制定相应的</w:t>
      </w:r>
      <w:r>
        <w:rPr>
          <w:rFonts w:hint="eastAsia" w:ascii="Arial" w:hAnsi="Arial" w:cs="Arial"/>
          <w:sz w:val="26"/>
          <w:szCs w:val="26"/>
          <w:lang w:eastAsia="zh-CN"/>
        </w:rPr>
        <w:t>环保</w:t>
      </w:r>
      <w:r>
        <w:rPr>
          <w:rFonts w:hint="default" w:ascii="Arial" w:hAnsi="Arial" w:cs="Arial"/>
          <w:sz w:val="26"/>
          <w:szCs w:val="26"/>
        </w:rPr>
        <w:t>制度，明确施工区域范围，规范施工人员行为，管理好施工机械和运输车辆，避免乱压乱挖及越界施工。</w:t>
      </w:r>
    </w:p>
    <w:p w14:paraId="5C387288">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sz w:val="26"/>
          <w:szCs w:val="26"/>
        </w:rPr>
      </w:pPr>
      <w:r>
        <w:rPr>
          <w:rFonts w:hint="default" w:ascii="Arial" w:hAnsi="Arial" w:cs="Arial"/>
          <w:sz w:val="26"/>
          <w:szCs w:val="26"/>
          <w:lang w:eastAsia="zh-CN"/>
        </w:rPr>
        <w:t>②</w:t>
      </w:r>
      <w:r>
        <w:rPr>
          <w:rFonts w:hint="default" w:ascii="Arial" w:hAnsi="Arial" w:cs="Arial"/>
          <w:sz w:val="26"/>
          <w:szCs w:val="26"/>
        </w:rPr>
        <w:t>严格控制用地范围，可通过</w:t>
      </w:r>
      <w:r>
        <w:rPr>
          <w:rFonts w:hint="eastAsia" w:ascii="Arial" w:hAnsi="Arial" w:cs="Arial"/>
          <w:sz w:val="26"/>
          <w:szCs w:val="26"/>
          <w:lang w:eastAsia="zh-CN"/>
        </w:rPr>
        <w:t>租赁周边居民房屋作施工营地、淹没库区建施工便道等方式，优化施工临时占地，</w:t>
      </w:r>
      <w:r>
        <w:rPr>
          <w:rFonts w:hint="default" w:ascii="Arial" w:hAnsi="Arial" w:cs="Arial"/>
          <w:sz w:val="26"/>
          <w:szCs w:val="26"/>
        </w:rPr>
        <w:t>禁止将</w:t>
      </w:r>
      <w:r>
        <w:rPr>
          <w:rFonts w:hint="eastAsia" w:ascii="Arial" w:hAnsi="Arial" w:cs="Arial"/>
          <w:sz w:val="26"/>
          <w:szCs w:val="26"/>
          <w:lang w:eastAsia="zh-CN"/>
        </w:rPr>
        <w:t>弃渣场、施工场地等</w:t>
      </w:r>
      <w:r>
        <w:rPr>
          <w:rFonts w:hint="default" w:ascii="Arial" w:hAnsi="Arial" w:cs="Arial"/>
          <w:sz w:val="26"/>
          <w:szCs w:val="26"/>
        </w:rPr>
        <w:t>选择在永久基本农田、公益林</w:t>
      </w:r>
      <w:r>
        <w:rPr>
          <w:rFonts w:hint="eastAsia" w:ascii="Arial" w:hAnsi="Arial" w:cs="Arial"/>
          <w:sz w:val="26"/>
          <w:szCs w:val="26"/>
          <w:lang w:eastAsia="zh-CN"/>
        </w:rPr>
        <w:t>等范围内</w:t>
      </w:r>
      <w:r>
        <w:rPr>
          <w:rFonts w:hint="default" w:ascii="Arial" w:hAnsi="Arial" w:cs="Arial"/>
          <w:sz w:val="26"/>
          <w:szCs w:val="26"/>
        </w:rPr>
        <w:t>。</w:t>
      </w:r>
    </w:p>
    <w:p w14:paraId="271083F6">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sz w:val="26"/>
          <w:szCs w:val="26"/>
        </w:rPr>
      </w:pPr>
      <w:r>
        <w:rPr>
          <w:rFonts w:hint="default" w:ascii="Arial" w:hAnsi="Arial" w:eastAsia="宋体" w:cs="Arial"/>
          <w:sz w:val="26"/>
          <w:szCs w:val="26"/>
          <w:lang w:eastAsia="zh-CN"/>
        </w:rPr>
        <w:t>③</w:t>
      </w:r>
      <w:r>
        <w:rPr>
          <w:rFonts w:hint="default" w:ascii="Arial" w:hAnsi="Arial" w:cs="Arial"/>
          <w:sz w:val="26"/>
          <w:szCs w:val="26"/>
        </w:rPr>
        <w:t>合理组织施工，安排好施工时序</w:t>
      </w:r>
      <w:r>
        <w:rPr>
          <w:rFonts w:hint="eastAsia" w:ascii="Arial" w:hAnsi="Arial" w:cs="Arial"/>
          <w:sz w:val="26"/>
          <w:szCs w:val="26"/>
          <w:lang w:eastAsia="zh-CN"/>
        </w:rPr>
        <w:t>，尽量避开暴雨积极进行场地挖填平整施工</w:t>
      </w:r>
      <w:r>
        <w:rPr>
          <w:rFonts w:hint="default" w:ascii="Arial" w:hAnsi="Arial" w:cs="Arial"/>
          <w:sz w:val="26"/>
          <w:szCs w:val="26"/>
        </w:rPr>
        <w:t>。</w:t>
      </w:r>
      <w:r>
        <w:rPr>
          <w:rFonts w:hint="eastAsia" w:ascii="Arial" w:hAnsi="Arial" w:cs="Arial"/>
          <w:sz w:val="26"/>
          <w:szCs w:val="26"/>
          <w:lang w:eastAsia="zh-CN"/>
        </w:rPr>
        <w:t>弃渣场</w:t>
      </w:r>
      <w:r>
        <w:rPr>
          <w:rFonts w:hint="default" w:ascii="Arial" w:hAnsi="Arial" w:cs="Arial"/>
          <w:sz w:val="26"/>
          <w:szCs w:val="26"/>
        </w:rPr>
        <w:t>应配置防护设施，修筑</w:t>
      </w:r>
      <w:r>
        <w:rPr>
          <w:rFonts w:hint="eastAsia" w:ascii="Arial" w:hAnsi="Arial" w:cs="Arial"/>
          <w:sz w:val="26"/>
          <w:szCs w:val="26"/>
          <w:lang w:eastAsia="zh-CN"/>
        </w:rPr>
        <w:t>挡土墙</w:t>
      </w:r>
      <w:r>
        <w:rPr>
          <w:rFonts w:hint="default" w:ascii="Arial" w:hAnsi="Arial" w:cs="Arial"/>
          <w:sz w:val="26"/>
          <w:szCs w:val="26"/>
        </w:rPr>
        <w:t>、</w:t>
      </w:r>
      <w:r>
        <w:rPr>
          <w:rFonts w:hint="eastAsia" w:ascii="Arial" w:hAnsi="Arial" w:cs="Arial"/>
          <w:sz w:val="26"/>
          <w:szCs w:val="26"/>
          <w:lang w:eastAsia="zh-CN"/>
        </w:rPr>
        <w:t>截排水沟</w:t>
      </w:r>
      <w:r>
        <w:rPr>
          <w:rFonts w:hint="default" w:ascii="Arial" w:hAnsi="Arial" w:cs="Arial"/>
          <w:sz w:val="26"/>
          <w:szCs w:val="26"/>
        </w:rPr>
        <w:t>进行拦截；各类施工材料应备有防雨遮雨设施。</w:t>
      </w:r>
    </w:p>
    <w:p w14:paraId="4737A40D">
      <w:pPr>
        <w:spacing w:line="460" w:lineRule="exact"/>
        <w:ind w:firstLine="520" w:firstLineChars="200"/>
        <w:rPr>
          <w:rFonts w:hint="eastAsia" w:ascii="Arial" w:hAnsi="宋体" w:eastAsia="宋体" w:cs="Arial"/>
          <w:sz w:val="26"/>
          <w:szCs w:val="26"/>
          <w:lang w:val="en-US" w:eastAsia="zh-CN"/>
        </w:rPr>
      </w:pPr>
      <w:r>
        <w:rPr>
          <w:rFonts w:hint="default" w:ascii="Arial" w:hAnsi="Arial" w:eastAsia="宋体" w:cs="Arial"/>
          <w:sz w:val="26"/>
          <w:szCs w:val="26"/>
          <w:lang w:eastAsia="zh-CN"/>
        </w:rPr>
        <w:t>④</w:t>
      </w:r>
      <w:r>
        <w:rPr>
          <w:rFonts w:hint="default" w:ascii="Arial" w:hAnsi="Arial" w:cs="Arial"/>
          <w:sz w:val="26"/>
          <w:szCs w:val="26"/>
        </w:rPr>
        <w:t>对施工人员进行有关环境保护的法律、法规宣传教育。在施工营地设置生态保护警示牌，禁止施工人员乱砍滥伐、猎捕野生动物等违法行为。</w:t>
      </w:r>
    </w:p>
    <w:p w14:paraId="451482E7">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（2）土地利用的保护措施</w:t>
      </w:r>
    </w:p>
    <w:p w14:paraId="1F60F78C">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eastAsia="宋体" w:cs="Arial"/>
          <w:sz w:val="26"/>
          <w:szCs w:val="26"/>
          <w:lang w:eastAsia="zh-CN"/>
        </w:rPr>
      </w:pPr>
      <w:r>
        <w:rPr>
          <w:rFonts w:hint="eastAsia" w:ascii="Arial" w:hAnsi="Arial" w:eastAsia="宋体" w:cs="Arial"/>
          <w:sz w:val="26"/>
          <w:szCs w:val="26"/>
          <w:lang w:eastAsia="zh-CN"/>
        </w:rPr>
        <w:t>临时用地尽量少占耕地、林地。道路施工期施工场地、施工便道等临时用地占用时间较长，故要求施工场地等临时用地尽量选择在道路征地范围内，减少耕地、林地占用量。施工便道尽量利用原有道路，施工结束后及时恢复或交由地方使用。</w:t>
      </w:r>
    </w:p>
    <w:p w14:paraId="01C019A1">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sz w:val="26"/>
          <w:szCs w:val="26"/>
          <w:lang w:eastAsia="zh-CN"/>
        </w:rPr>
      </w:pPr>
      <w:r>
        <w:rPr>
          <w:rFonts w:hint="eastAsia" w:ascii="Arial" w:hAnsi="Arial" w:cs="Arial"/>
          <w:sz w:val="26"/>
          <w:szCs w:val="26"/>
          <w:lang w:eastAsia="zh-CN"/>
        </w:rPr>
        <w:t>弃渣场</w:t>
      </w:r>
      <w:r>
        <w:rPr>
          <w:rFonts w:hint="eastAsia" w:ascii="Arial" w:hAnsi="Arial" w:eastAsia="宋体" w:cs="Arial"/>
          <w:sz w:val="26"/>
          <w:szCs w:val="26"/>
          <w:lang w:eastAsia="zh-CN"/>
        </w:rPr>
        <w:t>要及时进行生态恢复，宜工程措施和生物措施相结合。弃渣要分台阶夯实堆存，开挖好排水沟，砌好挡土墙；完工时，生物防护采用乡土植物种类，以速生、根系发达、美观的植物为主，乔灌草搭配。</w:t>
      </w:r>
    </w:p>
    <w:p w14:paraId="4862D648">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（3）植物保护措施</w:t>
      </w:r>
    </w:p>
    <w:p w14:paraId="101D590E">
      <w:pPr>
        <w:spacing w:line="460" w:lineRule="exact"/>
        <w:ind w:firstLine="520" w:firstLineChars="200"/>
        <w:rPr>
          <w:rFonts w:hint="eastAsia" w:ascii="Arial" w:hAnsi="Arial" w:cs="Arial"/>
          <w:sz w:val="26"/>
          <w:szCs w:val="26"/>
        </w:rPr>
      </w:pPr>
      <w:r>
        <w:rPr>
          <w:rFonts w:hint="eastAsia" w:ascii="Arial" w:hAnsi="Arial" w:cs="Arial"/>
          <w:sz w:val="26"/>
          <w:szCs w:val="26"/>
        </w:rPr>
        <w:t>植物保护的一般原则为：首先应尽量保存施工区的熟化土，对于建设中永久占用地、临时用地占用耕地部分的表层土予以收集保存，用于</w:t>
      </w:r>
      <w:r>
        <w:rPr>
          <w:rFonts w:hint="eastAsia" w:ascii="Arial" w:hAnsi="Arial" w:cs="Arial"/>
          <w:sz w:val="26"/>
          <w:szCs w:val="26"/>
          <w:lang w:eastAsia="zh-CN"/>
        </w:rPr>
        <w:t>后期绿化覆土</w:t>
      </w:r>
      <w:r>
        <w:rPr>
          <w:rFonts w:hint="eastAsia" w:ascii="Arial" w:hAnsi="Arial" w:cs="Arial"/>
          <w:sz w:val="26"/>
          <w:szCs w:val="26"/>
        </w:rPr>
        <w:t>等，复耕或选择当地适宜植物及时恢复绿化。对淹没区、施工临时占地和永久占地内的高大乔木应尽量移栽，若发现珍惜保护植物必须严格按照林业局相关要求进行移栽，并派专人看护。</w:t>
      </w:r>
    </w:p>
    <w:p w14:paraId="7649022B">
      <w:pPr>
        <w:spacing w:line="460" w:lineRule="exact"/>
        <w:ind w:firstLine="520" w:firstLineChars="200"/>
        <w:rPr>
          <w:rFonts w:hint="eastAsia" w:ascii="Arial" w:hAnsi="Arial" w:cs="Arial"/>
          <w:sz w:val="26"/>
          <w:szCs w:val="26"/>
        </w:rPr>
      </w:pPr>
      <w:r>
        <w:rPr>
          <w:rFonts w:hint="eastAsia" w:ascii="Arial" w:hAnsi="Arial" w:cs="Arial"/>
          <w:sz w:val="26"/>
          <w:szCs w:val="26"/>
        </w:rPr>
        <w:t>临时用地深翻处理后，应植树种草恢复植被。施工中应加强施工管理，对边界以外的植被应不破坏或尽量减少破坏，两侧植被恢复除考虑临时占地防护、水土保持外，使水保、绿化、美化、环保有机结合为一体。在施工建设结束后，对临时占地进行绿化，在“适地适树、适地适草”的原则下，树种、草种的选择应对各地区的地形、土壤和气候条件经过详细的调查以当地优良乡土树种为主，适当引进新的优良树种草种，保证绿化栽植的成活率。凡施工造成植被及林地破碎化的地方，应进行景观生态学设计，减少植被破碎程度。施工后应及时对渣场进行清理和恢复施工场地，渣场应平整还土，恢复原有土地使用功能。</w:t>
      </w:r>
    </w:p>
    <w:p w14:paraId="746CA713">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（4）动物保护措施</w:t>
      </w:r>
    </w:p>
    <w:p w14:paraId="7F50AD15">
      <w:pPr>
        <w:spacing w:line="460" w:lineRule="exact"/>
        <w:ind w:firstLine="520" w:firstLineChars="200"/>
        <w:rPr>
          <w:rFonts w:hint="eastAsia" w:ascii="Arial" w:hAnsi="Arial" w:cs="Arial"/>
          <w:sz w:val="26"/>
          <w:szCs w:val="26"/>
        </w:rPr>
      </w:pPr>
      <w:r>
        <w:rPr>
          <w:rFonts w:hint="eastAsia" w:ascii="Arial" w:hAnsi="Arial" w:cs="Arial"/>
          <w:sz w:val="26"/>
          <w:szCs w:val="26"/>
        </w:rPr>
        <w:t>施工期和运营期对评价范围内野生动物的保护主要针对清库过程中的管理，严格按照划定的清库范围作业，</w:t>
      </w:r>
      <w:r>
        <w:rPr>
          <w:rFonts w:hint="eastAsia"/>
          <w:sz w:val="26"/>
          <w:szCs w:val="26"/>
        </w:rPr>
        <w:t>全面贯彻执行《中华人民共和国野生动物保护法》</w:t>
      </w:r>
      <w:r>
        <w:rPr>
          <w:rFonts w:hint="eastAsia"/>
          <w:sz w:val="26"/>
          <w:szCs w:val="26"/>
          <w:lang w:eastAsia="zh-CN"/>
        </w:rPr>
        <w:t>、</w:t>
      </w:r>
      <w:r>
        <w:rPr>
          <w:rFonts w:hint="eastAsia"/>
          <w:sz w:val="26"/>
          <w:szCs w:val="26"/>
        </w:rPr>
        <w:t>《重庆市实施</w:t>
      </w:r>
      <w:r>
        <w:rPr>
          <w:sz w:val="26"/>
          <w:szCs w:val="26"/>
        </w:rPr>
        <w:t>&lt;</w:t>
      </w:r>
      <w:r>
        <w:rPr>
          <w:rFonts w:hint="eastAsia"/>
          <w:sz w:val="26"/>
          <w:szCs w:val="26"/>
        </w:rPr>
        <w:t>中华人民共和国野生动物保护法</w:t>
      </w:r>
      <w:r>
        <w:rPr>
          <w:sz w:val="26"/>
          <w:szCs w:val="26"/>
        </w:rPr>
        <w:t>&gt;</w:t>
      </w:r>
      <w:r>
        <w:rPr>
          <w:rFonts w:hint="eastAsia"/>
          <w:sz w:val="26"/>
          <w:szCs w:val="26"/>
        </w:rPr>
        <w:t>办法》</w:t>
      </w:r>
      <w:r>
        <w:rPr>
          <w:rFonts w:hint="eastAsia"/>
          <w:sz w:val="26"/>
          <w:szCs w:val="26"/>
          <w:lang w:eastAsia="zh-CN"/>
        </w:rPr>
        <w:t>、《重庆市野生动物保护规定》等文件要求</w:t>
      </w:r>
      <w:r>
        <w:rPr>
          <w:rFonts w:hint="eastAsia"/>
          <w:sz w:val="26"/>
          <w:szCs w:val="26"/>
        </w:rPr>
        <w:t>，增强人们的生态保护意识，</w:t>
      </w:r>
      <w:r>
        <w:rPr>
          <w:rFonts w:hint="eastAsia" w:ascii="Arial" w:hAnsi="Arial" w:cs="Arial"/>
          <w:sz w:val="26"/>
          <w:szCs w:val="26"/>
        </w:rPr>
        <w:t>禁止在捕捉野生动物，尽量避免工人进入作业范围之外的山体区域，并加强进入项目区的外来人员的宣传、教育和管理，从而使外界活动尽可能不干扰这些野生动物的栖息活动，保证其较高的生境质量。</w:t>
      </w:r>
    </w:p>
    <w:p w14:paraId="6FC930E3">
      <w:pPr>
        <w:spacing w:line="460" w:lineRule="exact"/>
        <w:ind w:firstLine="520" w:firstLineChars="200"/>
        <w:rPr>
          <w:rFonts w:hint="eastAsia" w:ascii="Arial" w:hAnsi="Arial" w:eastAsia="宋体" w:cs="Arial"/>
          <w:sz w:val="26"/>
          <w:szCs w:val="26"/>
        </w:rPr>
      </w:pPr>
      <w:r>
        <w:rPr>
          <w:rFonts w:hint="eastAsia" w:ascii="Arial" w:hAnsi="Arial" w:eastAsia="宋体" w:cs="Arial"/>
          <w:sz w:val="26"/>
          <w:szCs w:val="26"/>
        </w:rPr>
        <w:t>①工程所在区域动物以小型为主，虽然随着工程的进度该部分动物会自动迁移至周围适生环境，但为了减少对其影响，需对施工人员进行</w:t>
      </w:r>
      <w:r>
        <w:rPr>
          <w:rFonts w:hint="eastAsia" w:ascii="Arial" w:hAnsi="Arial" w:eastAsia="宋体" w:cs="Arial"/>
          <w:sz w:val="26"/>
          <w:szCs w:val="26"/>
          <w:lang w:eastAsia="zh-CN"/>
        </w:rPr>
        <w:t>宣传</w:t>
      </w:r>
      <w:r>
        <w:rPr>
          <w:rFonts w:hint="eastAsia" w:ascii="Arial" w:hAnsi="Arial" w:eastAsia="宋体" w:cs="Arial"/>
          <w:sz w:val="26"/>
          <w:szCs w:val="26"/>
        </w:rPr>
        <w:t>教育</w:t>
      </w:r>
      <w:r>
        <w:rPr>
          <w:rFonts w:hint="eastAsia" w:ascii="Arial" w:hAnsi="Arial" w:eastAsia="宋体" w:cs="Arial"/>
          <w:sz w:val="26"/>
          <w:szCs w:val="26"/>
          <w:lang w:eastAsia="zh-CN"/>
        </w:rPr>
        <w:t>，</w:t>
      </w:r>
      <w:r>
        <w:rPr>
          <w:rFonts w:hint="eastAsia" w:ascii="Arial" w:hAnsi="Arial" w:eastAsia="宋体" w:cs="Arial"/>
          <w:sz w:val="26"/>
          <w:szCs w:val="26"/>
        </w:rPr>
        <w:t>提高环保意识，施工期间重点注意国家</w:t>
      </w:r>
      <w:r>
        <w:rPr>
          <w:rFonts w:hint="eastAsia" w:ascii="Arial" w:hAnsi="Arial" w:eastAsia="宋体" w:cs="Arial"/>
          <w:sz w:val="26"/>
          <w:szCs w:val="26"/>
          <w:lang w:eastAsia="zh-CN"/>
        </w:rPr>
        <w:t>、重庆市</w:t>
      </w:r>
      <w:r>
        <w:rPr>
          <w:rFonts w:hint="eastAsia" w:ascii="Arial" w:hAnsi="Arial" w:eastAsia="宋体" w:cs="Arial"/>
          <w:sz w:val="26"/>
          <w:szCs w:val="26"/>
        </w:rPr>
        <w:t>重点保护的</w:t>
      </w:r>
      <w:r>
        <w:rPr>
          <w:rFonts w:hint="eastAsia" w:ascii="Arial" w:hAnsi="Arial" w:eastAsia="宋体" w:cs="Arial"/>
          <w:sz w:val="26"/>
          <w:szCs w:val="26"/>
          <w:lang w:eastAsia="zh-CN"/>
        </w:rPr>
        <w:t>野生动物</w:t>
      </w:r>
      <w:r>
        <w:rPr>
          <w:rFonts w:hint="eastAsia" w:ascii="Arial" w:hAnsi="Arial" w:eastAsia="宋体" w:cs="Arial"/>
          <w:sz w:val="26"/>
          <w:szCs w:val="26"/>
        </w:rPr>
        <w:t>，如发现应及时上报，并严禁捕猎。</w:t>
      </w:r>
    </w:p>
    <w:p w14:paraId="697EB88C">
      <w:pPr>
        <w:spacing w:line="460" w:lineRule="exact"/>
        <w:ind w:firstLine="520" w:firstLineChars="200"/>
        <w:rPr>
          <w:rFonts w:hint="eastAsia" w:ascii="Arial" w:hAnsi="Arial" w:eastAsia="宋体" w:cs="Arial"/>
          <w:sz w:val="26"/>
          <w:szCs w:val="26"/>
        </w:rPr>
      </w:pPr>
      <w:r>
        <w:rPr>
          <w:rFonts w:hint="default" w:ascii="Arial" w:hAnsi="Arial" w:eastAsia="宋体" w:cs="Arial"/>
          <w:sz w:val="26"/>
          <w:szCs w:val="26"/>
        </w:rPr>
        <w:t>②</w:t>
      </w:r>
      <w:r>
        <w:rPr>
          <w:rFonts w:hint="eastAsia" w:ascii="Arial" w:hAnsi="Arial" w:eastAsia="宋体" w:cs="Arial"/>
          <w:sz w:val="26"/>
          <w:szCs w:val="26"/>
        </w:rPr>
        <w:t>在水库清库前采取鸣笛敲鼓等办法驱逐野生动物，保证其顺利迁移。施工期间如误伤野生动物，应立即送往当地动物医疗机构（兽医站）进行抢救。</w:t>
      </w:r>
    </w:p>
    <w:p w14:paraId="04848E13">
      <w:pPr>
        <w:spacing w:line="460" w:lineRule="exact"/>
        <w:ind w:firstLine="520" w:firstLineChars="200"/>
        <w:rPr>
          <w:rFonts w:hint="eastAsia" w:ascii="Arial" w:hAnsi="Arial" w:cs="Arial"/>
          <w:sz w:val="26"/>
          <w:szCs w:val="26"/>
        </w:rPr>
      </w:pPr>
      <w:r>
        <w:rPr>
          <w:rFonts w:hint="eastAsia" w:ascii="Arial" w:hAnsi="Arial" w:eastAsia="宋体" w:cs="Arial"/>
          <w:sz w:val="26"/>
          <w:szCs w:val="26"/>
        </w:rPr>
        <w:t>③施工人员和施工机械</w:t>
      </w:r>
      <w:r>
        <w:rPr>
          <w:rFonts w:hint="eastAsia" w:ascii="Arial" w:hAnsi="Arial" w:cs="Arial"/>
          <w:sz w:val="26"/>
          <w:szCs w:val="26"/>
        </w:rPr>
        <w:t>进场前，对工程占地区域界限用绳索拦护，并用醒目标志示意，禁止到非施工区域活动，非施工区严禁烟火、狩猎和捕鱼等活动。</w:t>
      </w:r>
    </w:p>
    <w:p w14:paraId="42A99D6D">
      <w:pPr>
        <w:spacing w:line="460" w:lineRule="exact"/>
        <w:ind w:firstLine="520" w:firstLineChars="200"/>
        <w:rPr>
          <w:rFonts w:hint="eastAsia" w:ascii="Arial" w:hAnsi="宋体" w:eastAsia="宋体" w:cs="Arial"/>
          <w:sz w:val="26"/>
          <w:szCs w:val="26"/>
          <w:lang w:val="en-US" w:eastAsia="zh-CN"/>
        </w:rPr>
      </w:pPr>
      <w:r>
        <w:rPr>
          <w:rFonts w:hint="eastAsia" w:ascii="宋体" w:hAnsi="宋体" w:eastAsia="宋体" w:cs="宋体"/>
          <w:sz w:val="26"/>
          <w:szCs w:val="26"/>
          <w:lang w:val="en-US" w:eastAsia="zh-CN"/>
        </w:rPr>
        <w:t>④</w:t>
      </w:r>
      <w:r>
        <w:rPr>
          <w:rFonts w:hint="eastAsia" w:ascii="宋体" w:hAnsi="宋体" w:eastAsia="宋体" w:cs="宋体"/>
          <w:sz w:val="26"/>
          <w:szCs w:val="26"/>
          <w:lang w:eastAsia="zh-CN"/>
        </w:rPr>
        <w:t>合理安排施工作业时间，尽量避免在晨昏和正午</w:t>
      </w:r>
      <w:r>
        <w:rPr>
          <w:rFonts w:hint="eastAsia" w:ascii="宋体" w:hAnsi="宋体" w:cs="宋体"/>
          <w:sz w:val="26"/>
          <w:szCs w:val="26"/>
          <w:lang w:eastAsia="zh-CN"/>
        </w:rPr>
        <w:t>、夜间进行产生振动影响的</w:t>
      </w:r>
      <w:r>
        <w:rPr>
          <w:rFonts w:hint="eastAsia" w:ascii="宋体" w:hAnsi="宋体" w:eastAsia="宋体" w:cs="宋体"/>
          <w:sz w:val="26"/>
          <w:szCs w:val="26"/>
          <w:lang w:eastAsia="zh-CN"/>
        </w:rPr>
        <w:t>施工作业。</w:t>
      </w:r>
    </w:p>
    <w:p w14:paraId="661AE96E">
      <w:pPr>
        <w:spacing w:line="460" w:lineRule="exact"/>
        <w:ind w:firstLine="520" w:firstLineChars="200"/>
        <w:rPr>
          <w:rFonts w:hint="eastAsia" w:ascii="Arial" w:hAnsi="宋体" w:eastAsia="宋体" w:cs="Arial"/>
          <w:sz w:val="26"/>
          <w:szCs w:val="26"/>
          <w:lang w:val="en-US" w:eastAsia="zh-CN"/>
        </w:rPr>
      </w:pPr>
      <w:r>
        <w:rPr>
          <w:rFonts w:hint="eastAsia" w:ascii="宋体" w:hAnsi="宋体" w:eastAsia="宋体" w:cs="宋体"/>
          <w:sz w:val="26"/>
          <w:szCs w:val="26"/>
          <w:lang w:val="en-US" w:eastAsia="zh-CN"/>
        </w:rPr>
        <w:t>⑤尽快恢复施工迹地的植被，</w:t>
      </w:r>
      <w:r>
        <w:rPr>
          <w:rFonts w:hint="eastAsia" w:ascii="宋体" w:hAnsi="宋体" w:eastAsia="宋体" w:cs="宋体"/>
          <w:sz w:val="26"/>
          <w:szCs w:val="26"/>
          <w:lang w:eastAsia="zh-CN"/>
        </w:rPr>
        <w:t>为野生动物提供新的适宜生境。</w:t>
      </w:r>
    </w:p>
    <w:p w14:paraId="599CFF56">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（5）水生生态保护措施</w:t>
      </w:r>
    </w:p>
    <w:p w14:paraId="40C9C704">
      <w:pPr>
        <w:spacing w:line="460" w:lineRule="exact"/>
        <w:ind w:firstLine="522" w:firstLineChars="200"/>
        <w:rPr>
          <w:rFonts w:hint="default" w:ascii="Arial" w:hAnsi="宋体" w:cs="Arial"/>
          <w:b/>
          <w:bCs/>
          <w:sz w:val="26"/>
          <w:szCs w:val="26"/>
          <w:lang w:val="en-US" w:eastAsia="zh-CN"/>
        </w:rPr>
      </w:pPr>
      <w:r>
        <w:rPr>
          <w:rFonts w:hint="eastAsia" w:ascii="Arial" w:hAnsi="宋体" w:cs="Arial"/>
          <w:b/>
          <w:bCs/>
          <w:sz w:val="26"/>
          <w:szCs w:val="26"/>
          <w:lang w:val="en-US" w:eastAsia="zh-CN"/>
        </w:rPr>
        <w:t>①施工期</w:t>
      </w:r>
    </w:p>
    <w:p w14:paraId="653D507F">
      <w:pPr>
        <w:spacing w:line="460" w:lineRule="exact"/>
        <w:ind w:firstLine="520" w:firstLineChars="200"/>
        <w:rPr>
          <w:rFonts w:hint="eastAsia" w:ascii="Arial" w:hAnsi="Times New Roman" w:eastAsia="宋体" w:cs="Arial"/>
          <w:color w:val="auto"/>
          <w:sz w:val="26"/>
          <w:szCs w:val="26"/>
        </w:rPr>
      </w:pPr>
      <w:r>
        <w:rPr>
          <w:rFonts w:hint="eastAsia" w:ascii="Arial" w:hAnsi="Times New Roman" w:eastAsia="宋体" w:cs="Arial"/>
          <w:color w:val="auto"/>
          <w:sz w:val="26"/>
          <w:szCs w:val="26"/>
          <w:lang w:eastAsia="zh-CN"/>
        </w:rPr>
        <w:t>为保证施工安全，先进行枢纽工程施工区施工导流和围堰建设，选择枯水期导流，</w:t>
      </w:r>
      <w:r>
        <w:rPr>
          <w:rFonts w:hint="eastAsia" w:ascii="Arial" w:hAnsi="Times New Roman" w:eastAsia="宋体" w:cs="Arial"/>
          <w:color w:val="auto"/>
          <w:sz w:val="26"/>
          <w:szCs w:val="26"/>
        </w:rPr>
        <w:t>采用围堰一次性拦断河床、涵管导流的导流方式，导流设计洪水标准采用5年一遇</w:t>
      </w:r>
      <w:r>
        <w:rPr>
          <w:rFonts w:hint="eastAsia" w:ascii="Arial" w:hAnsi="Times New Roman" w:eastAsia="宋体" w:cs="Arial"/>
          <w:color w:val="auto"/>
          <w:sz w:val="26"/>
          <w:szCs w:val="26"/>
          <w:lang w:eastAsia="zh-CN"/>
        </w:rPr>
        <w:t>，</w:t>
      </w:r>
      <w:r>
        <w:rPr>
          <w:rFonts w:hint="eastAsia" w:ascii="Arial" w:hAnsi="Times New Roman" w:eastAsia="宋体" w:cs="Arial"/>
          <w:color w:val="auto"/>
          <w:sz w:val="26"/>
          <w:szCs w:val="26"/>
        </w:rPr>
        <w:t>确保河道水流正常排泄</w:t>
      </w:r>
      <w:r>
        <w:rPr>
          <w:rFonts w:hint="eastAsia" w:ascii="Arial" w:hAnsi="Times New Roman" w:eastAsia="宋体" w:cs="Arial"/>
          <w:color w:val="auto"/>
          <w:sz w:val="26"/>
          <w:szCs w:val="26"/>
          <w:lang w:eastAsia="zh-CN"/>
        </w:rPr>
        <w:t>。</w:t>
      </w:r>
      <w:r>
        <w:rPr>
          <w:rFonts w:hint="eastAsia" w:ascii="Arial" w:hAnsi="Times New Roman" w:eastAsia="宋体" w:cs="Arial"/>
          <w:color w:val="auto"/>
          <w:sz w:val="26"/>
          <w:szCs w:val="26"/>
        </w:rPr>
        <w:t>施工期间，通过施工导流可将上游来水全部直接导排至下游河道，不蓄水、不引水，即枢纽施工区下游无减脱水河段，不对河道生态环境影响造成明显影响。</w:t>
      </w:r>
    </w:p>
    <w:p w14:paraId="6BD65853">
      <w:pPr>
        <w:spacing w:line="460" w:lineRule="exact"/>
        <w:ind w:firstLine="520" w:firstLineChars="200"/>
        <w:rPr>
          <w:rFonts w:hint="eastAsia" w:ascii="Arial" w:cs="Arial"/>
          <w:bCs/>
          <w:color w:val="auto"/>
          <w:sz w:val="26"/>
        </w:rPr>
      </w:pPr>
      <w:r>
        <w:rPr>
          <w:rFonts w:hint="eastAsia" w:ascii="Arial" w:hAnsi="宋体" w:cs="Arial"/>
          <w:color w:val="auto"/>
          <w:sz w:val="26"/>
          <w:szCs w:val="26"/>
          <w:lang w:val="en-US" w:eastAsia="zh-CN"/>
        </w:rPr>
        <w:t>输水管线有5处跨河，为避免对河道水生生态环境造成影响，本评价建议建设单位优先选用定向钻、顶管等不涉水施工工艺，无法选用时，需做好施工导流、围堰等工作，</w:t>
      </w:r>
      <w:r>
        <w:rPr>
          <w:rFonts w:hint="eastAsia" w:ascii="Arial" w:hAnsi="宋体" w:cs="Arial"/>
          <w:color w:val="auto"/>
          <w:spacing w:val="-4"/>
          <w:sz w:val="26"/>
          <w:szCs w:val="26"/>
        </w:rPr>
        <w:t>选择枯水期分段作业，严格控制施工开挖面，并尽可能将处理后的基坑废水回用于施工抑尘洒水，</w:t>
      </w:r>
      <w:r>
        <w:rPr>
          <w:rFonts w:hint="eastAsia" w:ascii="Arial" w:hAnsi="宋体" w:cs="Arial"/>
          <w:bCs/>
          <w:color w:val="auto"/>
          <w:sz w:val="26"/>
          <w:szCs w:val="26"/>
        </w:rPr>
        <w:t>多余部分需经沉淀处理</w:t>
      </w:r>
      <w:r>
        <w:rPr>
          <w:rFonts w:hint="eastAsia" w:ascii="Arial" w:hAnsi="宋体" w:cs="Arial"/>
          <w:bCs/>
          <w:color w:val="auto"/>
          <w:sz w:val="26"/>
          <w:szCs w:val="26"/>
          <w:lang w:eastAsia="zh-CN"/>
        </w:rPr>
        <w:t>后引至下游河道排放。</w:t>
      </w:r>
      <w:r>
        <w:rPr>
          <w:rFonts w:hint="eastAsia" w:ascii="Arial" w:cs="Arial"/>
          <w:bCs/>
          <w:color w:val="auto"/>
          <w:sz w:val="26"/>
        </w:rPr>
        <w:t>同时，输水管线施工段应设置临时围挡，严格控制施工活动，做好废弃土石方的暂存、清运工作，严禁向河道内倾倒废渣，减轻对</w:t>
      </w:r>
      <w:r>
        <w:rPr>
          <w:rFonts w:hint="eastAsia" w:ascii="Arial" w:cs="Arial"/>
          <w:bCs/>
          <w:color w:val="auto"/>
          <w:sz w:val="26"/>
          <w:lang w:eastAsia="zh-CN"/>
        </w:rPr>
        <w:t>河道水质、水生生态的</w:t>
      </w:r>
      <w:r>
        <w:rPr>
          <w:rFonts w:hint="eastAsia" w:ascii="Arial" w:cs="Arial"/>
          <w:bCs/>
          <w:color w:val="auto"/>
          <w:sz w:val="26"/>
        </w:rPr>
        <w:t>影响。</w:t>
      </w:r>
    </w:p>
    <w:p w14:paraId="5001971D">
      <w:pPr>
        <w:spacing w:line="460" w:lineRule="exact"/>
        <w:ind w:firstLine="520" w:firstLineChars="200"/>
        <w:rPr>
          <w:rFonts w:hint="eastAsia" w:ascii="Arial" w:hAnsi="Times New Roman" w:eastAsia="宋体" w:cs="Arial"/>
          <w:color w:val="auto"/>
          <w:sz w:val="26"/>
          <w:szCs w:val="26"/>
        </w:rPr>
      </w:pPr>
      <w:r>
        <w:rPr>
          <w:rFonts w:hint="eastAsia" w:ascii="Arial" w:hAnsi="Times New Roman" w:eastAsia="宋体" w:cs="Arial"/>
          <w:color w:val="auto"/>
          <w:sz w:val="26"/>
          <w:szCs w:val="26"/>
        </w:rPr>
        <w:t>在施工前做好各施工场地、弃渣场、施工区的防护，避免初期雨水直排河流；同时做好各类污废水的收集处理工作，避免直接排放，减水水体污染和防止水体流失。加强对施工人员自然保护教育，建立和完善鱼类资源保护规章制度，在工程施工区设置水生生物保护警示牌，增强施工人员的环保意识，</w:t>
      </w:r>
      <w:r>
        <w:rPr>
          <w:rFonts w:hint="eastAsia" w:ascii="Arial" w:hAnsi="Times New Roman" w:eastAsia="宋体" w:cs="Arial"/>
          <w:color w:val="auto"/>
          <w:sz w:val="26"/>
          <w:szCs w:val="26"/>
          <w:lang w:eastAsia="zh-CN"/>
        </w:rPr>
        <w:t>严禁下河捕鱼，</w:t>
      </w:r>
      <w:r>
        <w:rPr>
          <w:rFonts w:hint="eastAsia" w:ascii="Arial" w:hAnsi="Times New Roman" w:eastAsia="宋体" w:cs="Arial"/>
          <w:color w:val="auto"/>
          <w:sz w:val="26"/>
          <w:szCs w:val="26"/>
        </w:rPr>
        <w:t>同时加强施工期的环境监管。</w:t>
      </w:r>
    </w:p>
    <w:p w14:paraId="7E1B6109">
      <w:pPr>
        <w:spacing w:line="460" w:lineRule="exact"/>
        <w:ind w:firstLine="522" w:firstLineChars="200"/>
        <w:rPr>
          <w:rFonts w:hint="default" w:ascii="Arial" w:hAnsi="宋体" w:cs="Arial"/>
          <w:b/>
          <w:bCs/>
          <w:sz w:val="26"/>
          <w:szCs w:val="26"/>
          <w:lang w:val="en-US" w:eastAsia="zh-CN"/>
        </w:rPr>
      </w:pPr>
      <w:r>
        <w:rPr>
          <w:rFonts w:hint="default" w:ascii="Arial" w:hAnsi="宋体" w:cs="Arial"/>
          <w:b/>
          <w:bCs/>
          <w:sz w:val="26"/>
          <w:szCs w:val="26"/>
          <w:lang w:val="en-US" w:eastAsia="zh-CN"/>
        </w:rPr>
        <w:t>②</w:t>
      </w:r>
      <w:r>
        <w:rPr>
          <w:rFonts w:hint="eastAsia" w:ascii="Arial" w:hAnsi="宋体" w:cs="Arial"/>
          <w:b/>
          <w:bCs/>
          <w:sz w:val="26"/>
          <w:szCs w:val="26"/>
          <w:lang w:val="en-US" w:eastAsia="zh-CN"/>
        </w:rPr>
        <w:t>运营期</w:t>
      </w:r>
    </w:p>
    <w:p w14:paraId="725DA23D">
      <w:pPr>
        <w:spacing w:line="460" w:lineRule="exact"/>
        <w:ind w:firstLine="520" w:firstLineChars="200"/>
        <w:rPr>
          <w:rFonts w:hint="eastAsia" w:ascii="Arial" w:eastAsia="宋体" w:cs="Arial"/>
          <w:color w:val="auto"/>
          <w:sz w:val="26"/>
          <w:lang w:eastAsia="zh-CN"/>
        </w:rPr>
      </w:pPr>
      <w:r>
        <w:rPr>
          <w:rFonts w:hint="eastAsia" w:ascii="Arial" w:cs="Arial"/>
          <w:color w:val="auto"/>
          <w:sz w:val="26"/>
          <w:lang w:eastAsia="zh-CN"/>
        </w:rPr>
        <w:t>项目建成后，将导致坝后</w:t>
      </w:r>
      <w:r>
        <w:rPr>
          <w:rFonts w:hint="eastAsia" w:ascii="Arial" w:cs="Arial"/>
          <w:color w:val="auto"/>
          <w:sz w:val="26"/>
        </w:rPr>
        <w:t>减水河段水量减小，</w:t>
      </w:r>
      <w:r>
        <w:rPr>
          <w:rFonts w:hint="eastAsia" w:ascii="Arial" w:cs="Arial"/>
          <w:color w:val="auto"/>
          <w:sz w:val="26"/>
          <w:lang w:eastAsia="zh-CN"/>
        </w:rPr>
        <w:t>同时</w:t>
      </w:r>
      <w:r>
        <w:rPr>
          <w:rFonts w:hint="eastAsia" w:ascii="Arial" w:cs="Arial"/>
          <w:color w:val="auto"/>
          <w:sz w:val="26"/>
        </w:rPr>
        <w:t>对上</w:t>
      </w:r>
      <w:r>
        <w:rPr>
          <w:rFonts w:hint="eastAsia" w:ascii="Arial" w:cs="Arial"/>
          <w:color w:val="auto"/>
          <w:sz w:val="26"/>
          <w:lang w:eastAsia="zh-CN"/>
        </w:rPr>
        <w:t>、</w:t>
      </w:r>
      <w:r>
        <w:rPr>
          <w:rFonts w:hint="eastAsia" w:ascii="Arial" w:cs="Arial"/>
          <w:color w:val="auto"/>
          <w:sz w:val="26"/>
        </w:rPr>
        <w:t>下游河段</w:t>
      </w:r>
      <w:r>
        <w:rPr>
          <w:rFonts w:hint="eastAsia" w:ascii="Arial" w:cs="Arial"/>
          <w:color w:val="auto"/>
          <w:sz w:val="26"/>
          <w:lang w:eastAsia="zh-CN"/>
        </w:rPr>
        <w:t>水生生态</w:t>
      </w:r>
      <w:r>
        <w:rPr>
          <w:rFonts w:hint="eastAsia" w:ascii="Arial" w:cs="Arial"/>
          <w:color w:val="auto"/>
          <w:sz w:val="26"/>
        </w:rPr>
        <w:t>造成阻隔</w:t>
      </w:r>
      <w:r>
        <w:rPr>
          <w:rFonts w:hint="eastAsia" w:ascii="Arial" w:cs="Arial"/>
          <w:color w:val="auto"/>
          <w:sz w:val="26"/>
          <w:lang w:eastAsia="zh-CN"/>
        </w:rPr>
        <w:t>；库区蓄水后，水温将稳定分层，若造成低温水下泄，也会对坝后河段水生生态造成影响。</w:t>
      </w:r>
    </w:p>
    <w:p w14:paraId="35950641">
      <w:pPr>
        <w:spacing w:line="460" w:lineRule="exact"/>
        <w:ind w:firstLine="522" w:firstLineChars="200"/>
        <w:rPr>
          <w:rFonts w:hint="default" w:ascii="Arial" w:hAnsi="宋体" w:cs="Arial"/>
          <w:b/>
          <w:bCs/>
          <w:color w:val="auto"/>
          <w:sz w:val="26"/>
          <w:szCs w:val="26"/>
          <w:lang w:val="en-US" w:eastAsia="zh-CN"/>
        </w:rPr>
      </w:pPr>
      <w:r>
        <w:rPr>
          <w:rFonts w:hint="eastAsia" w:ascii="Arial" w:hAnsi="宋体" w:cs="Arial"/>
          <w:b/>
          <w:bCs/>
          <w:color w:val="auto"/>
          <w:sz w:val="26"/>
          <w:szCs w:val="26"/>
          <w:lang w:val="en-US" w:eastAsia="zh-CN"/>
        </w:rPr>
        <w:t>1）分层取水</w:t>
      </w:r>
    </w:p>
    <w:p w14:paraId="66F92E57">
      <w:pPr>
        <w:spacing w:line="460" w:lineRule="exact"/>
        <w:ind w:firstLine="520" w:firstLineChars="200"/>
        <w:rPr>
          <w:rFonts w:hint="eastAsia" w:ascii="Arial" w:cs="Arial"/>
          <w:sz w:val="26"/>
          <w:szCs w:val="26"/>
          <w:lang w:eastAsia="zh-CN"/>
        </w:rPr>
      </w:pPr>
      <w:r>
        <w:rPr>
          <w:rFonts w:hint="eastAsia" w:ascii="Arial" w:hAnsi="宋体" w:cs="Arial"/>
          <w:color w:val="auto"/>
          <w:sz w:val="26"/>
          <w:szCs w:val="26"/>
          <w:lang w:val="en-US" w:eastAsia="zh-CN"/>
        </w:rPr>
        <w:t>本项目</w:t>
      </w:r>
      <w:r>
        <w:rPr>
          <w:rFonts w:hint="eastAsia" w:ascii="Arial" w:hAnsi="宋体" w:cs="Arial"/>
          <w:sz w:val="26"/>
          <w:szCs w:val="26"/>
        </w:rPr>
        <w:t>采取分层取水方式，分</w:t>
      </w:r>
      <w:r>
        <w:rPr>
          <w:rFonts w:hint="eastAsia" w:ascii="Arial" w:hAnsi="宋体" w:cs="Arial"/>
          <w:sz w:val="26"/>
          <w:szCs w:val="26"/>
          <w:lang w:val="en-US" w:eastAsia="zh-CN"/>
        </w:rPr>
        <w:t>5</w:t>
      </w:r>
      <w:r>
        <w:rPr>
          <w:rFonts w:hint="eastAsia" w:ascii="Arial" w:hAnsi="宋体" w:cs="Arial"/>
          <w:sz w:val="26"/>
          <w:szCs w:val="26"/>
        </w:rPr>
        <w:t>层取水，</w:t>
      </w:r>
      <w:r>
        <w:rPr>
          <w:rFonts w:hint="eastAsia" w:ascii="Arial" w:hAnsi="Arial" w:cs="Arial"/>
          <w:bCs/>
          <w:sz w:val="26"/>
          <w:szCs w:val="26"/>
          <w:lang w:eastAsia="zh-CN"/>
        </w:rPr>
        <w:t>各层取水口从上到下高程依次为</w:t>
      </w:r>
      <w:r>
        <w:rPr>
          <w:rFonts w:hint="default" w:ascii="Arial" w:hAnsi="Arial" w:cs="Arial"/>
          <w:sz w:val="26"/>
          <w:szCs w:val="26"/>
        </w:rPr>
        <w:t>418.00m、415.00m、412.00m</w:t>
      </w:r>
      <w:r>
        <w:rPr>
          <w:rFonts w:hint="eastAsia" w:ascii="Arial" w:hAnsi="Arial" w:cs="Arial"/>
          <w:sz w:val="26"/>
          <w:szCs w:val="26"/>
        </w:rPr>
        <w:t>、</w:t>
      </w:r>
      <w:r>
        <w:rPr>
          <w:rFonts w:hint="default" w:ascii="Arial" w:hAnsi="Arial" w:cs="Arial"/>
          <w:sz w:val="26"/>
          <w:szCs w:val="26"/>
        </w:rPr>
        <w:t>409.00m</w:t>
      </w:r>
      <w:r>
        <w:rPr>
          <w:rFonts w:hint="eastAsia" w:ascii="Arial" w:hAnsi="Arial" w:cs="Arial"/>
          <w:sz w:val="26"/>
          <w:szCs w:val="26"/>
        </w:rPr>
        <w:t>、</w:t>
      </w:r>
      <w:r>
        <w:rPr>
          <w:rFonts w:hint="default" w:ascii="Arial" w:hAnsi="Arial" w:cs="Arial"/>
          <w:sz w:val="26"/>
          <w:szCs w:val="26"/>
        </w:rPr>
        <w:t>405.50m</w:t>
      </w:r>
      <w:r>
        <w:rPr>
          <w:rFonts w:hint="eastAsia" w:ascii="Arial" w:hAnsi="Arial" w:cs="Arial"/>
          <w:sz w:val="26"/>
          <w:szCs w:val="26"/>
          <w:lang w:eastAsia="zh-CN"/>
        </w:rPr>
        <w:t>，</w:t>
      </w:r>
      <w:r>
        <w:rPr>
          <w:rFonts w:hint="eastAsia" w:ascii="Arial" w:hAnsi="宋体" w:cs="Arial"/>
          <w:sz w:val="26"/>
          <w:szCs w:val="26"/>
        </w:rPr>
        <w:t>各层取水</w:t>
      </w:r>
      <w:r>
        <w:rPr>
          <w:rFonts w:hint="eastAsia" w:ascii="Arial" w:hAnsi="宋体" w:cs="Arial"/>
          <w:sz w:val="26"/>
          <w:szCs w:val="26"/>
          <w:lang w:eastAsia="zh-CN"/>
        </w:rPr>
        <w:t>口</w:t>
      </w:r>
      <w:r>
        <w:rPr>
          <w:rFonts w:hint="eastAsia" w:ascii="Arial" w:hAnsi="宋体" w:cs="Arial"/>
          <w:sz w:val="26"/>
          <w:szCs w:val="26"/>
        </w:rPr>
        <w:t>处水深分别为</w:t>
      </w:r>
      <w:r>
        <w:rPr>
          <w:rFonts w:hint="eastAsia" w:ascii="Arial" w:hAnsi="宋体" w:cs="Arial"/>
          <w:sz w:val="26"/>
          <w:szCs w:val="26"/>
          <w:lang w:val="en-US" w:eastAsia="zh-CN"/>
        </w:rPr>
        <w:t>2</w:t>
      </w:r>
      <w:r>
        <w:rPr>
          <w:rFonts w:hint="eastAsia" w:ascii="Arial" w:hAnsi="宋体" w:cs="Arial"/>
          <w:sz w:val="26"/>
          <w:szCs w:val="26"/>
        </w:rPr>
        <w:t>m、</w:t>
      </w:r>
      <w:r>
        <w:rPr>
          <w:rFonts w:hint="eastAsia" w:ascii="Arial" w:hAnsi="宋体" w:cs="Arial"/>
          <w:sz w:val="26"/>
          <w:szCs w:val="26"/>
          <w:lang w:val="en-US" w:eastAsia="zh-CN"/>
        </w:rPr>
        <w:t>5</w:t>
      </w:r>
      <w:r>
        <w:rPr>
          <w:rFonts w:hint="eastAsia" w:ascii="Arial" w:hAnsi="宋体" w:cs="Arial"/>
          <w:sz w:val="26"/>
          <w:szCs w:val="26"/>
        </w:rPr>
        <w:t>m、</w:t>
      </w:r>
      <w:r>
        <w:rPr>
          <w:rFonts w:hint="eastAsia" w:ascii="Arial" w:hAnsi="宋体" w:cs="Arial"/>
          <w:sz w:val="26"/>
          <w:szCs w:val="26"/>
          <w:lang w:val="en-US" w:eastAsia="zh-CN"/>
        </w:rPr>
        <w:t>8</w:t>
      </w:r>
      <w:r>
        <w:rPr>
          <w:rFonts w:hint="eastAsia" w:ascii="Arial" w:hAnsi="宋体" w:cs="Arial"/>
          <w:sz w:val="26"/>
          <w:szCs w:val="26"/>
        </w:rPr>
        <w:t>m、</w:t>
      </w:r>
      <w:r>
        <w:rPr>
          <w:rFonts w:hint="eastAsia" w:ascii="Arial" w:hAnsi="宋体" w:cs="Arial"/>
          <w:sz w:val="26"/>
          <w:szCs w:val="26"/>
          <w:lang w:val="en-US" w:eastAsia="zh-CN"/>
        </w:rPr>
        <w:t>11</w:t>
      </w:r>
      <w:r>
        <w:rPr>
          <w:rFonts w:hint="eastAsia" w:ascii="Arial" w:hAnsi="宋体" w:cs="Arial"/>
          <w:sz w:val="26"/>
          <w:szCs w:val="26"/>
        </w:rPr>
        <w:t>m</w:t>
      </w:r>
      <w:r>
        <w:rPr>
          <w:rFonts w:hint="eastAsia" w:ascii="Arial" w:hAnsi="宋体" w:cs="Arial"/>
          <w:sz w:val="26"/>
          <w:szCs w:val="26"/>
          <w:lang w:eastAsia="zh-CN"/>
        </w:rPr>
        <w:t>、</w:t>
      </w:r>
      <w:r>
        <w:rPr>
          <w:rFonts w:hint="eastAsia" w:ascii="Arial" w:hAnsi="宋体" w:cs="Arial"/>
          <w:sz w:val="26"/>
          <w:szCs w:val="26"/>
          <w:lang w:val="en-US" w:eastAsia="zh-CN"/>
        </w:rPr>
        <w:t>14.5m</w:t>
      </w:r>
      <w:r>
        <w:rPr>
          <w:rFonts w:hint="eastAsia" w:ascii="Arial" w:hAnsi="宋体" w:cs="Arial"/>
          <w:sz w:val="26"/>
          <w:szCs w:val="26"/>
          <w:lang w:eastAsia="zh-CN"/>
        </w:rPr>
        <w:t>，</w:t>
      </w:r>
      <w:r>
        <w:rPr>
          <w:rFonts w:hint="eastAsia" w:ascii="Arial" w:hAnsi="Arial" w:cs="Arial"/>
          <w:sz w:val="26"/>
          <w:szCs w:val="26"/>
        </w:rPr>
        <w:t>五</w:t>
      </w:r>
      <w:r>
        <w:rPr>
          <w:rFonts w:hint="default" w:ascii="Arial" w:hAnsi="Arial" w:cs="Arial"/>
          <w:sz w:val="26"/>
          <w:szCs w:val="26"/>
        </w:rPr>
        <w:t>层取水管从坝体下游坝坡穿出后汇合成一根引水管，引水管沿大坝下游坝坡左侧坝脚布置，</w:t>
      </w:r>
      <w:r>
        <w:rPr>
          <w:rFonts w:hint="eastAsia" w:ascii="Arial" w:hAnsi="Arial" w:cs="Arial"/>
          <w:sz w:val="26"/>
          <w:szCs w:val="26"/>
          <w:lang w:eastAsia="zh-CN"/>
        </w:rPr>
        <w:t>引入闸阀房内，</w:t>
      </w:r>
      <w:r>
        <w:rPr>
          <w:rFonts w:hint="eastAsia" w:ascii="Arial" w:cs="Arial"/>
          <w:sz w:val="26"/>
          <w:szCs w:val="26"/>
          <w:lang w:eastAsia="zh-CN"/>
        </w:rPr>
        <w:t>充分混合后，根据用水性质分类，室内分设3根管道，分别为农灌、供水、生态放水管。</w:t>
      </w:r>
    </w:p>
    <w:p w14:paraId="26D15D98">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由此可见，本项目下泄生态流量为经混合后的库区蓄水，而不是简易的直接下泄最底层水，有效避免了低温水下泄对坝后水生生态环境的影响。且根据现有资料收集，及走访调查，海螺沟水库坝后减水河段内水深较浅、水体交换频率高，对水生生物的生境改变小；且鱼类资源以鲤型目为主，无珍稀鱼类、鱼类“三场”分布，对水温变化适应能力强。</w:t>
      </w:r>
    </w:p>
    <w:p w14:paraId="63CE7FE6">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由此可见，在采取下泄混合后的水库蓄水后，对坝后减水河段内水生生物的影响小。</w:t>
      </w:r>
    </w:p>
    <w:p w14:paraId="3E84C275">
      <w:pPr>
        <w:spacing w:line="460" w:lineRule="exact"/>
        <w:ind w:firstLine="522" w:firstLineChars="200"/>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2）渔政措施</w:t>
      </w:r>
    </w:p>
    <w:p w14:paraId="3697ACD1">
      <w:pPr>
        <w:spacing w:line="460" w:lineRule="exact"/>
        <w:ind w:firstLine="520" w:firstLineChars="200"/>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大坝形成后，将对</w:t>
      </w:r>
      <w:r>
        <w:rPr>
          <w:rFonts w:hint="eastAsia" w:ascii="Arial" w:cs="Arial"/>
          <w:color w:val="auto"/>
          <w:sz w:val="26"/>
        </w:rPr>
        <w:t>上</w:t>
      </w:r>
      <w:r>
        <w:rPr>
          <w:rFonts w:hint="eastAsia" w:ascii="Arial" w:cs="Arial"/>
          <w:color w:val="auto"/>
          <w:sz w:val="26"/>
          <w:lang w:eastAsia="zh-CN"/>
        </w:rPr>
        <w:t>、</w:t>
      </w:r>
      <w:r>
        <w:rPr>
          <w:rFonts w:hint="eastAsia" w:ascii="Arial" w:cs="Arial"/>
          <w:color w:val="auto"/>
          <w:sz w:val="26"/>
        </w:rPr>
        <w:t>下游河段</w:t>
      </w:r>
      <w:r>
        <w:rPr>
          <w:rFonts w:hint="eastAsia" w:ascii="Arial" w:cs="Arial"/>
          <w:color w:val="auto"/>
          <w:sz w:val="26"/>
          <w:lang w:eastAsia="zh-CN"/>
        </w:rPr>
        <w:t>造成阻隔影响，</w:t>
      </w:r>
      <w:r>
        <w:rPr>
          <w:rFonts w:hint="eastAsia" w:ascii="Arial" w:cs="Arial"/>
          <w:color w:val="auto"/>
          <w:sz w:val="26"/>
        </w:rPr>
        <w:t>从而影响河道内的鱼类资源</w:t>
      </w:r>
      <w:r>
        <w:rPr>
          <w:rFonts w:hint="eastAsia" w:ascii="Arial" w:cs="Arial"/>
          <w:color w:val="auto"/>
          <w:sz w:val="26"/>
          <w:lang w:eastAsia="zh-CN"/>
        </w:rPr>
        <w:t>，建设单位应协同当地农业农村主管部门，</w:t>
      </w:r>
      <w:r>
        <w:rPr>
          <w:rFonts w:hint="eastAsia" w:ascii="Arial" w:cs="Arial"/>
          <w:color w:val="auto"/>
          <w:sz w:val="26"/>
        </w:rPr>
        <w:t>加强渔政管理措施，尽量保持鱼类天然资源，并以此作为工程影响的鱼类补救途径之一，减缓水库工程开发建设对鱼类资源的不利影响。</w:t>
      </w:r>
    </w:p>
    <w:p w14:paraId="51E18B99">
      <w:pPr>
        <w:spacing w:line="460" w:lineRule="exact"/>
        <w:ind w:firstLine="520" w:firstLineChars="200"/>
        <w:rPr>
          <w:rFonts w:hint="eastAsia" w:ascii="Arial" w:hAnsi="宋体" w:eastAsia="宋体" w:cs="Arial"/>
          <w:color w:val="auto"/>
          <w:sz w:val="26"/>
          <w:szCs w:val="26"/>
          <w:lang w:val="en-US" w:eastAsia="zh-CN"/>
        </w:rPr>
      </w:pPr>
      <w:r>
        <w:rPr>
          <w:rFonts w:hint="eastAsia" w:ascii="Arial" w:cs="Arial"/>
          <w:sz w:val="26"/>
        </w:rPr>
        <w:t>主要保护措施为：</w:t>
      </w:r>
      <w:r>
        <w:rPr>
          <w:rFonts w:hint="eastAsia" w:ascii="Arial" w:cs="Arial"/>
          <w:sz w:val="26"/>
          <w:lang w:eastAsia="zh-CN"/>
        </w:rPr>
        <w:t>在运行过程中，根据</w:t>
      </w:r>
      <w:r>
        <w:rPr>
          <w:rFonts w:hint="eastAsia" w:ascii="Arial" w:cs="Arial"/>
          <w:color w:val="auto"/>
          <w:sz w:val="26"/>
          <w:lang w:eastAsia="zh-CN"/>
        </w:rPr>
        <w:t>当地农业农村主管部门要求，对</w:t>
      </w:r>
      <w:r>
        <w:rPr>
          <w:rFonts w:hint="eastAsia" w:ascii="Arial" w:cs="Arial"/>
          <w:sz w:val="26"/>
        </w:rPr>
        <w:t>坝下减水段经济鱼类资源进行补偿，用于当地渔业资源的发展。取缔非法渔具和捕捞方法，协调</w:t>
      </w:r>
      <w:r>
        <w:rPr>
          <w:rFonts w:hint="eastAsia" w:ascii="Arial" w:cs="Arial"/>
          <w:sz w:val="26"/>
          <w:lang w:eastAsia="zh-CN"/>
        </w:rPr>
        <w:t>生态环境主管</w:t>
      </w:r>
      <w:r>
        <w:rPr>
          <w:rFonts w:hint="eastAsia" w:ascii="Arial" w:cs="Arial"/>
          <w:sz w:val="26"/>
        </w:rPr>
        <w:t>部门控制水域污染，保护鱼类生存环境。</w:t>
      </w:r>
    </w:p>
    <w:p w14:paraId="5DD876F2">
      <w:pPr>
        <w:spacing w:line="460" w:lineRule="exact"/>
        <w:ind w:firstLine="522" w:firstLineChars="200"/>
        <w:rPr>
          <w:rFonts w:hint="default" w:ascii="Arial" w:hAnsi="宋体" w:cs="Arial"/>
          <w:b/>
          <w:bCs/>
          <w:color w:val="auto"/>
          <w:sz w:val="26"/>
          <w:szCs w:val="26"/>
          <w:lang w:val="en-US" w:eastAsia="zh-CN"/>
        </w:rPr>
      </w:pPr>
      <w:r>
        <w:rPr>
          <w:rFonts w:hint="eastAsia" w:ascii="Arial" w:hAnsi="宋体" w:cs="Arial"/>
          <w:b/>
          <w:bCs/>
          <w:color w:val="auto"/>
          <w:sz w:val="26"/>
          <w:szCs w:val="26"/>
          <w:lang w:val="en-US" w:eastAsia="zh-CN"/>
        </w:rPr>
        <w:t>3）生态流量下泄措施</w:t>
      </w:r>
    </w:p>
    <w:p w14:paraId="0D9D29D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本项目放水设施兼有下放生态流量的功能，水库利用5层取水管取水后，</w:t>
      </w:r>
      <w:r>
        <w:rPr>
          <w:rFonts w:hint="default" w:ascii="Arial" w:hAnsi="宋体" w:eastAsia="宋体" w:cs="Arial"/>
          <w:color w:val="auto"/>
          <w:sz w:val="26"/>
          <w:szCs w:val="26"/>
          <w:lang w:val="en-US" w:eastAsia="zh-CN"/>
        </w:rPr>
        <w:t>汇合成一根引水管，引水管沿大坝下游坝坡左侧坝脚布置，</w:t>
      </w:r>
      <w:r>
        <w:rPr>
          <w:rFonts w:hint="eastAsia" w:ascii="Arial" w:hAnsi="宋体" w:eastAsia="宋体" w:cs="Arial"/>
          <w:color w:val="auto"/>
          <w:sz w:val="26"/>
          <w:szCs w:val="26"/>
          <w:lang w:val="en-US" w:eastAsia="zh-CN"/>
        </w:rPr>
        <w:t>引入闸阀房内，充分混合后，根据用水性质分类，室内分设3根管道，其中一根为DN100生态放水管，下泄生态流量为0.005m</w:t>
      </w:r>
      <w:r>
        <w:rPr>
          <w:rFonts w:hint="eastAsia" w:ascii="Arial" w:hAnsi="宋体" w:eastAsia="宋体" w:cs="Arial"/>
          <w:color w:val="auto"/>
          <w:sz w:val="26"/>
          <w:szCs w:val="26"/>
          <w:vertAlign w:val="superscript"/>
          <w:lang w:val="en-US" w:eastAsia="zh-CN"/>
        </w:rPr>
        <w:t>3</w:t>
      </w:r>
      <w:r>
        <w:rPr>
          <w:rFonts w:hint="eastAsia" w:ascii="Arial" w:hAnsi="宋体" w:eastAsia="宋体" w:cs="Arial"/>
          <w:color w:val="auto"/>
          <w:sz w:val="26"/>
          <w:szCs w:val="26"/>
          <w:lang w:val="en-US" w:eastAsia="zh-CN"/>
        </w:rPr>
        <w:t>/s。</w:t>
      </w:r>
    </w:p>
    <w:p w14:paraId="7A0B030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工程运行过程中，经确保生态放水管控制阀处于常年开启状态，并设置在线监控装置。同时加强管理和监督，根据上游来水量及时调整生态下泄放流方式，避免坝后下游河段出现脱水现象。</w:t>
      </w:r>
    </w:p>
    <w:p w14:paraId="46F9135F">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宋体" w:cs="Arial"/>
          <w:b/>
          <w:bCs/>
          <w:color w:val="auto"/>
          <w:sz w:val="26"/>
          <w:szCs w:val="26"/>
          <w:highlight w:val="none"/>
          <w:lang w:val="en-US" w:eastAsia="zh-CN"/>
        </w:rPr>
      </w:pPr>
      <w:r>
        <w:rPr>
          <w:rFonts w:hint="eastAsia" w:ascii="Arial" w:hAnsi="宋体" w:cs="Arial"/>
          <w:b/>
          <w:bCs/>
          <w:color w:val="auto"/>
          <w:sz w:val="26"/>
          <w:szCs w:val="26"/>
          <w:highlight w:val="none"/>
          <w:lang w:val="en-US" w:eastAsia="zh-CN"/>
        </w:rPr>
        <w:t>（6）输水工程生态保护措施</w:t>
      </w:r>
    </w:p>
    <w:p w14:paraId="7DAF810B">
      <w:pPr>
        <w:spacing w:line="460" w:lineRule="exact"/>
        <w:ind w:firstLine="520" w:firstLineChars="200"/>
        <w:rPr>
          <w:rFonts w:ascii="Arial" w:hAnsi="Arial" w:cs="Arial"/>
          <w:sz w:val="26"/>
          <w:szCs w:val="26"/>
        </w:rPr>
      </w:pPr>
      <w:r>
        <w:rPr>
          <w:rFonts w:hint="eastAsia" w:ascii="Arial" w:hAnsi="Arial" w:cs="Arial"/>
          <w:sz w:val="26"/>
          <w:szCs w:val="26"/>
        </w:rPr>
        <w:t>为保障输水管道的安全运行和沿线生态系统的稳定，在管道施工完毕后，应进行生态恢复，建立基本生态安全格局。占用林地的恢复成林地；范围内的农田，应建立乔灌草相结合的密集型农田防护林体系；管道顶部两侧</w:t>
      </w:r>
      <w:r>
        <w:rPr>
          <w:rFonts w:ascii="Arial" w:hAnsi="Arial" w:cs="Arial"/>
          <w:sz w:val="26"/>
          <w:szCs w:val="26"/>
        </w:rPr>
        <w:t>5m</w:t>
      </w:r>
      <w:r>
        <w:rPr>
          <w:rFonts w:hint="eastAsia" w:ascii="Arial" w:hAnsi="Arial" w:cs="Arial"/>
          <w:sz w:val="26"/>
          <w:szCs w:val="26"/>
        </w:rPr>
        <w:t>内不能种植深根性乔灌木；此外，还应减少人为活动对此范围环境的破坏，避免在本区内修路、开挖管道、建其他水利设施等影响环境和管道的工程。环评建议分地段进行植被恢复，农业用地以恢复农田或退耕还林为主；林业用地和滩地等以恢复自然植被为主；各区域的植被恢复应以乔灌草相结合，实现最大保持水土功能。</w:t>
      </w:r>
    </w:p>
    <w:p w14:paraId="717A67A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Arial" w:cs="Arial"/>
          <w:b/>
          <w:bCs/>
          <w:sz w:val="26"/>
          <w:szCs w:val="26"/>
          <w:lang w:val="en-US" w:eastAsia="zh-CN"/>
        </w:rPr>
      </w:pPr>
      <w:r>
        <w:rPr>
          <w:rFonts w:hint="eastAsia" w:ascii="Arial" w:hAnsi="Arial" w:cs="Arial"/>
          <w:b/>
          <w:bCs/>
          <w:sz w:val="26"/>
          <w:szCs w:val="26"/>
          <w:lang w:val="en-US" w:eastAsia="zh-CN"/>
        </w:rPr>
        <w:t>7.4水源地水质保护措施</w:t>
      </w:r>
    </w:p>
    <w:p w14:paraId="38EEEA6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7.4.1水源保护区划分</w:t>
      </w:r>
    </w:p>
    <w:p w14:paraId="30BB5C9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eastAsia="宋体" w:cs="Arial"/>
          <w:color w:val="auto"/>
          <w:sz w:val="26"/>
          <w:szCs w:val="26"/>
          <w:lang w:val="en-US" w:eastAsia="zh-CN"/>
        </w:rPr>
      </w:pPr>
      <w:r>
        <w:rPr>
          <w:rFonts w:hint="eastAsia" w:ascii="Arial" w:hAnsi="宋体" w:eastAsia="宋体" w:cs="Arial"/>
          <w:b/>
          <w:bCs/>
          <w:color w:val="auto"/>
          <w:sz w:val="26"/>
          <w:szCs w:val="26"/>
          <w:lang w:val="en-US" w:eastAsia="zh-CN"/>
        </w:rPr>
        <w:t>（1）划分依据</w:t>
      </w:r>
    </w:p>
    <w:p w14:paraId="187CEBF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水源保护区划分主要依据《饮用水水源保护区划分技术规范》（HJ338 -2018）、《重庆市饮用水源污染防治办法》。建议保护区范围如下：</w:t>
      </w:r>
    </w:p>
    <w:p w14:paraId="0192559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①水域保护区划分</w:t>
      </w:r>
    </w:p>
    <w:p w14:paraId="350EA25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一级保护区：水域范围，小型水库和单一供水功能的湖泊、水库应将多年平均水位对应的高程线以下的全部水域划为一级保护区。</w:t>
      </w:r>
    </w:p>
    <w:p w14:paraId="6A22D1E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二级保护区：小型湖泊、中小型水库一级保护区边界外的水域面积设定为二级保护区。</w:t>
      </w:r>
    </w:p>
    <w:p w14:paraId="08F1FB4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二级保护区上游侧边界现状水质浓度水平满足GB 3838规定的一级保护区水质标准要求的水源，其二级保护区水域长度不小于2000m，但不超过水域范围。</w:t>
      </w:r>
    </w:p>
    <w:p w14:paraId="5A3105A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default" w:ascii="Arial" w:hAnsi="宋体" w:eastAsia="宋体" w:cs="Arial"/>
          <w:b/>
          <w:bCs/>
          <w:color w:val="auto"/>
          <w:sz w:val="26"/>
          <w:szCs w:val="26"/>
          <w:lang w:val="en-US" w:eastAsia="zh-CN"/>
        </w:rPr>
        <w:t>②</w:t>
      </w:r>
      <w:r>
        <w:rPr>
          <w:rFonts w:hint="eastAsia" w:ascii="Arial" w:hAnsi="宋体" w:eastAsia="宋体" w:cs="Arial"/>
          <w:b/>
          <w:bCs/>
          <w:color w:val="auto"/>
          <w:sz w:val="26"/>
          <w:szCs w:val="26"/>
          <w:lang w:val="en-US" w:eastAsia="zh-CN"/>
        </w:rPr>
        <w:t>陆域保护区划分</w:t>
      </w:r>
    </w:p>
    <w:p w14:paraId="0433CE3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一级保护区：小型和单一供水功能的湖泊、水库以及中小型水库为一级保护区水域外不小于200m范围内的陆域，或一定高程线以下的陆域，但不超过流域分水岭范围。</w:t>
      </w:r>
    </w:p>
    <w:p w14:paraId="72CEF05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二级保护区：小型水库可将上游整个流域（一级保护区陆域外区域）设定为二级保护区。单一功能的湖泊、水库、小型湖泊和平原型中型水库的二级保护区范围是一级保护区以外水平距离不小于2000m区域，山区型中型水库二级保护区的范围为水库周边山脊线以内（一级保护区以外）及入库河流上溯不小于3000m的汇水区域。二级保护区陆域边界不超过流域分水岭。大中型湖泊、大型水库可以划分一级保护区外径向局里不小于3000m的区域为二级保护区范围。二级保护区陆域边界不超过相应的流域分水岭。</w:t>
      </w:r>
    </w:p>
    <w:p w14:paraId="18D18398">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eastAsia="宋体" w:cs="Arial"/>
          <w:color w:val="auto"/>
          <w:sz w:val="26"/>
          <w:szCs w:val="26"/>
          <w:lang w:val="en-US" w:eastAsia="zh-CN"/>
        </w:rPr>
      </w:pPr>
      <w:r>
        <w:rPr>
          <w:rFonts w:hint="eastAsia" w:ascii="Arial" w:hAnsi="宋体" w:eastAsia="宋体" w:cs="Arial"/>
          <w:b/>
          <w:bCs/>
          <w:color w:val="auto"/>
          <w:sz w:val="26"/>
          <w:szCs w:val="26"/>
          <w:lang w:val="en-US" w:eastAsia="zh-CN"/>
        </w:rPr>
        <w:t>（</w:t>
      </w:r>
      <w:r>
        <w:rPr>
          <w:rFonts w:hint="eastAsia" w:ascii="Arial" w:hAnsi="宋体" w:cs="Arial"/>
          <w:b/>
          <w:bCs/>
          <w:color w:val="auto"/>
          <w:sz w:val="26"/>
          <w:szCs w:val="26"/>
          <w:lang w:val="en-US" w:eastAsia="zh-CN"/>
        </w:rPr>
        <w:t>2</w:t>
      </w:r>
      <w:r>
        <w:rPr>
          <w:rFonts w:hint="eastAsia" w:ascii="Arial" w:hAnsi="宋体" w:eastAsia="宋体" w:cs="Arial"/>
          <w:b/>
          <w:bCs/>
          <w:color w:val="auto"/>
          <w:sz w:val="26"/>
          <w:szCs w:val="26"/>
          <w:lang w:val="en-US" w:eastAsia="zh-CN"/>
        </w:rPr>
        <w:t>）划分</w:t>
      </w:r>
      <w:r>
        <w:rPr>
          <w:rFonts w:hint="eastAsia" w:ascii="Arial" w:hAnsi="宋体" w:cs="Arial"/>
          <w:b/>
          <w:bCs/>
          <w:color w:val="auto"/>
          <w:sz w:val="26"/>
          <w:szCs w:val="26"/>
          <w:lang w:val="en-US" w:eastAsia="zh-CN"/>
        </w:rPr>
        <w:t>建议</w:t>
      </w:r>
    </w:p>
    <w:p w14:paraId="749B286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海螺沟水库为小（2）型水库，本次仅提出建议划分范围，建议水域一级保护区为整个水库水域；陆域一级保护区为水域外200m范围内的陆域，二级保护区为一级保护区以外入库河流流域分水岭范围。</w:t>
      </w:r>
      <w:r>
        <w:rPr>
          <w:rFonts w:hint="eastAsia" w:ascii="Arial" w:hAnsi="宋体" w:eastAsia="宋体" w:cs="Arial"/>
          <w:b/>
          <w:bCs/>
          <w:color w:val="auto"/>
          <w:sz w:val="26"/>
          <w:szCs w:val="26"/>
          <w:lang w:val="en-US" w:eastAsia="zh-CN"/>
        </w:rPr>
        <w:t>最终划分方案以水库建成蓄水后的饮用水水源保护区划分技术报告和主管部门的批复结果为准</w:t>
      </w:r>
      <w:r>
        <w:rPr>
          <w:rFonts w:hint="eastAsia" w:ascii="Arial" w:hAnsi="宋体" w:eastAsia="宋体" w:cs="Arial"/>
          <w:color w:val="auto"/>
          <w:sz w:val="26"/>
          <w:szCs w:val="26"/>
          <w:lang w:val="en-US" w:eastAsia="zh-CN"/>
        </w:rPr>
        <w:t>。</w:t>
      </w:r>
    </w:p>
    <w:p w14:paraId="6A5CF1B4">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eastAsia="宋体" w:cs="Arial"/>
          <w:color w:val="auto"/>
          <w:sz w:val="26"/>
          <w:szCs w:val="26"/>
          <w:lang w:val="en-US" w:eastAsia="zh-CN"/>
        </w:rPr>
      </w:pPr>
      <w:r>
        <w:rPr>
          <w:rFonts w:hint="eastAsia" w:ascii="Arial" w:hAnsi="宋体" w:eastAsia="宋体" w:cs="Arial"/>
          <w:b/>
          <w:bCs/>
          <w:color w:val="auto"/>
          <w:sz w:val="26"/>
          <w:szCs w:val="26"/>
          <w:lang w:val="en-US" w:eastAsia="zh-CN"/>
        </w:rPr>
        <w:t>（</w:t>
      </w:r>
      <w:r>
        <w:rPr>
          <w:rFonts w:hint="eastAsia" w:ascii="Arial" w:hAnsi="宋体" w:cs="Arial"/>
          <w:b/>
          <w:bCs/>
          <w:color w:val="auto"/>
          <w:sz w:val="26"/>
          <w:szCs w:val="26"/>
          <w:lang w:val="en-US" w:eastAsia="zh-CN"/>
        </w:rPr>
        <w:t>3</w:t>
      </w:r>
      <w:r>
        <w:rPr>
          <w:rFonts w:hint="eastAsia" w:ascii="Arial" w:hAnsi="宋体" w:eastAsia="宋体" w:cs="Arial"/>
          <w:b/>
          <w:bCs/>
          <w:color w:val="auto"/>
          <w:sz w:val="26"/>
          <w:szCs w:val="26"/>
          <w:lang w:val="en-US" w:eastAsia="zh-CN"/>
        </w:rPr>
        <w:t>）划定程序</w:t>
      </w:r>
    </w:p>
    <w:p w14:paraId="1B3878F1">
      <w:pPr>
        <w:autoSpaceDE w:val="0"/>
        <w:autoSpaceDN w:val="0"/>
        <w:adjustRightInd w:val="0"/>
        <w:spacing w:line="500" w:lineRule="exact"/>
        <w:ind w:firstLine="520" w:firstLineChars="200"/>
        <w:rPr>
          <w:rFonts w:hint="eastAsia" w:ascii="Arial" w:hAnsi="Arial" w:eastAsia="宋体" w:cs="Arial"/>
          <w:kern w:val="2"/>
          <w:sz w:val="26"/>
          <w:szCs w:val="26"/>
          <w:lang w:val="en-US" w:eastAsia="zh-CN" w:bidi="ar-SA"/>
        </w:rPr>
      </w:pPr>
      <w:r>
        <w:rPr>
          <w:rFonts w:hint="eastAsia" w:ascii="Arial" w:hAnsi="Arial" w:eastAsia="宋体" w:cs="Arial"/>
          <w:kern w:val="2"/>
          <w:sz w:val="26"/>
          <w:szCs w:val="26"/>
          <w:lang w:val="en-US" w:eastAsia="zh-CN" w:bidi="ar-SA"/>
        </w:rPr>
        <w:t>根据《饮用水水源保护区污染防治管理规定》：饮用水水源保护区的划定由有关市、县人民政府提出划定方案，报省、自治区、直辖市人民政府批准。项目饮用水水源保护区由丰都县人民政府提出划定方案，报重庆市人民政府批准后生效。按照《饮用水水源保护区标志技术要求》（HJ/T433-2008）的要求规范设置饮用水水源保护区界标、交通警示牌、宣传牌。</w:t>
      </w:r>
    </w:p>
    <w:p w14:paraId="4CC9DB2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7.4.2库底清理</w:t>
      </w:r>
    </w:p>
    <w:p w14:paraId="37A0C0AF">
      <w:pPr>
        <w:pStyle w:val="2115"/>
        <w:spacing w:line="460" w:lineRule="exact"/>
        <w:rPr>
          <w:rFonts w:hint="eastAsia" w:ascii="Arial" w:hAnsi="Arial" w:eastAsia="宋体" w:cs="Arial"/>
          <w:color w:val="auto"/>
          <w:lang w:val="en-US" w:eastAsia="zh-CN"/>
        </w:rPr>
      </w:pPr>
      <w:r>
        <w:rPr>
          <w:rFonts w:hint="eastAsia" w:ascii="Arial" w:hAnsi="Arial" w:cs="Arial"/>
        </w:rPr>
        <w:t>为防止水库淹没区内的植被、杂物等对库区水体的污染，保护水库水资源</w:t>
      </w:r>
      <w:r>
        <w:rPr>
          <w:rFonts w:hint="eastAsia" w:ascii="Arial" w:hAnsi="Arial" w:cs="Arial"/>
          <w:color w:val="auto"/>
        </w:rPr>
        <w:t>和下游人群健康，在蓄水前三个月必须完成库底清理工作，</w:t>
      </w:r>
      <w:r>
        <w:rPr>
          <w:rFonts w:hint="eastAsia" w:ascii="Arial" w:hAnsi="Arial" w:cs="Arial"/>
          <w:color w:val="auto"/>
          <w:lang w:val="en-US" w:eastAsia="zh-CN"/>
        </w:rPr>
        <w:t>参照</w:t>
      </w:r>
      <w:r>
        <w:rPr>
          <w:rFonts w:hint="eastAsia" w:ascii="Arial" w:hAnsi="Arial" w:eastAsia="宋体" w:cs="Arial"/>
          <w:color w:val="auto"/>
        </w:rPr>
        <w:t>《水利水电工程建设征地移民安置规划设计规范》</w:t>
      </w:r>
      <w:r>
        <w:rPr>
          <w:rFonts w:hint="eastAsia" w:ascii="Arial" w:hAnsi="Arial" w:eastAsia="宋体" w:cs="Arial"/>
          <w:color w:val="auto"/>
          <w:lang w:eastAsia="zh-CN"/>
        </w:rPr>
        <w:t>（</w:t>
      </w:r>
      <w:r>
        <w:rPr>
          <w:rFonts w:hint="eastAsia" w:ascii="Arial" w:hAnsi="Arial" w:eastAsia="宋体" w:cs="Arial"/>
          <w:color w:val="auto"/>
        </w:rPr>
        <w:t>SL290-2009</w:t>
      </w:r>
      <w:r>
        <w:rPr>
          <w:rFonts w:hint="eastAsia" w:ascii="Arial" w:hAnsi="Arial" w:eastAsia="宋体" w:cs="Arial"/>
          <w:color w:val="auto"/>
          <w:lang w:eastAsia="zh-CN"/>
        </w:rPr>
        <w:t>）</w:t>
      </w:r>
      <w:r>
        <w:rPr>
          <w:rFonts w:hint="eastAsia" w:ascii="Arial" w:hAnsi="Arial" w:eastAsia="宋体" w:cs="Arial"/>
          <w:color w:val="auto"/>
        </w:rPr>
        <w:t>和《水利水电工程水库库底清理设计规范》</w:t>
      </w:r>
      <w:r>
        <w:rPr>
          <w:rFonts w:hint="eastAsia" w:ascii="Arial" w:hAnsi="Arial" w:eastAsia="宋体" w:cs="Arial"/>
          <w:color w:val="auto"/>
          <w:lang w:eastAsia="zh-CN"/>
        </w:rPr>
        <w:t>（</w:t>
      </w:r>
      <w:r>
        <w:rPr>
          <w:rFonts w:hint="eastAsia" w:ascii="Arial" w:hAnsi="Arial" w:eastAsia="宋体" w:cs="Arial"/>
          <w:color w:val="auto"/>
        </w:rPr>
        <w:t>SL644-2014</w:t>
      </w:r>
      <w:r>
        <w:rPr>
          <w:rFonts w:hint="eastAsia" w:ascii="Arial" w:hAnsi="Arial" w:eastAsia="宋体" w:cs="Arial"/>
          <w:color w:val="auto"/>
          <w:lang w:eastAsia="zh-CN"/>
        </w:rPr>
        <w:t>）</w:t>
      </w:r>
      <w:r>
        <w:rPr>
          <w:rFonts w:hint="eastAsia" w:ascii="Arial" w:hAnsi="Arial" w:cs="Arial"/>
          <w:color w:val="auto"/>
          <w:lang w:eastAsia="zh-CN"/>
        </w:rPr>
        <w:t>，水库库底清理分一般清理和特殊清理，本项目地处农村，库区淹没范围内无工矿企业、集中式污染源、规模化畜禽养殖场等，故库底清理为一般清理。</w:t>
      </w:r>
    </w:p>
    <w:p w14:paraId="34A495C6">
      <w:pPr>
        <w:pStyle w:val="2115"/>
        <w:spacing w:line="460" w:lineRule="exact"/>
        <w:ind w:firstLine="392" w:firstLineChars="150"/>
        <w:rPr>
          <w:rFonts w:hint="eastAsia" w:ascii="Arial" w:hAnsi="Arial" w:cs="Arial"/>
          <w:b/>
          <w:color w:val="auto"/>
        </w:rPr>
      </w:pPr>
      <w:r>
        <w:rPr>
          <w:rFonts w:hint="eastAsia" w:ascii="Arial" w:hAnsi="Arial" w:cs="Arial"/>
          <w:b/>
          <w:color w:val="auto"/>
        </w:rPr>
        <w:t>（1）清理范围</w:t>
      </w:r>
    </w:p>
    <w:p w14:paraId="2241AC8F">
      <w:pPr>
        <w:pStyle w:val="2115"/>
        <w:spacing w:line="460" w:lineRule="exact"/>
        <w:rPr>
          <w:rFonts w:hint="eastAsia" w:ascii="Arial" w:hAnsi="Arial" w:cs="Arial"/>
        </w:rPr>
      </w:pPr>
      <w:r>
        <w:rPr>
          <w:rFonts w:hint="eastAsia" w:ascii="Arial" w:hAnsi="Arial" w:cs="Arial"/>
        </w:rPr>
        <w:t>①卫生清理</w:t>
      </w:r>
      <w:r>
        <w:rPr>
          <w:rFonts w:hint="eastAsia" w:ascii="Arial" w:hAnsi="Arial" w:cs="Arial"/>
          <w:lang w:eastAsia="zh-CN"/>
        </w:rPr>
        <w:t>、固体废物</w:t>
      </w:r>
      <w:r>
        <w:rPr>
          <w:rFonts w:hint="eastAsia" w:ascii="Arial" w:hAnsi="Arial" w:cs="Arial"/>
        </w:rPr>
        <w:t>范围为居民迁移线以下（不含影响区）区域。</w:t>
      </w:r>
    </w:p>
    <w:p w14:paraId="6A6B39CC">
      <w:pPr>
        <w:pStyle w:val="2115"/>
        <w:spacing w:line="460" w:lineRule="exact"/>
        <w:rPr>
          <w:rFonts w:hint="eastAsia" w:ascii="Arial" w:hAnsi="Arial" w:cs="Arial"/>
        </w:rPr>
      </w:pPr>
      <w:r>
        <w:rPr>
          <w:rFonts w:hint="eastAsia" w:ascii="Arial" w:hAnsi="Arial" w:cs="Arial"/>
        </w:rPr>
        <w:t>②一般建（构）筑物清理范围为居民迁移线以下区域。</w:t>
      </w:r>
    </w:p>
    <w:p w14:paraId="1C17F2BA">
      <w:pPr>
        <w:pStyle w:val="2115"/>
        <w:spacing w:line="460" w:lineRule="exact"/>
        <w:rPr>
          <w:rFonts w:hint="eastAsia" w:ascii="Arial" w:hAnsi="Arial" w:cs="Arial"/>
        </w:rPr>
      </w:pPr>
      <w:r>
        <w:rPr>
          <w:rFonts w:hint="eastAsia" w:ascii="Arial" w:hAnsi="Arial" w:cs="Arial"/>
        </w:rPr>
        <w:t>③大体积建（构）筑物残留体清理范围为居民迁移线以下至死水位（含极限死位）以下3m范围内。</w:t>
      </w:r>
    </w:p>
    <w:p w14:paraId="053E6419">
      <w:pPr>
        <w:pStyle w:val="2115"/>
        <w:spacing w:line="460" w:lineRule="exact"/>
        <w:rPr>
          <w:rFonts w:hint="eastAsia" w:ascii="Arial" w:hAnsi="Arial" w:cs="Arial"/>
        </w:rPr>
      </w:pPr>
      <w:r>
        <w:rPr>
          <w:rFonts w:hint="eastAsia" w:ascii="Arial" w:hAnsi="Arial" w:cs="Arial"/>
        </w:rPr>
        <w:t>④林木清理范围为正常蓄水位以下的水库淹没区。</w:t>
      </w:r>
    </w:p>
    <w:p w14:paraId="778F62BF">
      <w:pPr>
        <w:pStyle w:val="2115"/>
        <w:spacing w:line="460" w:lineRule="exact"/>
        <w:ind w:firstLine="392" w:firstLineChars="150"/>
        <w:rPr>
          <w:rFonts w:hint="eastAsia" w:ascii="Arial" w:hAnsi="Arial" w:cs="Arial"/>
          <w:b/>
          <w:color w:val="auto"/>
        </w:rPr>
      </w:pPr>
      <w:r>
        <w:rPr>
          <w:rFonts w:hint="eastAsia" w:ascii="Arial" w:hAnsi="Arial" w:cs="Arial"/>
          <w:b/>
          <w:color w:val="auto"/>
        </w:rPr>
        <w:t>（2）清理对象</w:t>
      </w:r>
    </w:p>
    <w:p w14:paraId="485F3072">
      <w:pPr>
        <w:pStyle w:val="2115"/>
        <w:spacing w:line="460" w:lineRule="exact"/>
        <w:rPr>
          <w:rFonts w:hint="eastAsia" w:ascii="Arial" w:hAnsi="Arial" w:cs="Arial"/>
        </w:rPr>
      </w:pPr>
      <w:r>
        <w:rPr>
          <w:rFonts w:hint="eastAsia" w:ascii="Arial" w:hAnsi="Arial" w:cs="Arial"/>
        </w:rPr>
        <w:t>清理对象包括所有可能对水体产生污染的固体、液体废弃物，分为常规（一般）污染源、传染性污染源、生物类污染源、一般固体废物、危险废物等。</w:t>
      </w:r>
    </w:p>
    <w:p w14:paraId="49BE1C1B">
      <w:pPr>
        <w:pStyle w:val="2115"/>
        <w:spacing w:line="460" w:lineRule="exact"/>
        <w:rPr>
          <w:rFonts w:hint="eastAsia" w:ascii="Arial" w:hAnsi="Arial" w:cs="Arial"/>
        </w:rPr>
      </w:pPr>
      <w:r>
        <w:rPr>
          <w:rFonts w:hint="eastAsia" w:ascii="Arial" w:hAnsi="Arial" w:cs="Arial"/>
        </w:rPr>
        <w:t>①常规（一般）污染源。化粪池、沼气池、粪池、公共厕所、牲畜栏、污水池。生活垃圾及其堆放场。普通坟墓。</w:t>
      </w:r>
    </w:p>
    <w:p w14:paraId="41E1D48D">
      <w:pPr>
        <w:pStyle w:val="2115"/>
        <w:spacing w:line="460" w:lineRule="exact"/>
        <w:rPr>
          <w:rFonts w:hint="eastAsia" w:ascii="Arial" w:hAnsi="Arial" w:cs="Arial"/>
        </w:rPr>
      </w:pPr>
      <w:r>
        <w:rPr>
          <w:rFonts w:hint="eastAsia" w:ascii="Arial" w:hAnsi="Arial" w:cs="Arial"/>
        </w:rPr>
        <w:t>②传染性污染源。传染病疫源地。医疗卫生机构工作区和医院垃圾。兽医站、屠宰场及牲畜交易所。传染病死亡者墓地和病死畜掩埋地。</w:t>
      </w:r>
    </w:p>
    <w:p w14:paraId="01D219D1">
      <w:pPr>
        <w:pStyle w:val="2115"/>
        <w:spacing w:line="460" w:lineRule="exact"/>
        <w:rPr>
          <w:rFonts w:hint="eastAsia" w:ascii="Arial" w:hAnsi="Arial" w:cs="Arial"/>
        </w:rPr>
      </w:pPr>
      <w:r>
        <w:rPr>
          <w:rFonts w:hint="eastAsia" w:ascii="Arial" w:hAnsi="Arial" w:cs="Arial"/>
        </w:rPr>
        <w:t>③生物类污染源。居民区、集贸市场、仓库、屠宰场、码头、垃圾堆放场及耕作区的鼠类。钉螺、蟑螂等其他生物类污染源。</w:t>
      </w:r>
    </w:p>
    <w:p w14:paraId="72B51F4F">
      <w:pPr>
        <w:pStyle w:val="2115"/>
        <w:spacing w:line="460" w:lineRule="exact"/>
        <w:rPr>
          <w:rFonts w:hint="eastAsia" w:ascii="Arial" w:hAnsi="Arial" w:cs="Arial"/>
        </w:rPr>
      </w:pPr>
      <w:r>
        <w:rPr>
          <w:rFonts w:hint="eastAsia" w:ascii="Arial" w:hAnsi="Arial" w:cs="Arial"/>
        </w:rPr>
        <w:t>④一般固体废物。一般工业固体废物。废弃建筑材料。不属于危险废物的废弃尾矿渣，暂未发现。</w:t>
      </w:r>
    </w:p>
    <w:p w14:paraId="5E35EC5A">
      <w:pPr>
        <w:pStyle w:val="2115"/>
        <w:spacing w:line="460" w:lineRule="exact"/>
        <w:rPr>
          <w:rFonts w:hint="eastAsia" w:ascii="Arial" w:hAnsi="Arial" w:cs="Arial"/>
        </w:rPr>
      </w:pPr>
      <w:r>
        <w:rPr>
          <w:rFonts w:hint="eastAsia" w:ascii="Arial" w:hAnsi="Arial" w:cs="Arial"/>
        </w:rPr>
        <w:t>⑤危险废物。列入环发《国家危险废物名录》或根据GB5085认定的具有危险特征的固体废物。</w:t>
      </w:r>
    </w:p>
    <w:p w14:paraId="64142C63">
      <w:pPr>
        <w:pStyle w:val="2115"/>
        <w:spacing w:line="460" w:lineRule="exact"/>
        <w:rPr>
          <w:rFonts w:hint="eastAsia" w:ascii="Arial" w:hAnsi="Arial" w:cs="Arial"/>
        </w:rPr>
      </w:pPr>
      <w:r>
        <w:rPr>
          <w:rFonts w:hint="eastAsia" w:ascii="Arial" w:hAnsi="Arial" w:cs="Arial"/>
          <w:lang w:eastAsia="zh-CN"/>
        </w:rPr>
        <w:t>海螺沟</w:t>
      </w:r>
      <w:r>
        <w:rPr>
          <w:rFonts w:hint="eastAsia" w:ascii="Arial" w:hAnsi="Arial" w:cs="Arial"/>
        </w:rPr>
        <w:t>水库工程清理对象主要为第①类。</w:t>
      </w:r>
    </w:p>
    <w:p w14:paraId="568659D1">
      <w:pPr>
        <w:pStyle w:val="2115"/>
        <w:spacing w:line="460" w:lineRule="exact"/>
        <w:ind w:firstLine="392" w:firstLineChars="150"/>
        <w:rPr>
          <w:rFonts w:hint="eastAsia" w:ascii="Arial" w:hAnsi="Arial" w:cs="Arial"/>
          <w:b/>
          <w:color w:val="auto"/>
        </w:rPr>
      </w:pPr>
      <w:r>
        <w:rPr>
          <w:rFonts w:hint="eastAsia" w:ascii="Arial" w:hAnsi="Arial" w:cs="Arial"/>
          <w:b/>
          <w:color w:val="auto"/>
        </w:rPr>
        <w:t>（3）清理</w:t>
      </w:r>
      <w:r>
        <w:rPr>
          <w:rFonts w:hint="eastAsia" w:ascii="Arial" w:hAnsi="Arial" w:cs="Arial"/>
          <w:b/>
          <w:color w:val="auto"/>
          <w:lang w:eastAsia="zh-CN"/>
        </w:rPr>
        <w:t>技术</w:t>
      </w:r>
      <w:r>
        <w:rPr>
          <w:rFonts w:hint="eastAsia" w:ascii="Arial" w:hAnsi="Arial" w:cs="Arial"/>
          <w:b/>
          <w:color w:val="auto"/>
        </w:rPr>
        <w:t>要求</w:t>
      </w:r>
    </w:p>
    <w:p w14:paraId="57152A33">
      <w:pPr>
        <w:pStyle w:val="2115"/>
        <w:spacing w:line="460" w:lineRule="exact"/>
        <w:rPr>
          <w:rFonts w:hint="eastAsia" w:ascii="Arial" w:hAnsi="Arial" w:cs="Arial"/>
          <w:color w:val="auto"/>
          <w:sz w:val="26"/>
          <w:szCs w:val="26"/>
        </w:rPr>
      </w:pPr>
      <w:r>
        <w:rPr>
          <w:rFonts w:hint="eastAsia" w:ascii="Arial" w:hAnsi="Arial" w:cs="Arial"/>
          <w:color w:val="auto"/>
          <w:sz w:val="26"/>
          <w:szCs w:val="26"/>
        </w:rPr>
        <w:t>①林木清理</w:t>
      </w:r>
    </w:p>
    <w:p w14:paraId="17DA0263">
      <w:pPr>
        <w:pStyle w:val="2115"/>
        <w:spacing w:line="460" w:lineRule="exact"/>
        <w:rPr>
          <w:rFonts w:hint="eastAsia" w:ascii="Arial" w:hAnsi="Arial" w:cs="Arial"/>
          <w:color w:val="auto"/>
          <w:sz w:val="26"/>
          <w:szCs w:val="26"/>
        </w:rPr>
      </w:pPr>
      <w:r>
        <w:rPr>
          <w:rFonts w:hint="eastAsia" w:ascii="Arial" w:hAnsi="Arial" w:cs="Arial"/>
          <w:color w:val="auto"/>
          <w:sz w:val="26"/>
          <w:szCs w:val="26"/>
        </w:rPr>
        <w:t>清理范围内的林木应齐地砍伐，残留树桩不高出地面0.3m</w:t>
      </w:r>
      <w:r>
        <w:rPr>
          <w:rFonts w:hint="eastAsia" w:ascii="Arial" w:hAnsi="Arial" w:cs="Arial"/>
          <w:color w:val="auto"/>
          <w:sz w:val="26"/>
          <w:szCs w:val="26"/>
          <w:lang w:eastAsia="zh-CN"/>
        </w:rPr>
        <w:t>，</w:t>
      </w:r>
      <w:r>
        <w:rPr>
          <w:rFonts w:hint="eastAsia" w:ascii="Arial" w:hAnsi="Arial" w:cs="Arial"/>
          <w:color w:val="auto"/>
          <w:sz w:val="26"/>
          <w:szCs w:val="26"/>
        </w:rPr>
        <w:t>枝丫不得残留库区。林地清理应严格按照林业部门的有关规定进行，严禁放火烧林。</w:t>
      </w:r>
    </w:p>
    <w:p w14:paraId="7C8B7F6E">
      <w:pPr>
        <w:pStyle w:val="2115"/>
        <w:spacing w:line="460" w:lineRule="exact"/>
        <w:rPr>
          <w:rFonts w:hint="eastAsia" w:ascii="Arial" w:hAnsi="Arial" w:cs="Arial"/>
          <w:color w:val="auto"/>
          <w:sz w:val="26"/>
          <w:szCs w:val="26"/>
          <w:lang w:eastAsia="zh-CN"/>
        </w:rPr>
      </w:pPr>
      <w:r>
        <w:rPr>
          <w:rFonts w:hint="eastAsia" w:ascii="Arial" w:hAnsi="Arial" w:cs="Arial"/>
          <w:color w:val="auto"/>
          <w:sz w:val="26"/>
          <w:szCs w:val="26"/>
        </w:rPr>
        <w:t>②</w:t>
      </w:r>
      <w:r>
        <w:rPr>
          <w:rFonts w:hint="eastAsia" w:ascii="Arial" w:hAnsi="Arial" w:cs="Arial"/>
          <w:color w:val="auto"/>
          <w:sz w:val="26"/>
          <w:szCs w:val="26"/>
          <w:lang w:eastAsia="zh-CN"/>
        </w:rPr>
        <w:t>卫生清理</w:t>
      </w:r>
    </w:p>
    <w:p w14:paraId="35EBBCF5">
      <w:pPr>
        <w:pStyle w:val="2115"/>
        <w:spacing w:line="460" w:lineRule="exact"/>
        <w:rPr>
          <w:rFonts w:hint="eastAsia" w:ascii="Arial" w:hAnsi="Arial" w:cs="Arial"/>
          <w:color w:val="auto"/>
          <w:sz w:val="26"/>
          <w:szCs w:val="26"/>
          <w:lang w:eastAsia="zh-CN"/>
        </w:rPr>
      </w:pPr>
      <w:r>
        <w:rPr>
          <w:rFonts w:hint="eastAsia" w:ascii="Arial" w:hAnsi="Arial" w:cs="Arial"/>
          <w:color w:val="auto"/>
          <w:sz w:val="26"/>
          <w:szCs w:val="26"/>
          <w:lang w:eastAsia="zh-CN"/>
        </w:rPr>
        <w:t>包括粪池、坟墓等，</w:t>
      </w:r>
      <w:r>
        <w:rPr>
          <w:rFonts w:hint="eastAsia" w:ascii="Arial" w:hAnsi="Arial" w:cs="Arial"/>
          <w:color w:val="auto"/>
          <w:sz w:val="26"/>
          <w:szCs w:val="26"/>
        </w:rPr>
        <w:t>对清理范围内粪池、 沼气池的污物、坑穴及被污染的土壤，均应进行无害化处理。</w:t>
      </w:r>
      <w:r>
        <w:rPr>
          <w:rFonts w:hint="eastAsia" w:ascii="Arial" w:hAnsi="Arial" w:cs="Arial"/>
          <w:color w:val="auto"/>
          <w:sz w:val="26"/>
          <w:szCs w:val="26"/>
          <w:lang w:eastAsia="zh-CN"/>
        </w:rPr>
        <w:t>清除污染物后的坑穴</w:t>
      </w:r>
      <w:r>
        <w:rPr>
          <w:rFonts w:hint="eastAsia" w:ascii="Arial" w:hAnsi="Arial" w:cs="Arial"/>
          <w:color w:val="auto"/>
          <w:sz w:val="26"/>
          <w:szCs w:val="26"/>
        </w:rPr>
        <w:t>应加等量生石灰或按1kg/m</w:t>
      </w:r>
      <w:r>
        <w:rPr>
          <w:rFonts w:hint="eastAsia" w:ascii="Arial" w:hAnsi="Arial" w:cs="Arial"/>
          <w:color w:val="auto"/>
          <w:sz w:val="26"/>
          <w:szCs w:val="26"/>
          <w:vertAlign w:val="superscript"/>
        </w:rPr>
        <w:t>2</w:t>
      </w:r>
      <w:r>
        <w:rPr>
          <w:rFonts w:hint="eastAsia" w:ascii="Arial" w:hAnsi="Arial" w:cs="Arial"/>
          <w:color w:val="auto"/>
          <w:sz w:val="26"/>
          <w:szCs w:val="26"/>
        </w:rPr>
        <w:t>撒布漂白粉</w:t>
      </w:r>
      <w:r>
        <w:rPr>
          <w:rFonts w:hint="eastAsia" w:ascii="Arial" w:hAnsi="Arial" w:cs="Arial"/>
          <w:color w:val="auto"/>
          <w:sz w:val="26"/>
          <w:szCs w:val="26"/>
          <w:lang w:eastAsia="zh-CN"/>
        </w:rPr>
        <w:t>进行消毒处理，消毒后的坑穴采用净土覆盖压实。</w:t>
      </w:r>
    </w:p>
    <w:p w14:paraId="652272AB">
      <w:pPr>
        <w:pStyle w:val="2115"/>
        <w:spacing w:line="460" w:lineRule="exact"/>
        <w:rPr>
          <w:rFonts w:hint="eastAsia" w:ascii="Arial" w:hAnsi="Arial" w:cs="Arial"/>
          <w:color w:val="auto"/>
          <w:sz w:val="26"/>
          <w:szCs w:val="26"/>
          <w:lang w:eastAsia="zh-CN"/>
        </w:rPr>
      </w:pPr>
      <w:r>
        <w:rPr>
          <w:rFonts w:hint="eastAsia" w:ascii="Arial" w:hAnsi="Arial" w:cs="Arial"/>
          <w:color w:val="auto"/>
          <w:sz w:val="26"/>
          <w:szCs w:val="26"/>
        </w:rPr>
        <w:t>有主坟墓应限期迁出库区，过期无人管理一律按无主坟墓处理。埋葬15年以内的墓穴及周围土应摊晒，或直接用4%漂白粉上清液按1~2kg/m</w:t>
      </w:r>
      <w:r>
        <w:rPr>
          <w:rFonts w:hint="eastAsia" w:ascii="Arial" w:hAnsi="Arial" w:cs="Arial"/>
          <w:color w:val="auto"/>
          <w:sz w:val="26"/>
          <w:szCs w:val="26"/>
          <w:vertAlign w:val="superscript"/>
        </w:rPr>
        <w:t>2</w:t>
      </w:r>
      <w:r>
        <w:rPr>
          <w:rFonts w:hint="eastAsia" w:ascii="Arial" w:hAnsi="Arial" w:cs="Arial"/>
          <w:color w:val="auto"/>
          <w:sz w:val="26"/>
          <w:szCs w:val="26"/>
        </w:rPr>
        <w:t>或生石灰0.5~1kg/m</w:t>
      </w:r>
      <w:r>
        <w:rPr>
          <w:rFonts w:hint="eastAsia" w:ascii="Arial" w:hAnsi="Arial" w:cs="Arial"/>
          <w:color w:val="auto"/>
          <w:sz w:val="26"/>
          <w:szCs w:val="26"/>
          <w:vertAlign w:val="superscript"/>
        </w:rPr>
        <w:t>2</w:t>
      </w:r>
      <w:r>
        <w:rPr>
          <w:rFonts w:hint="eastAsia" w:ascii="Arial" w:hAnsi="Arial" w:cs="Arial"/>
          <w:color w:val="auto"/>
          <w:sz w:val="26"/>
          <w:szCs w:val="26"/>
        </w:rPr>
        <w:t>处理后，回填压实。无主坟墓压实处理。</w:t>
      </w:r>
    </w:p>
    <w:p w14:paraId="63F30701">
      <w:pPr>
        <w:pStyle w:val="2115"/>
        <w:spacing w:line="460" w:lineRule="exact"/>
        <w:rPr>
          <w:rFonts w:hint="eastAsia" w:ascii="Arial" w:hAnsi="Arial" w:cs="Arial"/>
          <w:color w:val="auto"/>
        </w:rPr>
      </w:pPr>
      <w:r>
        <w:rPr>
          <w:rFonts w:hint="eastAsia" w:ascii="宋体" w:hAnsi="宋体" w:eastAsia="宋体" w:cs="宋体"/>
          <w:spacing w:val="-6"/>
          <w:sz w:val="25"/>
          <w:szCs w:val="25"/>
          <w:lang w:eastAsia="zh-CN"/>
        </w:rPr>
        <w:t>生活垃圾人工清理后，</w:t>
      </w:r>
      <w:r>
        <w:rPr>
          <w:rFonts w:hint="eastAsia" w:ascii="Arial" w:hAnsi="Arial" w:cs="Arial"/>
          <w:color w:val="auto"/>
        </w:rPr>
        <w:t>交</w:t>
      </w:r>
      <w:r>
        <w:rPr>
          <w:rFonts w:hint="eastAsia" w:ascii="Arial" w:hAnsi="Arial" w:cs="Arial"/>
          <w:color w:val="auto"/>
          <w:lang w:eastAsia="zh-CN"/>
        </w:rPr>
        <w:t>当地市政</w:t>
      </w:r>
      <w:r>
        <w:rPr>
          <w:rFonts w:hint="eastAsia" w:ascii="Arial" w:hAnsi="Arial" w:cs="Arial"/>
          <w:color w:val="auto"/>
        </w:rPr>
        <w:t>环卫部门统一</w:t>
      </w:r>
      <w:r>
        <w:rPr>
          <w:rFonts w:hint="eastAsia" w:ascii="Arial" w:hAnsi="Arial" w:cs="Arial"/>
          <w:color w:val="auto"/>
          <w:lang w:eastAsia="zh-CN"/>
        </w:rPr>
        <w:t>清运</w:t>
      </w:r>
      <w:r>
        <w:rPr>
          <w:rFonts w:hint="eastAsia" w:ascii="Arial" w:hAnsi="Arial" w:cs="Arial"/>
          <w:color w:val="auto"/>
        </w:rPr>
        <w:t>处置。</w:t>
      </w:r>
    </w:p>
    <w:p w14:paraId="329A6E7F">
      <w:pPr>
        <w:pStyle w:val="2115"/>
        <w:spacing w:line="460" w:lineRule="exact"/>
        <w:rPr>
          <w:rFonts w:hint="eastAsia" w:ascii="Arial" w:hAnsi="Arial" w:cs="Arial"/>
          <w:color w:val="auto"/>
        </w:rPr>
      </w:pPr>
      <w:r>
        <w:rPr>
          <w:rFonts w:hint="eastAsia" w:ascii="Arial" w:hAnsi="Arial" w:cs="Arial"/>
          <w:color w:val="auto"/>
        </w:rPr>
        <w:t>普通坟墓有主坟墓应限期迁出库区，过期无人管理一律按无主坟墓处理。经生石灰消毒处理后，回填压实。</w:t>
      </w:r>
    </w:p>
    <w:p w14:paraId="02DCF80D">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1"/>
        <w:rPr>
          <w:rFonts w:hint="default" w:ascii="Arial" w:hAnsi="Arial" w:cs="Arial"/>
          <w:sz w:val="26"/>
          <w:szCs w:val="26"/>
        </w:rPr>
      </w:pPr>
      <w:r>
        <w:rPr>
          <w:rFonts w:hint="eastAsia" w:ascii="Arial" w:hAnsi="Arial" w:cs="Arial"/>
          <w:b/>
          <w:color w:val="auto"/>
          <w:sz w:val="26"/>
          <w:szCs w:val="26"/>
        </w:rPr>
        <w:t>（</w:t>
      </w:r>
      <w:r>
        <w:rPr>
          <w:rFonts w:hint="eastAsia" w:ascii="Arial" w:hAnsi="Arial" w:cs="Arial"/>
          <w:b/>
          <w:color w:val="auto"/>
          <w:sz w:val="26"/>
          <w:szCs w:val="26"/>
          <w:lang w:val="en-US" w:eastAsia="zh-CN"/>
        </w:rPr>
        <w:t>4</w:t>
      </w:r>
      <w:r>
        <w:rPr>
          <w:rFonts w:hint="eastAsia" w:ascii="Arial" w:hAnsi="Arial" w:cs="Arial"/>
          <w:b/>
          <w:color w:val="auto"/>
          <w:sz w:val="26"/>
          <w:szCs w:val="26"/>
        </w:rPr>
        <w:t>）清理</w:t>
      </w:r>
      <w:r>
        <w:rPr>
          <w:rFonts w:hint="eastAsia" w:ascii="Arial" w:hAnsi="Arial" w:cs="Arial"/>
          <w:b/>
          <w:color w:val="auto"/>
          <w:sz w:val="26"/>
          <w:szCs w:val="26"/>
          <w:lang w:eastAsia="zh-CN"/>
        </w:rPr>
        <w:t>物处置</w:t>
      </w:r>
    </w:p>
    <w:p w14:paraId="6C6E6FD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cs="Arial"/>
          <w:sz w:val="26"/>
          <w:szCs w:val="26"/>
        </w:rPr>
      </w:pPr>
      <w:r>
        <w:rPr>
          <w:rFonts w:hint="eastAsia" w:ascii="Arial" w:hAnsi="Arial" w:cs="Arial"/>
          <w:bCs/>
          <w:color w:val="auto"/>
          <w:sz w:val="26"/>
          <w:szCs w:val="26"/>
          <w:lang w:eastAsia="zh-CN"/>
        </w:rPr>
        <w:t>项目清库废物主要为林木和生活垃圾，生活垃圾等交当地市政环卫部门统一清运处置，木材可外卖进行综合再利用，运输过程中需加盖、遮挡，避免二次污染。</w:t>
      </w:r>
    </w:p>
    <w:p w14:paraId="447006F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7.4.3水库集雨范围及库区污染防治措施</w:t>
      </w:r>
    </w:p>
    <w:p w14:paraId="584874C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1"/>
        <w:rPr>
          <w:rFonts w:hint="eastAsia" w:ascii="Arial" w:hAnsi="Arial" w:eastAsia="宋体" w:cs="Arial"/>
          <w:sz w:val="26"/>
          <w:szCs w:val="26"/>
          <w:lang w:eastAsia="zh-CN"/>
        </w:rPr>
      </w:pPr>
      <w:r>
        <w:rPr>
          <w:rFonts w:hint="eastAsia" w:ascii="Arial" w:hAnsi="Arial" w:cs="Arial"/>
          <w:b/>
          <w:color w:val="auto"/>
          <w:sz w:val="26"/>
          <w:szCs w:val="26"/>
        </w:rPr>
        <w:t>（</w:t>
      </w:r>
      <w:r>
        <w:rPr>
          <w:rFonts w:hint="eastAsia" w:ascii="Arial" w:hAnsi="Arial" w:cs="Arial"/>
          <w:b/>
          <w:color w:val="auto"/>
          <w:sz w:val="26"/>
          <w:szCs w:val="26"/>
          <w:lang w:val="en-US" w:eastAsia="zh-CN"/>
        </w:rPr>
        <w:t>1</w:t>
      </w:r>
      <w:r>
        <w:rPr>
          <w:rFonts w:hint="eastAsia" w:ascii="Arial" w:hAnsi="Arial" w:cs="Arial"/>
          <w:b/>
          <w:color w:val="auto"/>
          <w:sz w:val="26"/>
          <w:szCs w:val="26"/>
        </w:rPr>
        <w:t>）</w:t>
      </w:r>
      <w:r>
        <w:rPr>
          <w:rFonts w:hint="eastAsia" w:ascii="Arial" w:hAnsi="Arial" w:cs="Arial"/>
          <w:b/>
          <w:color w:val="auto"/>
          <w:sz w:val="26"/>
          <w:szCs w:val="26"/>
          <w:lang w:eastAsia="zh-CN"/>
        </w:rPr>
        <w:t>农业面源污染控制</w:t>
      </w:r>
    </w:p>
    <w:p w14:paraId="4908AD7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cs="Arial"/>
          <w:bCs/>
          <w:kern w:val="0"/>
          <w:sz w:val="26"/>
          <w:szCs w:val="26"/>
        </w:rPr>
      </w:pPr>
      <w:r>
        <w:rPr>
          <w:rFonts w:hint="default" w:ascii="Arial" w:hAnsi="Arial" w:cs="Arial"/>
          <w:sz w:val="26"/>
          <w:szCs w:val="26"/>
          <w:lang w:eastAsia="zh-CN"/>
        </w:rPr>
        <w:t>海螺沟水库集雨范围内主要为农村和农业区域，</w:t>
      </w:r>
      <w:r>
        <w:rPr>
          <w:rFonts w:hint="default" w:ascii="Arial" w:hAnsi="Arial" w:cs="Arial"/>
          <w:bCs/>
          <w:kern w:val="0"/>
          <w:sz w:val="26"/>
          <w:szCs w:val="26"/>
        </w:rPr>
        <w:t>无大型污染企业，其水质主要受农业面源影响，控制面源污染是保证库区水质的最为重要途径。</w:t>
      </w:r>
      <w:r>
        <w:rPr>
          <w:rFonts w:hint="eastAsia" w:ascii="Arial" w:hAnsi="Arial" w:cs="Arial"/>
          <w:bCs/>
          <w:kern w:val="0"/>
          <w:sz w:val="26"/>
          <w:szCs w:val="26"/>
          <w:lang w:eastAsia="zh-CN"/>
        </w:rPr>
        <w:t>面源污染控制是一综合管控要求，需水库建设单位协同相关部门共同实施，</w:t>
      </w:r>
      <w:r>
        <w:rPr>
          <w:rFonts w:hint="default" w:ascii="Arial" w:hAnsi="Arial" w:cs="Arial"/>
          <w:bCs/>
          <w:kern w:val="0"/>
          <w:sz w:val="26"/>
          <w:szCs w:val="26"/>
        </w:rPr>
        <w:t>严格</w:t>
      </w:r>
      <w:r>
        <w:rPr>
          <w:rFonts w:hint="eastAsia" w:ascii="Arial" w:hAnsi="宋体" w:eastAsia="宋体" w:cs="Arial"/>
          <w:b w:val="0"/>
          <w:bCs w:val="0"/>
          <w:color w:val="auto"/>
          <w:sz w:val="26"/>
          <w:szCs w:val="26"/>
          <w:lang w:val="en-US" w:eastAsia="zh-CN"/>
        </w:rPr>
        <w:t>按照</w:t>
      </w:r>
      <w:r>
        <w:rPr>
          <w:rFonts w:hint="default" w:ascii="Arial" w:hAnsi="Arial" w:cs="Arial"/>
          <w:b w:val="0"/>
          <w:bCs w:val="0"/>
          <w:kern w:val="0"/>
          <w:sz w:val="26"/>
          <w:szCs w:val="26"/>
        </w:rPr>
        <w:t>《农村生活污染防治技术政策》（环发</w:t>
      </w:r>
      <w:r>
        <w:rPr>
          <w:rFonts w:hint="eastAsia" w:ascii="宋体" w:hAnsi="宋体" w:eastAsia="宋体" w:cs="宋体"/>
          <w:b w:val="0"/>
          <w:bCs w:val="0"/>
          <w:kern w:val="0"/>
          <w:sz w:val="26"/>
          <w:szCs w:val="26"/>
        </w:rPr>
        <w:t>〔</w:t>
      </w:r>
      <w:r>
        <w:rPr>
          <w:rFonts w:hint="default" w:ascii="Arial" w:hAnsi="Arial" w:cs="Arial"/>
          <w:b w:val="0"/>
          <w:bCs w:val="0"/>
          <w:kern w:val="0"/>
          <w:sz w:val="26"/>
          <w:szCs w:val="26"/>
        </w:rPr>
        <w:t>2010</w:t>
      </w:r>
      <w:r>
        <w:rPr>
          <w:rFonts w:hint="eastAsia" w:ascii="宋体" w:hAnsi="宋体" w:eastAsia="宋体" w:cs="宋体"/>
          <w:b w:val="0"/>
          <w:bCs w:val="0"/>
          <w:kern w:val="0"/>
          <w:sz w:val="26"/>
          <w:szCs w:val="26"/>
        </w:rPr>
        <w:t>〕</w:t>
      </w:r>
      <w:r>
        <w:rPr>
          <w:rFonts w:hint="default" w:ascii="Arial" w:hAnsi="Arial" w:cs="Arial"/>
          <w:b w:val="0"/>
          <w:bCs w:val="0"/>
          <w:kern w:val="0"/>
          <w:sz w:val="26"/>
          <w:szCs w:val="26"/>
        </w:rPr>
        <w:t>20号）</w:t>
      </w:r>
      <w:r>
        <w:rPr>
          <w:rFonts w:hint="default" w:ascii="Arial" w:hAnsi="Arial" w:cs="Arial"/>
          <w:bCs/>
          <w:kern w:val="0"/>
          <w:sz w:val="26"/>
          <w:szCs w:val="26"/>
        </w:rPr>
        <w:t>、《农药使用环境安全技术导则》（HJ556-2010）、《化肥使用环境安全技术导则》（HJ555-2010）的要求控制面源污染。</w:t>
      </w:r>
    </w:p>
    <w:p w14:paraId="32499770">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1"/>
        <w:rPr>
          <w:rFonts w:hint="eastAsia" w:ascii="Arial" w:hAnsi="Arial" w:eastAsia="宋体" w:cs="Arial"/>
          <w:sz w:val="26"/>
          <w:szCs w:val="26"/>
          <w:lang w:eastAsia="zh-CN"/>
        </w:rPr>
      </w:pPr>
      <w:r>
        <w:rPr>
          <w:rFonts w:hint="eastAsia" w:ascii="Arial" w:hAnsi="Arial" w:cs="Arial"/>
          <w:b/>
          <w:color w:val="auto"/>
          <w:sz w:val="26"/>
          <w:szCs w:val="26"/>
        </w:rPr>
        <w:t>（</w:t>
      </w:r>
      <w:r>
        <w:rPr>
          <w:rFonts w:hint="eastAsia" w:ascii="Arial" w:hAnsi="Arial" w:cs="Arial"/>
          <w:b/>
          <w:color w:val="auto"/>
          <w:sz w:val="26"/>
          <w:szCs w:val="26"/>
          <w:lang w:val="en-US" w:eastAsia="zh-CN"/>
        </w:rPr>
        <w:t>2</w:t>
      </w:r>
      <w:r>
        <w:rPr>
          <w:rFonts w:hint="eastAsia" w:ascii="Arial" w:hAnsi="Arial" w:cs="Arial"/>
          <w:b/>
          <w:color w:val="auto"/>
          <w:sz w:val="26"/>
          <w:szCs w:val="26"/>
        </w:rPr>
        <w:t>）</w:t>
      </w:r>
      <w:r>
        <w:rPr>
          <w:rFonts w:hint="eastAsia" w:ascii="Arial" w:hAnsi="Arial" w:cs="Arial"/>
          <w:b/>
          <w:color w:val="auto"/>
          <w:sz w:val="26"/>
          <w:szCs w:val="26"/>
          <w:lang w:eastAsia="zh-CN"/>
        </w:rPr>
        <w:t>防治水库富营养化</w:t>
      </w:r>
    </w:p>
    <w:p w14:paraId="06AA6AB6">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default" w:ascii="Arial" w:hAnsi="宋体" w:eastAsia="宋体" w:cs="Arial"/>
          <w:b/>
          <w:bCs/>
          <w:color w:val="auto"/>
          <w:sz w:val="26"/>
          <w:szCs w:val="26"/>
          <w:lang w:val="en-US" w:eastAsia="zh-CN"/>
        </w:rPr>
      </w:pPr>
      <w:r>
        <w:rPr>
          <w:rFonts w:hint="default" w:ascii="Arial" w:hAnsi="宋体" w:eastAsia="宋体" w:cs="Arial"/>
          <w:b/>
          <w:bCs/>
          <w:color w:val="auto"/>
          <w:sz w:val="26"/>
          <w:szCs w:val="26"/>
          <w:lang w:val="en-US" w:eastAsia="zh-CN"/>
        </w:rPr>
        <w:t>①</w:t>
      </w:r>
      <w:r>
        <w:rPr>
          <w:rFonts w:hint="eastAsia" w:ascii="Arial" w:hAnsi="宋体" w:eastAsia="宋体" w:cs="Arial"/>
          <w:b/>
          <w:bCs/>
          <w:color w:val="auto"/>
          <w:sz w:val="26"/>
          <w:szCs w:val="26"/>
          <w:lang w:val="en-US" w:eastAsia="zh-CN"/>
        </w:rPr>
        <w:t>富营养化预防措施</w:t>
      </w:r>
    </w:p>
    <w:p w14:paraId="7F678834">
      <w:pPr>
        <w:spacing w:line="460" w:lineRule="exact"/>
        <w:ind w:firstLine="520" w:firstLineChars="200"/>
        <w:rPr>
          <w:rFonts w:hint="eastAsia" w:ascii="Arial" w:hAnsi="宋体" w:cs="Arial"/>
          <w:sz w:val="26"/>
          <w:szCs w:val="26"/>
        </w:rPr>
      </w:pPr>
      <w:r>
        <w:rPr>
          <w:rFonts w:hint="eastAsia" w:ascii="Arial" w:hAnsi="宋体" w:cs="Arial"/>
          <w:sz w:val="26"/>
          <w:szCs w:val="26"/>
        </w:rPr>
        <w:t>水库成库可采取如下减缓措施，河流水质将逐渐改善，减少水库富营养化的趋势。</w:t>
      </w:r>
    </w:p>
    <w:p w14:paraId="4C4D0060">
      <w:pPr>
        <w:spacing w:line="460" w:lineRule="exact"/>
        <w:ind w:firstLine="520" w:firstLineChars="200"/>
        <w:rPr>
          <w:rFonts w:hint="eastAsia" w:ascii="Arial" w:hAnsi="宋体" w:cs="Arial"/>
          <w:sz w:val="26"/>
          <w:szCs w:val="26"/>
        </w:rPr>
      </w:pPr>
      <w:r>
        <w:rPr>
          <w:rFonts w:hint="eastAsia" w:ascii="Arial" w:hAnsi="宋体" w:cs="Arial"/>
          <w:sz w:val="26"/>
          <w:szCs w:val="26"/>
          <w:lang w:val="en-US" w:eastAsia="zh-CN"/>
        </w:rPr>
        <w:t>1）</w:t>
      </w:r>
      <w:r>
        <w:rPr>
          <w:rFonts w:hint="eastAsia" w:ascii="Arial" w:hAnsi="宋体" w:cs="Arial"/>
          <w:sz w:val="26"/>
          <w:szCs w:val="26"/>
        </w:rPr>
        <w:t>在蓄水前，按要求对库区进行清库作业，并进行消毒处理；</w:t>
      </w:r>
    </w:p>
    <w:p w14:paraId="54DF6345">
      <w:pPr>
        <w:spacing w:line="460" w:lineRule="exact"/>
        <w:ind w:firstLine="520" w:firstLineChars="200"/>
        <w:rPr>
          <w:rFonts w:hint="eastAsia" w:ascii="Arial" w:hAnsi="宋体" w:cs="Arial"/>
          <w:sz w:val="26"/>
          <w:szCs w:val="26"/>
        </w:rPr>
      </w:pPr>
      <w:r>
        <w:rPr>
          <w:rFonts w:hint="eastAsia" w:ascii="Arial" w:hAnsi="宋体" w:cs="Arial"/>
          <w:sz w:val="26"/>
          <w:szCs w:val="26"/>
          <w:lang w:val="en-US" w:eastAsia="zh-CN"/>
        </w:rPr>
        <w:t>2）</w:t>
      </w:r>
      <w:r>
        <w:rPr>
          <w:rFonts w:hint="eastAsia" w:ascii="Arial" w:hAnsi="宋体" w:cs="Arial"/>
          <w:sz w:val="26"/>
          <w:szCs w:val="26"/>
        </w:rPr>
        <w:t>运行过程中加强库区水质监测，特别是TP、TN、透明度、叶绿素a、</w:t>
      </w:r>
      <w:r>
        <w:rPr>
          <w:rFonts w:hint="eastAsia" w:ascii="Arial" w:hAnsi="宋体" w:cs="Arial"/>
          <w:sz w:val="26"/>
          <w:szCs w:val="26"/>
          <w:lang w:val="en-US" w:eastAsia="zh-CN"/>
        </w:rPr>
        <w:t>DO</w:t>
      </w:r>
      <w:r>
        <w:rPr>
          <w:rFonts w:hint="eastAsia" w:ascii="Arial" w:hAnsi="宋体" w:cs="Arial"/>
          <w:sz w:val="26"/>
          <w:szCs w:val="26"/>
        </w:rPr>
        <w:t>等敏感性指标，最大程度上判断水库富营养化的趋势和爆发可能性；</w:t>
      </w:r>
    </w:p>
    <w:p w14:paraId="6EA2726B">
      <w:pPr>
        <w:spacing w:line="460" w:lineRule="exact"/>
        <w:ind w:firstLine="520" w:firstLineChars="200"/>
        <w:rPr>
          <w:rFonts w:hint="eastAsia" w:ascii="Arial" w:hAnsi="宋体" w:cs="Arial"/>
          <w:sz w:val="26"/>
          <w:szCs w:val="26"/>
        </w:rPr>
      </w:pPr>
      <w:r>
        <w:rPr>
          <w:rFonts w:hint="eastAsia" w:ascii="Arial" w:hAnsi="宋体" w:cs="Arial"/>
          <w:sz w:val="26"/>
          <w:szCs w:val="26"/>
          <w:lang w:val="en-US" w:eastAsia="zh-CN"/>
        </w:rPr>
        <w:t>3）</w:t>
      </w:r>
      <w:r>
        <w:rPr>
          <w:rFonts w:hint="eastAsia" w:ascii="Arial" w:hAnsi="宋体" w:cs="Arial"/>
          <w:sz w:val="26"/>
          <w:szCs w:val="26"/>
        </w:rPr>
        <w:t>组织清漂作业，定期清理水库表面、库岸漂浮的树枝、固体废物、动植物尸体等；</w:t>
      </w:r>
    </w:p>
    <w:p w14:paraId="16647599">
      <w:pPr>
        <w:spacing w:line="460" w:lineRule="exact"/>
        <w:ind w:firstLine="520" w:firstLineChars="200"/>
        <w:rPr>
          <w:rFonts w:hint="eastAsia" w:ascii="Arial" w:hAnsi="宋体" w:cs="Arial"/>
          <w:sz w:val="26"/>
          <w:szCs w:val="26"/>
        </w:rPr>
      </w:pPr>
      <w:r>
        <w:rPr>
          <w:rFonts w:hint="eastAsia" w:ascii="Arial" w:hAnsi="宋体" w:cs="Arial"/>
          <w:sz w:val="26"/>
          <w:szCs w:val="26"/>
          <w:lang w:val="en-US" w:eastAsia="zh-CN"/>
        </w:rPr>
        <w:t>4）</w:t>
      </w:r>
      <w:r>
        <w:rPr>
          <w:rFonts w:hint="eastAsia" w:ascii="Arial" w:hAnsi="宋体" w:cs="Arial"/>
          <w:sz w:val="26"/>
          <w:szCs w:val="26"/>
        </w:rPr>
        <w:t>严格控制集雨范围内的耕作面积，加强宣传教育，引导库岸居民合理科学施用化肥、农药，不得使用含磷洗衣粉，控制农业面源污染；</w:t>
      </w:r>
    </w:p>
    <w:p w14:paraId="24FDE98E">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lang w:val="en-US" w:eastAsia="zh-CN"/>
        </w:rPr>
        <w:t>5）</w:t>
      </w:r>
      <w:r>
        <w:rPr>
          <w:rFonts w:hint="eastAsia" w:ascii="Arial" w:hAnsi="宋体" w:cs="Arial"/>
          <w:sz w:val="26"/>
          <w:szCs w:val="26"/>
        </w:rPr>
        <w:t>保证水库生态下泄流量，加强水体置换，同时在放水口前设置软基围栏，避免藻类进入下游河道</w:t>
      </w:r>
      <w:r>
        <w:rPr>
          <w:rFonts w:hint="eastAsia" w:ascii="Arial" w:hAnsi="宋体" w:cs="Arial"/>
          <w:sz w:val="26"/>
          <w:szCs w:val="26"/>
          <w:lang w:eastAsia="zh-CN"/>
        </w:rPr>
        <w:t>。</w:t>
      </w:r>
    </w:p>
    <w:p w14:paraId="7108B152">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rPr>
        <w:t>从水库特性和运用方式上分析，通过采取有效措施控制有机物和氮磷营养盐等污染源进入库区水体，保证彻底清库和上游交接断面水质达标，可有效减轻面源污染。运行过程中仍需加强监测，以便及时采取控制措施。</w:t>
      </w:r>
    </w:p>
    <w:p w14:paraId="713EC30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default" w:ascii="Arial" w:hAnsi="宋体" w:eastAsia="宋体" w:cs="Arial"/>
          <w:b/>
          <w:bCs/>
          <w:color w:val="auto"/>
          <w:sz w:val="26"/>
          <w:szCs w:val="26"/>
          <w:lang w:val="en-US" w:eastAsia="zh-CN"/>
        </w:rPr>
        <w:t>②</w:t>
      </w:r>
      <w:r>
        <w:rPr>
          <w:rFonts w:hint="eastAsia" w:ascii="Arial" w:hAnsi="宋体" w:eastAsia="宋体" w:cs="Arial"/>
          <w:b/>
          <w:bCs/>
          <w:color w:val="auto"/>
          <w:sz w:val="26"/>
          <w:szCs w:val="26"/>
          <w:lang w:val="en-US" w:eastAsia="zh-CN"/>
        </w:rPr>
        <w:t>藻类水华控制</w:t>
      </w:r>
    </w:p>
    <w:p w14:paraId="575700E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eastAsia="宋体" w:cs="Arial"/>
          <w:sz w:val="26"/>
          <w:szCs w:val="26"/>
          <w:lang w:eastAsia="zh-CN"/>
        </w:rPr>
      </w:pPr>
      <w:r>
        <w:rPr>
          <w:rFonts w:hint="default" w:ascii="Arial" w:hAnsi="Arial" w:eastAsia="宋体" w:cs="Arial"/>
          <w:sz w:val="26"/>
          <w:szCs w:val="26"/>
          <w:lang w:eastAsia="zh-CN"/>
        </w:rPr>
        <w:t>针对湖库型饮用水水源地的水华主要发生区域，分析其水文、水化学特征、营养负荷特征，以不同水华发生特征为基础，研究制定水华控制方案。除藻技术有机械打捞、工程物理、生物控藻三类。</w:t>
      </w:r>
    </w:p>
    <w:p w14:paraId="498A65F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机械打捞。高效机械打捞和水藻高效分离技术：通过合适的过滤或者絮凝等技术与装置，高效打捞并实现藻水分离。藻类打捞时间和地点确定技术：根据短期的气象与水文预测信息，确定在未来时间内藻类水华易聚集的时间和地点，组织人员和机械，在藻类高度聚集的水域打捞藻类，提高打捞效率。藻类与畜禽粪便混合发酵生产沼气技术：根据藻类难以发酵的特点，将其与畜禽粪便混合，提高发酵生产沼气的效率。</w:t>
      </w:r>
    </w:p>
    <w:p w14:paraId="49730AE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工程物理。利用过滤、紫外线、电磁电场等物理学方法，对藻类进行杀灭或抑制的技术。物理方法除藻效果普遍较好，可持久使用，但一次性投入成本很高且处理能力有限，大都局限于水处理工程中的应用。</w:t>
      </w:r>
    </w:p>
    <w:p w14:paraId="59B215B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生物控藻。利用藻类的天敌及其产生的生长抑制物质来控制或杀灭藻类的技术，主要包括：1）利用藻类病原菌（细菌、真菌）抑制藻类生长；2）利用藻类病毒（噬藻体）控制藻类的生长；3）利用植物的抑制物质、植物间的相互抑制以及富集和争夺营养源的抑藻作用；4）利用食藻鱼类控制藻类生长；5）酶处理技术。生物防治是最为科学的方法，藻类不易采用化学药剂来彻底杀灭，一是难以做到，二是代价太大，三是造成环境污染或破坏生态平衡；改用生物学方法并不是彻底杀灭或消除藻类，而是利用生态平衡原理将藻类的生长和繁殖控制在非危害水平之下，从而控制藻体数量、防治富营养化带来的各种危害。</w:t>
      </w:r>
    </w:p>
    <w:p w14:paraId="6E48D94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运营期间，水库业主应连同当地政府、农业部门等加强水库集雨范围内的污染监督管理，避免违规企业建设和运行对水库的影响。</w:t>
      </w:r>
    </w:p>
    <w:p w14:paraId="7326392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7.4.4入库污染源控制</w:t>
      </w:r>
    </w:p>
    <w:p w14:paraId="32BAA6D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宋体" w:hAnsi="宋体" w:eastAsia="宋体" w:cs="宋体"/>
          <w:sz w:val="26"/>
          <w:szCs w:val="26"/>
          <w:lang w:val="en-US" w:eastAsia="zh-CN"/>
        </w:rPr>
      </w:pPr>
      <w:r>
        <w:rPr>
          <w:rFonts w:hint="default" w:ascii="Arial" w:hAnsi="Arial" w:eastAsia="宋体" w:cs="Arial"/>
          <w:sz w:val="26"/>
          <w:szCs w:val="26"/>
          <w:lang w:eastAsia="zh-CN"/>
        </w:rPr>
        <w:t>《重庆市人民政府关于加强集中式饮用水源保护工作的通知》（渝府发〔</w:t>
      </w:r>
      <w:r>
        <w:rPr>
          <w:rFonts w:hint="default" w:ascii="Arial" w:hAnsi="Arial" w:eastAsia="宋体" w:cs="Arial"/>
          <w:sz w:val="26"/>
          <w:szCs w:val="26"/>
          <w:lang w:val="en-US" w:eastAsia="zh-CN"/>
        </w:rPr>
        <w:t>2012</w:t>
      </w:r>
      <w:r>
        <w:rPr>
          <w:rFonts w:hint="default" w:ascii="Arial" w:hAnsi="Arial" w:eastAsia="宋体" w:cs="Arial"/>
          <w:sz w:val="26"/>
          <w:szCs w:val="26"/>
          <w:lang w:eastAsia="zh-CN"/>
        </w:rPr>
        <w:t>〕</w:t>
      </w:r>
      <w:r>
        <w:rPr>
          <w:rFonts w:hint="default" w:ascii="Arial" w:hAnsi="Arial" w:eastAsia="宋体" w:cs="Arial"/>
          <w:sz w:val="26"/>
          <w:szCs w:val="26"/>
          <w:lang w:val="en-US" w:eastAsia="zh-CN"/>
        </w:rPr>
        <w:t>79号）</w:t>
      </w:r>
      <w:r>
        <w:rPr>
          <w:rFonts w:hint="eastAsia" w:ascii="Arial" w:hAnsi="Arial" w:eastAsia="宋体" w:cs="Arial"/>
          <w:sz w:val="26"/>
          <w:szCs w:val="26"/>
          <w:lang w:val="en-US" w:eastAsia="zh-CN"/>
        </w:rPr>
        <w:t>指出</w:t>
      </w:r>
      <w:r>
        <w:rPr>
          <w:rFonts w:hint="eastAsia" w:ascii="宋体" w:hAnsi="宋体" w:eastAsia="宋体" w:cs="宋体"/>
          <w:sz w:val="26"/>
          <w:szCs w:val="26"/>
          <w:lang w:val="en-US" w:eastAsia="zh-CN"/>
        </w:rPr>
        <w:t>，各区县人民政府是集中式饮用水源地管理工作的责任主体，规划部门应将集中式饮用水源保护区纳入规划红线控制范围，水利部门在水利项目审批、环保部门在建设项目审批、交通部门和海事部门在岸线审批、 农业部门在农业项目审批、食品药品监管部门在餐饮服务许可、卫生部门在服务业卫生许可时均应按照集中式饮用水源保护区管理规定依法审批。</w:t>
      </w:r>
    </w:p>
    <w:p w14:paraId="59C9942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海螺沟水库不涉及交通和海事部门，其余部门应按照要求，认真履行各自职责。《中华人民共和国水污染防治法》、《饮用水水源保护区污染防治管理规定》（环境保护令第16号）、《关于进一步加强饮用水水源安全保障工作的通知》（环办</w:t>
      </w:r>
      <w:r>
        <w:rPr>
          <w:rFonts w:hint="eastAsia" w:ascii="宋体" w:hAnsi="宋体" w:eastAsia="宋体" w:cs="宋体"/>
          <w:sz w:val="26"/>
          <w:szCs w:val="26"/>
          <w:lang w:eastAsia="zh-CN"/>
        </w:rPr>
        <w:t>〔</w:t>
      </w:r>
      <w:r>
        <w:rPr>
          <w:rFonts w:hint="eastAsia" w:ascii="Arial" w:hAnsi="Arial" w:eastAsia="宋体" w:cs="Arial"/>
          <w:sz w:val="26"/>
          <w:szCs w:val="26"/>
          <w:lang w:eastAsia="zh-CN"/>
        </w:rPr>
        <w:t>2009</w:t>
      </w:r>
      <w:r>
        <w:rPr>
          <w:rFonts w:hint="eastAsia" w:ascii="宋体" w:hAnsi="宋体" w:eastAsia="宋体" w:cs="宋体"/>
          <w:sz w:val="26"/>
          <w:szCs w:val="26"/>
          <w:lang w:eastAsia="zh-CN"/>
        </w:rPr>
        <w:t>〕</w:t>
      </w:r>
      <w:r>
        <w:rPr>
          <w:rFonts w:hint="eastAsia" w:ascii="Arial" w:hAnsi="Arial" w:eastAsia="宋体" w:cs="Arial"/>
          <w:sz w:val="26"/>
          <w:szCs w:val="26"/>
          <w:lang w:eastAsia="zh-CN"/>
        </w:rPr>
        <w:t>30号）、《重庆市水资源管理条例》、《重庆市人民政府关于加强集中式饮用水源保护工作的通知》（渝府发〔2012〕79号）对水源保护区进行了严格的保护和限制，详见下表（表中以“水污染防治法”为主，其他法规条例进行补充，相同内容不再罗列）。</w:t>
      </w:r>
    </w:p>
    <w:p w14:paraId="2414ED62">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1"/>
        <w:rPr>
          <w:rFonts w:hint="eastAsia" w:ascii="Arial" w:hAnsi="Arial" w:eastAsia="宋体" w:cs="Arial"/>
          <w:b/>
          <w:bCs/>
          <w:sz w:val="26"/>
          <w:szCs w:val="26"/>
          <w:lang w:val="en-US" w:eastAsia="zh-CN"/>
        </w:rPr>
      </w:pPr>
      <w:r>
        <w:rPr>
          <w:rFonts w:hint="eastAsia" w:ascii="Arial" w:hAnsi="Arial" w:eastAsia="宋体" w:cs="Arial"/>
          <w:b/>
          <w:bCs/>
          <w:sz w:val="26"/>
          <w:szCs w:val="26"/>
          <w:lang w:eastAsia="zh-CN"/>
        </w:rPr>
        <w:t>表</w:t>
      </w:r>
      <w:r>
        <w:rPr>
          <w:rFonts w:hint="eastAsia" w:ascii="Arial" w:hAnsi="Arial" w:eastAsia="宋体" w:cs="Arial"/>
          <w:b/>
          <w:bCs/>
          <w:sz w:val="26"/>
          <w:szCs w:val="26"/>
          <w:lang w:val="en-US" w:eastAsia="zh-CN"/>
        </w:rPr>
        <w:t>7.4-1 水源保护区相关管理规定</w:t>
      </w:r>
    </w:p>
    <w:tbl>
      <w:tblPr>
        <w:tblStyle w:val="77"/>
        <w:tblW w:w="89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844"/>
        <w:gridCol w:w="6474"/>
      </w:tblGrid>
      <w:tr w14:paraId="06178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5BD48FB0">
            <w:pPr>
              <w:pStyle w:val="2106"/>
              <w:spacing w:beforeLines="0" w:afterLines="0" w:line="300" w:lineRule="exact"/>
              <w:rPr>
                <w:rFonts w:ascii="Arial" w:hAnsi="Arial" w:cs="Arial"/>
                <w:color w:val="auto"/>
                <w:sz w:val="22"/>
                <w:szCs w:val="22"/>
              </w:rPr>
            </w:pPr>
            <w:r>
              <w:rPr>
                <w:rFonts w:ascii="Arial" w:cs="Arial"/>
                <w:color w:val="auto"/>
                <w:sz w:val="22"/>
                <w:szCs w:val="22"/>
              </w:rPr>
              <w:t>序号</w:t>
            </w:r>
          </w:p>
        </w:tc>
        <w:tc>
          <w:tcPr>
            <w:tcW w:w="1844" w:type="dxa"/>
            <w:noWrap w:val="0"/>
            <w:vAlign w:val="center"/>
          </w:tcPr>
          <w:p w14:paraId="38920A61">
            <w:pPr>
              <w:pStyle w:val="2106"/>
              <w:spacing w:beforeLines="0" w:afterLines="0" w:line="300" w:lineRule="exact"/>
              <w:rPr>
                <w:rFonts w:ascii="Arial" w:hAnsi="Arial" w:cs="Arial"/>
                <w:color w:val="auto"/>
                <w:sz w:val="22"/>
                <w:szCs w:val="22"/>
              </w:rPr>
            </w:pPr>
            <w:r>
              <w:rPr>
                <w:rFonts w:ascii="Arial" w:cs="Arial"/>
                <w:color w:val="auto"/>
                <w:sz w:val="22"/>
                <w:szCs w:val="22"/>
              </w:rPr>
              <w:t>相关政策</w:t>
            </w:r>
          </w:p>
        </w:tc>
        <w:tc>
          <w:tcPr>
            <w:tcW w:w="6474" w:type="dxa"/>
            <w:noWrap w:val="0"/>
            <w:vAlign w:val="center"/>
          </w:tcPr>
          <w:p w14:paraId="7C8BA949">
            <w:pPr>
              <w:pStyle w:val="2106"/>
              <w:spacing w:beforeLines="0" w:afterLines="0" w:line="300" w:lineRule="exact"/>
              <w:rPr>
                <w:rFonts w:ascii="Arial" w:hAnsi="Arial" w:cs="Arial"/>
                <w:color w:val="auto"/>
                <w:sz w:val="22"/>
                <w:szCs w:val="22"/>
              </w:rPr>
            </w:pPr>
            <w:r>
              <w:rPr>
                <w:rFonts w:ascii="Arial" w:cs="Arial"/>
                <w:color w:val="auto"/>
                <w:sz w:val="22"/>
                <w:szCs w:val="22"/>
              </w:rPr>
              <w:t>管控要求</w:t>
            </w:r>
          </w:p>
        </w:tc>
      </w:tr>
      <w:tr w14:paraId="69E8A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1F64F0B4">
            <w:pPr>
              <w:pStyle w:val="2106"/>
              <w:spacing w:beforeLines="0" w:afterLines="0" w:line="300" w:lineRule="exact"/>
              <w:rPr>
                <w:rFonts w:ascii="Arial" w:hAnsi="Arial" w:cs="Arial"/>
                <w:color w:val="auto"/>
                <w:sz w:val="22"/>
                <w:szCs w:val="22"/>
              </w:rPr>
            </w:pPr>
            <w:r>
              <w:rPr>
                <w:rFonts w:ascii="Arial" w:hAnsi="Arial" w:cs="Arial"/>
                <w:color w:val="auto"/>
                <w:sz w:val="22"/>
                <w:szCs w:val="22"/>
              </w:rPr>
              <w:t>1</w:t>
            </w:r>
          </w:p>
        </w:tc>
        <w:tc>
          <w:tcPr>
            <w:tcW w:w="1844" w:type="dxa"/>
            <w:noWrap w:val="0"/>
            <w:vAlign w:val="center"/>
          </w:tcPr>
          <w:p w14:paraId="6CCFFE00">
            <w:pPr>
              <w:pStyle w:val="2106"/>
              <w:spacing w:beforeLines="0" w:afterLines="0" w:line="300" w:lineRule="exact"/>
              <w:rPr>
                <w:rFonts w:ascii="Arial" w:hAnsi="Arial" w:cs="Arial"/>
                <w:color w:val="auto"/>
                <w:sz w:val="22"/>
                <w:szCs w:val="22"/>
              </w:rPr>
            </w:pPr>
            <w:r>
              <w:rPr>
                <w:rFonts w:hint="eastAsia" w:ascii="Arial" w:cs="Arial"/>
                <w:color w:val="auto"/>
                <w:sz w:val="22"/>
                <w:szCs w:val="22"/>
                <w:lang w:eastAsia="zh-CN"/>
              </w:rPr>
              <w:t>《</w:t>
            </w:r>
            <w:r>
              <w:rPr>
                <w:rFonts w:ascii="Arial" w:cs="Arial"/>
                <w:color w:val="auto"/>
                <w:sz w:val="22"/>
                <w:szCs w:val="22"/>
              </w:rPr>
              <w:t>中华人民共和国水污染防治法</w:t>
            </w:r>
            <w:r>
              <w:rPr>
                <w:rFonts w:hint="eastAsia" w:ascii="Arial" w:cs="Arial"/>
                <w:color w:val="auto"/>
                <w:sz w:val="22"/>
                <w:szCs w:val="22"/>
                <w:lang w:eastAsia="zh-CN"/>
              </w:rPr>
              <w:t>》</w:t>
            </w:r>
          </w:p>
        </w:tc>
        <w:tc>
          <w:tcPr>
            <w:tcW w:w="6474" w:type="dxa"/>
            <w:noWrap w:val="0"/>
            <w:vAlign w:val="center"/>
          </w:tcPr>
          <w:p w14:paraId="7EBF9FF4">
            <w:pPr>
              <w:pStyle w:val="2106"/>
              <w:spacing w:beforeLines="0" w:afterLines="0" w:line="300" w:lineRule="exact"/>
              <w:jc w:val="both"/>
              <w:rPr>
                <w:rFonts w:hint="eastAsia" w:ascii="Arial" w:cs="Arial"/>
                <w:color w:val="auto"/>
                <w:sz w:val="22"/>
                <w:szCs w:val="22"/>
                <w:lang w:eastAsia="zh-CN"/>
              </w:rPr>
            </w:pPr>
            <w:r>
              <w:rPr>
                <w:rFonts w:ascii="Arial" w:cs="Arial"/>
                <w:color w:val="auto"/>
                <w:sz w:val="22"/>
                <w:szCs w:val="22"/>
              </w:rPr>
              <w:t>第六十四条</w:t>
            </w:r>
            <w:r>
              <w:rPr>
                <w:rFonts w:ascii="Arial" w:hAnsi="Arial" w:cs="Arial"/>
                <w:color w:val="auto"/>
                <w:sz w:val="22"/>
                <w:szCs w:val="22"/>
              </w:rPr>
              <w:t xml:space="preserve"> </w:t>
            </w:r>
            <w:r>
              <w:rPr>
                <w:rFonts w:ascii="Arial" w:cs="Arial"/>
                <w:color w:val="auto"/>
                <w:sz w:val="22"/>
                <w:szCs w:val="22"/>
              </w:rPr>
              <w:t>在饮用水水源保护区内，禁止设置排污口。</w:t>
            </w:r>
          </w:p>
          <w:p w14:paraId="7C152C2F">
            <w:pPr>
              <w:pStyle w:val="2106"/>
              <w:spacing w:beforeLines="0" w:afterLines="0" w:line="300" w:lineRule="exact"/>
              <w:jc w:val="both"/>
              <w:rPr>
                <w:rFonts w:ascii="Arial" w:hAnsi="Arial" w:cs="Arial"/>
                <w:color w:val="auto"/>
                <w:sz w:val="22"/>
                <w:szCs w:val="22"/>
              </w:rPr>
            </w:pPr>
            <w:r>
              <w:rPr>
                <w:rFonts w:ascii="Arial" w:cs="Arial"/>
                <w:color w:val="auto"/>
                <w:sz w:val="22"/>
                <w:szCs w:val="22"/>
              </w:rPr>
              <w:t>第六十五条</w:t>
            </w:r>
            <w:r>
              <w:rPr>
                <w:rFonts w:ascii="Arial" w:hAnsi="Arial" w:cs="Arial"/>
                <w:color w:val="auto"/>
                <w:sz w:val="22"/>
                <w:szCs w:val="22"/>
              </w:rPr>
              <w:t xml:space="preserve"> </w:t>
            </w:r>
            <w:r>
              <w:rPr>
                <w:rFonts w:ascii="Arial" w:cs="Arial"/>
                <w:color w:val="auto"/>
                <w:sz w:val="22"/>
                <w:szCs w:val="22"/>
              </w:rPr>
              <w:t>禁止在饮用水水源一级保护区内新建、改建、扩建与供水设施和保护水源无关的建设项目；已建成的与供水设施和保护水源无关的建设项目，由县级以上人民政府责令拆除或者关闭。</w:t>
            </w:r>
          </w:p>
          <w:p w14:paraId="72C378D9">
            <w:pPr>
              <w:pStyle w:val="2106"/>
              <w:spacing w:beforeLines="0" w:afterLines="0" w:line="300" w:lineRule="exact"/>
              <w:jc w:val="both"/>
              <w:rPr>
                <w:rFonts w:ascii="Arial" w:hAnsi="Arial" w:cs="Arial"/>
                <w:color w:val="auto"/>
                <w:sz w:val="22"/>
                <w:szCs w:val="22"/>
              </w:rPr>
            </w:pPr>
            <w:r>
              <w:rPr>
                <w:rFonts w:ascii="Arial" w:cs="Arial"/>
                <w:color w:val="auto"/>
                <w:sz w:val="22"/>
                <w:szCs w:val="22"/>
              </w:rPr>
              <w:t>禁止在饮用水水源一级保护区内从事网箱养殖、旅游、游泳、垂钓或者其他可能污染饮用水水体的活动。</w:t>
            </w:r>
          </w:p>
          <w:p w14:paraId="51D16380">
            <w:pPr>
              <w:pStyle w:val="2106"/>
              <w:spacing w:beforeLines="0" w:afterLines="0" w:line="300" w:lineRule="exact"/>
              <w:jc w:val="both"/>
              <w:rPr>
                <w:rFonts w:ascii="Arial" w:hAnsi="Arial" w:cs="Arial"/>
                <w:color w:val="auto"/>
                <w:sz w:val="22"/>
                <w:szCs w:val="22"/>
              </w:rPr>
            </w:pPr>
            <w:r>
              <w:rPr>
                <w:rFonts w:ascii="Arial" w:cs="Arial"/>
                <w:color w:val="auto"/>
                <w:sz w:val="22"/>
                <w:szCs w:val="22"/>
              </w:rPr>
              <w:t>第六十六条</w:t>
            </w:r>
            <w:r>
              <w:rPr>
                <w:rFonts w:ascii="Arial" w:hAnsi="Arial" w:cs="Arial"/>
                <w:color w:val="auto"/>
                <w:sz w:val="22"/>
                <w:szCs w:val="22"/>
              </w:rPr>
              <w:t xml:space="preserve"> </w:t>
            </w:r>
            <w:r>
              <w:rPr>
                <w:rFonts w:ascii="Arial" w:cs="Arial"/>
                <w:color w:val="auto"/>
                <w:sz w:val="22"/>
                <w:szCs w:val="22"/>
              </w:rPr>
              <w:t>禁止在饮用水水源二级保护区内新建、改建、扩建排放污染物的建设项目；已建成的排放污染物的建设项目，由县级以上人民政府责令拆除或者关闭。</w:t>
            </w:r>
          </w:p>
          <w:p w14:paraId="7141E460">
            <w:pPr>
              <w:pStyle w:val="2106"/>
              <w:spacing w:beforeLines="0" w:afterLines="0" w:line="300" w:lineRule="exact"/>
              <w:jc w:val="both"/>
              <w:rPr>
                <w:rFonts w:ascii="Arial" w:hAnsi="Arial" w:cs="Arial"/>
                <w:color w:val="auto"/>
                <w:sz w:val="22"/>
                <w:szCs w:val="22"/>
              </w:rPr>
            </w:pPr>
            <w:r>
              <w:rPr>
                <w:rFonts w:ascii="Arial" w:cs="Arial"/>
                <w:color w:val="auto"/>
                <w:sz w:val="22"/>
                <w:szCs w:val="22"/>
              </w:rPr>
              <w:t>在饮用水水源二级保护区内从事网箱养殖、旅游等活动的，应当按照规定采取措施，防止污染饮用水水体。</w:t>
            </w:r>
          </w:p>
          <w:p w14:paraId="3F5B2D08">
            <w:pPr>
              <w:pStyle w:val="2106"/>
              <w:spacing w:beforeLines="0" w:afterLines="0" w:line="300" w:lineRule="exact"/>
              <w:jc w:val="both"/>
              <w:rPr>
                <w:rFonts w:ascii="Arial" w:hAnsi="Arial" w:cs="Arial"/>
                <w:color w:val="auto"/>
                <w:sz w:val="22"/>
                <w:szCs w:val="22"/>
              </w:rPr>
            </w:pPr>
            <w:r>
              <w:rPr>
                <w:rFonts w:ascii="Arial" w:cs="Arial"/>
                <w:color w:val="auto"/>
                <w:sz w:val="22"/>
                <w:szCs w:val="22"/>
              </w:rPr>
              <w:t>第六十七条</w:t>
            </w:r>
            <w:r>
              <w:rPr>
                <w:rFonts w:ascii="Arial" w:hAnsi="Arial" w:cs="Arial"/>
                <w:color w:val="auto"/>
                <w:sz w:val="22"/>
                <w:szCs w:val="22"/>
              </w:rPr>
              <w:t xml:space="preserve"> </w:t>
            </w:r>
            <w:r>
              <w:rPr>
                <w:rFonts w:ascii="Arial" w:cs="Arial"/>
                <w:color w:val="auto"/>
                <w:sz w:val="22"/>
                <w:szCs w:val="22"/>
              </w:rPr>
              <w:t>禁止在饮用水水源准保护区内新建、扩建对水体污染严重的建设项目；改建建设项目，不得增加排污量。</w:t>
            </w:r>
          </w:p>
        </w:tc>
      </w:tr>
      <w:tr w14:paraId="143D6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515B796E">
            <w:pPr>
              <w:pStyle w:val="2106"/>
              <w:spacing w:beforeLines="0" w:afterLines="0"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2</w:t>
            </w:r>
          </w:p>
        </w:tc>
        <w:tc>
          <w:tcPr>
            <w:tcW w:w="1844" w:type="dxa"/>
            <w:shd w:val="clear" w:color="auto" w:fill="auto"/>
            <w:noWrap w:val="0"/>
            <w:vAlign w:val="center"/>
          </w:tcPr>
          <w:p w14:paraId="704A0620">
            <w:pPr>
              <w:pStyle w:val="2106"/>
              <w:spacing w:beforeLines="0" w:afterLines="0" w:line="300" w:lineRule="exact"/>
              <w:rPr>
                <w:rFonts w:hint="eastAsia" w:ascii="Arial" w:cs="Arial"/>
                <w:color w:val="auto"/>
                <w:sz w:val="22"/>
                <w:szCs w:val="22"/>
                <w:lang w:eastAsia="zh-CN"/>
              </w:rPr>
            </w:pPr>
            <w:r>
              <w:rPr>
                <w:rFonts w:hint="eastAsia" w:ascii="Arial" w:cs="Arial"/>
                <w:color w:val="auto"/>
                <w:sz w:val="22"/>
                <w:szCs w:val="22"/>
                <w:lang w:eastAsia="zh-CN"/>
              </w:rPr>
              <w:t>《饮用水水源保</w:t>
            </w:r>
          </w:p>
          <w:p w14:paraId="214B72F1">
            <w:pPr>
              <w:pStyle w:val="2106"/>
              <w:spacing w:beforeLines="0" w:afterLines="0" w:line="300" w:lineRule="exact"/>
              <w:ind w:firstLine="0" w:firstLineChars="0"/>
              <w:rPr>
                <w:rFonts w:hint="eastAsia" w:ascii="Arial" w:hAnsi="Times New Roman" w:eastAsia="宋体" w:cs="Arial"/>
                <w:color w:val="auto"/>
                <w:kern w:val="2"/>
                <w:sz w:val="22"/>
                <w:szCs w:val="22"/>
                <w:lang w:val="en-US" w:eastAsia="zh-CN" w:bidi="ar-SA"/>
              </w:rPr>
            </w:pPr>
            <w:r>
              <w:rPr>
                <w:rFonts w:hint="eastAsia" w:ascii="Arial" w:cs="Arial"/>
                <w:color w:val="auto"/>
                <w:sz w:val="22"/>
                <w:szCs w:val="22"/>
                <w:lang w:eastAsia="zh-CN"/>
              </w:rPr>
              <w:t>护区污染防治管理规定》</w:t>
            </w:r>
          </w:p>
        </w:tc>
        <w:tc>
          <w:tcPr>
            <w:tcW w:w="6474" w:type="dxa"/>
            <w:shd w:val="clear" w:color="auto" w:fill="auto"/>
            <w:noWrap w:val="0"/>
            <w:vAlign w:val="center"/>
          </w:tcPr>
          <w:p w14:paraId="20129A89">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1、禁止一切破坏水环境生态平衡的活动以及破坏水源林、护岸林、与水源保护相关植被的活动。</w:t>
            </w:r>
          </w:p>
          <w:p w14:paraId="42FDF834">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2、禁止向水域倾倒工业废渣、城市垃圾、粪便及其它废弃物。</w:t>
            </w:r>
          </w:p>
          <w:p w14:paraId="5095465B">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3、运输有毒有害物质，油类、粪便的船舶和车辆一般不准进入保护区，必须进入者应事先申请并经有关部门批准，登记并设置防渗、防溢、防漏设施。</w:t>
            </w:r>
          </w:p>
          <w:p w14:paraId="0ED593E2">
            <w:pPr>
              <w:pStyle w:val="2106"/>
              <w:spacing w:beforeLines="0" w:afterLines="0" w:line="300" w:lineRule="exact"/>
              <w:ind w:firstLine="0" w:firstLineChars="0"/>
              <w:jc w:val="both"/>
              <w:rPr>
                <w:rFonts w:ascii="Arial" w:hAnsi="Arial" w:eastAsia="宋体" w:cs="Arial"/>
                <w:color w:val="auto"/>
                <w:kern w:val="2"/>
                <w:sz w:val="22"/>
                <w:szCs w:val="22"/>
                <w:lang w:val="en-US" w:eastAsia="zh-CN" w:bidi="ar-SA"/>
              </w:rPr>
            </w:pPr>
            <w:r>
              <w:rPr>
                <w:rFonts w:hint="eastAsia" w:ascii="Arial" w:hAnsi="Arial" w:cs="Arial"/>
                <w:color w:val="auto"/>
                <w:sz w:val="22"/>
                <w:szCs w:val="22"/>
              </w:rPr>
              <w:t>4、禁止使用剧毒和高残留农药，不得滥用化肥，不得使用炸，毒品捕杀鱼类。</w:t>
            </w:r>
          </w:p>
        </w:tc>
      </w:tr>
      <w:tr w14:paraId="42588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674" w:type="dxa"/>
            <w:noWrap w:val="0"/>
            <w:vAlign w:val="center"/>
          </w:tcPr>
          <w:p w14:paraId="66C0AF3D">
            <w:pPr>
              <w:pStyle w:val="2106"/>
              <w:spacing w:beforeLines="0" w:afterLines="0"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3</w:t>
            </w:r>
          </w:p>
        </w:tc>
        <w:tc>
          <w:tcPr>
            <w:tcW w:w="1844" w:type="dxa"/>
            <w:shd w:val="clear" w:color="auto" w:fill="auto"/>
            <w:noWrap w:val="0"/>
            <w:vAlign w:val="center"/>
          </w:tcPr>
          <w:p w14:paraId="57A6B7BC">
            <w:pPr>
              <w:pStyle w:val="2106"/>
              <w:spacing w:beforeLines="0" w:afterLines="0" w:line="300" w:lineRule="exact"/>
              <w:rPr>
                <w:rFonts w:hint="eastAsia" w:ascii="Arial" w:cs="Arial"/>
                <w:color w:val="auto"/>
                <w:sz w:val="22"/>
                <w:szCs w:val="22"/>
                <w:lang w:eastAsia="zh-CN"/>
              </w:rPr>
            </w:pPr>
            <w:r>
              <w:rPr>
                <w:rFonts w:hint="eastAsia" w:ascii="Arial" w:cs="Arial"/>
                <w:color w:val="auto"/>
                <w:sz w:val="22"/>
                <w:szCs w:val="22"/>
                <w:lang w:eastAsia="zh-CN"/>
              </w:rPr>
              <w:t>《关于进一步加</w:t>
            </w:r>
          </w:p>
          <w:p w14:paraId="262E4271">
            <w:pPr>
              <w:pStyle w:val="2106"/>
              <w:spacing w:beforeLines="0" w:afterLines="0" w:line="300" w:lineRule="exact"/>
              <w:ind w:firstLine="0" w:firstLineChars="0"/>
              <w:rPr>
                <w:rFonts w:hint="eastAsia" w:ascii="Arial" w:hAnsi="Times New Roman" w:eastAsia="宋体" w:cs="Arial"/>
                <w:b/>
                <w:color w:val="auto"/>
                <w:kern w:val="2"/>
                <w:sz w:val="22"/>
                <w:szCs w:val="22"/>
                <w:lang w:val="en-US" w:eastAsia="zh-CN" w:bidi="ar-SA"/>
              </w:rPr>
            </w:pPr>
            <w:r>
              <w:rPr>
                <w:rFonts w:hint="eastAsia" w:ascii="Arial" w:cs="Arial"/>
                <w:color w:val="auto"/>
                <w:sz w:val="22"/>
                <w:szCs w:val="22"/>
                <w:lang w:eastAsia="zh-CN"/>
              </w:rPr>
              <w:t>强饮用水水源安全保障工作的通知》</w:t>
            </w:r>
          </w:p>
        </w:tc>
        <w:tc>
          <w:tcPr>
            <w:tcW w:w="6474" w:type="dxa"/>
            <w:shd w:val="clear" w:color="auto" w:fill="auto"/>
            <w:noWrap w:val="0"/>
            <w:vAlign w:val="center"/>
          </w:tcPr>
          <w:p w14:paraId="501BD1DD">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1、加强辖区饮用水水源安全风险隐患排查。在全国饮用水水源基础环境调查及评估工作基础上，全面排查饮用水水源保护区、准保护区内及上游地区的污染源，加强对可能影响饮水安全的制药、化工、造纸、冶炼等重点行业、重点污染源的监督管理，建立风险源名录，从源头控制隐患。一旦发生饮用水水源污染事故， 要迅速查清并切断污染来源，在当地政府统一领导下，开展污染防控工作，确保群众饮水安全。</w:t>
            </w:r>
          </w:p>
          <w:p w14:paraId="1C5E8D4D">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2、加强交通运输行业的污染防治工作。配合交通及海事部门，严格按照《危险化学品安全管理条例》及《内河交通安全管理条例》等法律法规的要求， 加强饮用水源保护区、准保护区内及上游地区油类和危险化学品运载、装卸和储存设施的监管，督促其完善防溢流、防渗漏、防污染措施。各相关码头要配备足够的 污染物、废弃物接收设施。</w:t>
            </w:r>
          </w:p>
          <w:p w14:paraId="0BAA0417">
            <w:pPr>
              <w:pStyle w:val="2106"/>
              <w:spacing w:beforeLines="0" w:afterLines="0" w:line="300" w:lineRule="exact"/>
              <w:ind w:firstLine="0" w:firstLineChars="0"/>
              <w:jc w:val="both"/>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3、进一步加强饮用水水源水质监测工作。针对存在风险隐患的水源，要加密跨界断面水质及污染特征因子监测频次，及时了解水质变化状况，及时发现 问题、解决问题。要加强环境应急监测能力建设，一旦发生污染事故，要迅速准确监测分析出污染物种类、数量、来源和潜在危害，及时提出应急处理处置建议。国 家环保重点城市要按照我部的统一要求，开展饮用水源水质监测工作，并按程序上报监测结果。</w:t>
            </w:r>
          </w:p>
        </w:tc>
      </w:tr>
      <w:tr w14:paraId="36A636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1E5A14B1">
            <w:pPr>
              <w:pStyle w:val="2106"/>
              <w:spacing w:beforeLines="0" w:afterLines="0"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4</w:t>
            </w:r>
          </w:p>
        </w:tc>
        <w:tc>
          <w:tcPr>
            <w:tcW w:w="1844" w:type="dxa"/>
            <w:shd w:val="clear" w:color="auto" w:fill="auto"/>
            <w:noWrap w:val="0"/>
            <w:vAlign w:val="center"/>
          </w:tcPr>
          <w:p w14:paraId="5D70C770">
            <w:pPr>
              <w:pStyle w:val="2106"/>
              <w:spacing w:beforeLines="0" w:afterLines="0" w:line="300" w:lineRule="exact"/>
              <w:rPr>
                <w:rFonts w:hint="eastAsia" w:ascii="Arial" w:cs="Arial"/>
                <w:color w:val="auto"/>
                <w:sz w:val="22"/>
                <w:szCs w:val="22"/>
                <w:lang w:eastAsia="zh-CN"/>
              </w:rPr>
            </w:pPr>
            <w:r>
              <w:rPr>
                <w:rFonts w:hint="eastAsia" w:ascii="Arial" w:cs="Arial"/>
                <w:color w:val="auto"/>
                <w:sz w:val="22"/>
                <w:szCs w:val="22"/>
                <w:lang w:eastAsia="zh-CN"/>
              </w:rPr>
              <w:t>《重庆市水资源</w:t>
            </w:r>
          </w:p>
          <w:p w14:paraId="17310046">
            <w:pPr>
              <w:pStyle w:val="2106"/>
              <w:spacing w:beforeLines="0" w:afterLines="0" w:line="300" w:lineRule="exact"/>
              <w:ind w:firstLine="0" w:firstLineChars="0"/>
              <w:rPr>
                <w:rFonts w:hint="eastAsia" w:ascii="Arial" w:hAnsi="Times New Roman" w:eastAsia="宋体" w:cs="Arial"/>
                <w:color w:val="auto"/>
                <w:kern w:val="2"/>
                <w:sz w:val="22"/>
                <w:szCs w:val="22"/>
                <w:lang w:val="en-US" w:eastAsia="zh-CN" w:bidi="ar-SA"/>
              </w:rPr>
            </w:pPr>
            <w:r>
              <w:rPr>
                <w:rFonts w:hint="eastAsia" w:ascii="Arial" w:cs="Arial"/>
                <w:color w:val="auto"/>
                <w:sz w:val="22"/>
                <w:szCs w:val="22"/>
                <w:lang w:eastAsia="zh-CN"/>
              </w:rPr>
              <w:t>管理条例》</w:t>
            </w:r>
          </w:p>
        </w:tc>
        <w:tc>
          <w:tcPr>
            <w:tcW w:w="6474" w:type="dxa"/>
            <w:shd w:val="clear" w:color="auto" w:fill="auto"/>
            <w:noWrap w:val="0"/>
            <w:vAlign w:val="center"/>
          </w:tcPr>
          <w:p w14:paraId="3A257D0E">
            <w:pPr>
              <w:pStyle w:val="2106"/>
              <w:spacing w:beforeLines="0" w:afterLines="0" w:line="300" w:lineRule="exact"/>
              <w:ind w:firstLine="0" w:firstLineChars="0"/>
              <w:jc w:val="both"/>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饮用水水源地管理单位、取水单位应当按照各自职责建立、健全巡查制度，组织对饮用水水源地及相关设施进行巡查，并做好巡查记录。对巡查中发现可能造成饮用水水源污染的行为应当劝阻和制止，劝阻和制止无效的，应当及时向有关执法机关报告，由有关执法机关依法处置。</w:t>
            </w:r>
          </w:p>
        </w:tc>
      </w:tr>
      <w:tr w14:paraId="45385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2FEAB1E8">
            <w:pPr>
              <w:pStyle w:val="2106"/>
              <w:spacing w:beforeLines="0" w:afterLines="0"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5</w:t>
            </w:r>
          </w:p>
        </w:tc>
        <w:tc>
          <w:tcPr>
            <w:tcW w:w="1844" w:type="dxa"/>
            <w:shd w:val="clear" w:color="auto" w:fill="auto"/>
            <w:noWrap w:val="0"/>
            <w:vAlign w:val="center"/>
          </w:tcPr>
          <w:p w14:paraId="32AADB2A">
            <w:pPr>
              <w:pStyle w:val="2106"/>
              <w:spacing w:beforeLines="0" w:afterLines="0" w:line="300" w:lineRule="exact"/>
              <w:rPr>
                <w:rFonts w:hint="eastAsia" w:ascii="Arial" w:cs="Arial"/>
                <w:color w:val="auto"/>
                <w:sz w:val="22"/>
                <w:szCs w:val="22"/>
                <w:lang w:eastAsia="zh-CN"/>
              </w:rPr>
            </w:pPr>
            <w:r>
              <w:rPr>
                <w:rFonts w:hint="eastAsia" w:ascii="Arial" w:cs="Arial"/>
                <w:color w:val="auto"/>
                <w:sz w:val="22"/>
                <w:szCs w:val="22"/>
                <w:lang w:eastAsia="zh-CN"/>
              </w:rPr>
              <w:t>《重庆市人民政</w:t>
            </w:r>
          </w:p>
          <w:p w14:paraId="4D1FBCBF">
            <w:pPr>
              <w:pStyle w:val="2106"/>
              <w:spacing w:beforeLines="0" w:afterLines="0" w:line="300" w:lineRule="exact"/>
              <w:ind w:firstLine="0" w:firstLineChars="0"/>
              <w:rPr>
                <w:rFonts w:hint="eastAsia" w:ascii="Arial" w:hAnsi="Times New Roman" w:eastAsia="宋体" w:cs="Arial"/>
                <w:color w:val="auto"/>
                <w:kern w:val="2"/>
                <w:sz w:val="22"/>
                <w:szCs w:val="22"/>
                <w:lang w:val="en-US" w:eastAsia="zh-CN" w:bidi="ar-SA"/>
              </w:rPr>
            </w:pPr>
            <w:r>
              <w:rPr>
                <w:rFonts w:hint="eastAsia" w:ascii="Arial" w:cs="Arial"/>
                <w:color w:val="auto"/>
                <w:sz w:val="22"/>
                <w:szCs w:val="22"/>
                <w:lang w:eastAsia="zh-CN"/>
              </w:rPr>
              <w:t>府关于加强集中式饮用水源保护工作的通知》</w:t>
            </w:r>
          </w:p>
        </w:tc>
        <w:tc>
          <w:tcPr>
            <w:tcW w:w="6474" w:type="dxa"/>
            <w:shd w:val="clear" w:color="auto" w:fill="auto"/>
            <w:noWrap w:val="0"/>
            <w:vAlign w:val="center"/>
          </w:tcPr>
          <w:p w14:paraId="2E7EBA1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textAlignment w:val="auto"/>
              <w:rPr>
                <w:rFonts w:hint="eastAsia" w:ascii="Arial" w:hAnsi="Arial" w:cs="Arial"/>
                <w:sz w:val="22"/>
                <w:szCs w:val="22"/>
                <w:lang w:val="en-US" w:eastAsia="zh-CN"/>
              </w:rPr>
            </w:pPr>
            <w:r>
              <w:rPr>
                <w:rFonts w:hint="eastAsia" w:ascii="Arial" w:hAnsi="Arial" w:cs="Arial"/>
                <w:sz w:val="22"/>
                <w:szCs w:val="22"/>
                <w:lang w:val="en-US" w:eastAsia="zh-CN"/>
              </w:rPr>
              <w:t>1、依法实施集中式饮用水源保护区管理。集中式饮用水源保护区一经划定，必须依法实施保护。规划部门应将集中式饮用水源保护区纳入规划红线控制范围，水利部门在水利项目审批、环保部门在建设项目审批、农业部门在农业项目审批、食品药品监管部门在餐饮服务许可、卫生部门在服务业卫生许可时均应按照集中式饮用水源保护区管理规定依法审批,不得在保护区内批准设置排污口和与供水设施无关的构</w:t>
            </w:r>
            <w:r>
              <w:rPr>
                <w:rFonts w:hint="eastAsia" w:ascii="宋体" w:hAnsi="宋体" w:eastAsia="宋体" w:cs="宋体"/>
                <w:sz w:val="22"/>
                <w:szCs w:val="22"/>
                <w:lang w:val="en-US" w:eastAsia="zh-CN"/>
              </w:rPr>
              <w:t>(建)</w:t>
            </w:r>
            <w:r>
              <w:rPr>
                <w:rFonts w:hint="eastAsia" w:ascii="Arial" w:hAnsi="Arial" w:cs="Arial"/>
                <w:sz w:val="22"/>
                <w:szCs w:val="22"/>
                <w:lang w:val="en-US" w:eastAsia="zh-CN"/>
              </w:rPr>
              <w:t>筑物。</w:t>
            </w:r>
          </w:p>
          <w:p w14:paraId="29BFAB6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textAlignment w:val="auto"/>
              <w:rPr>
                <w:rFonts w:hint="eastAsia" w:ascii="宋体" w:hAnsi="宋体" w:eastAsia="宋体" w:cs="宋体"/>
                <w:sz w:val="22"/>
                <w:szCs w:val="22"/>
                <w:lang w:val="en-US" w:eastAsia="zh-CN"/>
              </w:rPr>
            </w:pPr>
            <w:r>
              <w:rPr>
                <w:rFonts w:hint="eastAsia" w:ascii="Arial" w:hAnsi="Arial" w:cs="Arial"/>
                <w:sz w:val="22"/>
                <w:szCs w:val="22"/>
                <w:lang w:val="en-US" w:eastAsia="zh-CN"/>
              </w:rPr>
              <w:t>2、彻底整治集中式饮用水源保护区内污染源，确</w:t>
            </w:r>
            <w:r>
              <w:rPr>
                <w:rFonts w:hint="eastAsia" w:ascii="宋体" w:hAnsi="宋体" w:eastAsia="宋体" w:cs="宋体"/>
                <w:sz w:val="22"/>
                <w:szCs w:val="22"/>
                <w:lang w:val="en-US" w:eastAsia="zh-CN"/>
              </w:rPr>
              <w:t>保水质达标。各区县(自治县)人民政府要对照《中华人民共和国水污染防治法》、《重庆市长江三峡水库库区及流域水污染防治条例》等规定，通过搬迁、关闭等治理措施，全面取缔饮用水源保护区内工业和市政排污口、畜禽养殖、网箱(围栏)及投饵性养殖、经营性船舶和码头、种植等污染源和与供水设施无关的构(建)筑物。禁止在一、二级保护区内从事旅游、游泳、垂钓或者其他可能污染水体的活动。</w:t>
            </w:r>
          </w:p>
          <w:p w14:paraId="7566187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textAlignment w:val="auto"/>
              <w:rPr>
                <w:rFonts w:hint="eastAsia" w:ascii="Arial" w:hAnsi="Arial" w:eastAsia="宋体" w:cs="Arial"/>
                <w:sz w:val="22"/>
                <w:szCs w:val="22"/>
                <w:lang w:val="en-US" w:eastAsia="zh-CN"/>
              </w:rPr>
            </w:pPr>
            <w:r>
              <w:rPr>
                <w:rFonts w:hint="eastAsia" w:ascii="Arial" w:hAnsi="Arial" w:eastAsia="宋体" w:cs="Arial"/>
                <w:sz w:val="22"/>
                <w:szCs w:val="22"/>
                <w:lang w:val="en-US" w:eastAsia="zh-CN"/>
              </w:rPr>
              <w:t>3、制订风险防范预案。各区县</w:t>
            </w:r>
            <w:r>
              <w:rPr>
                <w:rFonts w:hint="eastAsia" w:ascii="宋体" w:hAnsi="宋体" w:eastAsia="宋体" w:cs="宋体"/>
                <w:sz w:val="22"/>
                <w:szCs w:val="22"/>
                <w:lang w:val="en-US" w:eastAsia="zh-CN"/>
              </w:rPr>
              <w:t>(自治县)人民</w:t>
            </w:r>
            <w:r>
              <w:rPr>
                <w:rFonts w:hint="eastAsia" w:ascii="Arial" w:hAnsi="Arial" w:eastAsia="宋体" w:cs="Arial"/>
                <w:sz w:val="22"/>
                <w:szCs w:val="22"/>
                <w:lang w:val="en-US" w:eastAsia="zh-CN"/>
              </w:rPr>
              <w:t>政府要制订集中式饮用水源地  应急预案并督促水源地水厂制订水厂应急预案，落实水源地及水厂应急物资 储备和应急技术、队伍及装备保障，每年开展1次集中式饮用水源地、水厂应急演练。强化集中式饮用水源地周边化工、造纸等风险源检查管理工作， 严格控制运输危险化学品、危险废物及其他影响饮用水安全等物资进入集中式水源保护区，积极推进农业面源污染防治，提高水源地风险防范能力。对现有环境风险等级高或采取措施水质难以达标的水源地，要实施优化整合工作，或建设水利工程项目和备用水源，保障饮用水安全。</w:t>
            </w:r>
          </w:p>
          <w:p w14:paraId="047465FE">
            <w:pPr>
              <w:pStyle w:val="2106"/>
              <w:spacing w:beforeLines="0" w:afterLines="0" w:line="300" w:lineRule="exact"/>
              <w:ind w:firstLine="0" w:firstLineChars="0"/>
              <w:jc w:val="both"/>
              <w:rPr>
                <w:rFonts w:hint="eastAsia" w:ascii="Arial" w:hAnsi="Arial" w:eastAsia="宋体" w:cs="Arial"/>
                <w:color w:val="auto"/>
                <w:kern w:val="2"/>
                <w:sz w:val="22"/>
                <w:szCs w:val="22"/>
                <w:lang w:val="en-US" w:eastAsia="zh-CN" w:bidi="ar-SA"/>
              </w:rPr>
            </w:pPr>
            <w:r>
              <w:rPr>
                <w:rFonts w:hint="eastAsia" w:ascii="Arial" w:hAnsi="Arial" w:eastAsia="宋体" w:cs="Arial"/>
                <w:sz w:val="22"/>
                <w:szCs w:val="22"/>
                <w:lang w:val="en-US" w:eastAsia="zh-CN"/>
              </w:rPr>
              <w:t>4、强化应急处置工作。发生影响或可能影响集中式饮用水源安全的突发环境 事件时，要及时启动应急预案并开展应急处置工作。突发环境事件处置工作应在政府的统一指挥下，各有关部门相互配合，立即开展应急监测，采取切断污染源头和拦截、吸附、消解污染物等多种措施控制、减轻或消除对水体的污染，并及时发布突发事件的相关信息，正确引导社会舆论。</w:t>
            </w:r>
          </w:p>
        </w:tc>
      </w:tr>
    </w:tbl>
    <w:p w14:paraId="158587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1"/>
        <w:rPr>
          <w:rFonts w:hint="eastAsia" w:ascii="Arial" w:hAnsi="Arial" w:eastAsia="宋体" w:cs="Arial"/>
          <w:b/>
          <w:bCs/>
          <w:sz w:val="26"/>
          <w:szCs w:val="26"/>
          <w:lang w:val="en-US" w:eastAsia="zh-CN"/>
        </w:rPr>
      </w:pPr>
    </w:p>
    <w:p w14:paraId="65C05FA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bCs/>
          <w:kern w:val="0"/>
          <w:sz w:val="26"/>
          <w:szCs w:val="26"/>
        </w:rPr>
      </w:pPr>
      <w:r>
        <w:rPr>
          <w:rFonts w:hint="eastAsia"/>
          <w:bCs/>
          <w:kern w:val="0"/>
          <w:sz w:val="26"/>
          <w:szCs w:val="26"/>
        </w:rPr>
        <w:t>本项目在环评、主体工程初步设计等报告批复后，水库业主应将水源保护区范围、要求等情况反馈到</w:t>
      </w:r>
      <w:r>
        <w:rPr>
          <w:rFonts w:hint="eastAsia"/>
          <w:bCs/>
          <w:kern w:val="0"/>
          <w:sz w:val="26"/>
          <w:szCs w:val="26"/>
          <w:lang w:eastAsia="zh-CN"/>
        </w:rPr>
        <w:t>环保、</w:t>
      </w:r>
      <w:r>
        <w:rPr>
          <w:rFonts w:hint="eastAsia"/>
          <w:bCs/>
          <w:kern w:val="0"/>
          <w:sz w:val="26"/>
          <w:szCs w:val="26"/>
        </w:rPr>
        <w:t>规划、建设等部门，不得在水库水源保护区内批建污染企业，已建成的排放污染物的建设项目，由县级以上人民政府责令拆除或者关闭。此外，对于水库集雨范围内的现有道路，应设置警示牌，尽量避免因车祸造成水库水质污染的情况发生。</w:t>
      </w:r>
    </w:p>
    <w:p w14:paraId="1F4B322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7.4.5饮用水水源污染防治措施</w:t>
      </w:r>
    </w:p>
    <w:p w14:paraId="0A4A519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eastAsia="宋体" w:cs="Arial"/>
          <w:bCs/>
          <w:kern w:val="0"/>
          <w:sz w:val="26"/>
          <w:szCs w:val="26"/>
        </w:rPr>
      </w:pPr>
      <w:r>
        <w:rPr>
          <w:rFonts w:hint="eastAsia" w:ascii="Times New Roman" w:hAnsi="Times New Roman" w:eastAsia="宋体" w:cs="Times New Roman"/>
          <w:bCs/>
          <w:kern w:val="0"/>
          <w:sz w:val="26"/>
          <w:szCs w:val="26"/>
          <w:lang w:eastAsia="zh-CN"/>
        </w:rPr>
        <w:t>本项目运营期具有农村人畜供水功能，采取管道供水，</w:t>
      </w:r>
      <w:r>
        <w:rPr>
          <w:rFonts w:hint="eastAsia" w:ascii="Times New Roman" w:hAnsi="Times New Roman" w:eastAsia="宋体" w:cs="Times New Roman"/>
          <w:bCs/>
          <w:kern w:val="0"/>
          <w:sz w:val="26"/>
          <w:szCs w:val="26"/>
        </w:rPr>
        <w:t>为加强农村饮用水水质安全，根据《全国农村饮水安全工程“十二五”规划</w:t>
      </w:r>
      <w:r>
        <w:rPr>
          <w:rFonts w:hint="eastAsia" w:ascii="宋体" w:hAnsi="宋体" w:eastAsia="宋体" w:cs="宋体"/>
          <w:bCs/>
          <w:kern w:val="0"/>
          <w:sz w:val="26"/>
          <w:szCs w:val="26"/>
        </w:rPr>
        <w:t>(公开稿)</w:t>
      </w:r>
      <w:r>
        <w:rPr>
          <w:rFonts w:hint="eastAsia" w:ascii="Times New Roman" w:hAnsi="Times New Roman" w:eastAsia="宋体" w:cs="Times New Roman"/>
          <w:bCs/>
          <w:kern w:val="0"/>
          <w:sz w:val="26"/>
          <w:szCs w:val="26"/>
        </w:rPr>
        <w:t>》、《关于加强农村饮水安全工程水质检测能力建设的指导意见》</w:t>
      </w:r>
      <w:r>
        <w:rPr>
          <w:rFonts w:hint="eastAsia" w:ascii="宋体" w:hAnsi="宋体" w:eastAsia="宋体" w:cs="宋体"/>
          <w:bCs/>
          <w:kern w:val="0"/>
          <w:sz w:val="26"/>
          <w:szCs w:val="26"/>
        </w:rPr>
        <w:t>(发</w:t>
      </w:r>
      <w:r>
        <w:rPr>
          <w:rFonts w:hint="eastAsia" w:ascii="Times New Roman" w:hAnsi="Times New Roman" w:eastAsia="宋体" w:cs="Times New Roman"/>
          <w:bCs/>
          <w:kern w:val="0"/>
          <w:sz w:val="26"/>
          <w:szCs w:val="26"/>
        </w:rPr>
        <w:t>改</w:t>
      </w:r>
      <w:r>
        <w:rPr>
          <w:rFonts w:hint="default" w:ascii="Arial" w:hAnsi="Arial" w:eastAsia="宋体" w:cs="Arial"/>
          <w:bCs/>
          <w:kern w:val="0"/>
          <w:sz w:val="26"/>
          <w:szCs w:val="26"/>
        </w:rPr>
        <w:t>农经〔2013</w:t>
      </w:r>
      <w:r>
        <w:rPr>
          <w:rFonts w:hint="eastAsia" w:ascii="宋体" w:hAnsi="宋体" w:eastAsia="宋体" w:cs="宋体"/>
          <w:bCs/>
          <w:kern w:val="0"/>
          <w:sz w:val="26"/>
          <w:szCs w:val="26"/>
        </w:rPr>
        <w:t>〕</w:t>
      </w:r>
      <w:r>
        <w:rPr>
          <w:rFonts w:hint="default" w:ascii="Arial" w:hAnsi="Arial" w:eastAsia="宋体" w:cs="Arial"/>
          <w:bCs/>
          <w:kern w:val="0"/>
          <w:sz w:val="26"/>
          <w:szCs w:val="26"/>
        </w:rPr>
        <w:t>2259号</w:t>
      </w:r>
      <w:r>
        <w:rPr>
          <w:rFonts w:hint="eastAsia" w:ascii="Arial" w:hAnsi="Arial" w:eastAsia="宋体" w:cs="Arial"/>
          <w:bCs/>
          <w:kern w:val="0"/>
          <w:sz w:val="26"/>
          <w:szCs w:val="26"/>
          <w:lang w:eastAsia="zh-CN"/>
        </w:rPr>
        <w:t>）</w:t>
      </w:r>
      <w:r>
        <w:rPr>
          <w:rFonts w:hint="default" w:ascii="Arial" w:hAnsi="Arial" w:eastAsia="宋体" w:cs="Arial"/>
          <w:bCs/>
          <w:kern w:val="0"/>
          <w:sz w:val="26"/>
          <w:szCs w:val="26"/>
        </w:rPr>
        <w:t>、《关于加强农村饮用水水源保护工作的指导意见》</w:t>
      </w:r>
      <w:r>
        <w:rPr>
          <w:rFonts w:hint="eastAsia" w:ascii="Arial" w:hAnsi="Arial" w:eastAsia="宋体" w:cs="Arial"/>
          <w:bCs/>
          <w:kern w:val="0"/>
          <w:sz w:val="26"/>
          <w:szCs w:val="26"/>
          <w:lang w:eastAsia="zh-CN"/>
        </w:rPr>
        <w:t>（</w:t>
      </w:r>
      <w:r>
        <w:rPr>
          <w:rFonts w:hint="default" w:ascii="Arial" w:hAnsi="Arial" w:eastAsia="宋体" w:cs="Arial"/>
          <w:bCs/>
          <w:kern w:val="0"/>
          <w:sz w:val="26"/>
          <w:szCs w:val="26"/>
        </w:rPr>
        <w:t>环办</w:t>
      </w:r>
      <w:r>
        <w:rPr>
          <w:rFonts w:hint="eastAsia" w:ascii="宋体" w:hAnsi="宋体" w:eastAsia="宋体" w:cs="宋体"/>
          <w:bCs/>
          <w:kern w:val="0"/>
          <w:sz w:val="26"/>
          <w:szCs w:val="26"/>
        </w:rPr>
        <w:t>〔</w:t>
      </w:r>
      <w:r>
        <w:rPr>
          <w:rFonts w:hint="default" w:ascii="Arial" w:hAnsi="Arial" w:eastAsia="宋体" w:cs="Arial"/>
          <w:bCs/>
          <w:kern w:val="0"/>
          <w:sz w:val="26"/>
          <w:szCs w:val="26"/>
        </w:rPr>
        <w:t>2015</w:t>
      </w:r>
      <w:r>
        <w:rPr>
          <w:rFonts w:hint="eastAsia" w:ascii="宋体" w:hAnsi="宋体" w:eastAsia="宋体" w:cs="宋体"/>
          <w:bCs/>
          <w:kern w:val="0"/>
          <w:sz w:val="26"/>
          <w:szCs w:val="26"/>
        </w:rPr>
        <w:t>〕</w:t>
      </w:r>
      <w:r>
        <w:rPr>
          <w:rFonts w:hint="default" w:ascii="Arial" w:hAnsi="Arial" w:eastAsia="宋体" w:cs="Arial"/>
          <w:bCs/>
          <w:kern w:val="0"/>
          <w:sz w:val="26"/>
          <w:szCs w:val="26"/>
        </w:rPr>
        <w:t>53号</w:t>
      </w:r>
      <w:r>
        <w:rPr>
          <w:rFonts w:hint="eastAsia" w:ascii="Arial" w:hAnsi="Arial" w:eastAsia="宋体" w:cs="Arial"/>
          <w:bCs/>
          <w:kern w:val="0"/>
          <w:sz w:val="26"/>
          <w:szCs w:val="26"/>
          <w:lang w:eastAsia="zh-CN"/>
        </w:rPr>
        <w:t>），</w:t>
      </w:r>
      <w:r>
        <w:rPr>
          <w:rFonts w:hint="default" w:ascii="Arial" w:hAnsi="Arial" w:eastAsia="宋体" w:cs="Arial"/>
          <w:bCs/>
          <w:kern w:val="0"/>
          <w:sz w:val="26"/>
          <w:szCs w:val="26"/>
        </w:rPr>
        <w:t>对农村饮用水水质保护的要求见表7.</w:t>
      </w:r>
      <w:r>
        <w:rPr>
          <w:rFonts w:hint="eastAsia" w:ascii="Arial" w:hAnsi="Arial" w:eastAsia="宋体" w:cs="Arial"/>
          <w:bCs/>
          <w:kern w:val="0"/>
          <w:sz w:val="26"/>
          <w:szCs w:val="26"/>
          <w:lang w:val="en-US" w:eastAsia="zh-CN"/>
        </w:rPr>
        <w:t>4</w:t>
      </w:r>
      <w:r>
        <w:rPr>
          <w:rFonts w:hint="default" w:ascii="Arial" w:hAnsi="Arial" w:eastAsia="宋体" w:cs="Arial"/>
          <w:bCs/>
          <w:kern w:val="0"/>
          <w:sz w:val="26"/>
          <w:szCs w:val="26"/>
        </w:rPr>
        <w:t>-2。</w:t>
      </w:r>
    </w:p>
    <w:p w14:paraId="402BF79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1"/>
        <w:rPr>
          <w:rFonts w:hint="eastAsia" w:ascii="Arial" w:hAnsi="Arial" w:eastAsia="宋体" w:cs="Arial"/>
          <w:b/>
          <w:bCs/>
          <w:sz w:val="26"/>
          <w:szCs w:val="26"/>
          <w:lang w:val="en-US" w:eastAsia="zh-CN"/>
        </w:rPr>
      </w:pPr>
      <w:r>
        <w:rPr>
          <w:rFonts w:hint="eastAsia" w:ascii="Arial" w:hAnsi="Arial" w:eastAsia="宋体" w:cs="Arial"/>
          <w:b/>
          <w:bCs/>
          <w:sz w:val="26"/>
          <w:szCs w:val="26"/>
          <w:lang w:eastAsia="zh-CN"/>
        </w:rPr>
        <w:t>表</w:t>
      </w:r>
      <w:r>
        <w:rPr>
          <w:rFonts w:hint="eastAsia" w:ascii="Arial" w:hAnsi="Arial" w:eastAsia="宋体" w:cs="Arial"/>
          <w:b/>
          <w:bCs/>
          <w:sz w:val="26"/>
          <w:szCs w:val="26"/>
          <w:lang w:val="en-US" w:eastAsia="zh-CN"/>
        </w:rPr>
        <w:t>7.4-2 农村饮用水水质保护的要求</w:t>
      </w:r>
    </w:p>
    <w:tbl>
      <w:tblPr>
        <w:tblStyle w:val="1893"/>
        <w:tblW w:w="92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1289"/>
        <w:gridCol w:w="7137"/>
      </w:tblGrid>
      <w:tr w14:paraId="683DF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788" w:type="dxa"/>
            <w:vAlign w:val="center"/>
          </w:tcPr>
          <w:p w14:paraId="75D7C35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sz w:val="22"/>
                <w:szCs w:val="22"/>
                <w:lang w:eastAsia="zh-CN"/>
              </w:rPr>
            </w:pPr>
            <w:r>
              <w:rPr>
                <w:rFonts w:hint="eastAsia" w:ascii="Arial" w:hAnsi="Arial" w:eastAsia="宋体" w:cs="Arial"/>
                <w:sz w:val="22"/>
                <w:szCs w:val="22"/>
                <w:lang w:eastAsia="zh-CN"/>
              </w:rPr>
              <w:t>序号</w:t>
            </w:r>
          </w:p>
        </w:tc>
        <w:tc>
          <w:tcPr>
            <w:tcW w:w="1289" w:type="dxa"/>
            <w:vAlign w:val="center"/>
          </w:tcPr>
          <w:p w14:paraId="07CE629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文件</w:t>
            </w:r>
          </w:p>
        </w:tc>
        <w:tc>
          <w:tcPr>
            <w:tcW w:w="7137" w:type="dxa"/>
            <w:vAlign w:val="center"/>
          </w:tcPr>
          <w:p w14:paraId="16345AF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规定或要求</w:t>
            </w:r>
          </w:p>
        </w:tc>
      </w:tr>
      <w:tr w14:paraId="2D432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8" w:type="dxa"/>
            <w:vAlign w:val="center"/>
          </w:tcPr>
          <w:p w14:paraId="1B4BC08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1</w:t>
            </w:r>
          </w:p>
        </w:tc>
        <w:tc>
          <w:tcPr>
            <w:tcW w:w="1289" w:type="dxa"/>
            <w:vAlign w:val="center"/>
          </w:tcPr>
          <w:p w14:paraId="378E57B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全国农村饮</w:t>
            </w:r>
          </w:p>
          <w:p w14:paraId="4E11F8C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水安全工程</w:t>
            </w:r>
          </w:p>
          <w:p w14:paraId="1860206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eastAsia" w:ascii="宋体" w:hAnsi="宋体" w:eastAsia="宋体" w:cs="宋体"/>
                <w:sz w:val="22"/>
                <w:szCs w:val="22"/>
              </w:rPr>
              <w:t>“十二五”</w:t>
            </w:r>
            <w:r>
              <w:rPr>
                <w:rFonts w:hint="default" w:ascii="Arial" w:hAnsi="Arial" w:eastAsia="宋体" w:cs="Arial"/>
                <w:sz w:val="22"/>
                <w:szCs w:val="22"/>
              </w:rPr>
              <w:t>规划</w:t>
            </w:r>
          </w:p>
        </w:tc>
        <w:tc>
          <w:tcPr>
            <w:tcW w:w="7137" w:type="dxa"/>
            <w:vAlign w:val="center"/>
          </w:tcPr>
          <w:p w14:paraId="3B1EE33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default" w:ascii="Arial" w:hAnsi="Arial" w:eastAsia="宋体" w:cs="Arial"/>
                <w:sz w:val="22"/>
                <w:szCs w:val="22"/>
              </w:rPr>
              <w:t>1、加强水源</w:t>
            </w:r>
            <w:r>
              <w:rPr>
                <w:rFonts w:hint="eastAsia" w:ascii="Arial" w:hAnsi="Arial" w:eastAsia="宋体" w:cs="Arial"/>
                <w:sz w:val="22"/>
                <w:szCs w:val="22"/>
                <w:lang w:eastAsia="zh-CN"/>
              </w:rPr>
              <w:t>保护</w:t>
            </w:r>
            <w:r>
              <w:rPr>
                <w:rFonts w:hint="default" w:ascii="Arial" w:hAnsi="Arial" w:eastAsia="宋体" w:cs="Arial"/>
                <w:sz w:val="22"/>
                <w:szCs w:val="22"/>
              </w:rPr>
              <w:t>。水源保护区（保护范围）划分、警示标志建设、环境综合整治等工作，应与供水工程设计及建设同步开展。主要措施包括：1）划定水源保护区或保护范围。规模以上集中供水工程，根据不同水源类型，按照国家有关规定，综合当地的地理位置、水文、气象、地质、水动力特征、水污染类型、污染源分布、水源地规模以及水量需求等因素，合理划定水源保护区，并利用永久性的明显标志标示保护区界线，设置保护标志。</w:t>
            </w:r>
          </w:p>
          <w:p w14:paraId="051FC73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eastAsia" w:ascii="Arial" w:hAnsi="Arial" w:eastAsia="宋体" w:cs="Arial"/>
                <w:sz w:val="22"/>
                <w:szCs w:val="22"/>
                <w:lang w:val="en-US" w:eastAsia="zh-CN"/>
              </w:rPr>
            </w:pPr>
            <w:r>
              <w:rPr>
                <w:rFonts w:hint="eastAsia" w:ascii="Arial" w:hAnsi="Arial" w:eastAsia="宋体" w:cs="Arial"/>
                <w:sz w:val="22"/>
                <w:szCs w:val="22"/>
                <w:lang w:val="en-US" w:eastAsia="zh-CN"/>
              </w:rPr>
              <w:t>2、加强水源防护。以地表水为水源时，要有防洪、防冰凌等措施。</w:t>
            </w:r>
          </w:p>
          <w:p w14:paraId="64F33EB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eastAsia" w:ascii="Arial" w:hAnsi="Arial" w:eastAsia="宋体" w:cs="Arial"/>
                <w:sz w:val="22"/>
                <w:szCs w:val="22"/>
                <w:lang w:val="en-US" w:eastAsia="zh-CN"/>
              </w:rPr>
              <w:t>3</w:t>
            </w:r>
            <w:r>
              <w:rPr>
                <w:rFonts w:hint="default" w:ascii="Arial" w:hAnsi="Arial" w:eastAsia="宋体" w:cs="Arial"/>
                <w:sz w:val="22"/>
                <w:szCs w:val="22"/>
              </w:rPr>
              <w:t>、加强宣传教育。采取多种形式，传播相关知识，提高公众保护水源意识， 逐步完善公众参与和监督机制，积极引导和鼓励公众参与水源保护工作。</w:t>
            </w:r>
          </w:p>
          <w:p w14:paraId="11C2883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eastAsia" w:ascii="Arial" w:hAnsi="Arial" w:eastAsia="宋体" w:cs="Arial"/>
                <w:sz w:val="22"/>
                <w:szCs w:val="22"/>
                <w:lang w:val="en-US" w:eastAsia="zh-CN"/>
              </w:rPr>
            </w:pPr>
            <w:r>
              <w:rPr>
                <w:rFonts w:hint="eastAsia" w:ascii="Arial" w:hAnsi="Arial" w:eastAsia="宋体" w:cs="Arial"/>
                <w:sz w:val="22"/>
                <w:szCs w:val="22"/>
                <w:lang w:val="en-US" w:eastAsia="zh-CN"/>
              </w:rPr>
              <w:t>4、加强水源保护区环境监督执法，强化企业排污监管，清理排污口、集约化养殖、垃圾、厕所等点源污染；通过发展有机农业，合理施用农药、化肥，种植水源保护林，建设生态缓冲带等措施涵养水源、减少水土流失和控制面源污染；加快农村环境综合整治，将农村饮用水源保护作为其工作重点。</w:t>
            </w:r>
          </w:p>
        </w:tc>
      </w:tr>
      <w:tr w14:paraId="5B632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8" w:type="dxa"/>
            <w:vAlign w:val="center"/>
          </w:tcPr>
          <w:p w14:paraId="30F1648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2</w:t>
            </w:r>
          </w:p>
        </w:tc>
        <w:tc>
          <w:tcPr>
            <w:tcW w:w="1289" w:type="dxa"/>
            <w:vAlign w:val="center"/>
          </w:tcPr>
          <w:p w14:paraId="463C27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关于加强农 村饮水安全 工程水质检 测能力建设 的指导意见</w:t>
            </w:r>
          </w:p>
        </w:tc>
        <w:tc>
          <w:tcPr>
            <w:tcW w:w="7137" w:type="dxa"/>
            <w:vAlign w:val="center"/>
          </w:tcPr>
          <w:p w14:paraId="025A10C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default" w:ascii="Arial" w:hAnsi="Arial" w:eastAsia="宋体" w:cs="Arial"/>
                <w:sz w:val="22"/>
                <w:szCs w:val="22"/>
              </w:rPr>
              <w:t>1、按照《村镇供水工程技术规范》要求，在规模较大的农村供水工程设置水质化验室，配备相应的检验人员和仪器设备，具备日常指标检测能力；规模较小的供水工程可配备自动检测设备或简易检验设备，也可委托具有生活饮用水化验资质的单位进行检测。</w:t>
            </w:r>
          </w:p>
          <w:p w14:paraId="07FFD4E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default" w:ascii="Arial" w:hAnsi="Arial" w:eastAsia="宋体" w:cs="Arial"/>
                <w:sz w:val="22"/>
                <w:szCs w:val="22"/>
              </w:rPr>
              <w:t>2、通过规模较大水厂水质化验室建设以及提升现有相关机构水质检测技术装备水平和检测能力，原则上每个县具备《生活饮用水卫生标准》</w:t>
            </w:r>
            <w:r>
              <w:rPr>
                <w:rFonts w:hint="eastAsia" w:ascii="Arial" w:hAnsi="Arial" w:eastAsia="宋体" w:cs="Arial"/>
                <w:sz w:val="22"/>
                <w:szCs w:val="22"/>
                <w:lang w:eastAsia="zh-CN"/>
              </w:rPr>
              <w:t>（</w:t>
            </w:r>
            <w:r>
              <w:rPr>
                <w:rFonts w:hint="default" w:ascii="Arial" w:hAnsi="Arial" w:eastAsia="宋体" w:cs="Arial"/>
                <w:sz w:val="22"/>
                <w:szCs w:val="22"/>
              </w:rPr>
              <w:t>GB 5749-2006</w:t>
            </w:r>
            <w:r>
              <w:rPr>
                <w:rFonts w:hint="eastAsia" w:ascii="Arial" w:hAnsi="Arial" w:eastAsia="宋体" w:cs="Arial"/>
                <w:sz w:val="22"/>
                <w:szCs w:val="22"/>
                <w:lang w:eastAsia="zh-CN"/>
              </w:rPr>
              <w:t>）</w:t>
            </w:r>
            <w:r>
              <w:rPr>
                <w:rFonts w:hint="default" w:ascii="Arial" w:hAnsi="Arial" w:eastAsia="宋体" w:cs="Arial"/>
                <w:sz w:val="22"/>
                <w:szCs w:val="22"/>
              </w:rPr>
              <w:t>中要求的满足日常需求的检测能力，满足本区域内农村饮水安全工程日常运行及水质周、月度和季度检测需求。水源水质、处理工艺等有特殊检测要求的水厂和地区，可根据实际需要和条件相应提高水质检测能力。</w:t>
            </w:r>
          </w:p>
        </w:tc>
      </w:tr>
      <w:tr w14:paraId="6A404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8" w:type="dxa"/>
            <w:vAlign w:val="center"/>
          </w:tcPr>
          <w:p w14:paraId="16C731C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3</w:t>
            </w:r>
          </w:p>
        </w:tc>
        <w:tc>
          <w:tcPr>
            <w:tcW w:w="1289" w:type="dxa"/>
            <w:vAlign w:val="center"/>
          </w:tcPr>
          <w:p w14:paraId="4717C97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关于加强农 村饮用水水 源保护工作 的指导意见</w:t>
            </w:r>
          </w:p>
        </w:tc>
        <w:tc>
          <w:tcPr>
            <w:tcW w:w="7137" w:type="dxa"/>
            <w:vAlign w:val="center"/>
          </w:tcPr>
          <w:p w14:paraId="044FDCF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default" w:ascii="Arial" w:hAnsi="Arial" w:eastAsia="宋体" w:cs="Arial"/>
                <w:sz w:val="22"/>
                <w:szCs w:val="22"/>
              </w:rPr>
              <w:t>结合农村环境综合整治工作，开展水源规范化建设，加强水源周边生活污水、垃圾及畜离养殖废弃物的处理处置，综合防治农药化肥等面源污染。针对因人类活动影响超标的水源，研究制定水质达标方案，因地制宜地开展水源污染防治工作。</w:t>
            </w:r>
          </w:p>
        </w:tc>
      </w:tr>
    </w:tbl>
    <w:p w14:paraId="661264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1"/>
        <w:rPr>
          <w:rFonts w:hint="eastAsia" w:ascii="Arial" w:hAnsi="Arial" w:eastAsia="宋体" w:cs="Arial"/>
          <w:b/>
          <w:bCs/>
          <w:sz w:val="26"/>
          <w:szCs w:val="26"/>
          <w:lang w:val="en-US" w:eastAsia="zh-CN"/>
        </w:rPr>
      </w:pPr>
    </w:p>
    <w:p w14:paraId="0F62D60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Arial" w:cs="Arial"/>
          <w:b/>
          <w:bCs/>
          <w:sz w:val="26"/>
          <w:szCs w:val="26"/>
          <w:lang w:val="en-US" w:eastAsia="zh-CN"/>
        </w:rPr>
      </w:pPr>
      <w:r>
        <w:rPr>
          <w:rFonts w:hint="eastAsia" w:ascii="Arial" w:hAnsi="Arial" w:cs="Arial"/>
          <w:b/>
          <w:bCs/>
          <w:sz w:val="26"/>
          <w:szCs w:val="26"/>
          <w:lang w:val="en-US" w:eastAsia="zh-CN"/>
        </w:rPr>
        <w:t>7.5退水区污染防治措施</w:t>
      </w:r>
    </w:p>
    <w:p w14:paraId="3592A18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cs="Arial"/>
          <w:bCs/>
          <w:sz w:val="26"/>
          <w:szCs w:val="26"/>
          <w:lang w:eastAsia="zh-CN"/>
        </w:rPr>
      </w:pPr>
      <w:r>
        <w:rPr>
          <w:rFonts w:hint="eastAsia" w:ascii="Arial" w:hAnsi="Arial" w:eastAsia="宋体" w:cs="Arial"/>
          <w:sz w:val="26"/>
          <w:szCs w:val="26"/>
          <w:lang w:eastAsia="zh-CN"/>
        </w:rPr>
        <w:t>本项目</w:t>
      </w:r>
      <w:r>
        <w:rPr>
          <w:rFonts w:hint="eastAsia" w:ascii="Arial" w:cs="Arial"/>
          <w:bCs/>
          <w:sz w:val="26"/>
          <w:szCs w:val="26"/>
          <w:lang w:eastAsia="zh-CN"/>
        </w:rPr>
        <w:t>灌区主要集中在双龙镇双龙社区、回龙场村，人畜供水主要集中在双龙社区、双龙场村、田家山村。</w:t>
      </w:r>
    </w:p>
    <w:p w14:paraId="24BAB22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宋体" w:cs="Arial"/>
          <w:bCs/>
          <w:sz w:val="26"/>
          <w:szCs w:val="26"/>
          <w:lang w:eastAsia="zh-CN"/>
        </w:rPr>
      </w:pPr>
      <w:r>
        <w:rPr>
          <w:rFonts w:hint="eastAsia" w:ascii="Arial" w:cs="Arial"/>
          <w:bCs/>
          <w:sz w:val="26"/>
          <w:szCs w:val="26"/>
          <w:lang w:eastAsia="zh-CN"/>
        </w:rPr>
        <w:t>灌溉用水</w:t>
      </w:r>
      <w:r>
        <w:rPr>
          <w:rFonts w:ascii="宋体" w:hAnsi="宋体" w:eastAsia="宋体" w:cs="宋体"/>
          <w:spacing w:val="-9"/>
          <w:sz w:val="26"/>
          <w:szCs w:val="26"/>
        </w:rPr>
        <w:t>通过各级渠道进入灌区，通过植物吸收、</w:t>
      </w:r>
      <w:r>
        <w:rPr>
          <w:rFonts w:hint="eastAsia" w:ascii="宋体" w:hAnsi="宋体" w:eastAsia="宋体" w:cs="宋体"/>
          <w:spacing w:val="-9"/>
          <w:sz w:val="26"/>
          <w:szCs w:val="26"/>
          <w:lang w:eastAsia="zh-CN"/>
        </w:rPr>
        <w:t>自然</w:t>
      </w:r>
      <w:r>
        <w:rPr>
          <w:rFonts w:ascii="宋体" w:hAnsi="宋体" w:eastAsia="宋体" w:cs="宋体"/>
          <w:spacing w:val="-9"/>
          <w:sz w:val="26"/>
          <w:szCs w:val="26"/>
        </w:rPr>
        <w:t>蒸发</w:t>
      </w:r>
      <w:r>
        <w:rPr>
          <w:rFonts w:hint="eastAsia" w:ascii="宋体" w:hAnsi="宋体" w:eastAsia="宋体" w:cs="宋体"/>
          <w:spacing w:val="-9"/>
          <w:sz w:val="26"/>
          <w:szCs w:val="26"/>
          <w:lang w:eastAsia="zh-CN"/>
        </w:rPr>
        <w:t>后</w:t>
      </w:r>
      <w:r>
        <w:rPr>
          <w:rFonts w:ascii="宋体" w:hAnsi="宋体" w:eastAsia="宋体" w:cs="宋体"/>
          <w:spacing w:val="-9"/>
          <w:sz w:val="26"/>
          <w:szCs w:val="26"/>
        </w:rPr>
        <w:t>，</w:t>
      </w:r>
      <w:r>
        <w:rPr>
          <w:rFonts w:hint="eastAsia" w:ascii="宋体" w:hAnsi="宋体" w:eastAsia="宋体" w:cs="宋体"/>
          <w:spacing w:val="-9"/>
          <w:sz w:val="26"/>
          <w:szCs w:val="26"/>
          <w:lang w:eastAsia="zh-CN"/>
        </w:rPr>
        <w:t>退水主要进入</w:t>
      </w:r>
      <w:r>
        <w:rPr>
          <w:rFonts w:hint="eastAsia" w:ascii="Arial" w:hAnsi="宋体" w:cs="Arial"/>
          <w:bCs/>
          <w:color w:val="auto"/>
          <w:sz w:val="26"/>
          <w:szCs w:val="26"/>
        </w:rPr>
        <w:t>坝后减水河段</w:t>
      </w:r>
      <w:r>
        <w:rPr>
          <w:rFonts w:hint="eastAsia" w:ascii="Arial" w:hAnsi="宋体" w:cs="Arial"/>
          <w:bCs/>
          <w:color w:val="auto"/>
          <w:sz w:val="26"/>
          <w:szCs w:val="26"/>
          <w:lang w:eastAsia="zh-CN"/>
        </w:rPr>
        <w:t>及高洞桥河河段</w:t>
      </w:r>
      <w:r>
        <w:rPr>
          <w:rFonts w:hint="eastAsia" w:ascii="Arial" w:hAnsi="宋体" w:cs="Arial"/>
          <w:bCs/>
          <w:color w:val="auto"/>
          <w:sz w:val="26"/>
          <w:szCs w:val="26"/>
        </w:rPr>
        <w:t>内</w:t>
      </w:r>
      <w:r>
        <w:rPr>
          <w:rFonts w:hint="eastAsia" w:ascii="Arial" w:hAnsi="宋体" w:cs="Arial"/>
          <w:bCs/>
          <w:color w:val="auto"/>
          <w:sz w:val="26"/>
          <w:szCs w:val="26"/>
          <w:lang w:eastAsia="zh-CN"/>
        </w:rPr>
        <w:t>。</w:t>
      </w:r>
      <w:r>
        <w:rPr>
          <w:rFonts w:hint="eastAsia" w:ascii="Arial" w:hAnsi="宋体" w:cs="Arial"/>
          <w:bCs/>
          <w:sz w:val="26"/>
          <w:szCs w:val="26"/>
          <w:lang w:eastAsia="zh-CN"/>
        </w:rPr>
        <w:t>向双龙社区所供生活用水产生的污废水，经双龙镇污水处理厂集中深度处理达标后，进入双龙河；向回龙场村、田家山村所供生活用水产生的污废水，主要由各农村居民家自建旱厕收集处理后，循序用作农肥，未直接进入河道。</w:t>
      </w:r>
    </w:p>
    <w:p w14:paraId="6B23F7E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宋体" w:cs="Arial"/>
          <w:bCs/>
          <w:sz w:val="26"/>
          <w:szCs w:val="26"/>
          <w:lang w:eastAsia="zh-CN"/>
        </w:rPr>
      </w:pPr>
      <w:r>
        <w:rPr>
          <w:rFonts w:hint="eastAsia" w:ascii="Arial" w:hAnsi="宋体" w:cs="Arial"/>
          <w:bCs/>
          <w:sz w:val="26"/>
          <w:szCs w:val="26"/>
          <w:lang w:eastAsia="zh-CN"/>
        </w:rPr>
        <w:t>由此可见，本项目受水区新增的排污在采取上述治理措施后，对项目所在流域影响较小。</w:t>
      </w:r>
    </w:p>
    <w:p w14:paraId="319824D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Arial" w:cs="Arial"/>
          <w:b/>
          <w:bCs/>
          <w:sz w:val="26"/>
          <w:szCs w:val="26"/>
          <w:lang w:val="en-US" w:eastAsia="zh-CN"/>
        </w:rPr>
      </w:pPr>
      <w:r>
        <w:rPr>
          <w:rFonts w:hint="eastAsia" w:ascii="Arial" w:hAnsi="Arial" w:cs="Arial"/>
          <w:b/>
          <w:bCs/>
          <w:sz w:val="26"/>
          <w:szCs w:val="26"/>
          <w:lang w:val="en-US" w:eastAsia="zh-CN"/>
        </w:rPr>
        <w:t>7.6环保措施汇总及环保投资估算</w:t>
      </w:r>
    </w:p>
    <w:p w14:paraId="0C326C8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宋体" w:eastAsia="宋体" w:cs="Arial"/>
          <w:bCs/>
          <w:sz w:val="26"/>
          <w:szCs w:val="26"/>
          <w:lang w:val="en-US" w:eastAsia="zh-CN"/>
        </w:rPr>
      </w:pPr>
      <w:r>
        <w:rPr>
          <w:rFonts w:hint="eastAsia" w:ascii="Arial" w:hAnsi="宋体" w:eastAsia="宋体" w:cs="Arial"/>
          <w:bCs/>
          <w:sz w:val="26"/>
          <w:szCs w:val="26"/>
          <w:lang w:val="en-US" w:eastAsia="zh-CN"/>
        </w:rPr>
        <w:t>拟建项目总投资14499.6万元，其中环保投资约为</w:t>
      </w:r>
      <w:r>
        <w:rPr>
          <w:rFonts w:hint="eastAsia" w:ascii="Arial" w:hAnsi="宋体" w:cs="Arial"/>
          <w:bCs/>
          <w:sz w:val="26"/>
          <w:szCs w:val="26"/>
          <w:lang w:val="en-US" w:eastAsia="zh-CN"/>
        </w:rPr>
        <w:t>208</w:t>
      </w:r>
      <w:r>
        <w:rPr>
          <w:rFonts w:hint="eastAsia" w:ascii="Arial" w:hAnsi="宋体" w:eastAsia="宋体" w:cs="Arial"/>
          <w:bCs/>
          <w:sz w:val="26"/>
          <w:szCs w:val="26"/>
          <w:lang w:val="en-US" w:eastAsia="zh-CN"/>
        </w:rPr>
        <w:t>万元，环保投资占工程总投资</w:t>
      </w:r>
      <w:r>
        <w:rPr>
          <w:rFonts w:hint="eastAsia" w:ascii="Arial" w:hAnsi="宋体" w:cs="Arial"/>
          <w:bCs/>
          <w:sz w:val="26"/>
          <w:szCs w:val="26"/>
          <w:lang w:val="en-US" w:eastAsia="zh-CN"/>
        </w:rPr>
        <w:t>1.43</w:t>
      </w:r>
      <w:r>
        <w:rPr>
          <w:rFonts w:hint="eastAsia" w:ascii="Arial" w:hAnsi="宋体" w:eastAsia="宋体" w:cs="Arial"/>
          <w:bCs/>
          <w:sz w:val="26"/>
          <w:szCs w:val="26"/>
          <w:lang w:val="en-US" w:eastAsia="zh-CN"/>
        </w:rPr>
        <w:t>%。本次工程环保投资见表7.6-1。</w:t>
      </w:r>
    </w:p>
    <w:p w14:paraId="29DB0C9F">
      <w:pPr>
        <w:pStyle w:val="1085"/>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Arial" w:hAnsi="Arial" w:cs="Arial"/>
          <w:sz w:val="26"/>
          <w:szCs w:val="26"/>
        </w:rPr>
      </w:pPr>
      <w:r>
        <w:rPr>
          <w:rFonts w:hint="default" w:ascii="Arial" w:hAnsi="Arial" w:cs="Arial"/>
          <w:sz w:val="26"/>
          <w:szCs w:val="26"/>
        </w:rPr>
        <w:t>表</w:t>
      </w:r>
      <w:r>
        <w:rPr>
          <w:rFonts w:hint="eastAsia" w:ascii="Arial" w:hAnsi="Arial" w:cs="Arial"/>
          <w:sz w:val="26"/>
          <w:szCs w:val="26"/>
          <w:lang w:val="en-US" w:eastAsia="zh-CN"/>
        </w:rPr>
        <w:t>7.6</w:t>
      </w:r>
      <w:r>
        <w:rPr>
          <w:rFonts w:hint="default" w:ascii="Arial" w:hAnsi="Arial" w:cs="Arial"/>
          <w:sz w:val="26"/>
          <w:szCs w:val="26"/>
          <w:lang w:val="en-US" w:eastAsia="zh-CN"/>
        </w:rPr>
        <w:t>-</w:t>
      </w:r>
      <w:r>
        <w:rPr>
          <w:rFonts w:hint="default" w:ascii="Arial" w:hAnsi="Arial" w:cs="Arial"/>
          <w:sz w:val="26"/>
          <w:szCs w:val="26"/>
        </w:rPr>
        <w:t xml:space="preserve">1  项目污染治理措施及投资汇总一览表 </w:t>
      </w:r>
    </w:p>
    <w:tbl>
      <w:tblPr>
        <w:tblStyle w:val="77"/>
        <w:tblW w:w="93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681"/>
        <w:gridCol w:w="1230"/>
        <w:gridCol w:w="5745"/>
        <w:gridCol w:w="1009"/>
      </w:tblGrid>
      <w:tr w14:paraId="0101A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5C8B931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环境要素</w:t>
            </w:r>
          </w:p>
        </w:tc>
        <w:tc>
          <w:tcPr>
            <w:tcW w:w="681" w:type="dxa"/>
            <w:noWrap w:val="0"/>
            <w:vAlign w:val="center"/>
          </w:tcPr>
          <w:p w14:paraId="69B984B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时期</w:t>
            </w:r>
          </w:p>
        </w:tc>
        <w:tc>
          <w:tcPr>
            <w:tcW w:w="1230" w:type="dxa"/>
            <w:noWrap w:val="0"/>
            <w:vAlign w:val="center"/>
          </w:tcPr>
          <w:p w14:paraId="3EC7C8F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bookmarkStart w:id="126" w:name="_Toc11516"/>
            <w:bookmarkStart w:id="127" w:name="_Toc23431"/>
            <w:bookmarkStart w:id="128" w:name="_Toc12123"/>
            <w:bookmarkStart w:id="129" w:name="_Toc17219"/>
            <w:r>
              <w:rPr>
                <w:rFonts w:hint="default" w:ascii="Arial" w:hAnsi="Arial" w:cs="Arial"/>
                <w:sz w:val="22"/>
                <w:szCs w:val="22"/>
              </w:rPr>
              <w:t>治理项目</w:t>
            </w:r>
            <w:bookmarkEnd w:id="126"/>
            <w:bookmarkEnd w:id="127"/>
            <w:bookmarkEnd w:id="128"/>
            <w:bookmarkEnd w:id="129"/>
          </w:p>
        </w:tc>
        <w:tc>
          <w:tcPr>
            <w:tcW w:w="5745" w:type="dxa"/>
            <w:noWrap w:val="0"/>
            <w:vAlign w:val="center"/>
          </w:tcPr>
          <w:p w14:paraId="35EADED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bookmarkStart w:id="130" w:name="_Toc15460"/>
            <w:bookmarkStart w:id="131" w:name="_Toc29135"/>
            <w:bookmarkStart w:id="132" w:name="_Toc31641"/>
            <w:bookmarkStart w:id="133" w:name="_Toc3266"/>
            <w:r>
              <w:rPr>
                <w:rFonts w:hint="default" w:ascii="Arial" w:hAnsi="Arial" w:cs="Arial"/>
                <w:sz w:val="22"/>
                <w:szCs w:val="22"/>
              </w:rPr>
              <w:t>保护/治理措施</w:t>
            </w:r>
            <w:bookmarkEnd w:id="130"/>
            <w:bookmarkEnd w:id="131"/>
            <w:bookmarkEnd w:id="132"/>
            <w:bookmarkEnd w:id="133"/>
          </w:p>
        </w:tc>
        <w:tc>
          <w:tcPr>
            <w:tcW w:w="1009" w:type="dxa"/>
            <w:noWrap w:val="0"/>
            <w:vAlign w:val="center"/>
          </w:tcPr>
          <w:p w14:paraId="5278BB5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highlight w:val="none"/>
              </w:rPr>
            </w:pPr>
            <w:r>
              <w:rPr>
                <w:rFonts w:hint="default" w:ascii="Arial" w:hAnsi="Arial" w:cs="Arial"/>
                <w:sz w:val="22"/>
                <w:szCs w:val="22"/>
                <w:highlight w:val="none"/>
              </w:rPr>
              <w:t>费用</w:t>
            </w:r>
          </w:p>
          <w:p w14:paraId="082EE60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highlight w:val="yellow"/>
              </w:rPr>
            </w:pPr>
            <w:r>
              <w:rPr>
                <w:rFonts w:hint="default" w:ascii="Arial" w:hAnsi="Arial" w:cs="Arial"/>
                <w:sz w:val="22"/>
                <w:szCs w:val="22"/>
                <w:highlight w:val="none"/>
              </w:rPr>
              <w:t>（万元）</w:t>
            </w:r>
          </w:p>
        </w:tc>
      </w:tr>
      <w:tr w14:paraId="7353D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6A74654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生态环境</w:t>
            </w:r>
          </w:p>
        </w:tc>
        <w:tc>
          <w:tcPr>
            <w:tcW w:w="681" w:type="dxa"/>
            <w:vMerge w:val="restart"/>
            <w:noWrap w:val="0"/>
            <w:vAlign w:val="center"/>
          </w:tcPr>
          <w:p w14:paraId="762203D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3DC0A5D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施工占地、土石方开挖、弃渣堆存</w:t>
            </w:r>
          </w:p>
        </w:tc>
        <w:tc>
          <w:tcPr>
            <w:tcW w:w="5745" w:type="dxa"/>
            <w:noWrap w:val="0"/>
            <w:vAlign w:val="center"/>
          </w:tcPr>
          <w:p w14:paraId="5256446C">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① 按照施工组织设计的要求，施工单位严格按照规定的工程征占地范围进行施工，减少表土及植被的破坏，严禁超范围占压植被。</w:t>
            </w:r>
          </w:p>
          <w:p w14:paraId="68CF3B1E">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② 施工过程中注意保护好施工区的表层土壤，</w:t>
            </w:r>
            <w:r>
              <w:rPr>
                <w:rFonts w:hint="eastAsia" w:ascii="Arial" w:hAnsi="Arial" w:cs="Arial"/>
                <w:sz w:val="22"/>
                <w:szCs w:val="22"/>
                <w:lang w:eastAsia="zh-CN"/>
              </w:rPr>
              <w:t>集中收集后，分区暂存于弃渣场内，</w:t>
            </w:r>
            <w:r>
              <w:rPr>
                <w:rFonts w:hint="default" w:ascii="Arial" w:hAnsi="Arial" w:cs="Arial"/>
                <w:sz w:val="22"/>
                <w:szCs w:val="22"/>
              </w:rPr>
              <w:t>后期</w:t>
            </w:r>
            <w:r>
              <w:rPr>
                <w:rFonts w:hint="eastAsia" w:ascii="Arial" w:hAnsi="Arial" w:cs="Arial"/>
                <w:sz w:val="22"/>
                <w:szCs w:val="22"/>
                <w:lang w:eastAsia="zh-CN"/>
              </w:rPr>
              <w:t>全部用作生态覆土</w:t>
            </w:r>
            <w:r>
              <w:rPr>
                <w:rFonts w:hint="default" w:ascii="Arial" w:hAnsi="Arial" w:cs="Arial"/>
                <w:sz w:val="22"/>
                <w:szCs w:val="22"/>
              </w:rPr>
              <w:t>。</w:t>
            </w:r>
          </w:p>
          <w:p w14:paraId="19D28907">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③ 施工区周边实施植物绿化措施，并做好抚育管理。施工扰动区域内的植被恢复以当地适生树种和草本为主，乔灌草结合，使工程区尽快融入当地景观。</w:t>
            </w:r>
          </w:p>
          <w:p w14:paraId="77DEB546">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④ 施工结束后，施工便道、弃渣场、施工区进行生态覆绿，种植区域内常见的</w:t>
            </w:r>
            <w:r>
              <w:rPr>
                <w:rFonts w:hint="eastAsia" w:ascii="Arial" w:hAnsi="Arial" w:cs="Arial"/>
                <w:sz w:val="22"/>
                <w:szCs w:val="22"/>
                <w:lang w:eastAsia="zh-CN"/>
              </w:rPr>
              <w:t>马尾松、桉树、麻栎、化香</w:t>
            </w:r>
            <w:r>
              <w:rPr>
                <w:rFonts w:hint="default" w:ascii="Arial" w:hAnsi="Arial" w:cs="Arial"/>
                <w:sz w:val="22"/>
                <w:szCs w:val="22"/>
              </w:rPr>
              <w:t>等，不得遗留裸露地表。</w:t>
            </w:r>
          </w:p>
          <w:p w14:paraId="29C74FFD">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⑤ 在工程完成后须对输水管线沿线补充破坏的植被进行人工恢复，如在管线外侧种植乔木及灌木。临时占地应尽量恢复为农田；不能恢复为农田的，在通过平整后，按照</w:t>
            </w:r>
            <w:r>
              <w:rPr>
                <w:rFonts w:hint="eastAsia" w:ascii="宋体" w:hAnsi="宋体" w:eastAsia="宋体" w:cs="宋体"/>
                <w:sz w:val="22"/>
                <w:szCs w:val="22"/>
              </w:rPr>
              <w:t>“宜林则林、宜草则草”</w:t>
            </w:r>
            <w:r>
              <w:rPr>
                <w:rFonts w:hint="default" w:ascii="Arial" w:hAnsi="Arial" w:cs="Arial"/>
                <w:sz w:val="22"/>
                <w:szCs w:val="22"/>
              </w:rPr>
              <w:t>的原则，种植适宜的林木和草类，最大限度地提高生态环境质量。</w:t>
            </w:r>
          </w:p>
          <w:p w14:paraId="593E31FC">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⑥ 在建设工程中，加强宣传教育和管理，认真全面地贯彻执行《中华人民共和国野生动物保护法》等法律、法规，严禁非法猎捕野生动物。通过发放宣传册、张贴宣传画报等，增强人们的环境保护意识，严禁猎杀捕食野生动物，使野生动物生境能在不受额外影响的情况下得以尽快恢复。</w:t>
            </w:r>
          </w:p>
          <w:p w14:paraId="1D1096B2">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⑦ 加强施工人员的卫生管理。及时清理施工弃渣及废料。避免引起动物瘟疫。</w:t>
            </w:r>
          </w:p>
          <w:p w14:paraId="5D01701E">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eastAsia="宋体" w:cs="Arial"/>
                <w:sz w:val="22"/>
                <w:szCs w:val="22"/>
              </w:rPr>
            </w:pPr>
            <w:r>
              <w:rPr>
                <w:rFonts w:hint="default" w:ascii="Arial" w:hAnsi="Arial" w:cs="Arial"/>
                <w:sz w:val="22"/>
                <w:szCs w:val="22"/>
              </w:rPr>
              <w:t>⑧ 加强对野生动物栖息地的监控和管理工作；在引水补水过程中，要注意定期对饮用水水质进行检测，以防因引水</w:t>
            </w:r>
            <w:r>
              <w:rPr>
                <w:rFonts w:hint="default" w:ascii="Arial" w:hAnsi="Arial" w:eastAsia="宋体" w:cs="Arial"/>
                <w:sz w:val="22"/>
                <w:szCs w:val="22"/>
              </w:rPr>
              <w:t>水质问题对保护区动物造成影响。</w:t>
            </w:r>
          </w:p>
          <w:p w14:paraId="66F52F71">
            <w:pPr>
              <w:keepNext w:val="0"/>
              <w:keepLines w:val="0"/>
              <w:pageBreakBefore w:val="0"/>
              <w:widowControl w:val="0"/>
              <w:kinsoku/>
              <w:wordWrap/>
              <w:overflowPunct/>
              <w:topLinePunct w:val="0"/>
              <w:bidi w:val="0"/>
              <w:snapToGrid/>
              <w:spacing w:line="300" w:lineRule="exact"/>
              <w:jc w:val="both"/>
              <w:textAlignment w:val="auto"/>
              <w:rPr>
                <w:rFonts w:hint="eastAsia" w:ascii="Arial" w:hAnsi="Arial" w:eastAsia="宋体" w:cs="Arial"/>
                <w:sz w:val="22"/>
                <w:szCs w:val="22"/>
                <w:lang w:eastAsia="zh-CN"/>
              </w:rPr>
            </w:pPr>
            <w:r>
              <w:rPr>
                <w:rFonts w:hint="default" w:ascii="Arial" w:hAnsi="Arial" w:eastAsia="宋体" w:cs="Arial"/>
                <w:sz w:val="22"/>
                <w:szCs w:val="22"/>
              </w:rPr>
              <w:t xml:space="preserve">⑨ </w:t>
            </w:r>
            <w:r>
              <w:rPr>
                <w:rFonts w:hint="eastAsia" w:ascii="Arial" w:hAnsi="Arial" w:eastAsia="宋体" w:cs="Arial"/>
                <w:sz w:val="22"/>
                <w:szCs w:val="22"/>
                <w:lang w:eastAsia="zh-CN"/>
              </w:rPr>
              <w:t>合理安排施工作业时间，尽量避免夜间进行高噪声、高振动的施工作业。</w:t>
            </w:r>
          </w:p>
        </w:tc>
        <w:tc>
          <w:tcPr>
            <w:tcW w:w="1009" w:type="dxa"/>
            <w:noWrap w:val="0"/>
            <w:vAlign w:val="center"/>
          </w:tcPr>
          <w:p w14:paraId="1A660FC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lang w:val="en-US"/>
              </w:rPr>
            </w:pPr>
            <w:r>
              <w:rPr>
                <w:rFonts w:hint="eastAsia" w:ascii="Arial" w:hAnsi="Arial" w:cs="Arial"/>
                <w:sz w:val="22"/>
                <w:szCs w:val="22"/>
                <w:lang w:val="en-US" w:eastAsia="zh-CN"/>
              </w:rPr>
              <w:t>30</w:t>
            </w:r>
          </w:p>
        </w:tc>
      </w:tr>
      <w:tr w14:paraId="138A1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A66AF9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1C3CF41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17CF373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default" w:ascii="Arial" w:hAnsi="Arial" w:cs="Arial"/>
                <w:color w:val="auto"/>
                <w:sz w:val="22"/>
                <w:szCs w:val="22"/>
              </w:rPr>
              <w:t>涉</w:t>
            </w:r>
            <w:r>
              <w:rPr>
                <w:rFonts w:hint="eastAsia" w:ascii="Arial" w:hAnsi="Arial" w:cs="Arial"/>
                <w:color w:val="auto"/>
                <w:sz w:val="22"/>
                <w:szCs w:val="22"/>
                <w:lang w:eastAsia="zh-CN"/>
              </w:rPr>
              <w:t>水</w:t>
            </w:r>
            <w:r>
              <w:rPr>
                <w:rFonts w:hint="default" w:ascii="Arial" w:hAnsi="Arial" w:cs="Arial"/>
                <w:color w:val="auto"/>
                <w:sz w:val="22"/>
                <w:szCs w:val="22"/>
              </w:rPr>
              <w:t>施工</w:t>
            </w:r>
          </w:p>
        </w:tc>
        <w:tc>
          <w:tcPr>
            <w:tcW w:w="5745" w:type="dxa"/>
            <w:noWrap w:val="0"/>
            <w:vAlign w:val="center"/>
          </w:tcPr>
          <w:p w14:paraId="1B631273">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default" w:ascii="Arial" w:hAnsi="Arial" w:cs="Arial"/>
                <w:color w:val="auto"/>
                <w:sz w:val="22"/>
                <w:szCs w:val="22"/>
              </w:rPr>
              <w:t>① 优先选择枯水期分段施工，避免大面积涉水开挖。</w:t>
            </w:r>
          </w:p>
          <w:p w14:paraId="1E852E80">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default" w:ascii="Arial" w:hAnsi="Arial" w:cs="Arial"/>
                <w:color w:val="auto"/>
                <w:sz w:val="22"/>
                <w:szCs w:val="22"/>
              </w:rPr>
              <w:t>② 施工前做好拦河堰、导流、围堰、集水坑等措施，做好各类污废水的收集处理工作，减少排河量。</w:t>
            </w:r>
          </w:p>
          <w:p w14:paraId="44A11725">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default" w:ascii="Arial" w:hAnsi="Arial" w:cs="Arial"/>
                <w:color w:val="auto"/>
                <w:sz w:val="22"/>
                <w:szCs w:val="22"/>
              </w:rPr>
              <w:t>③ 做好施工废弃土石方的收集处理工作，不得向</w:t>
            </w:r>
            <w:r>
              <w:rPr>
                <w:rFonts w:hint="eastAsia" w:ascii="Arial" w:hAnsi="Arial" w:cs="Arial"/>
                <w:color w:val="auto"/>
                <w:sz w:val="22"/>
                <w:szCs w:val="22"/>
                <w:lang w:eastAsia="zh-CN"/>
              </w:rPr>
              <w:t>海螺沟</w:t>
            </w:r>
            <w:r>
              <w:rPr>
                <w:rFonts w:hint="default" w:ascii="Arial" w:hAnsi="Arial" w:cs="Arial"/>
                <w:color w:val="auto"/>
                <w:sz w:val="22"/>
                <w:szCs w:val="22"/>
              </w:rPr>
              <w:t>流域中倾倒弃渣。</w:t>
            </w:r>
          </w:p>
          <w:p w14:paraId="276068E6">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default" w:ascii="Arial" w:hAnsi="Arial" w:cs="Arial"/>
                <w:color w:val="auto"/>
                <w:sz w:val="22"/>
                <w:szCs w:val="22"/>
              </w:rPr>
              <w:t>④ 加强施工管理，严禁施工人员随意捕捞鱼类，避开鱼类的繁殖时期施工</w:t>
            </w:r>
            <w:r>
              <w:rPr>
                <w:rFonts w:hint="eastAsia" w:ascii="Arial" w:hAnsi="Arial" w:cs="Arial"/>
                <w:color w:val="auto"/>
                <w:sz w:val="22"/>
                <w:szCs w:val="22"/>
                <w:lang w:eastAsia="zh-CN"/>
              </w:rPr>
              <w:t>；严禁</w:t>
            </w:r>
            <w:r>
              <w:rPr>
                <w:rFonts w:hint="eastAsia" w:ascii="宋体" w:hAnsi="宋体" w:eastAsia="宋体" w:cs="宋体"/>
                <w:sz w:val="22"/>
                <w:szCs w:val="22"/>
                <w:lang w:val="en-US" w:eastAsia="zh-CN"/>
              </w:rPr>
              <w:t>在水域、滩涂内清洗施工机械、车辆以及冲洗建材</w:t>
            </w:r>
            <w:r>
              <w:rPr>
                <w:rFonts w:hint="default" w:ascii="Arial" w:hAnsi="Arial" w:cs="Arial"/>
                <w:color w:val="auto"/>
                <w:sz w:val="22"/>
                <w:szCs w:val="22"/>
              </w:rPr>
              <w:t>。</w:t>
            </w:r>
          </w:p>
          <w:p w14:paraId="72D1B249">
            <w:pPr>
              <w:keepNext w:val="0"/>
              <w:keepLines w:val="0"/>
              <w:pageBreakBefore w:val="0"/>
              <w:widowControl w:val="0"/>
              <w:kinsoku/>
              <w:wordWrap/>
              <w:overflowPunct/>
              <w:topLinePunct w:val="0"/>
              <w:bidi w:val="0"/>
              <w:snapToGrid/>
              <w:spacing w:line="300" w:lineRule="exact"/>
              <w:jc w:val="left"/>
              <w:textAlignment w:val="auto"/>
              <w:rPr>
                <w:rFonts w:hint="eastAsia" w:ascii="Arial" w:hAnsi="Arial" w:eastAsia="宋体" w:cs="Arial"/>
                <w:color w:val="auto"/>
                <w:sz w:val="22"/>
                <w:szCs w:val="22"/>
                <w:lang w:eastAsia="zh-CN"/>
              </w:rPr>
            </w:pPr>
            <w:r>
              <w:rPr>
                <w:rFonts w:hint="default" w:ascii="Arial" w:hAnsi="Arial" w:cs="Arial"/>
                <w:color w:val="auto"/>
                <w:sz w:val="22"/>
                <w:szCs w:val="22"/>
              </w:rPr>
              <w:t>⑤输水工程管道有</w:t>
            </w:r>
            <w:r>
              <w:rPr>
                <w:rFonts w:hint="eastAsia" w:ascii="Arial" w:hAnsi="Arial" w:cs="Arial"/>
                <w:color w:val="auto"/>
                <w:sz w:val="22"/>
                <w:szCs w:val="22"/>
                <w:lang w:val="en-US" w:eastAsia="zh-CN"/>
              </w:rPr>
              <w:t>5</w:t>
            </w:r>
            <w:r>
              <w:rPr>
                <w:rFonts w:hint="default" w:ascii="Arial" w:hAnsi="Arial" w:cs="Arial"/>
                <w:color w:val="auto"/>
                <w:sz w:val="22"/>
                <w:szCs w:val="22"/>
              </w:rPr>
              <w:t>处跨河，</w:t>
            </w:r>
            <w:r>
              <w:rPr>
                <w:rFonts w:hint="eastAsia" w:ascii="Arial" w:hAnsi="Arial" w:cs="Arial"/>
                <w:color w:val="auto"/>
                <w:sz w:val="22"/>
                <w:szCs w:val="22"/>
                <w:lang w:eastAsia="zh-CN"/>
              </w:rPr>
              <w:t>本评价建议</w:t>
            </w:r>
            <w:r>
              <w:rPr>
                <w:rFonts w:hint="default" w:ascii="Arial" w:hAnsi="Arial" w:cs="Arial"/>
                <w:color w:val="auto"/>
                <w:sz w:val="22"/>
                <w:szCs w:val="22"/>
              </w:rPr>
              <w:t>应优先选用顶管</w:t>
            </w:r>
            <w:r>
              <w:rPr>
                <w:rFonts w:hint="eastAsia" w:ascii="Arial" w:hAnsi="Arial" w:cs="Arial"/>
                <w:color w:val="auto"/>
                <w:sz w:val="22"/>
                <w:szCs w:val="22"/>
                <w:lang w:eastAsia="zh-CN"/>
              </w:rPr>
              <w:t>、定向钻</w:t>
            </w:r>
            <w:r>
              <w:rPr>
                <w:rFonts w:hint="default" w:ascii="Arial" w:hAnsi="Arial" w:cs="Arial"/>
                <w:color w:val="auto"/>
                <w:sz w:val="22"/>
                <w:szCs w:val="22"/>
              </w:rPr>
              <w:t>等不涉水的施工工艺，不具备相应施工条件时，选择枯水期作业，同时需做好施工导流、围堰等工作，并尽可能将处理后的基坑废水回用于施工抑尘洒水，多余部分需沉淀处理</w:t>
            </w:r>
            <w:r>
              <w:rPr>
                <w:rFonts w:hint="eastAsia" w:ascii="Arial" w:hAnsi="Arial" w:cs="Arial"/>
                <w:color w:val="auto"/>
                <w:sz w:val="22"/>
                <w:szCs w:val="22"/>
                <w:lang w:eastAsia="zh-CN"/>
              </w:rPr>
              <w:t>后排入下游河道。</w:t>
            </w:r>
          </w:p>
          <w:p w14:paraId="21463312">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eastAsia" w:ascii="宋体" w:hAnsi="宋体" w:eastAsia="宋体" w:cs="宋体"/>
                <w:color w:val="auto"/>
                <w:sz w:val="22"/>
                <w:szCs w:val="22"/>
              </w:rPr>
              <w:t>⑥</w:t>
            </w:r>
            <w:r>
              <w:rPr>
                <w:rFonts w:hint="default" w:ascii="Arial" w:hAnsi="Arial" w:cs="Arial"/>
                <w:color w:val="auto"/>
                <w:sz w:val="22"/>
                <w:szCs w:val="22"/>
              </w:rPr>
              <w:t>同时输水管线施工段应设置围挡，严格控制施工活动，做好废弃土石方的收集处理工作，严禁向</w:t>
            </w:r>
            <w:r>
              <w:rPr>
                <w:rFonts w:hint="eastAsia" w:ascii="Arial" w:hAnsi="Arial" w:cs="Arial"/>
                <w:color w:val="auto"/>
                <w:sz w:val="22"/>
                <w:szCs w:val="22"/>
                <w:lang w:eastAsia="zh-CN"/>
              </w:rPr>
              <w:t>河道内</w:t>
            </w:r>
            <w:r>
              <w:rPr>
                <w:rFonts w:hint="default" w:ascii="Arial" w:hAnsi="Arial" w:cs="Arial"/>
                <w:color w:val="auto"/>
                <w:sz w:val="22"/>
                <w:szCs w:val="22"/>
              </w:rPr>
              <w:t>倾倒废渣，减轻涉水作业对流域水质、水生生态环境的影响。</w:t>
            </w:r>
          </w:p>
        </w:tc>
        <w:tc>
          <w:tcPr>
            <w:tcW w:w="1009" w:type="dxa"/>
            <w:noWrap w:val="0"/>
            <w:vAlign w:val="center"/>
          </w:tcPr>
          <w:p w14:paraId="4E90C29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15</w:t>
            </w:r>
          </w:p>
        </w:tc>
      </w:tr>
      <w:tr w14:paraId="5A2DE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329F0D7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710A9E6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049F6A1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水土保持：土石方开挖、弃渣</w:t>
            </w:r>
          </w:p>
        </w:tc>
        <w:tc>
          <w:tcPr>
            <w:tcW w:w="5745" w:type="dxa"/>
            <w:noWrap w:val="0"/>
            <w:vAlign w:val="center"/>
          </w:tcPr>
          <w:p w14:paraId="676D1338">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sz w:val="22"/>
                <w:szCs w:val="22"/>
              </w:rPr>
            </w:pPr>
            <w:r>
              <w:rPr>
                <w:rFonts w:hint="default" w:ascii="Arial" w:hAnsi="Arial" w:cs="Arial"/>
                <w:sz w:val="22"/>
                <w:szCs w:val="22"/>
              </w:rPr>
              <w:t>按照项目水土保持方案报告书中要求落实各项水保措施，采取表土剥离及回填、修建截排水沟、挡土墙、沉砂池、导流渠、边坡防护等工程措施，土地翻耕、植树、喷洒草籽等植物措施，临时截排水沟、沉砂池、遮盖、拦挡、围挡等措施。</w:t>
            </w:r>
          </w:p>
        </w:tc>
        <w:tc>
          <w:tcPr>
            <w:tcW w:w="1009" w:type="dxa"/>
            <w:noWrap w:val="0"/>
            <w:vAlign w:val="center"/>
          </w:tcPr>
          <w:p w14:paraId="478EFE03">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纳入水保投资</w:t>
            </w:r>
          </w:p>
        </w:tc>
      </w:tr>
      <w:tr w14:paraId="022DA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18F7477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废水</w:t>
            </w:r>
          </w:p>
        </w:tc>
        <w:tc>
          <w:tcPr>
            <w:tcW w:w="681" w:type="dxa"/>
            <w:vMerge w:val="restart"/>
            <w:noWrap w:val="0"/>
            <w:vAlign w:val="center"/>
          </w:tcPr>
          <w:p w14:paraId="1E441BE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6FFEF7AC">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default" w:ascii="Arial" w:hAnsi="Arial" w:cs="Arial"/>
                <w:sz w:val="22"/>
                <w:szCs w:val="22"/>
              </w:rPr>
              <w:t>混凝土</w:t>
            </w:r>
            <w:r>
              <w:rPr>
                <w:rFonts w:hint="eastAsia" w:ascii="Arial" w:hAnsi="Arial" w:cs="Arial"/>
                <w:sz w:val="22"/>
                <w:szCs w:val="22"/>
                <w:lang w:eastAsia="zh-CN"/>
              </w:rPr>
              <w:t>拌合系统废水</w:t>
            </w:r>
          </w:p>
        </w:tc>
        <w:tc>
          <w:tcPr>
            <w:tcW w:w="5745" w:type="dxa"/>
            <w:noWrap w:val="0"/>
            <w:vAlign w:val="center"/>
          </w:tcPr>
          <w:p w14:paraId="22633EC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cs="Arial"/>
                <w:b w:val="0"/>
                <w:bCs/>
                <w:sz w:val="22"/>
                <w:szCs w:val="22"/>
                <w:lang w:val="en-US" w:eastAsia="zh-CN"/>
              </w:rPr>
              <w:t>在枢纽工程施工场地内混凝土搅拌系统区域四周设置截排水沟，末端设置一座容积合计为30m</w:t>
            </w:r>
            <w:r>
              <w:rPr>
                <w:rFonts w:hint="eastAsia" w:ascii="Arial" w:hAnsi="Arial" w:cs="Arial"/>
                <w:b w:val="0"/>
                <w:bCs/>
                <w:sz w:val="22"/>
                <w:szCs w:val="22"/>
                <w:vertAlign w:val="superscript"/>
                <w:lang w:val="en-US" w:eastAsia="zh-CN"/>
              </w:rPr>
              <w:t>3</w:t>
            </w:r>
            <w:r>
              <w:rPr>
                <w:rFonts w:hint="eastAsia" w:ascii="Arial" w:hAnsi="Arial" w:cs="Arial"/>
                <w:b w:val="0"/>
                <w:bCs/>
                <w:sz w:val="22"/>
                <w:szCs w:val="22"/>
                <w:lang w:val="en-US" w:eastAsia="zh-CN"/>
              </w:rPr>
              <w:t>的三级沉淀池，经pH调节+隔油沉淀池处理后，上清液可回用作混凝土拌合、养护等生产用水，或抑尘洒水，不外排。</w:t>
            </w:r>
          </w:p>
        </w:tc>
        <w:tc>
          <w:tcPr>
            <w:tcW w:w="1009" w:type="dxa"/>
            <w:vMerge w:val="restart"/>
            <w:noWrap w:val="0"/>
            <w:vAlign w:val="center"/>
          </w:tcPr>
          <w:p w14:paraId="031F463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25</w:t>
            </w:r>
          </w:p>
        </w:tc>
      </w:tr>
      <w:tr w14:paraId="2C697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7E39EBE6">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6323F0E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3804003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基坑废水</w:t>
            </w:r>
          </w:p>
        </w:tc>
        <w:tc>
          <w:tcPr>
            <w:tcW w:w="5745" w:type="dxa"/>
            <w:noWrap w:val="0"/>
            <w:vAlign w:val="center"/>
          </w:tcPr>
          <w:p w14:paraId="4D77A0C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lang w:val="en-US" w:eastAsia="zh-CN"/>
              </w:rPr>
              <w:t>在基坑内设立截水沟、集水坑，将基坑废水收集并静置1~2h后，上清液可用作施工用水，多余部分泵入下游河道。</w:t>
            </w:r>
          </w:p>
        </w:tc>
        <w:tc>
          <w:tcPr>
            <w:tcW w:w="1009" w:type="dxa"/>
            <w:vMerge w:val="continue"/>
            <w:noWrap w:val="0"/>
            <w:vAlign w:val="center"/>
          </w:tcPr>
          <w:p w14:paraId="1F59B51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64ECD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6C0FBF6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306404B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28ABAA8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施工机械、运输车辆冲洗含油废水</w:t>
            </w:r>
          </w:p>
        </w:tc>
        <w:tc>
          <w:tcPr>
            <w:tcW w:w="5745" w:type="dxa"/>
            <w:noWrap w:val="0"/>
            <w:vAlign w:val="center"/>
          </w:tcPr>
          <w:p w14:paraId="0AD3C72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eastAsia="宋体" w:cs="Arial"/>
                <w:b w:val="0"/>
                <w:bCs/>
                <w:sz w:val="22"/>
                <w:szCs w:val="22"/>
                <w:lang w:val="en-US" w:eastAsia="zh-CN"/>
              </w:rPr>
              <w:t>在枢纽工程、输水工程各设置一座容积分别为5m</w:t>
            </w:r>
            <w:r>
              <w:rPr>
                <w:rFonts w:hint="eastAsia" w:ascii="Arial" w:hAnsi="Arial" w:eastAsia="宋体" w:cs="Arial"/>
                <w:b w:val="0"/>
                <w:bCs/>
                <w:sz w:val="22"/>
                <w:szCs w:val="22"/>
                <w:vertAlign w:val="superscript"/>
                <w:lang w:val="en-US" w:eastAsia="zh-CN"/>
              </w:rPr>
              <w:t>3</w:t>
            </w:r>
            <w:r>
              <w:rPr>
                <w:rFonts w:hint="eastAsia" w:ascii="Arial" w:hAnsi="Arial" w:eastAsia="宋体" w:cs="Arial"/>
                <w:b w:val="0"/>
                <w:bCs/>
                <w:sz w:val="22"/>
                <w:szCs w:val="22"/>
                <w:lang w:val="en-US" w:eastAsia="zh-CN"/>
              </w:rPr>
              <w:t>、3m</w:t>
            </w:r>
            <w:r>
              <w:rPr>
                <w:rFonts w:hint="eastAsia" w:ascii="Arial" w:hAnsi="Arial" w:eastAsia="宋体" w:cs="Arial"/>
                <w:b w:val="0"/>
                <w:bCs/>
                <w:sz w:val="22"/>
                <w:szCs w:val="22"/>
                <w:vertAlign w:val="superscript"/>
                <w:lang w:val="en-US" w:eastAsia="zh-CN"/>
              </w:rPr>
              <w:t>3</w:t>
            </w:r>
            <w:r>
              <w:rPr>
                <w:rFonts w:hint="eastAsia" w:ascii="Arial" w:hAnsi="Arial" w:eastAsia="宋体" w:cs="Arial"/>
                <w:b w:val="0"/>
                <w:bCs/>
                <w:sz w:val="22"/>
                <w:szCs w:val="22"/>
                <w:lang w:val="en-US" w:eastAsia="zh-CN"/>
              </w:rPr>
              <w:t>的隔油沉淀池，将清洗产生的含油废水收集处理后</w:t>
            </w:r>
            <w:r>
              <w:rPr>
                <w:rFonts w:hint="eastAsia" w:ascii="Arial" w:cs="Arial"/>
                <w:b w:val="0"/>
                <w:bCs/>
                <w:sz w:val="22"/>
                <w:szCs w:val="22"/>
                <w:lang w:eastAsia="zh-CN"/>
              </w:rPr>
              <w:t>全部回用，不外排地表水体</w:t>
            </w:r>
            <w:r>
              <w:rPr>
                <w:rFonts w:hint="eastAsia" w:ascii="Arial" w:hAnsi="Arial" w:eastAsia="宋体" w:cs="Arial"/>
                <w:b w:val="0"/>
                <w:bCs/>
                <w:sz w:val="22"/>
                <w:szCs w:val="22"/>
                <w:lang w:val="en-US" w:eastAsia="zh-CN"/>
              </w:rPr>
              <w:t>。</w:t>
            </w:r>
          </w:p>
        </w:tc>
        <w:tc>
          <w:tcPr>
            <w:tcW w:w="1009" w:type="dxa"/>
            <w:vMerge w:val="continue"/>
            <w:noWrap w:val="0"/>
            <w:vAlign w:val="center"/>
          </w:tcPr>
          <w:p w14:paraId="766D617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43FE8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93FF1E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4E728F9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D588A6A">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初期雨水</w:t>
            </w:r>
          </w:p>
        </w:tc>
        <w:tc>
          <w:tcPr>
            <w:tcW w:w="5745" w:type="dxa"/>
            <w:noWrap w:val="0"/>
            <w:vAlign w:val="center"/>
          </w:tcPr>
          <w:p w14:paraId="10119C62">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b w:val="0"/>
                <w:bCs/>
                <w:sz w:val="22"/>
                <w:szCs w:val="22"/>
                <w:lang w:val="en-US" w:eastAsia="zh-CN"/>
              </w:rPr>
            </w:pPr>
            <w:r>
              <w:rPr>
                <w:rFonts w:hint="eastAsia" w:ascii="Arial" w:hAnsi="Arial" w:eastAsia="宋体" w:cs="Arial"/>
                <w:b w:val="0"/>
                <w:bCs/>
                <w:sz w:val="22"/>
                <w:szCs w:val="22"/>
                <w:lang w:val="en-US" w:eastAsia="zh-CN"/>
              </w:rPr>
              <w:t>根据施工进度，</w:t>
            </w:r>
            <w:r>
              <w:rPr>
                <w:rFonts w:hint="eastAsia" w:ascii="Arial" w:hAnsi="Arial" w:cs="Arial"/>
                <w:b w:val="0"/>
                <w:bCs/>
                <w:sz w:val="22"/>
                <w:szCs w:val="22"/>
                <w:lang w:val="en-US" w:eastAsia="zh-CN"/>
              </w:rPr>
              <w:t>建设截排水沟、沉砂池等收集、处理设施，将初期雨水收集</w:t>
            </w:r>
            <w:r>
              <w:rPr>
                <w:rFonts w:hint="eastAsia" w:ascii="Arial" w:hAnsi="Arial" w:eastAsia="宋体" w:cs="Arial"/>
                <w:b w:val="0"/>
                <w:bCs/>
                <w:sz w:val="22"/>
                <w:szCs w:val="22"/>
                <w:lang w:val="en-US" w:eastAsia="zh-CN"/>
              </w:rPr>
              <w:t>沉淀</w:t>
            </w:r>
            <w:r>
              <w:rPr>
                <w:rFonts w:hint="eastAsia" w:ascii="Arial" w:hAnsi="Arial" w:cs="Arial"/>
                <w:b w:val="0"/>
                <w:bCs/>
                <w:sz w:val="22"/>
                <w:szCs w:val="22"/>
                <w:lang w:val="en-US" w:eastAsia="zh-CN"/>
              </w:rPr>
              <w:t>处理</w:t>
            </w:r>
            <w:r>
              <w:rPr>
                <w:rFonts w:hint="eastAsia" w:ascii="Arial" w:hAnsi="Arial" w:eastAsia="宋体" w:cs="Arial"/>
                <w:b w:val="0"/>
                <w:bCs/>
                <w:sz w:val="22"/>
                <w:szCs w:val="22"/>
                <w:lang w:val="en-US" w:eastAsia="zh-CN"/>
              </w:rPr>
              <w:t>后</w:t>
            </w:r>
            <w:r>
              <w:rPr>
                <w:rFonts w:hint="eastAsia" w:ascii="Arial" w:hAnsi="Arial" w:cs="Arial"/>
                <w:b w:val="0"/>
                <w:bCs/>
                <w:sz w:val="22"/>
                <w:szCs w:val="22"/>
                <w:lang w:val="en-US" w:eastAsia="zh-CN"/>
              </w:rPr>
              <w:t>，</w:t>
            </w:r>
            <w:r>
              <w:rPr>
                <w:rFonts w:hint="eastAsia" w:ascii="Arial" w:hAnsi="Arial" w:eastAsia="宋体" w:cs="Arial"/>
                <w:b w:val="0"/>
                <w:bCs/>
                <w:sz w:val="22"/>
                <w:szCs w:val="22"/>
                <w:lang w:val="en-US" w:eastAsia="zh-CN"/>
              </w:rPr>
              <w:t>回用作施工用水或排入环境。</w:t>
            </w:r>
          </w:p>
        </w:tc>
        <w:tc>
          <w:tcPr>
            <w:tcW w:w="1009" w:type="dxa"/>
            <w:vMerge w:val="continue"/>
            <w:noWrap w:val="0"/>
            <w:vAlign w:val="center"/>
          </w:tcPr>
          <w:p w14:paraId="5F41844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49D46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7F97EB9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7D8CC54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6C877F7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default" w:ascii="Arial" w:hAnsi="Arial" w:cs="Arial"/>
                <w:color w:val="auto"/>
                <w:sz w:val="22"/>
                <w:szCs w:val="22"/>
              </w:rPr>
              <w:t>管道试压排水</w:t>
            </w:r>
          </w:p>
        </w:tc>
        <w:tc>
          <w:tcPr>
            <w:tcW w:w="5745" w:type="dxa"/>
            <w:noWrap w:val="0"/>
            <w:vAlign w:val="center"/>
          </w:tcPr>
          <w:p w14:paraId="79B404F9">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color w:val="auto"/>
                <w:sz w:val="22"/>
                <w:szCs w:val="22"/>
                <w:lang w:eastAsia="zh-CN"/>
              </w:rPr>
            </w:pPr>
            <w:r>
              <w:rPr>
                <w:rFonts w:hint="default" w:ascii="Arial" w:hAnsi="Arial" w:cs="Arial"/>
                <w:color w:val="auto"/>
                <w:sz w:val="22"/>
                <w:szCs w:val="22"/>
              </w:rPr>
              <w:t>为水库蓄水，</w:t>
            </w:r>
            <w:r>
              <w:rPr>
                <w:rFonts w:hint="eastAsia" w:ascii="Arial" w:hAnsi="Arial" w:cs="Arial"/>
                <w:color w:val="auto"/>
                <w:sz w:val="22"/>
                <w:szCs w:val="22"/>
                <w:lang w:eastAsia="zh-CN"/>
              </w:rPr>
              <w:t>水质较好</w:t>
            </w:r>
            <w:r>
              <w:rPr>
                <w:rFonts w:hint="default" w:ascii="Arial" w:hAnsi="Arial" w:cs="Arial"/>
                <w:color w:val="auto"/>
                <w:sz w:val="22"/>
                <w:szCs w:val="22"/>
              </w:rPr>
              <w:t>，直接用于沿线农林灌溉</w:t>
            </w:r>
            <w:r>
              <w:rPr>
                <w:rFonts w:hint="eastAsia" w:ascii="Arial" w:hAnsi="Arial" w:cs="Arial"/>
                <w:color w:val="auto"/>
                <w:sz w:val="22"/>
                <w:szCs w:val="22"/>
                <w:lang w:eastAsia="zh-CN"/>
              </w:rPr>
              <w:t>。</w:t>
            </w:r>
          </w:p>
        </w:tc>
        <w:tc>
          <w:tcPr>
            <w:tcW w:w="1009" w:type="dxa"/>
            <w:vMerge w:val="continue"/>
            <w:noWrap w:val="0"/>
            <w:vAlign w:val="center"/>
          </w:tcPr>
          <w:p w14:paraId="2DF8FE1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0DAC5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7642F0F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5E2FC4B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779798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生活污水</w:t>
            </w:r>
          </w:p>
        </w:tc>
        <w:tc>
          <w:tcPr>
            <w:tcW w:w="5745" w:type="dxa"/>
            <w:noWrap w:val="0"/>
            <w:vAlign w:val="center"/>
          </w:tcPr>
          <w:p w14:paraId="1C0DBA4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C00000"/>
                <w:sz w:val="22"/>
                <w:szCs w:val="22"/>
              </w:rPr>
            </w:pPr>
            <w:r>
              <w:rPr>
                <w:rFonts w:hint="eastAsia" w:ascii="Arial" w:hAnsi="Arial" w:cs="Arial"/>
                <w:color w:val="auto"/>
                <w:sz w:val="22"/>
                <w:szCs w:val="22"/>
                <w:lang w:eastAsia="zh-CN"/>
              </w:rPr>
              <w:t>经租赁居民房屋内已有</w:t>
            </w:r>
            <w:r>
              <w:rPr>
                <w:rFonts w:hint="default" w:ascii="Arial" w:hAnsi="Arial" w:cs="Arial"/>
                <w:color w:val="auto"/>
                <w:sz w:val="22"/>
                <w:szCs w:val="22"/>
              </w:rPr>
              <w:t>旱厕收集厌氧消化处置后，交附近居民作农肥</w:t>
            </w:r>
            <w:r>
              <w:rPr>
                <w:rFonts w:hint="eastAsia" w:ascii="Arial" w:hAnsi="Arial" w:cs="Arial"/>
                <w:color w:val="auto"/>
                <w:sz w:val="22"/>
                <w:szCs w:val="22"/>
                <w:lang w:eastAsia="zh-CN"/>
              </w:rPr>
              <w:t>，不外排</w:t>
            </w:r>
            <w:r>
              <w:rPr>
                <w:rFonts w:hint="default" w:ascii="Arial" w:hAnsi="Arial" w:cs="Arial"/>
                <w:color w:val="auto"/>
                <w:sz w:val="22"/>
                <w:szCs w:val="22"/>
              </w:rPr>
              <w:t>。</w:t>
            </w:r>
          </w:p>
        </w:tc>
        <w:tc>
          <w:tcPr>
            <w:tcW w:w="1009" w:type="dxa"/>
            <w:vMerge w:val="continue"/>
            <w:noWrap w:val="0"/>
            <w:vAlign w:val="center"/>
          </w:tcPr>
          <w:p w14:paraId="733FB84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111B3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2841ED3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废气</w:t>
            </w:r>
          </w:p>
        </w:tc>
        <w:tc>
          <w:tcPr>
            <w:tcW w:w="681" w:type="dxa"/>
            <w:vMerge w:val="restart"/>
            <w:noWrap w:val="0"/>
            <w:vAlign w:val="center"/>
          </w:tcPr>
          <w:p w14:paraId="4AE23B4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2AF4ABF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土石方开挖、粉质物料装卸、弃渣转运</w:t>
            </w:r>
          </w:p>
        </w:tc>
        <w:tc>
          <w:tcPr>
            <w:tcW w:w="5745" w:type="dxa"/>
            <w:noWrap w:val="0"/>
            <w:vAlign w:val="center"/>
          </w:tcPr>
          <w:p w14:paraId="3026743C">
            <w:pPr>
              <w:keepNext w:val="0"/>
              <w:keepLines w:val="0"/>
              <w:pageBreakBefore w:val="0"/>
              <w:widowControl w:val="0"/>
              <w:kinsoku/>
              <w:wordWrap/>
              <w:overflowPunct/>
              <w:topLinePunct w:val="0"/>
              <w:bidi w:val="0"/>
              <w:snapToGrid/>
              <w:spacing w:line="300" w:lineRule="exact"/>
              <w:textAlignment w:val="auto"/>
              <w:rPr>
                <w:rFonts w:hint="default" w:ascii="Arial" w:hAnsi="Arial" w:cs="Arial"/>
                <w:sz w:val="22"/>
                <w:szCs w:val="22"/>
              </w:rPr>
            </w:pPr>
            <w:r>
              <w:rPr>
                <w:rFonts w:hint="default" w:ascii="Arial" w:hAnsi="Arial" w:cs="Arial"/>
                <w:sz w:val="22"/>
                <w:szCs w:val="22"/>
              </w:rPr>
              <w:t>① 施工场区洒水抑尘，</w:t>
            </w:r>
            <w:r>
              <w:rPr>
                <w:rFonts w:hint="eastAsia" w:ascii="Arial" w:hAnsi="Arial" w:cs="Arial"/>
                <w:sz w:val="22"/>
                <w:szCs w:val="22"/>
                <w:lang w:eastAsia="zh-CN"/>
              </w:rPr>
              <w:t>配备洒水车、雾炮机等抑尘设备，</w:t>
            </w:r>
            <w:r>
              <w:rPr>
                <w:rFonts w:hint="default" w:ascii="Arial" w:hAnsi="Arial" w:cs="Arial"/>
                <w:sz w:val="22"/>
                <w:szCs w:val="22"/>
              </w:rPr>
              <w:t>大风天气增加洒水频次。</w:t>
            </w:r>
          </w:p>
          <w:p w14:paraId="25DBD399">
            <w:pPr>
              <w:keepNext w:val="0"/>
              <w:keepLines w:val="0"/>
              <w:pageBreakBefore w:val="0"/>
              <w:widowControl w:val="0"/>
              <w:kinsoku/>
              <w:wordWrap/>
              <w:overflowPunct/>
              <w:topLinePunct w:val="0"/>
              <w:bidi w:val="0"/>
              <w:snapToGrid/>
              <w:spacing w:line="300" w:lineRule="exact"/>
              <w:textAlignment w:val="auto"/>
              <w:rPr>
                <w:rFonts w:hint="default" w:ascii="Arial" w:hAnsi="Arial" w:cs="Arial"/>
                <w:sz w:val="22"/>
                <w:szCs w:val="22"/>
              </w:rPr>
            </w:pPr>
            <w:r>
              <w:rPr>
                <w:rFonts w:hint="default" w:ascii="Arial" w:hAnsi="Arial" w:cs="Arial"/>
                <w:sz w:val="22"/>
                <w:szCs w:val="22"/>
              </w:rPr>
              <w:t>② 弃渣、粉质物料运输过程中限速限载，采取篷布遮盖，按规定线路行驶；对运输要道、施工便道、进场道路进行硬化处置，并定期清扫、洒水抑尘；</w:t>
            </w:r>
            <w:r>
              <w:rPr>
                <w:rFonts w:hint="eastAsia" w:ascii="Arial" w:hAnsi="Arial" w:cs="Arial"/>
                <w:sz w:val="22"/>
                <w:szCs w:val="22"/>
                <w:lang w:eastAsia="zh-CN"/>
              </w:rPr>
              <w:t>施工场地内设置车辆冲洗装置，</w:t>
            </w:r>
            <w:r>
              <w:rPr>
                <w:rFonts w:hint="default" w:ascii="Arial" w:hAnsi="Arial" w:cs="Arial"/>
                <w:sz w:val="22"/>
                <w:szCs w:val="22"/>
              </w:rPr>
              <w:t>运输车辆清洗后上路，避免引起二次扬尘。</w:t>
            </w:r>
          </w:p>
          <w:p w14:paraId="4322D384">
            <w:pPr>
              <w:keepNext w:val="0"/>
              <w:keepLines w:val="0"/>
              <w:pageBreakBefore w:val="0"/>
              <w:widowControl w:val="0"/>
              <w:kinsoku/>
              <w:wordWrap/>
              <w:overflowPunct/>
              <w:topLinePunct w:val="0"/>
              <w:bidi w:val="0"/>
              <w:snapToGrid/>
              <w:spacing w:line="300" w:lineRule="exact"/>
              <w:textAlignment w:val="auto"/>
              <w:rPr>
                <w:rFonts w:hint="default" w:ascii="Arial" w:hAnsi="Arial" w:cs="Arial"/>
                <w:sz w:val="22"/>
                <w:szCs w:val="22"/>
              </w:rPr>
            </w:pPr>
            <w:r>
              <w:rPr>
                <w:rFonts w:hint="default" w:ascii="Arial" w:hAnsi="Arial" w:cs="Arial"/>
                <w:sz w:val="22"/>
                <w:szCs w:val="22"/>
              </w:rPr>
              <w:t>③ 土石方开挖产生的裸露地面采取绿网遮盖，避免风力扬尘。</w:t>
            </w:r>
          </w:p>
          <w:p w14:paraId="65EAD0FA">
            <w:pPr>
              <w:keepNext w:val="0"/>
              <w:keepLines w:val="0"/>
              <w:pageBreakBefore w:val="0"/>
              <w:widowControl w:val="0"/>
              <w:kinsoku/>
              <w:wordWrap/>
              <w:overflowPunct/>
              <w:topLinePunct w:val="0"/>
              <w:bidi w:val="0"/>
              <w:snapToGrid/>
              <w:spacing w:line="300" w:lineRule="exact"/>
              <w:textAlignment w:val="auto"/>
              <w:rPr>
                <w:rFonts w:hint="default" w:ascii="Arial" w:hAnsi="Arial" w:cs="Arial"/>
                <w:sz w:val="22"/>
                <w:szCs w:val="22"/>
              </w:rPr>
            </w:pPr>
            <w:r>
              <w:rPr>
                <w:rFonts w:hint="default" w:ascii="Arial" w:hAnsi="Arial" w:cs="Arial"/>
                <w:sz w:val="22"/>
                <w:szCs w:val="22"/>
              </w:rPr>
              <w:t>④ 对粉质原材料堆场进行加盖密封，在卸料平台周围设置高压水喷雾装置，卸料时，进行喷雾处理，保持砂堆表层湿润，防止卸料产生的风力扬尘；加强物料运输和装卸管理；文明装卸；减小卸料落差。</w:t>
            </w:r>
          </w:p>
          <w:p w14:paraId="7E0C7B83">
            <w:pPr>
              <w:keepNext w:val="0"/>
              <w:keepLines w:val="0"/>
              <w:pageBreakBefore w:val="0"/>
              <w:widowControl w:val="0"/>
              <w:kinsoku/>
              <w:wordWrap/>
              <w:overflowPunct/>
              <w:topLinePunct w:val="0"/>
              <w:bidi w:val="0"/>
              <w:snapToGrid/>
              <w:spacing w:line="300" w:lineRule="exact"/>
              <w:textAlignment w:val="auto"/>
              <w:rPr>
                <w:rFonts w:hint="default" w:ascii="Arial" w:hAnsi="Arial" w:cs="Arial"/>
                <w:color w:val="auto"/>
                <w:sz w:val="22"/>
                <w:szCs w:val="22"/>
              </w:rPr>
            </w:pPr>
            <w:r>
              <w:rPr>
                <w:rFonts w:hint="default" w:ascii="Arial" w:hAnsi="Arial" w:cs="Arial"/>
                <w:color w:val="auto"/>
                <w:sz w:val="22"/>
                <w:szCs w:val="22"/>
              </w:rPr>
              <w:t xml:space="preserve">⑤ </w:t>
            </w:r>
            <w:r>
              <w:rPr>
                <w:rFonts w:hint="eastAsia" w:ascii="Arial" w:hAnsi="Arial" w:cs="Arial"/>
                <w:color w:val="auto"/>
                <w:sz w:val="22"/>
                <w:szCs w:val="22"/>
                <w:lang w:eastAsia="zh-CN"/>
              </w:rPr>
              <w:t>混凝土拌合系统水泥、粉煤灰等采取筒仓储存，</w:t>
            </w:r>
            <w:r>
              <w:rPr>
                <w:rFonts w:hint="eastAsia" w:ascii="Arial" w:hAnsi="Arial" w:eastAsia="宋体" w:cs="Arial"/>
                <w:color w:val="000000"/>
                <w:sz w:val="22"/>
                <w:szCs w:val="22"/>
                <w:lang w:val="en-US" w:eastAsia="zh-CN"/>
              </w:rPr>
              <w:t>筒仓上部安装仓顶除尘器，搅拌罐密闭设置，并洒水抑尘</w:t>
            </w:r>
            <w:r>
              <w:rPr>
                <w:rFonts w:hint="default" w:ascii="Arial" w:hAnsi="Arial" w:cs="Arial"/>
                <w:color w:val="auto"/>
                <w:sz w:val="22"/>
                <w:szCs w:val="22"/>
              </w:rPr>
              <w:t>。</w:t>
            </w:r>
          </w:p>
          <w:p w14:paraId="160409BA">
            <w:pPr>
              <w:keepNext w:val="0"/>
              <w:keepLines w:val="0"/>
              <w:pageBreakBefore w:val="0"/>
              <w:widowControl w:val="0"/>
              <w:kinsoku/>
              <w:wordWrap/>
              <w:overflowPunct/>
              <w:topLinePunct w:val="0"/>
              <w:bidi w:val="0"/>
              <w:snapToGrid/>
              <w:spacing w:line="300" w:lineRule="exact"/>
              <w:textAlignment w:val="auto"/>
              <w:rPr>
                <w:rFonts w:hint="default" w:ascii="Arial" w:hAnsi="Arial" w:cs="Arial"/>
                <w:color w:val="auto"/>
                <w:sz w:val="22"/>
                <w:szCs w:val="22"/>
              </w:rPr>
            </w:pPr>
            <w:r>
              <w:rPr>
                <w:rFonts w:hint="default" w:ascii="Arial" w:hAnsi="Arial" w:cs="Arial"/>
                <w:color w:val="auto"/>
                <w:sz w:val="22"/>
                <w:szCs w:val="22"/>
              </w:rPr>
              <w:t>⑥ 暂不利用土石方及时清运至本项目所设弃渣场进行填埋处置，弃渣场定期洒水抑尘。</w:t>
            </w:r>
          </w:p>
        </w:tc>
        <w:tc>
          <w:tcPr>
            <w:tcW w:w="1009" w:type="dxa"/>
            <w:vMerge w:val="restart"/>
            <w:noWrap w:val="0"/>
            <w:vAlign w:val="center"/>
          </w:tcPr>
          <w:p w14:paraId="6788D7A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r>
      <w:tr w14:paraId="5C140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55A01AC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20E078A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629B147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施工机具燃油废气</w:t>
            </w:r>
          </w:p>
        </w:tc>
        <w:tc>
          <w:tcPr>
            <w:tcW w:w="5745" w:type="dxa"/>
            <w:noWrap w:val="0"/>
            <w:vAlign w:val="center"/>
          </w:tcPr>
          <w:p w14:paraId="47CC37A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选用高效低耗的施工设备，并加强保养及维护，</w:t>
            </w:r>
            <w:r>
              <w:rPr>
                <w:rFonts w:hint="eastAsia" w:ascii="Arial" w:hAnsi="Arial" w:eastAsia="宋体" w:cs="Arial"/>
                <w:sz w:val="22"/>
                <w:szCs w:val="22"/>
                <w:lang w:val="en-US" w:eastAsia="zh-CN"/>
              </w:rPr>
              <w:t>确保其处于良好的运行状态，以轻质柴油、汽油为燃料，减少燃油尾气的产生和排放量。</w:t>
            </w:r>
          </w:p>
        </w:tc>
        <w:tc>
          <w:tcPr>
            <w:tcW w:w="1009" w:type="dxa"/>
            <w:vMerge w:val="continue"/>
            <w:noWrap w:val="0"/>
            <w:vAlign w:val="center"/>
          </w:tcPr>
          <w:p w14:paraId="645F62B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06D0C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690" w:type="dxa"/>
            <w:vMerge w:val="continue"/>
            <w:noWrap w:val="0"/>
            <w:vAlign w:val="center"/>
          </w:tcPr>
          <w:p w14:paraId="2DB7526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3DBB9FA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16B49A9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食堂废气</w:t>
            </w:r>
          </w:p>
        </w:tc>
        <w:tc>
          <w:tcPr>
            <w:tcW w:w="5745" w:type="dxa"/>
            <w:noWrap w:val="0"/>
            <w:vAlign w:val="center"/>
          </w:tcPr>
          <w:p w14:paraId="1843D47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采用液化气、电等清洁能源作为生活燃料，燃烧后SO</w:t>
            </w:r>
            <w:r>
              <w:rPr>
                <w:rFonts w:hint="default" w:ascii="Arial" w:hAnsi="Arial" w:cs="Arial"/>
                <w:sz w:val="22"/>
                <w:szCs w:val="22"/>
                <w:vertAlign w:val="subscript"/>
              </w:rPr>
              <w:t>2</w:t>
            </w:r>
            <w:r>
              <w:rPr>
                <w:rFonts w:hint="default" w:ascii="Arial" w:hAnsi="Arial" w:cs="Arial"/>
                <w:sz w:val="22"/>
                <w:szCs w:val="22"/>
              </w:rPr>
              <w:t>、烟尘等污染物排放量小；烹饪油烟废气通过油烟净化器处理后</w:t>
            </w:r>
            <w:r>
              <w:rPr>
                <w:rFonts w:hint="eastAsia" w:ascii="Arial" w:hAnsi="Arial" w:cs="Arial"/>
                <w:sz w:val="22"/>
                <w:szCs w:val="22"/>
                <w:lang w:eastAsia="zh-CN"/>
              </w:rPr>
              <w:t>，引至超屋顶</w:t>
            </w:r>
            <w:r>
              <w:rPr>
                <w:rFonts w:hint="default" w:ascii="Arial" w:hAnsi="Arial" w:cs="Arial"/>
                <w:sz w:val="22"/>
                <w:szCs w:val="22"/>
              </w:rPr>
              <w:t>排放。</w:t>
            </w:r>
          </w:p>
        </w:tc>
        <w:tc>
          <w:tcPr>
            <w:tcW w:w="1009" w:type="dxa"/>
            <w:vMerge w:val="continue"/>
            <w:noWrap w:val="0"/>
            <w:vAlign w:val="center"/>
          </w:tcPr>
          <w:p w14:paraId="1D5D729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78A5B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3ADABF1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噪声</w:t>
            </w:r>
          </w:p>
        </w:tc>
        <w:tc>
          <w:tcPr>
            <w:tcW w:w="681" w:type="dxa"/>
            <w:noWrap w:val="0"/>
            <w:vAlign w:val="center"/>
          </w:tcPr>
          <w:p w14:paraId="634D4F7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08E6C8A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生产设备运行</w:t>
            </w:r>
          </w:p>
        </w:tc>
        <w:tc>
          <w:tcPr>
            <w:tcW w:w="5745" w:type="dxa"/>
            <w:noWrap w:val="0"/>
            <w:vAlign w:val="center"/>
          </w:tcPr>
          <w:p w14:paraId="5CE9D52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根据《重庆市噪声污染防治办法》的相关要求，优先用低产噪设备，同时加强施工机械的维护保养；合理布置施工机械和施工强度，作好施工组织，将施工区内高产噪区域远离环境敏感点布置，并设置临时设备间、通过墙体隔声，以减缓噪声影响；物料运输尽量安排在白天运输，途径密集居住区时采取缓速、禁鸣等措施；合理安排施工作业时间，尽量避免夜间作业，偶遇混凝土浇筑必须连续作业的工序，需取得当地</w:t>
            </w:r>
            <w:r>
              <w:rPr>
                <w:rFonts w:hint="default" w:ascii="Arial" w:hAnsi="Arial" w:cs="Arial"/>
                <w:sz w:val="22"/>
                <w:szCs w:val="22"/>
                <w:lang w:val="en-US" w:eastAsia="zh-CN"/>
              </w:rPr>
              <w:t>城市管理或者住房城乡建设部门的</w:t>
            </w:r>
            <w:r>
              <w:rPr>
                <w:rFonts w:hint="default" w:ascii="Arial" w:hAnsi="Arial" w:cs="Arial"/>
                <w:sz w:val="22"/>
                <w:szCs w:val="22"/>
              </w:rPr>
              <w:t>批准，并告知附近居民，以取得谅解。</w:t>
            </w:r>
          </w:p>
        </w:tc>
        <w:tc>
          <w:tcPr>
            <w:tcW w:w="1009" w:type="dxa"/>
            <w:noWrap w:val="0"/>
            <w:vAlign w:val="center"/>
          </w:tcPr>
          <w:p w14:paraId="08F798A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10</w:t>
            </w:r>
          </w:p>
        </w:tc>
      </w:tr>
      <w:tr w14:paraId="74A51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05FCC55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固体废弃物</w:t>
            </w:r>
          </w:p>
        </w:tc>
        <w:tc>
          <w:tcPr>
            <w:tcW w:w="681" w:type="dxa"/>
            <w:vMerge w:val="restart"/>
            <w:noWrap w:val="0"/>
            <w:vAlign w:val="center"/>
          </w:tcPr>
          <w:p w14:paraId="7B0F1A3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02709299">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表土</w:t>
            </w:r>
          </w:p>
        </w:tc>
        <w:tc>
          <w:tcPr>
            <w:tcW w:w="5745" w:type="dxa"/>
            <w:noWrap w:val="0"/>
            <w:vAlign w:val="center"/>
          </w:tcPr>
          <w:p w14:paraId="297486C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cs="Arial"/>
                <w:bCs/>
                <w:color w:val="auto"/>
                <w:sz w:val="22"/>
                <w:szCs w:val="22"/>
                <w:lang w:val="en-US" w:eastAsia="zh-CN"/>
              </w:rPr>
              <w:t>集中收集后，分区暂存于项目所设弃渣场内，后期全部用作绿化覆土，不外排。</w:t>
            </w:r>
          </w:p>
        </w:tc>
        <w:tc>
          <w:tcPr>
            <w:tcW w:w="1009" w:type="dxa"/>
            <w:vMerge w:val="restart"/>
            <w:noWrap w:val="0"/>
            <w:vAlign w:val="center"/>
          </w:tcPr>
          <w:p w14:paraId="53CA591D">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val="en-US" w:eastAsia="zh-CN"/>
              </w:rPr>
              <w:t>8</w:t>
            </w:r>
          </w:p>
        </w:tc>
      </w:tr>
      <w:tr w14:paraId="41D32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767C453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01298B5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shd w:val="clear" w:color="auto" w:fill="auto"/>
            <w:noWrap w:val="0"/>
            <w:vAlign w:val="center"/>
          </w:tcPr>
          <w:p w14:paraId="60BC7029">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eastAsia="zh-CN"/>
              </w:rPr>
              <w:t>弃渣</w:t>
            </w:r>
          </w:p>
        </w:tc>
        <w:tc>
          <w:tcPr>
            <w:tcW w:w="5745" w:type="dxa"/>
            <w:shd w:val="clear" w:color="auto" w:fill="auto"/>
            <w:noWrap w:val="0"/>
            <w:vAlign w:val="center"/>
          </w:tcPr>
          <w:p w14:paraId="11C7D3CF">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eastAsia="zh-CN"/>
              </w:rPr>
              <w:t>及时清运至项目所设弃渣场内填埋处置</w:t>
            </w:r>
            <w:r>
              <w:rPr>
                <w:rFonts w:hint="default" w:ascii="Arial" w:hAnsi="Arial" w:cs="Arial"/>
                <w:bCs/>
                <w:sz w:val="22"/>
                <w:szCs w:val="22"/>
              </w:rPr>
              <w:t>。</w:t>
            </w:r>
          </w:p>
        </w:tc>
        <w:tc>
          <w:tcPr>
            <w:tcW w:w="1009" w:type="dxa"/>
            <w:vMerge w:val="continue"/>
            <w:noWrap w:val="0"/>
            <w:vAlign w:val="center"/>
          </w:tcPr>
          <w:p w14:paraId="205160F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6E6AC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037C7F4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32A1978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31A45FC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废油</w:t>
            </w:r>
          </w:p>
        </w:tc>
        <w:tc>
          <w:tcPr>
            <w:tcW w:w="5745" w:type="dxa"/>
            <w:noWrap w:val="0"/>
            <w:vAlign w:val="center"/>
          </w:tcPr>
          <w:p w14:paraId="48608F2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cs="Arial"/>
                <w:color w:val="auto"/>
                <w:sz w:val="22"/>
                <w:szCs w:val="22"/>
                <w:lang w:eastAsia="zh-CN"/>
              </w:rPr>
              <w:t>属于危险废物，桶装收集后，</w:t>
            </w:r>
            <w:r>
              <w:rPr>
                <w:rFonts w:hint="eastAsia" w:ascii="Arial" w:hAnsi="Arial" w:cs="Arial"/>
                <w:color w:val="auto"/>
                <w:sz w:val="22"/>
                <w:szCs w:val="22"/>
              </w:rPr>
              <w:t>暂存于施工</w:t>
            </w:r>
            <w:r>
              <w:rPr>
                <w:rFonts w:hint="eastAsia" w:ascii="Arial" w:hAnsi="Arial" w:cs="Arial"/>
                <w:color w:val="auto"/>
                <w:sz w:val="22"/>
                <w:szCs w:val="22"/>
                <w:lang w:eastAsia="zh-CN"/>
              </w:rPr>
              <w:t>场地</w:t>
            </w:r>
            <w:r>
              <w:rPr>
                <w:rFonts w:hint="eastAsia" w:ascii="Arial" w:hAnsi="Arial" w:cs="Arial"/>
                <w:color w:val="auto"/>
                <w:sz w:val="22"/>
                <w:szCs w:val="22"/>
              </w:rPr>
              <w:t>内独立设置的危废</w:t>
            </w:r>
            <w:r>
              <w:rPr>
                <w:rFonts w:hint="eastAsia" w:ascii="Arial" w:hAnsi="Arial" w:cs="Arial"/>
                <w:color w:val="auto"/>
                <w:sz w:val="22"/>
                <w:szCs w:val="22"/>
                <w:lang w:eastAsia="zh-CN"/>
              </w:rPr>
              <w:t>贮存区内</w:t>
            </w:r>
            <w:r>
              <w:rPr>
                <w:rFonts w:hint="eastAsia" w:ascii="Arial" w:hAnsi="Arial" w:cs="Arial"/>
                <w:color w:val="auto"/>
                <w:sz w:val="22"/>
                <w:szCs w:val="22"/>
              </w:rPr>
              <w:t>，按规定进行“</w:t>
            </w:r>
            <w:r>
              <w:rPr>
                <w:rFonts w:hint="eastAsia" w:ascii="Arial" w:hAnsi="Arial" w:cs="Arial"/>
                <w:color w:val="auto"/>
                <w:sz w:val="22"/>
                <w:szCs w:val="22"/>
                <w:lang w:eastAsia="zh-CN"/>
              </w:rPr>
              <w:t>六</w:t>
            </w:r>
            <w:r>
              <w:rPr>
                <w:rFonts w:hint="eastAsia" w:ascii="Arial" w:hAnsi="Arial" w:cs="Arial"/>
                <w:color w:val="auto"/>
                <w:sz w:val="22"/>
                <w:szCs w:val="22"/>
              </w:rPr>
              <w:t>防”处置，最终交有有资质的单位回收处置。</w:t>
            </w:r>
          </w:p>
        </w:tc>
        <w:tc>
          <w:tcPr>
            <w:tcW w:w="1009" w:type="dxa"/>
            <w:vMerge w:val="continue"/>
            <w:noWrap w:val="0"/>
            <w:vAlign w:val="center"/>
          </w:tcPr>
          <w:p w14:paraId="175B7B6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146FF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1761CD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066C3DC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732C553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生活垃圾</w:t>
            </w:r>
          </w:p>
        </w:tc>
        <w:tc>
          <w:tcPr>
            <w:tcW w:w="5745" w:type="dxa"/>
            <w:noWrap w:val="0"/>
            <w:vAlign w:val="center"/>
          </w:tcPr>
          <w:p w14:paraId="19AA799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日产日清，经各施工区所设垃圾桶收集后，交</w:t>
            </w:r>
            <w:r>
              <w:rPr>
                <w:rFonts w:hint="eastAsia" w:ascii="Arial" w:hAnsi="Arial" w:cs="Arial"/>
                <w:sz w:val="22"/>
                <w:szCs w:val="22"/>
                <w:lang w:eastAsia="zh-CN"/>
              </w:rPr>
              <w:t>当地</w:t>
            </w:r>
            <w:r>
              <w:rPr>
                <w:rFonts w:hint="default" w:ascii="Arial" w:hAnsi="Arial" w:cs="Arial"/>
                <w:sz w:val="22"/>
                <w:szCs w:val="22"/>
              </w:rPr>
              <w:t>环卫部门统一清运处置</w:t>
            </w:r>
          </w:p>
        </w:tc>
        <w:tc>
          <w:tcPr>
            <w:tcW w:w="1009" w:type="dxa"/>
            <w:vMerge w:val="continue"/>
            <w:noWrap w:val="0"/>
            <w:vAlign w:val="center"/>
          </w:tcPr>
          <w:p w14:paraId="7EE63E6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585E6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722E69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48335A5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2CB1262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餐厨垃圾</w:t>
            </w:r>
          </w:p>
        </w:tc>
        <w:tc>
          <w:tcPr>
            <w:tcW w:w="5745" w:type="dxa"/>
            <w:noWrap w:val="0"/>
            <w:vAlign w:val="center"/>
          </w:tcPr>
          <w:p w14:paraId="266F9FC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桶装收集后，交有资质单位清运处置</w:t>
            </w:r>
          </w:p>
        </w:tc>
        <w:tc>
          <w:tcPr>
            <w:tcW w:w="1009" w:type="dxa"/>
            <w:vMerge w:val="continue"/>
            <w:noWrap w:val="0"/>
            <w:vAlign w:val="center"/>
          </w:tcPr>
          <w:p w14:paraId="37A3D6C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409C2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2DF76E5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52116D3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D5E99B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清库废物</w:t>
            </w:r>
          </w:p>
        </w:tc>
        <w:tc>
          <w:tcPr>
            <w:tcW w:w="5745" w:type="dxa"/>
            <w:noWrap w:val="0"/>
            <w:vAlign w:val="center"/>
          </w:tcPr>
          <w:p w14:paraId="55AE67E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分类收集，</w:t>
            </w:r>
            <w:r>
              <w:rPr>
                <w:rFonts w:hint="eastAsia" w:ascii="Arial" w:hAnsi="宋体" w:cs="Arial"/>
                <w:color w:val="auto"/>
                <w:sz w:val="22"/>
                <w:szCs w:val="22"/>
              </w:rPr>
              <w:t>生活垃圾等运至当地垃圾填埋场处置，林木外卖综合利用</w:t>
            </w:r>
            <w:r>
              <w:rPr>
                <w:rFonts w:hint="default" w:ascii="Arial" w:hAnsi="Arial" w:cs="Arial"/>
                <w:sz w:val="22"/>
                <w:szCs w:val="22"/>
              </w:rPr>
              <w:t>。</w:t>
            </w:r>
          </w:p>
        </w:tc>
        <w:tc>
          <w:tcPr>
            <w:tcW w:w="1009" w:type="dxa"/>
            <w:vMerge w:val="continue"/>
            <w:noWrap w:val="0"/>
            <w:vAlign w:val="center"/>
          </w:tcPr>
          <w:p w14:paraId="73CE6D1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4A01F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458822EF">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环境风险</w:t>
            </w:r>
          </w:p>
        </w:tc>
        <w:tc>
          <w:tcPr>
            <w:tcW w:w="681" w:type="dxa"/>
            <w:noWrap w:val="0"/>
            <w:vAlign w:val="center"/>
          </w:tcPr>
          <w:p w14:paraId="754033F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65C15306">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油品</w:t>
            </w:r>
          </w:p>
        </w:tc>
        <w:tc>
          <w:tcPr>
            <w:tcW w:w="5745" w:type="dxa"/>
            <w:noWrap w:val="0"/>
            <w:vAlign w:val="center"/>
          </w:tcPr>
          <w:p w14:paraId="62709AC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eastAsia="宋体" w:cs="Arial"/>
                <w:color w:val="auto"/>
                <w:sz w:val="22"/>
                <w:szCs w:val="22"/>
                <w:highlight w:val="none"/>
                <w:lang w:val="en-US" w:eastAsia="zh-CN"/>
              </w:rPr>
              <w:t>采取</w:t>
            </w:r>
            <w:r>
              <w:rPr>
                <w:rFonts w:hint="eastAsia" w:ascii="Arial" w:hAnsi="Arial" w:cs="Arial"/>
                <w:color w:val="auto"/>
                <w:sz w:val="22"/>
                <w:szCs w:val="22"/>
                <w:highlight w:val="none"/>
                <w:lang w:val="en-US" w:eastAsia="zh-CN"/>
              </w:rPr>
              <w:t>桶装密闭储存</w:t>
            </w:r>
            <w:r>
              <w:rPr>
                <w:rFonts w:hint="eastAsia" w:ascii="Arial" w:hAnsi="Arial" w:eastAsia="宋体" w:cs="Arial"/>
                <w:color w:val="auto"/>
                <w:sz w:val="22"/>
                <w:szCs w:val="22"/>
                <w:highlight w:val="none"/>
                <w:lang w:val="en-US" w:eastAsia="zh-CN"/>
              </w:rPr>
              <w:t>，</w:t>
            </w:r>
            <w:r>
              <w:rPr>
                <w:rFonts w:hint="eastAsia" w:ascii="Arial" w:hAnsi="Arial" w:cs="Arial"/>
                <w:color w:val="auto"/>
                <w:sz w:val="22"/>
                <w:szCs w:val="22"/>
                <w:highlight w:val="none"/>
                <w:lang w:val="en-US" w:eastAsia="zh-CN"/>
              </w:rPr>
              <w:t>暂存区四周设围堰，围堰和地面均进行重点防渗处置；</w:t>
            </w:r>
            <w:r>
              <w:rPr>
                <w:rFonts w:hint="eastAsia" w:ascii="Arial" w:hAnsi="Arial" w:eastAsia="宋体" w:cs="Arial"/>
                <w:color w:val="auto"/>
                <w:sz w:val="22"/>
                <w:szCs w:val="22"/>
                <w:highlight w:val="none"/>
                <w:lang w:val="en-US" w:eastAsia="zh-CN"/>
              </w:rPr>
              <w:t>配置灭火器、消防砂、铁铲</w:t>
            </w:r>
            <w:r>
              <w:rPr>
                <w:rFonts w:hint="eastAsia" w:ascii="Arial" w:hAnsi="Arial" w:cs="Arial"/>
                <w:color w:val="auto"/>
                <w:sz w:val="22"/>
                <w:szCs w:val="22"/>
                <w:highlight w:val="none"/>
                <w:lang w:val="en-US" w:eastAsia="zh-CN"/>
              </w:rPr>
              <w:t>、铁桶</w:t>
            </w:r>
            <w:r>
              <w:rPr>
                <w:rFonts w:hint="eastAsia" w:ascii="Arial" w:hAnsi="Arial" w:eastAsia="宋体" w:cs="Arial"/>
                <w:color w:val="auto"/>
                <w:sz w:val="22"/>
                <w:szCs w:val="22"/>
                <w:highlight w:val="none"/>
                <w:lang w:val="en-US" w:eastAsia="zh-CN"/>
              </w:rPr>
              <w:t>的应急物资</w:t>
            </w:r>
            <w:r>
              <w:rPr>
                <w:rFonts w:hint="eastAsia" w:ascii="Arial" w:hAnsi="Arial" w:cs="Arial"/>
                <w:color w:val="auto"/>
                <w:sz w:val="22"/>
                <w:szCs w:val="22"/>
                <w:highlight w:val="none"/>
                <w:lang w:val="en-US" w:eastAsia="zh-CN"/>
              </w:rPr>
              <w:t>，远离火源；</w:t>
            </w:r>
            <w:r>
              <w:rPr>
                <w:rFonts w:hint="eastAsia" w:ascii="Arial" w:hAnsi="Arial" w:cs="Arial"/>
                <w:color w:val="auto"/>
                <w:sz w:val="22"/>
                <w:szCs w:val="22"/>
                <w:highlight w:val="none"/>
              </w:rPr>
              <w:t>建立日常巡检制度，一旦发现</w:t>
            </w:r>
            <w:r>
              <w:rPr>
                <w:rFonts w:hint="eastAsia" w:ascii="Arial" w:hAnsi="Arial" w:cs="Arial"/>
                <w:color w:val="auto"/>
                <w:sz w:val="22"/>
                <w:szCs w:val="22"/>
                <w:highlight w:val="none"/>
                <w:lang w:eastAsia="zh-CN"/>
              </w:rPr>
              <w:t>储罐</w:t>
            </w:r>
            <w:r>
              <w:rPr>
                <w:rFonts w:hint="eastAsia" w:ascii="Arial" w:hAnsi="Arial" w:cs="Arial"/>
                <w:color w:val="auto"/>
                <w:sz w:val="22"/>
                <w:szCs w:val="22"/>
                <w:highlight w:val="none"/>
              </w:rPr>
              <w:t>破损，立即对</w:t>
            </w:r>
            <w:r>
              <w:rPr>
                <w:rFonts w:hint="eastAsia" w:ascii="Arial" w:hAnsi="Arial" w:cs="Arial"/>
                <w:color w:val="auto"/>
                <w:sz w:val="22"/>
                <w:szCs w:val="22"/>
                <w:highlight w:val="none"/>
                <w:lang w:eastAsia="zh-CN"/>
              </w:rPr>
              <w:t>桶</w:t>
            </w:r>
            <w:r>
              <w:rPr>
                <w:rFonts w:hint="eastAsia" w:ascii="Arial" w:hAnsi="Arial" w:cs="Arial"/>
                <w:color w:val="auto"/>
                <w:sz w:val="22"/>
                <w:szCs w:val="22"/>
                <w:highlight w:val="none"/>
              </w:rPr>
              <w:t>内</w:t>
            </w:r>
            <w:r>
              <w:rPr>
                <w:rFonts w:hint="eastAsia" w:ascii="Arial" w:hAnsi="Arial" w:cs="Arial"/>
                <w:color w:val="auto"/>
                <w:sz w:val="22"/>
                <w:szCs w:val="22"/>
                <w:highlight w:val="none"/>
                <w:lang w:eastAsia="zh-CN"/>
              </w:rPr>
              <w:t>油料</w:t>
            </w:r>
            <w:r>
              <w:rPr>
                <w:rFonts w:hint="eastAsia" w:ascii="Arial" w:hAnsi="Arial" w:cs="Arial"/>
                <w:color w:val="auto"/>
                <w:sz w:val="22"/>
                <w:szCs w:val="22"/>
                <w:highlight w:val="none"/>
              </w:rPr>
              <w:t>进行转移</w:t>
            </w:r>
            <w:r>
              <w:rPr>
                <w:rFonts w:hint="eastAsia" w:ascii="Arial" w:hAnsi="Arial" w:eastAsia="宋体" w:cs="Arial"/>
                <w:color w:val="auto"/>
                <w:kern w:val="2"/>
                <w:sz w:val="22"/>
                <w:szCs w:val="22"/>
                <w:lang w:val="en-US" w:eastAsia="zh-CN" w:bidi="ar-SA"/>
              </w:rPr>
              <w:t>。</w:t>
            </w:r>
          </w:p>
        </w:tc>
        <w:tc>
          <w:tcPr>
            <w:tcW w:w="1009" w:type="dxa"/>
            <w:noWrap w:val="0"/>
            <w:vAlign w:val="center"/>
          </w:tcPr>
          <w:p w14:paraId="4AA29FDF">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val="en-US" w:eastAsia="zh-CN"/>
              </w:rPr>
              <w:t>2</w:t>
            </w:r>
          </w:p>
        </w:tc>
      </w:tr>
      <w:tr w14:paraId="0FC40B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46" w:type="dxa"/>
            <w:gridSpan w:val="4"/>
            <w:noWrap w:val="0"/>
            <w:vAlign w:val="center"/>
          </w:tcPr>
          <w:p w14:paraId="6082054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合计</w:t>
            </w:r>
          </w:p>
        </w:tc>
        <w:tc>
          <w:tcPr>
            <w:tcW w:w="1009" w:type="dxa"/>
            <w:noWrap w:val="0"/>
            <w:vAlign w:val="center"/>
          </w:tcPr>
          <w:p w14:paraId="7A42239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color w:val="C00000"/>
                <w:sz w:val="22"/>
                <w:szCs w:val="22"/>
                <w:lang w:val="en-US" w:eastAsia="zh-CN"/>
              </w:rPr>
            </w:pPr>
            <w:r>
              <w:rPr>
                <w:rFonts w:hint="eastAsia" w:ascii="Arial" w:hAnsi="Arial" w:cs="Arial"/>
                <w:color w:val="auto"/>
                <w:sz w:val="22"/>
                <w:szCs w:val="22"/>
                <w:lang w:val="en-US" w:eastAsia="zh-CN"/>
              </w:rPr>
              <w:t>140</w:t>
            </w:r>
          </w:p>
        </w:tc>
      </w:tr>
      <w:tr w14:paraId="457C2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6A97573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废气</w:t>
            </w:r>
          </w:p>
        </w:tc>
        <w:tc>
          <w:tcPr>
            <w:tcW w:w="681" w:type="dxa"/>
            <w:vMerge w:val="restart"/>
            <w:noWrap w:val="0"/>
            <w:vAlign w:val="center"/>
          </w:tcPr>
          <w:p w14:paraId="0E04AD2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营运期</w:t>
            </w:r>
          </w:p>
        </w:tc>
        <w:tc>
          <w:tcPr>
            <w:tcW w:w="1230" w:type="dxa"/>
            <w:noWrap w:val="0"/>
            <w:vAlign w:val="center"/>
          </w:tcPr>
          <w:p w14:paraId="1D042A8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管理区食堂油烟</w:t>
            </w:r>
          </w:p>
        </w:tc>
        <w:tc>
          <w:tcPr>
            <w:tcW w:w="5745" w:type="dxa"/>
            <w:noWrap w:val="0"/>
            <w:vAlign w:val="center"/>
          </w:tcPr>
          <w:p w14:paraId="24CEAF3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以液化石油气、电为能源，食堂油烟经油烟净化器处理达标后，引至超屋顶外排</w:t>
            </w:r>
          </w:p>
        </w:tc>
        <w:tc>
          <w:tcPr>
            <w:tcW w:w="1009" w:type="dxa"/>
            <w:noWrap w:val="0"/>
            <w:vAlign w:val="center"/>
          </w:tcPr>
          <w:p w14:paraId="0AD5B31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2</w:t>
            </w:r>
          </w:p>
        </w:tc>
      </w:tr>
      <w:tr w14:paraId="0AF72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690" w:type="dxa"/>
            <w:vMerge w:val="restart"/>
            <w:noWrap w:val="0"/>
            <w:vAlign w:val="center"/>
          </w:tcPr>
          <w:p w14:paraId="161AE24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废水</w:t>
            </w:r>
          </w:p>
        </w:tc>
        <w:tc>
          <w:tcPr>
            <w:tcW w:w="681" w:type="dxa"/>
            <w:vMerge w:val="continue"/>
            <w:noWrap w:val="0"/>
            <w:vAlign w:val="center"/>
          </w:tcPr>
          <w:p w14:paraId="4AEE7CA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3E21869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生活污水</w:t>
            </w:r>
          </w:p>
        </w:tc>
        <w:tc>
          <w:tcPr>
            <w:tcW w:w="5745" w:type="dxa"/>
            <w:noWrap w:val="0"/>
            <w:vAlign w:val="center"/>
          </w:tcPr>
          <w:p w14:paraId="058D8B2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经管理</w:t>
            </w:r>
            <w:r>
              <w:rPr>
                <w:rFonts w:hint="eastAsia" w:ascii="Arial" w:hAnsi="Arial" w:cs="Arial"/>
                <w:sz w:val="22"/>
                <w:szCs w:val="22"/>
                <w:lang w:eastAsia="zh-CN"/>
              </w:rPr>
              <w:t>用房内</w:t>
            </w:r>
            <w:r>
              <w:rPr>
                <w:rFonts w:hint="default" w:ascii="Arial" w:hAnsi="Arial" w:cs="Arial"/>
                <w:sz w:val="22"/>
                <w:szCs w:val="22"/>
              </w:rPr>
              <w:t>所设化粪池收集处理后，交当地居民农灌，不外排。</w:t>
            </w:r>
          </w:p>
        </w:tc>
        <w:tc>
          <w:tcPr>
            <w:tcW w:w="1009" w:type="dxa"/>
            <w:noWrap w:val="0"/>
            <w:vAlign w:val="center"/>
          </w:tcPr>
          <w:p w14:paraId="01D08514">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val="en-US" w:eastAsia="zh-CN"/>
              </w:rPr>
              <w:t>2</w:t>
            </w:r>
          </w:p>
        </w:tc>
      </w:tr>
      <w:tr w14:paraId="6084F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5F74815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063CA8C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30ECA2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灌区回</w:t>
            </w:r>
          </w:p>
          <w:p w14:paraId="2F400DF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归水</w:t>
            </w:r>
          </w:p>
        </w:tc>
        <w:tc>
          <w:tcPr>
            <w:tcW w:w="5745" w:type="dxa"/>
            <w:noWrap w:val="0"/>
            <w:vAlign w:val="center"/>
          </w:tcPr>
          <w:p w14:paraId="4ACDDEF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灌区应采取科学的灌溉措施，加强工程管理，减少管道漏水；</w:t>
            </w:r>
            <w:r>
              <w:rPr>
                <w:rFonts w:hint="eastAsia" w:ascii="Arial" w:hAnsi="Arial" w:cs="Arial"/>
                <w:sz w:val="22"/>
                <w:szCs w:val="22"/>
                <w:lang w:eastAsia="zh-CN"/>
              </w:rPr>
              <w:t>与当地主管部门一同</w:t>
            </w:r>
            <w:r>
              <w:rPr>
                <w:rFonts w:hint="default" w:ascii="Arial" w:hAnsi="Arial" w:cs="Arial"/>
                <w:sz w:val="22"/>
                <w:szCs w:val="22"/>
              </w:rPr>
              <w:t>推行计划用水、科学用水、合理进行水量调配；</w:t>
            </w:r>
            <w:r>
              <w:rPr>
                <w:rFonts w:hint="eastAsia" w:ascii="Arial" w:hAnsi="Arial" w:cs="Arial"/>
                <w:sz w:val="22"/>
                <w:szCs w:val="22"/>
                <w:lang w:eastAsia="zh-CN"/>
              </w:rPr>
              <w:t>协同当地农业主管部</w:t>
            </w:r>
            <w:r>
              <w:rPr>
                <w:rFonts w:hint="eastAsia" w:ascii="Arial" w:hAnsi="Arial" w:cs="Arial"/>
                <w:color w:val="auto"/>
                <w:sz w:val="22"/>
                <w:szCs w:val="22"/>
                <w:lang w:eastAsia="zh-CN"/>
              </w:rPr>
              <w:t>门，</w:t>
            </w:r>
            <w:r>
              <w:rPr>
                <w:rFonts w:hint="default" w:ascii="Arial" w:hAnsi="Arial" w:cs="Arial"/>
                <w:bCs/>
                <w:color w:val="auto"/>
                <w:sz w:val="22"/>
                <w:szCs w:val="22"/>
              </w:rPr>
              <w:t>根据《长江保护修复攻坚战行动计划》，落实化肥、农药施用量负增长行动，通过开展化肥、农药减量利用和替代利用，加大测土配方施肥推广力度，引导科学合理施肥施药，</w:t>
            </w:r>
            <w:r>
              <w:rPr>
                <w:rFonts w:hint="default" w:ascii="Arial" w:hAnsi="Arial" w:cs="Arial"/>
                <w:color w:val="auto"/>
                <w:sz w:val="22"/>
                <w:szCs w:val="22"/>
              </w:rPr>
              <w:t>降低N、P流失量。</w:t>
            </w:r>
          </w:p>
        </w:tc>
        <w:tc>
          <w:tcPr>
            <w:tcW w:w="1009" w:type="dxa"/>
            <w:noWrap w:val="0"/>
            <w:vAlign w:val="center"/>
          </w:tcPr>
          <w:p w14:paraId="27A48CD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w:t>
            </w:r>
          </w:p>
        </w:tc>
      </w:tr>
      <w:tr w14:paraId="197BE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40C0A48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噪声</w:t>
            </w:r>
          </w:p>
        </w:tc>
        <w:tc>
          <w:tcPr>
            <w:tcW w:w="681" w:type="dxa"/>
            <w:vMerge w:val="continue"/>
            <w:noWrap w:val="0"/>
            <w:vAlign w:val="center"/>
          </w:tcPr>
          <w:p w14:paraId="1FF5D04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BC8C806">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溢洪道、闸阀房、上坝道路</w:t>
            </w:r>
          </w:p>
        </w:tc>
        <w:tc>
          <w:tcPr>
            <w:tcW w:w="5745" w:type="dxa"/>
            <w:noWrap w:val="0"/>
            <w:vAlign w:val="center"/>
          </w:tcPr>
          <w:p w14:paraId="21E7567B">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为偶发、瞬时性噪声，加强设备管理；上坝道路车流量小，交通噪声影响小。</w:t>
            </w:r>
          </w:p>
        </w:tc>
        <w:tc>
          <w:tcPr>
            <w:tcW w:w="1009" w:type="dxa"/>
            <w:noWrap w:val="0"/>
            <w:vAlign w:val="center"/>
          </w:tcPr>
          <w:p w14:paraId="67EB6119">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val="en-US" w:eastAsia="zh-CN"/>
              </w:rPr>
              <w:t>/</w:t>
            </w:r>
          </w:p>
        </w:tc>
      </w:tr>
      <w:tr w14:paraId="55274F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6E1CA14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固体废物</w:t>
            </w:r>
          </w:p>
        </w:tc>
        <w:tc>
          <w:tcPr>
            <w:tcW w:w="681" w:type="dxa"/>
            <w:vMerge w:val="continue"/>
            <w:noWrap w:val="0"/>
            <w:vAlign w:val="center"/>
          </w:tcPr>
          <w:p w14:paraId="30DE27D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1F77526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生活垃圾</w:t>
            </w:r>
          </w:p>
        </w:tc>
        <w:tc>
          <w:tcPr>
            <w:tcW w:w="5745" w:type="dxa"/>
            <w:noWrap w:val="0"/>
            <w:vAlign w:val="center"/>
          </w:tcPr>
          <w:p w14:paraId="13D0319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集中收集交，交当地环卫部门统一清运处置</w:t>
            </w:r>
          </w:p>
        </w:tc>
        <w:tc>
          <w:tcPr>
            <w:tcW w:w="1009" w:type="dxa"/>
            <w:noWrap w:val="0"/>
            <w:vAlign w:val="center"/>
          </w:tcPr>
          <w:p w14:paraId="10E3890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1</w:t>
            </w:r>
          </w:p>
        </w:tc>
      </w:tr>
      <w:tr w14:paraId="58535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467A9B4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0DABBF0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183654A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餐厨垃圾</w:t>
            </w:r>
          </w:p>
        </w:tc>
        <w:tc>
          <w:tcPr>
            <w:tcW w:w="5745" w:type="dxa"/>
            <w:noWrap w:val="0"/>
            <w:vAlign w:val="center"/>
          </w:tcPr>
          <w:p w14:paraId="032E3CF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桶装收集后，交有资质的单位收运处置。</w:t>
            </w:r>
          </w:p>
        </w:tc>
        <w:tc>
          <w:tcPr>
            <w:tcW w:w="1009" w:type="dxa"/>
            <w:noWrap w:val="0"/>
            <w:vAlign w:val="center"/>
          </w:tcPr>
          <w:p w14:paraId="03553D6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1</w:t>
            </w:r>
          </w:p>
        </w:tc>
      </w:tr>
      <w:tr w14:paraId="35C43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DEBC37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4B25E52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7785BC6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漂浮物</w:t>
            </w:r>
          </w:p>
        </w:tc>
        <w:tc>
          <w:tcPr>
            <w:tcW w:w="5745" w:type="dxa"/>
            <w:noWrap w:val="0"/>
            <w:vAlign w:val="center"/>
          </w:tcPr>
          <w:p w14:paraId="760C9ED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cs="Arial"/>
                <w:sz w:val="22"/>
                <w:szCs w:val="22"/>
                <w:lang w:eastAsia="zh-CN"/>
              </w:rPr>
              <w:t>定期打捞，</w:t>
            </w:r>
            <w:r>
              <w:rPr>
                <w:rFonts w:hint="default" w:ascii="Arial" w:hAnsi="Arial" w:cs="Arial"/>
                <w:sz w:val="22"/>
                <w:szCs w:val="22"/>
              </w:rPr>
              <w:t>集中收集</w:t>
            </w:r>
            <w:r>
              <w:rPr>
                <w:rFonts w:hint="eastAsia" w:ascii="Arial" w:hAnsi="Arial" w:cs="Arial"/>
                <w:sz w:val="22"/>
                <w:szCs w:val="22"/>
                <w:lang w:eastAsia="zh-CN"/>
              </w:rPr>
              <w:t>后</w:t>
            </w:r>
            <w:r>
              <w:rPr>
                <w:rFonts w:hint="default" w:ascii="Arial" w:hAnsi="Arial" w:cs="Arial"/>
                <w:sz w:val="22"/>
                <w:szCs w:val="22"/>
              </w:rPr>
              <w:t>，</w:t>
            </w:r>
            <w:r>
              <w:rPr>
                <w:rFonts w:hint="eastAsia" w:ascii="Arial" w:hAnsi="Arial" w:cs="Arial"/>
                <w:sz w:val="22"/>
                <w:szCs w:val="22"/>
                <w:lang w:eastAsia="zh-CN"/>
              </w:rPr>
              <w:t>交</w:t>
            </w:r>
            <w:r>
              <w:rPr>
                <w:rFonts w:hint="default" w:ascii="Arial" w:hAnsi="Arial" w:cs="Arial"/>
                <w:sz w:val="22"/>
                <w:szCs w:val="22"/>
              </w:rPr>
              <w:t>当地环卫部门统一清运处置</w:t>
            </w:r>
          </w:p>
        </w:tc>
        <w:tc>
          <w:tcPr>
            <w:tcW w:w="1009" w:type="dxa"/>
            <w:noWrap w:val="0"/>
            <w:vAlign w:val="center"/>
          </w:tcPr>
          <w:p w14:paraId="279201C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2</w:t>
            </w:r>
          </w:p>
        </w:tc>
      </w:tr>
      <w:tr w14:paraId="7F4C5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5C3ADD9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水生生态</w:t>
            </w:r>
          </w:p>
        </w:tc>
        <w:tc>
          <w:tcPr>
            <w:tcW w:w="681" w:type="dxa"/>
            <w:vMerge w:val="continue"/>
            <w:noWrap w:val="0"/>
            <w:vAlign w:val="center"/>
          </w:tcPr>
          <w:p w14:paraId="7F4A2A1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632547E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default" w:ascii="Arial" w:hAnsi="Arial" w:cs="Arial"/>
                <w:color w:val="auto"/>
                <w:sz w:val="22"/>
                <w:szCs w:val="22"/>
              </w:rPr>
              <w:t>水库拦坝蓄水</w:t>
            </w:r>
          </w:p>
        </w:tc>
        <w:tc>
          <w:tcPr>
            <w:tcW w:w="5745" w:type="dxa"/>
            <w:noWrap w:val="0"/>
            <w:vAlign w:val="center"/>
          </w:tcPr>
          <w:p w14:paraId="47B23F3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eastAsia" w:ascii="Arial" w:hAnsi="Arial" w:cs="Arial"/>
                <w:color w:val="auto"/>
                <w:sz w:val="22"/>
                <w:szCs w:val="22"/>
                <w:lang w:eastAsia="zh-CN"/>
              </w:rPr>
              <w:t>共设置</w:t>
            </w:r>
            <w:r>
              <w:rPr>
                <w:rFonts w:hint="eastAsia" w:ascii="Arial" w:hAnsi="Arial" w:cs="Arial"/>
                <w:color w:val="auto"/>
                <w:sz w:val="22"/>
                <w:szCs w:val="22"/>
                <w:lang w:val="en-US" w:eastAsia="zh-CN"/>
              </w:rPr>
              <w:t>5层管道取水，</w:t>
            </w:r>
            <w:r>
              <w:rPr>
                <w:rFonts w:hint="eastAsia" w:ascii="Arial" w:hAnsi="Arial" w:cs="Arial"/>
                <w:bCs/>
                <w:color w:val="auto"/>
                <w:sz w:val="22"/>
                <w:szCs w:val="22"/>
                <w:lang w:eastAsia="zh-CN"/>
              </w:rPr>
              <w:t>各层取水口从上到下高程依次为</w:t>
            </w:r>
            <w:r>
              <w:rPr>
                <w:rFonts w:hint="default" w:ascii="Arial" w:hAnsi="Arial" w:cs="Arial"/>
                <w:color w:val="auto"/>
                <w:sz w:val="22"/>
                <w:szCs w:val="22"/>
              </w:rPr>
              <w:t>418.00m、415.00m、412.00m</w:t>
            </w:r>
            <w:r>
              <w:rPr>
                <w:rFonts w:hint="eastAsia" w:ascii="Arial" w:hAnsi="Arial" w:cs="Arial"/>
                <w:color w:val="auto"/>
                <w:sz w:val="22"/>
                <w:szCs w:val="22"/>
              </w:rPr>
              <w:t>、</w:t>
            </w:r>
            <w:r>
              <w:rPr>
                <w:rFonts w:hint="default" w:ascii="Arial" w:hAnsi="Arial" w:cs="Arial"/>
                <w:color w:val="auto"/>
                <w:sz w:val="22"/>
                <w:szCs w:val="22"/>
              </w:rPr>
              <w:t>409.00m</w:t>
            </w:r>
            <w:r>
              <w:rPr>
                <w:rFonts w:hint="eastAsia" w:ascii="Arial" w:hAnsi="Arial" w:cs="Arial"/>
                <w:color w:val="auto"/>
                <w:sz w:val="22"/>
                <w:szCs w:val="22"/>
              </w:rPr>
              <w:t>、</w:t>
            </w:r>
            <w:r>
              <w:rPr>
                <w:rFonts w:hint="default" w:ascii="Arial" w:hAnsi="Arial" w:cs="Arial"/>
                <w:color w:val="auto"/>
                <w:sz w:val="22"/>
                <w:szCs w:val="22"/>
              </w:rPr>
              <w:t>405.50m</w:t>
            </w:r>
            <w:r>
              <w:rPr>
                <w:rFonts w:hint="eastAsia" w:ascii="Arial" w:hAnsi="Arial" w:cs="Arial"/>
                <w:color w:val="auto"/>
                <w:sz w:val="22"/>
                <w:szCs w:val="22"/>
                <w:lang w:eastAsia="zh-CN"/>
              </w:rPr>
              <w:t>，</w:t>
            </w:r>
            <w:r>
              <w:rPr>
                <w:rFonts w:hint="eastAsia" w:ascii="Arial" w:hAnsi="Arial" w:cs="Arial"/>
                <w:color w:val="auto"/>
                <w:sz w:val="22"/>
                <w:szCs w:val="22"/>
                <w:lang w:val="en-US" w:eastAsia="zh-CN"/>
              </w:rPr>
              <w:t>5</w:t>
            </w:r>
            <w:r>
              <w:rPr>
                <w:rFonts w:hint="default" w:ascii="Arial" w:hAnsi="Arial" w:cs="Arial"/>
                <w:color w:val="auto"/>
                <w:sz w:val="22"/>
                <w:szCs w:val="22"/>
              </w:rPr>
              <w:t>层取水管从坝体下游坝坡穿出后汇合成一根引水管，引水管沿大坝下游坝坡左侧坝脚布置，</w:t>
            </w:r>
            <w:r>
              <w:rPr>
                <w:rFonts w:hint="eastAsia" w:ascii="Arial" w:hAnsi="Arial" w:cs="Arial"/>
                <w:color w:val="auto"/>
                <w:sz w:val="22"/>
                <w:szCs w:val="22"/>
                <w:lang w:eastAsia="zh-CN"/>
              </w:rPr>
              <w:t>引入闸阀房内，</w:t>
            </w:r>
            <w:r>
              <w:rPr>
                <w:rFonts w:hint="eastAsia" w:ascii="Arial" w:cs="Arial"/>
                <w:color w:val="auto"/>
                <w:sz w:val="22"/>
                <w:szCs w:val="22"/>
                <w:lang w:eastAsia="zh-CN"/>
              </w:rPr>
              <w:t>充分混合后，根据用水性质分类，室内分设3根管道，其中一根</w:t>
            </w:r>
            <w:r>
              <w:rPr>
                <w:rFonts w:hint="eastAsia" w:ascii="Arial" w:cs="Arial"/>
                <w:color w:val="auto"/>
                <w:sz w:val="22"/>
                <w:szCs w:val="22"/>
                <w:lang w:val="en-US" w:eastAsia="zh-CN"/>
              </w:rPr>
              <w:t>DN100为生态放水管，下泄生态流量为0.005</w:t>
            </w:r>
            <w:r>
              <w:rPr>
                <w:rFonts w:hint="default" w:ascii="Arial" w:hAnsi="Arial" w:cs="Arial"/>
                <w:bCs/>
                <w:color w:val="auto"/>
                <w:sz w:val="22"/>
                <w:szCs w:val="22"/>
              </w:rPr>
              <w:t>m</w:t>
            </w:r>
            <w:r>
              <w:rPr>
                <w:rFonts w:hint="default" w:ascii="Arial" w:hAnsi="Arial" w:cs="Arial"/>
                <w:bCs/>
                <w:color w:val="auto"/>
                <w:sz w:val="22"/>
                <w:szCs w:val="22"/>
                <w:vertAlign w:val="superscript"/>
              </w:rPr>
              <w:t>3</w:t>
            </w:r>
            <w:r>
              <w:rPr>
                <w:rFonts w:hint="default" w:ascii="Arial" w:hAnsi="Arial" w:cs="Arial"/>
                <w:bCs/>
                <w:color w:val="auto"/>
                <w:sz w:val="22"/>
                <w:szCs w:val="22"/>
              </w:rPr>
              <w:t>/s</w:t>
            </w:r>
            <w:r>
              <w:rPr>
                <w:rFonts w:hint="eastAsia" w:ascii="Arial" w:hAnsi="Arial" w:cs="Arial"/>
                <w:bCs/>
                <w:color w:val="auto"/>
                <w:sz w:val="22"/>
                <w:szCs w:val="22"/>
                <w:lang w:eastAsia="zh-CN"/>
              </w:rPr>
              <w:t>，</w:t>
            </w:r>
            <w:r>
              <w:rPr>
                <w:rFonts w:hint="default" w:ascii="Arial" w:hAnsi="Arial" w:cs="Arial"/>
                <w:color w:val="auto"/>
                <w:sz w:val="22"/>
                <w:szCs w:val="22"/>
              </w:rPr>
              <w:t>多年平均下放生态水量</w:t>
            </w:r>
            <w:r>
              <w:rPr>
                <w:rFonts w:hint="eastAsia" w:ascii="Arial" w:hAnsi="Arial" w:cs="Arial"/>
                <w:color w:val="auto"/>
                <w:sz w:val="22"/>
                <w:szCs w:val="22"/>
                <w:lang w:val="en-US" w:eastAsia="zh-CN"/>
              </w:rPr>
              <w:t>15.75</w:t>
            </w:r>
            <w:r>
              <w:rPr>
                <w:rFonts w:hint="default" w:ascii="Arial" w:hAnsi="Arial" w:cs="Arial"/>
                <w:color w:val="auto"/>
                <w:sz w:val="22"/>
                <w:szCs w:val="22"/>
              </w:rPr>
              <w:t>万m³。</w:t>
            </w:r>
            <w:r>
              <w:rPr>
                <w:rFonts w:hint="eastAsia" w:ascii="Arial" w:hAnsi="Arial" w:cs="Arial"/>
                <w:color w:val="auto"/>
                <w:sz w:val="22"/>
                <w:szCs w:val="22"/>
                <w:lang w:val="en-US" w:eastAsia="zh-CN"/>
              </w:rPr>
              <w:t>生态放水管控制阀处于常年开启状态，并设置在线监控设施，确保生态流量下泄。</w:t>
            </w:r>
          </w:p>
        </w:tc>
        <w:tc>
          <w:tcPr>
            <w:tcW w:w="1009" w:type="dxa"/>
            <w:noWrap w:val="0"/>
            <w:vAlign w:val="center"/>
          </w:tcPr>
          <w:p w14:paraId="5B700A4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计入主体工程</w:t>
            </w:r>
          </w:p>
        </w:tc>
      </w:tr>
      <w:tr w14:paraId="4DE0D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2FE5D2E2">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环境风险</w:t>
            </w:r>
          </w:p>
        </w:tc>
        <w:tc>
          <w:tcPr>
            <w:tcW w:w="681" w:type="dxa"/>
            <w:vMerge w:val="continue"/>
            <w:noWrap w:val="0"/>
            <w:vAlign w:val="center"/>
          </w:tcPr>
          <w:p w14:paraId="684764C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277A8F40">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水质污染</w:t>
            </w:r>
          </w:p>
        </w:tc>
        <w:tc>
          <w:tcPr>
            <w:tcW w:w="5745" w:type="dxa"/>
            <w:noWrap w:val="0"/>
            <w:vAlign w:val="center"/>
          </w:tcPr>
          <w:p w14:paraId="4FD9869F">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cs="Arial"/>
                <w:color w:val="auto"/>
                <w:sz w:val="22"/>
                <w:szCs w:val="22"/>
                <w:lang w:eastAsia="zh-CN"/>
              </w:rPr>
            </w:pPr>
            <w:r>
              <w:rPr>
                <w:rFonts w:hint="eastAsia" w:ascii="Arial" w:hAnsi="Arial" w:cs="Arial"/>
                <w:color w:val="auto"/>
                <w:sz w:val="22"/>
                <w:szCs w:val="22"/>
                <w:lang w:eastAsia="zh-CN"/>
              </w:rPr>
              <w:t>建立限速、保护水源等警示标识，同时按照</w:t>
            </w:r>
            <w:r>
              <w:rPr>
                <w:rFonts w:hint="default" w:ascii="Arial" w:hAnsi="Arial" w:cs="Arial"/>
                <w:color w:val="auto"/>
                <w:sz w:val="22"/>
                <w:szCs w:val="22"/>
              </w:rPr>
              <w:t>《集中式地表饮用水水源地环境应急管理工作指南（试行）》</w:t>
            </w:r>
            <w:r>
              <w:rPr>
                <w:rFonts w:hint="eastAsia" w:ascii="Arial" w:hAnsi="Arial" w:cs="Arial"/>
                <w:color w:val="auto"/>
                <w:sz w:val="22"/>
                <w:szCs w:val="22"/>
                <w:lang w:eastAsia="zh-CN"/>
              </w:rPr>
              <w:t>（</w:t>
            </w:r>
            <w:r>
              <w:rPr>
                <w:rFonts w:hint="default" w:ascii="Arial" w:hAnsi="Arial" w:cs="Arial"/>
                <w:color w:val="auto"/>
                <w:sz w:val="22"/>
                <w:szCs w:val="22"/>
              </w:rPr>
              <w:t>环办</w:t>
            </w:r>
            <w:r>
              <w:rPr>
                <w:rFonts w:hint="eastAsia" w:ascii="Arial" w:hAnsi="Arial" w:cs="Arial"/>
                <w:color w:val="auto"/>
                <w:sz w:val="22"/>
                <w:szCs w:val="22"/>
              </w:rPr>
              <w:t>〔</w:t>
            </w:r>
            <w:r>
              <w:rPr>
                <w:rFonts w:hint="default" w:ascii="Arial" w:hAnsi="Arial" w:cs="Arial"/>
                <w:color w:val="auto"/>
                <w:sz w:val="22"/>
                <w:szCs w:val="22"/>
              </w:rPr>
              <w:t>2011</w:t>
            </w:r>
            <w:r>
              <w:rPr>
                <w:rFonts w:hint="eastAsia" w:ascii="Arial" w:hAnsi="Arial" w:cs="Arial"/>
                <w:color w:val="auto"/>
                <w:sz w:val="22"/>
                <w:szCs w:val="22"/>
              </w:rPr>
              <w:t>〕</w:t>
            </w:r>
            <w:r>
              <w:rPr>
                <w:rFonts w:hint="default" w:ascii="Arial" w:hAnsi="Arial" w:cs="Arial"/>
                <w:color w:val="auto"/>
                <w:sz w:val="22"/>
                <w:szCs w:val="22"/>
              </w:rPr>
              <w:t>93号</w:t>
            </w:r>
            <w:r>
              <w:rPr>
                <w:rFonts w:hint="eastAsia" w:ascii="Arial" w:hAnsi="Arial" w:cs="Arial"/>
                <w:color w:val="auto"/>
                <w:sz w:val="22"/>
                <w:szCs w:val="22"/>
                <w:lang w:eastAsia="zh-CN"/>
              </w:rPr>
              <w:t>），设置</w:t>
            </w:r>
            <w:r>
              <w:rPr>
                <w:rFonts w:hint="default" w:ascii="Arial" w:hAnsi="Arial" w:cs="Arial"/>
                <w:color w:val="auto"/>
                <w:sz w:val="22"/>
                <w:szCs w:val="22"/>
              </w:rPr>
              <w:t>水源水质保护应急预案</w:t>
            </w:r>
            <w:r>
              <w:rPr>
                <w:rFonts w:hint="eastAsia" w:ascii="Arial" w:hAnsi="Arial" w:cs="Arial"/>
                <w:color w:val="auto"/>
                <w:sz w:val="22"/>
                <w:szCs w:val="22"/>
                <w:lang w:eastAsia="zh-CN"/>
              </w:rPr>
              <w:t>。</w:t>
            </w:r>
          </w:p>
        </w:tc>
        <w:tc>
          <w:tcPr>
            <w:tcW w:w="1009" w:type="dxa"/>
            <w:noWrap w:val="0"/>
            <w:vAlign w:val="center"/>
          </w:tcPr>
          <w:p w14:paraId="0DFDF22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计入主体工程</w:t>
            </w:r>
          </w:p>
        </w:tc>
      </w:tr>
      <w:tr w14:paraId="23840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512ACD7A">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其他</w:t>
            </w:r>
          </w:p>
        </w:tc>
        <w:tc>
          <w:tcPr>
            <w:tcW w:w="681" w:type="dxa"/>
            <w:vMerge w:val="continue"/>
            <w:noWrap w:val="0"/>
            <w:vAlign w:val="center"/>
          </w:tcPr>
          <w:p w14:paraId="3199A98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6133A05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default" w:ascii="Arial" w:hAnsi="Arial" w:cs="Arial"/>
                <w:sz w:val="22"/>
                <w:szCs w:val="22"/>
              </w:rPr>
              <w:t>水源地水质保护</w:t>
            </w:r>
          </w:p>
        </w:tc>
        <w:tc>
          <w:tcPr>
            <w:tcW w:w="5745" w:type="dxa"/>
            <w:noWrap w:val="0"/>
            <w:vAlign w:val="center"/>
          </w:tcPr>
          <w:p w14:paraId="30410A27">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按照</w:t>
            </w:r>
            <w:r>
              <w:rPr>
                <w:rFonts w:hint="eastAsia" w:ascii="Arial" w:hAnsi="Arial" w:cs="Arial"/>
                <w:sz w:val="22"/>
                <w:szCs w:val="22"/>
              </w:rPr>
              <w:t>《饮用水水源保护区划分技术规范》（</w:t>
            </w:r>
            <w:r>
              <w:rPr>
                <w:rFonts w:ascii="Arial" w:hAnsi="Arial" w:cs="Arial"/>
                <w:sz w:val="22"/>
                <w:szCs w:val="22"/>
              </w:rPr>
              <w:t>HJ338-2018</w:t>
            </w:r>
            <w:r>
              <w:rPr>
                <w:rFonts w:hint="eastAsia" w:ascii="Arial" w:hAnsi="Arial" w:cs="Arial"/>
                <w:sz w:val="22"/>
                <w:szCs w:val="22"/>
              </w:rPr>
              <w:t>）</w:t>
            </w:r>
            <w:r>
              <w:rPr>
                <w:rFonts w:hint="eastAsia" w:ascii="Arial" w:hAnsi="Arial" w:cs="Arial"/>
                <w:sz w:val="22"/>
                <w:szCs w:val="22"/>
                <w:lang w:eastAsia="zh-CN"/>
              </w:rPr>
              <w:t>划定饮用水水源保护区，落实库底清理措施，并按照《中华人民共和国水污染防治法》、《饮用水水源保护区污染防治管理规定》（环境保护令第16号）、《关于进一步加强饮用水水源安全保障工作的通知》（环办〔2009〕30号）、《重庆市水资源管理条例》（重庆市人民代表大会常务委员会公告</w:t>
            </w:r>
            <w:r>
              <w:rPr>
                <w:rFonts w:hint="default" w:ascii="Arial" w:hAnsi="Arial" w:eastAsia="宋体" w:cs="Arial"/>
                <w:sz w:val="22"/>
                <w:szCs w:val="22"/>
                <w:lang w:eastAsia="zh-CN"/>
              </w:rPr>
              <w:t>〔</w:t>
            </w:r>
            <w:r>
              <w:rPr>
                <w:rFonts w:hint="default" w:ascii="Arial" w:hAnsi="Arial" w:eastAsia="宋体" w:cs="Arial"/>
                <w:sz w:val="22"/>
                <w:szCs w:val="22"/>
                <w:lang w:val="en-US" w:eastAsia="zh-CN"/>
              </w:rPr>
              <w:t>2015</w:t>
            </w:r>
            <w:r>
              <w:rPr>
                <w:rFonts w:hint="default" w:ascii="Arial" w:hAnsi="Arial" w:eastAsia="宋体" w:cs="Arial"/>
                <w:sz w:val="22"/>
                <w:szCs w:val="22"/>
                <w:lang w:eastAsia="zh-CN"/>
              </w:rPr>
              <w:t>〕第</w:t>
            </w:r>
            <w:r>
              <w:rPr>
                <w:rFonts w:hint="default" w:ascii="Arial" w:hAnsi="Arial" w:eastAsia="宋体" w:cs="Arial"/>
                <w:sz w:val="22"/>
                <w:szCs w:val="22"/>
                <w:lang w:val="en-US" w:eastAsia="zh-CN"/>
              </w:rPr>
              <w:t>14号</w:t>
            </w:r>
            <w:r>
              <w:rPr>
                <w:rFonts w:hint="eastAsia" w:ascii="宋体" w:hAnsi="宋体" w:eastAsia="宋体" w:cs="宋体"/>
                <w:sz w:val="22"/>
                <w:szCs w:val="22"/>
                <w:lang w:val="en-US" w:eastAsia="zh-CN"/>
              </w:rPr>
              <w:t>）</w:t>
            </w:r>
            <w:r>
              <w:rPr>
                <w:rFonts w:hint="eastAsia" w:ascii="Arial" w:hAnsi="Arial" w:cs="Arial"/>
                <w:sz w:val="22"/>
                <w:szCs w:val="22"/>
                <w:lang w:eastAsia="zh-CN"/>
              </w:rPr>
              <w:t>、《重庆市人民政府关于加强集中式饮用水源保护工作的通知》（渝府发〔2012〕79号）、</w:t>
            </w:r>
            <w:r>
              <w:rPr>
                <w:rFonts w:hint="default" w:ascii="Arial" w:hAnsi="Arial" w:cs="Arial"/>
                <w:sz w:val="22"/>
                <w:szCs w:val="22"/>
              </w:rPr>
              <w:t>《集中式饮用水水源环境保护指南（试行）》（环办〔2012〕50 号）</w:t>
            </w:r>
            <w:r>
              <w:rPr>
                <w:rFonts w:hint="eastAsia" w:ascii="Arial" w:hAnsi="Arial" w:cs="Arial"/>
                <w:sz w:val="22"/>
                <w:szCs w:val="22"/>
                <w:lang w:eastAsia="zh-CN"/>
              </w:rPr>
              <w:t>等文件要求，落实水源地水质保护措施，</w:t>
            </w:r>
          </w:p>
        </w:tc>
        <w:tc>
          <w:tcPr>
            <w:tcW w:w="1009" w:type="dxa"/>
            <w:noWrap w:val="0"/>
            <w:vAlign w:val="center"/>
          </w:tcPr>
          <w:p w14:paraId="7466A03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计入主体工程</w:t>
            </w:r>
          </w:p>
        </w:tc>
      </w:tr>
      <w:tr w14:paraId="1A98E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71" w:type="dxa"/>
            <w:gridSpan w:val="2"/>
            <w:noWrap w:val="0"/>
            <w:vAlign w:val="center"/>
          </w:tcPr>
          <w:p w14:paraId="45CB1C35">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环境管理</w:t>
            </w:r>
          </w:p>
        </w:tc>
        <w:tc>
          <w:tcPr>
            <w:tcW w:w="1230" w:type="dxa"/>
            <w:shd w:val="clear" w:color="auto" w:fill="auto"/>
            <w:noWrap w:val="0"/>
            <w:vAlign w:val="center"/>
          </w:tcPr>
          <w:p w14:paraId="254FD86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kern w:val="2"/>
                <w:sz w:val="22"/>
                <w:szCs w:val="22"/>
                <w:lang w:val="en-US" w:eastAsia="zh-CN" w:bidi="ar-SA"/>
              </w:rPr>
            </w:pPr>
            <w:r>
              <w:rPr>
                <w:rFonts w:hint="default" w:ascii="Arial" w:hAnsi="Arial" w:cs="Arial"/>
                <w:sz w:val="22"/>
                <w:szCs w:val="22"/>
              </w:rPr>
              <w:t>环境管理、监理、监测及竣工验收</w:t>
            </w:r>
          </w:p>
        </w:tc>
        <w:tc>
          <w:tcPr>
            <w:tcW w:w="5745" w:type="dxa"/>
            <w:shd w:val="clear" w:color="auto" w:fill="auto"/>
            <w:noWrap w:val="0"/>
            <w:vAlign w:val="center"/>
          </w:tcPr>
          <w:p w14:paraId="7B5D597F">
            <w:pPr>
              <w:pStyle w:val="101"/>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color w:val="000000"/>
                <w:sz w:val="22"/>
                <w:szCs w:val="22"/>
                <w:lang w:val="en-US" w:eastAsia="zh-CN" w:bidi="ar-SA"/>
              </w:rPr>
            </w:pPr>
            <w:r>
              <w:rPr>
                <w:rFonts w:hint="default" w:ascii="Arial" w:hAnsi="Arial" w:eastAsia="宋体" w:cs="Arial"/>
                <w:color w:val="auto"/>
                <w:kern w:val="2"/>
                <w:sz w:val="22"/>
                <w:szCs w:val="22"/>
              </w:rPr>
              <w:t xml:space="preserve">落实环境监理制度，对施工期环境监理报告进行检查，按要求进行环境监测。工程建成后进行环保验收，编制竣工验收调查报告。 </w:t>
            </w:r>
          </w:p>
        </w:tc>
        <w:tc>
          <w:tcPr>
            <w:tcW w:w="1009" w:type="dxa"/>
            <w:noWrap w:val="0"/>
            <w:vAlign w:val="center"/>
          </w:tcPr>
          <w:p w14:paraId="4693B15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60</w:t>
            </w:r>
          </w:p>
        </w:tc>
      </w:tr>
      <w:tr w14:paraId="0E2A3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46" w:type="dxa"/>
            <w:gridSpan w:val="4"/>
            <w:noWrap w:val="0"/>
            <w:vAlign w:val="center"/>
          </w:tcPr>
          <w:p w14:paraId="4DD81B0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合计</w:t>
            </w:r>
          </w:p>
        </w:tc>
        <w:tc>
          <w:tcPr>
            <w:tcW w:w="1009" w:type="dxa"/>
            <w:noWrap w:val="0"/>
            <w:vAlign w:val="center"/>
          </w:tcPr>
          <w:p w14:paraId="1A96378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68</w:t>
            </w:r>
          </w:p>
        </w:tc>
      </w:tr>
      <w:tr w14:paraId="6AEFD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46" w:type="dxa"/>
            <w:gridSpan w:val="4"/>
            <w:noWrap w:val="0"/>
            <w:vAlign w:val="center"/>
          </w:tcPr>
          <w:p w14:paraId="7E94BFC6">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总计</w:t>
            </w:r>
          </w:p>
        </w:tc>
        <w:tc>
          <w:tcPr>
            <w:tcW w:w="1009" w:type="dxa"/>
            <w:noWrap w:val="0"/>
            <w:vAlign w:val="center"/>
          </w:tcPr>
          <w:p w14:paraId="2D6D184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208</w:t>
            </w:r>
          </w:p>
        </w:tc>
      </w:tr>
    </w:tbl>
    <w:p w14:paraId="14EC338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宋体" w:cs="Arial"/>
          <w:bCs/>
          <w:sz w:val="26"/>
          <w:szCs w:val="26"/>
          <w:lang w:eastAsia="zh-CN"/>
        </w:rPr>
      </w:pPr>
    </w:p>
    <w:p w14:paraId="6A64C93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cs="Arial"/>
          <w:sz w:val="26"/>
          <w:szCs w:val="26"/>
        </w:rPr>
      </w:pPr>
      <w:r>
        <w:rPr>
          <w:rFonts w:hint="default" w:ascii="Arial" w:hAnsi="Arial" w:eastAsia="宋体" w:cs="Arial"/>
          <w:sz w:val="26"/>
          <w:szCs w:val="26"/>
          <w:lang w:eastAsia="zh-CN"/>
        </w:rPr>
        <w:br w:type="page"/>
      </w:r>
    </w:p>
    <w:bookmarkEnd w:id="125"/>
    <w:p w14:paraId="539E973E">
      <w:pPr>
        <w:keepNext w:val="0"/>
        <w:keepLines w:val="0"/>
        <w:pageBreakBefore w:val="0"/>
        <w:widowControl w:val="0"/>
        <w:kinsoku/>
        <w:wordWrap/>
        <w:overflowPunct/>
        <w:topLinePunct w:val="0"/>
        <w:autoSpaceDE/>
        <w:autoSpaceDN/>
        <w:bidi w:val="0"/>
        <w:adjustRightInd/>
        <w:snapToGrid/>
        <w:spacing w:before="287" w:beforeLines="100" w:after="287" w:afterLines="100" w:line="460" w:lineRule="exact"/>
        <w:jc w:val="center"/>
        <w:textAlignment w:val="auto"/>
        <w:outlineLvl w:val="0"/>
        <w:rPr>
          <w:bCs/>
          <w:sz w:val="24"/>
          <w:szCs w:val="24"/>
        </w:rPr>
      </w:pPr>
      <w:bookmarkStart w:id="134" w:name="_Toc200"/>
      <w:r>
        <w:rPr>
          <w:rFonts w:hint="eastAsia" w:ascii="Arial" w:hAnsi="Arial" w:cs="Arial"/>
          <w:b/>
          <w:bCs/>
          <w:sz w:val="26"/>
          <w:szCs w:val="26"/>
          <w:lang w:val="en-US" w:eastAsia="zh-CN"/>
        </w:rPr>
        <w:t>8</w:t>
      </w:r>
      <w:r>
        <w:rPr>
          <w:rFonts w:hint="default" w:ascii="Arial" w:hAnsi="Arial" w:cs="Arial"/>
          <w:b/>
          <w:bCs/>
          <w:sz w:val="26"/>
          <w:szCs w:val="26"/>
          <w:highlight w:val="none"/>
        </w:rPr>
        <w:t xml:space="preserve"> 环境影响经济损益分析</w:t>
      </w:r>
      <w:bookmarkEnd w:id="134"/>
    </w:p>
    <w:p w14:paraId="22F69E1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环境经济损益分析是建设项目环境影响评价的一个重要组成部分，是综合评价、判断建设项目的环保投资是否能够补偿或多大程度上补偿由于污染造成环境损失的重要依据。环境经济损益分析的主要任务是衡量建设项目环保投资及所能收到的环境保护效果，通过环保设施技术可行性和经济合理性的论证分析及评价，更合理地选择环保设施，从而促进建设项目更好地实现环境效益、经济效益与社会效益的统一。</w:t>
      </w:r>
    </w:p>
    <w:p w14:paraId="7A3DA37B">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highlight w:val="none"/>
          <w:lang w:val="en-US" w:eastAsia="zh-CN"/>
        </w:rPr>
      </w:pPr>
      <w:bookmarkStart w:id="135" w:name="_Toc19408"/>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.1</w:t>
      </w:r>
      <w:bookmarkEnd w:id="135"/>
      <w:r>
        <w:rPr>
          <w:rFonts w:hint="eastAsia" w:ascii="Arial" w:hAnsi="Arial" w:cs="Arial"/>
          <w:sz w:val="26"/>
          <w:szCs w:val="26"/>
          <w:highlight w:val="none"/>
          <w:lang w:val="en-US" w:eastAsia="zh-CN"/>
        </w:rPr>
        <w:t>环保投资估算</w:t>
      </w:r>
    </w:p>
    <w:p w14:paraId="2BB5F44B">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环保投资是与污染预防、治理和生态保护措施有关的所有工程费用的总和，但是以改善环境的设施费用为主，该费用的计算公式如下</w:t>
      </w:r>
      <w:r>
        <w:rPr>
          <w:rFonts w:hint="eastAsia" w:ascii="Arial" w:hAnsi="Arial" w:cs="Arial"/>
          <w:sz w:val="26"/>
          <w:szCs w:val="26"/>
          <w:lang w:val="en-US" w:eastAsia="zh-CN"/>
        </w:rPr>
        <w:t>：</w:t>
      </w:r>
    </w:p>
    <w:p w14:paraId="380A8283">
      <w:pPr>
        <w:pStyle w:val="187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Arial" w:hAnsi="Arial" w:eastAsia="宋体" w:cs="Arial"/>
          <w:sz w:val="26"/>
          <w:szCs w:val="26"/>
          <w:lang w:val="en-US" w:eastAsia="zh-CN"/>
        </w:rPr>
      </w:pPr>
      <w:r>
        <w:drawing>
          <wp:inline distT="0" distB="0" distL="114300" distR="114300">
            <wp:extent cx="1657350" cy="5048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1"/>
                    <a:stretch>
                      <a:fillRect/>
                    </a:stretch>
                  </pic:blipFill>
                  <pic:spPr>
                    <a:xfrm>
                      <a:off x="0" y="0"/>
                      <a:ext cx="1657350" cy="504825"/>
                    </a:xfrm>
                    <a:prstGeom prst="rect">
                      <a:avLst/>
                    </a:prstGeom>
                    <a:noFill/>
                    <a:ln>
                      <a:noFill/>
                    </a:ln>
                  </pic:spPr>
                </pic:pic>
              </a:graphicData>
            </a:graphic>
          </wp:inline>
        </w:drawing>
      </w:r>
    </w:p>
    <w:p w14:paraId="1D44B284">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式中：X</w:t>
      </w:r>
      <w:r>
        <w:rPr>
          <w:rFonts w:hint="eastAsia" w:ascii="Arial" w:hAnsi="Arial" w:eastAsia="宋体" w:cs="Arial"/>
          <w:sz w:val="26"/>
          <w:szCs w:val="26"/>
          <w:vertAlign w:val="subscript"/>
          <w:lang w:val="en-US" w:eastAsia="zh-CN"/>
        </w:rPr>
        <w:t>ij</w:t>
      </w:r>
      <w:r>
        <w:rPr>
          <w:rFonts w:hint="eastAsia" w:ascii="Arial" w:hAnsi="Arial" w:cs="Arial"/>
          <w:sz w:val="26"/>
          <w:szCs w:val="26"/>
          <w:lang w:val="en-US" w:eastAsia="zh-CN"/>
        </w:rPr>
        <w:t>：</w:t>
      </w:r>
      <w:r>
        <w:rPr>
          <w:rFonts w:hint="eastAsia" w:ascii="Arial" w:hAnsi="Arial" w:eastAsia="宋体" w:cs="Arial"/>
          <w:sz w:val="26"/>
          <w:szCs w:val="26"/>
          <w:lang w:val="en-US" w:eastAsia="zh-CN"/>
        </w:rPr>
        <w:t>包括“三同时</w:t>
      </w:r>
      <w:r>
        <w:rPr>
          <w:rFonts w:hint="eastAsia" w:ascii="Arial" w:hAnsi="Arial" w:cs="Arial"/>
          <w:sz w:val="26"/>
          <w:szCs w:val="26"/>
          <w:lang w:val="en-US" w:eastAsia="zh-CN"/>
        </w:rPr>
        <w:t>”</w:t>
      </w:r>
      <w:r>
        <w:rPr>
          <w:rFonts w:hint="eastAsia" w:ascii="Arial" w:hAnsi="Arial" w:eastAsia="宋体" w:cs="Arial"/>
          <w:sz w:val="26"/>
          <w:szCs w:val="26"/>
          <w:lang w:val="en-US" w:eastAsia="zh-CN"/>
        </w:rPr>
        <w:t>在内的用于污染防治，“三废</w:t>
      </w:r>
      <w:r>
        <w:rPr>
          <w:rFonts w:hint="eastAsia" w:ascii="Arial" w:hAnsi="Arial" w:cs="Arial"/>
          <w:sz w:val="26"/>
          <w:szCs w:val="26"/>
          <w:lang w:val="en-US" w:eastAsia="zh-CN"/>
        </w:rPr>
        <w:t>”</w:t>
      </w:r>
      <w:r>
        <w:rPr>
          <w:rFonts w:hint="eastAsia" w:ascii="Arial" w:hAnsi="Arial" w:eastAsia="宋体" w:cs="Arial"/>
          <w:sz w:val="26"/>
          <w:szCs w:val="26"/>
          <w:lang w:val="en-US" w:eastAsia="zh-CN"/>
        </w:rPr>
        <w:t>综合利用等项目费用。</w:t>
      </w:r>
    </w:p>
    <w:p w14:paraId="25C2B6E9">
      <w:pPr>
        <w:pStyle w:val="1873"/>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A</w:t>
      </w:r>
      <w:r>
        <w:rPr>
          <w:rFonts w:hint="eastAsia" w:ascii="Arial" w:hAnsi="Arial" w:eastAsia="宋体" w:cs="Arial"/>
          <w:sz w:val="26"/>
          <w:szCs w:val="26"/>
          <w:vertAlign w:val="subscript"/>
          <w:lang w:val="en-US" w:eastAsia="zh-CN"/>
        </w:rPr>
        <w:t>k</w:t>
      </w:r>
      <w:r>
        <w:rPr>
          <w:rFonts w:hint="eastAsia" w:ascii="Arial" w:hAnsi="Arial" w:cs="Arial"/>
          <w:sz w:val="26"/>
          <w:szCs w:val="26"/>
          <w:lang w:val="en-US" w:eastAsia="zh-CN"/>
        </w:rPr>
        <w:t>：</w:t>
      </w:r>
      <w:r>
        <w:rPr>
          <w:rFonts w:hint="eastAsia" w:ascii="Arial" w:hAnsi="Arial" w:eastAsia="宋体" w:cs="Arial"/>
          <w:sz w:val="26"/>
          <w:szCs w:val="26"/>
          <w:lang w:val="en-US" w:eastAsia="zh-CN"/>
        </w:rPr>
        <w:t>环保建设中的软件费用</w:t>
      </w:r>
      <w:r>
        <w:rPr>
          <w:rFonts w:hint="eastAsia" w:ascii="Arial" w:hAnsi="Arial" w:cs="Arial"/>
          <w:sz w:val="26"/>
          <w:szCs w:val="26"/>
          <w:lang w:val="en-US" w:eastAsia="zh-CN"/>
        </w:rPr>
        <w:t>（</w:t>
      </w:r>
      <w:r>
        <w:rPr>
          <w:rFonts w:hint="eastAsia" w:ascii="Arial" w:hAnsi="Arial" w:eastAsia="宋体" w:cs="Arial"/>
          <w:sz w:val="26"/>
          <w:szCs w:val="26"/>
          <w:lang w:val="en-US" w:eastAsia="zh-CN"/>
        </w:rPr>
        <w:t>包括设计、管理、环境影响评价费用等</w:t>
      </w:r>
      <w:r>
        <w:rPr>
          <w:rFonts w:hint="eastAsia" w:ascii="Arial" w:hAnsi="Arial" w:cs="Arial"/>
          <w:sz w:val="26"/>
          <w:szCs w:val="26"/>
          <w:lang w:val="en-US" w:eastAsia="zh-CN"/>
        </w:rPr>
        <w:t>）</w:t>
      </w:r>
      <w:r>
        <w:rPr>
          <w:rFonts w:hint="eastAsia" w:ascii="Arial" w:hAnsi="Arial" w:eastAsia="宋体" w:cs="Arial"/>
          <w:sz w:val="26"/>
          <w:szCs w:val="26"/>
          <w:lang w:val="en-US" w:eastAsia="zh-CN"/>
        </w:rPr>
        <w:t>。</w:t>
      </w:r>
    </w:p>
    <w:p w14:paraId="37BD9D4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Arial" w:hAnsi="Arial" w:eastAsia="宋体" w:cs="Arial"/>
          <w:sz w:val="26"/>
          <w:szCs w:val="26"/>
          <w:lang w:val="en-US" w:eastAsia="zh-CN"/>
        </w:rPr>
      </w:pPr>
      <w:r>
        <w:rPr>
          <w:rFonts w:hint="eastAsia" w:ascii="Arial" w:hAnsi="Arial" w:cs="Arial"/>
          <w:sz w:val="26"/>
          <w:szCs w:val="26"/>
          <w:lang w:val="en-US" w:eastAsia="zh-CN"/>
        </w:rPr>
        <w:t>i：</w:t>
      </w:r>
      <w:r>
        <w:rPr>
          <w:rFonts w:hint="eastAsia" w:ascii="Arial" w:hAnsi="Arial" w:eastAsia="宋体" w:cs="Arial"/>
          <w:sz w:val="26"/>
          <w:szCs w:val="26"/>
          <w:lang w:val="en-US" w:eastAsia="zh-CN"/>
        </w:rPr>
        <w:t>“三同时</w:t>
      </w:r>
      <w:r>
        <w:rPr>
          <w:rFonts w:hint="eastAsia" w:ascii="Arial" w:hAnsi="Arial" w:cs="Arial"/>
          <w:sz w:val="26"/>
          <w:szCs w:val="26"/>
          <w:lang w:val="en-US" w:eastAsia="zh-CN"/>
        </w:rPr>
        <w:t>”</w:t>
      </w:r>
      <w:r>
        <w:rPr>
          <w:rFonts w:hint="eastAsia" w:ascii="Arial" w:hAnsi="Arial" w:eastAsia="宋体" w:cs="Arial"/>
          <w:sz w:val="26"/>
          <w:szCs w:val="26"/>
          <w:lang w:val="en-US" w:eastAsia="zh-CN"/>
        </w:rPr>
        <w:t>项目个数</w:t>
      </w:r>
      <w:r>
        <w:rPr>
          <w:rFonts w:hint="eastAsia" w:ascii="Arial" w:hAnsi="Arial" w:cs="Arial"/>
          <w:sz w:val="26"/>
          <w:szCs w:val="26"/>
          <w:lang w:val="en-US" w:eastAsia="zh-CN"/>
        </w:rPr>
        <w:t>（</w:t>
      </w:r>
      <w:r>
        <w:rPr>
          <w:rFonts w:hint="eastAsia" w:ascii="Arial" w:hAnsi="Arial" w:eastAsia="宋体" w:cs="Arial"/>
          <w:sz w:val="26"/>
          <w:szCs w:val="26"/>
          <w:lang w:val="en-US" w:eastAsia="zh-CN"/>
        </w:rPr>
        <w:t>i=1</w:t>
      </w:r>
      <w:r>
        <w:rPr>
          <w:rFonts w:hint="eastAsia" w:ascii="Arial" w:hAnsi="Arial" w:cs="Arial"/>
          <w:sz w:val="26"/>
          <w:szCs w:val="26"/>
          <w:lang w:val="en-US" w:eastAsia="zh-CN"/>
        </w:rPr>
        <w:t>，</w:t>
      </w:r>
      <w:r>
        <w:rPr>
          <w:rFonts w:hint="eastAsia" w:ascii="Arial" w:hAnsi="Arial" w:eastAsia="宋体" w:cs="Arial"/>
          <w:sz w:val="26"/>
          <w:szCs w:val="26"/>
          <w:lang w:val="en-US" w:eastAsia="zh-CN"/>
        </w:rPr>
        <w:t>2</w:t>
      </w:r>
      <w:r>
        <w:rPr>
          <w:rFonts w:hint="eastAsia" w:ascii="Arial" w:hAnsi="Arial" w:cs="Arial"/>
          <w:sz w:val="26"/>
          <w:szCs w:val="26"/>
          <w:lang w:val="en-US" w:eastAsia="zh-CN"/>
        </w:rPr>
        <w:t>，</w:t>
      </w:r>
      <w:r>
        <w:rPr>
          <w:rFonts w:hint="eastAsia" w:ascii="Arial" w:hAnsi="Arial" w:eastAsia="宋体" w:cs="Arial"/>
          <w:sz w:val="26"/>
          <w:szCs w:val="26"/>
          <w:lang w:val="en-US" w:eastAsia="zh-CN"/>
        </w:rPr>
        <w:t>3</w:t>
      </w:r>
      <w:r>
        <w:rPr>
          <w:rFonts w:hint="eastAsia" w:ascii="Arial" w:hAnsi="Arial" w:cs="Arial"/>
          <w:sz w:val="26"/>
          <w:szCs w:val="26"/>
          <w:lang w:val="en-US" w:eastAsia="zh-CN"/>
        </w:rPr>
        <w:t>....）</w:t>
      </w:r>
      <w:r>
        <w:rPr>
          <w:rFonts w:hint="eastAsia" w:ascii="Arial" w:hAnsi="Arial" w:eastAsia="宋体" w:cs="Arial"/>
          <w:sz w:val="26"/>
          <w:szCs w:val="26"/>
          <w:lang w:val="en-US" w:eastAsia="zh-CN"/>
        </w:rPr>
        <w:t xml:space="preserve"> </w:t>
      </w:r>
    </w:p>
    <w:p w14:paraId="3B9A859F">
      <w:pPr>
        <w:pStyle w:val="1873"/>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Arial" w:hAnsi="Arial" w:eastAsia="宋体" w:cs="Arial"/>
          <w:sz w:val="26"/>
          <w:szCs w:val="26"/>
          <w:lang w:val="en-US" w:eastAsia="zh-CN"/>
        </w:rPr>
      </w:pPr>
      <w:r>
        <w:rPr>
          <w:rFonts w:hint="eastAsia" w:ascii="Arial" w:hAnsi="Arial" w:cs="Arial"/>
          <w:sz w:val="26"/>
          <w:szCs w:val="26"/>
          <w:lang w:val="en-US" w:eastAsia="zh-CN"/>
        </w:rPr>
        <w:t>j：</w:t>
      </w:r>
      <w:r>
        <w:rPr>
          <w:rFonts w:hint="eastAsia" w:ascii="Arial" w:hAnsi="Arial" w:eastAsia="宋体" w:cs="Arial"/>
          <w:sz w:val="26"/>
          <w:szCs w:val="26"/>
          <w:lang w:val="en-US" w:eastAsia="zh-CN"/>
        </w:rPr>
        <w:t>“三同时”以外项目</w:t>
      </w:r>
      <w:r>
        <w:rPr>
          <w:rFonts w:hint="eastAsia" w:ascii="Arial" w:hAnsi="Arial" w:cs="Arial"/>
          <w:sz w:val="26"/>
          <w:szCs w:val="26"/>
          <w:lang w:val="en-US" w:eastAsia="zh-CN"/>
        </w:rPr>
        <w:t>（</w:t>
      </w:r>
      <w:r>
        <w:rPr>
          <w:rFonts w:hint="eastAsia" w:ascii="Arial" w:hAnsi="Arial" w:eastAsia="宋体" w:cs="Arial"/>
          <w:sz w:val="26"/>
          <w:szCs w:val="26"/>
          <w:lang w:val="en-US" w:eastAsia="zh-CN"/>
        </w:rPr>
        <w:t>j=1</w:t>
      </w:r>
      <w:r>
        <w:rPr>
          <w:rFonts w:hint="eastAsia" w:ascii="Arial" w:hAnsi="Arial" w:cs="Arial"/>
          <w:sz w:val="26"/>
          <w:szCs w:val="26"/>
          <w:lang w:val="en-US" w:eastAsia="zh-CN"/>
        </w:rPr>
        <w:t>，</w:t>
      </w:r>
      <w:r>
        <w:rPr>
          <w:rFonts w:hint="eastAsia" w:ascii="Arial" w:hAnsi="Arial" w:eastAsia="宋体" w:cs="Arial"/>
          <w:sz w:val="26"/>
          <w:szCs w:val="26"/>
          <w:lang w:val="en-US" w:eastAsia="zh-CN"/>
        </w:rPr>
        <w:t>2</w:t>
      </w:r>
      <w:r>
        <w:rPr>
          <w:rFonts w:hint="eastAsia" w:ascii="Arial" w:hAnsi="Arial" w:cs="Arial"/>
          <w:sz w:val="26"/>
          <w:szCs w:val="26"/>
          <w:lang w:val="en-US" w:eastAsia="zh-CN"/>
        </w:rPr>
        <w:t>，</w:t>
      </w:r>
      <w:r>
        <w:rPr>
          <w:rFonts w:hint="eastAsia" w:ascii="Arial" w:hAnsi="Arial" w:eastAsia="宋体" w:cs="Arial"/>
          <w:sz w:val="26"/>
          <w:szCs w:val="26"/>
          <w:lang w:val="en-US" w:eastAsia="zh-CN"/>
        </w:rPr>
        <w:t>3</w:t>
      </w:r>
      <w:r>
        <w:rPr>
          <w:rFonts w:hint="eastAsia" w:ascii="Arial" w:hAnsi="Arial" w:cs="Arial"/>
          <w:sz w:val="26"/>
          <w:szCs w:val="26"/>
          <w:lang w:val="en-US" w:eastAsia="zh-CN"/>
        </w:rPr>
        <w:t>....）</w:t>
      </w:r>
    </w:p>
    <w:p w14:paraId="01EA8696">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本项目重点考虑了生态保护，采取必要的工程措施来保证环保目标的实现。环境 保护投资概算</w:t>
      </w:r>
      <w:r>
        <w:rPr>
          <w:rFonts w:hint="eastAsia" w:ascii="Arial" w:hAnsi="Arial" w:cs="Arial"/>
          <w:sz w:val="26"/>
          <w:szCs w:val="26"/>
          <w:lang w:val="en-US" w:eastAsia="zh-CN"/>
        </w:rPr>
        <w:t>208</w:t>
      </w:r>
      <w:r>
        <w:rPr>
          <w:rFonts w:hint="eastAsia" w:ascii="Arial" w:hAnsi="Arial" w:eastAsia="宋体" w:cs="Arial"/>
          <w:sz w:val="26"/>
          <w:szCs w:val="26"/>
          <w:lang w:val="en-US" w:eastAsia="zh-CN"/>
        </w:rPr>
        <w:t>万元，约占总投资</w:t>
      </w:r>
      <w:r>
        <w:rPr>
          <w:rFonts w:hint="eastAsia" w:ascii="Arial" w:hAnsi="Arial" w:cs="Arial"/>
          <w:sz w:val="26"/>
          <w:szCs w:val="26"/>
          <w:lang w:val="en-US" w:eastAsia="zh-CN"/>
        </w:rPr>
        <w:t>14499.6</w:t>
      </w:r>
      <w:r>
        <w:rPr>
          <w:rFonts w:hint="eastAsia" w:ascii="Arial" w:hAnsi="Arial" w:eastAsia="宋体" w:cs="Arial"/>
          <w:sz w:val="26"/>
          <w:szCs w:val="26"/>
          <w:lang w:val="en-US" w:eastAsia="zh-CN"/>
        </w:rPr>
        <w:t>万元的</w:t>
      </w:r>
      <w:r>
        <w:rPr>
          <w:rFonts w:hint="eastAsia" w:ascii="Arial" w:hAnsi="Arial" w:cs="Arial"/>
          <w:sz w:val="26"/>
          <w:szCs w:val="26"/>
          <w:lang w:val="en-US" w:eastAsia="zh-CN"/>
        </w:rPr>
        <w:t>1.43</w:t>
      </w:r>
      <w:r>
        <w:rPr>
          <w:rFonts w:hint="eastAsia" w:ascii="Arial" w:hAnsi="Arial" w:eastAsia="宋体" w:cs="Arial"/>
          <w:sz w:val="26"/>
          <w:szCs w:val="26"/>
          <w:lang w:val="en-US" w:eastAsia="zh-CN"/>
        </w:rPr>
        <w:t>%。</w:t>
      </w:r>
    </w:p>
    <w:p w14:paraId="7E888C27">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36" w:name="_Toc16160"/>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.2</w:t>
      </w:r>
      <w:r>
        <w:rPr>
          <w:rFonts w:hint="eastAsia" w:ascii="Arial" w:hAnsi="Arial" w:cs="Arial"/>
          <w:sz w:val="26"/>
          <w:szCs w:val="26"/>
          <w:highlight w:val="none"/>
          <w:lang w:val="en-US" w:eastAsia="zh-CN"/>
        </w:rPr>
        <w:t>工程</w:t>
      </w:r>
      <w:r>
        <w:rPr>
          <w:rFonts w:hint="eastAsia" w:ascii="Arial" w:hAnsi="Arial" w:eastAsia="宋体" w:cs="Arial"/>
          <w:sz w:val="26"/>
          <w:szCs w:val="26"/>
          <w:highlight w:val="none"/>
          <w:lang w:val="en-US" w:eastAsia="zh-CN"/>
        </w:rPr>
        <w:t>效益分析</w:t>
      </w:r>
      <w:bookmarkEnd w:id="136"/>
    </w:p>
    <w:p w14:paraId="2108B0E4">
      <w:pPr>
        <w:keepNext w:val="0"/>
        <w:keepLines w:val="0"/>
        <w:pageBreakBefore w:val="0"/>
        <w:kinsoku/>
        <w:wordWrap/>
        <w:overflowPunct/>
        <w:topLinePunct w:val="0"/>
        <w:autoSpaceDE/>
        <w:autoSpaceDN/>
        <w:bidi w:val="0"/>
        <w:spacing w:line="460" w:lineRule="exact"/>
        <w:ind w:firstLine="522" w:firstLineChars="200"/>
        <w:textAlignment w:val="auto"/>
        <w:rPr>
          <w:rFonts w:hint="eastAsia" w:ascii="Arial" w:cs="Arial"/>
          <w:b/>
          <w:sz w:val="26"/>
          <w:szCs w:val="26"/>
        </w:rPr>
      </w:pPr>
      <w:r>
        <w:rPr>
          <w:rFonts w:hint="eastAsia" w:ascii="Arial" w:cs="Arial"/>
          <w:b/>
          <w:sz w:val="26"/>
          <w:szCs w:val="26"/>
        </w:rPr>
        <w:t>8.2.1灌溉效益</w:t>
      </w:r>
    </w:p>
    <w:p w14:paraId="3DA514C1">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cs="Arial"/>
          <w:sz w:val="26"/>
          <w:szCs w:val="26"/>
        </w:rPr>
      </w:pPr>
      <w:r>
        <w:rPr>
          <w:rFonts w:hint="eastAsia" w:ascii="Arial" w:cs="Arial"/>
          <w:sz w:val="26"/>
          <w:szCs w:val="26"/>
        </w:rPr>
        <w:t>灌区设计灌溉面积</w:t>
      </w:r>
      <w:r>
        <w:rPr>
          <w:rFonts w:hint="eastAsia" w:ascii="Arial" w:cs="Arial"/>
          <w:sz w:val="26"/>
          <w:szCs w:val="26"/>
          <w:lang w:val="en-US" w:eastAsia="zh-CN"/>
        </w:rPr>
        <w:t>20</w:t>
      </w:r>
      <w:r>
        <w:rPr>
          <w:rFonts w:hint="eastAsia" w:ascii="Arial" w:cs="Arial"/>
          <w:sz w:val="26"/>
          <w:szCs w:val="26"/>
        </w:rPr>
        <w:t>00亩，集中在</w:t>
      </w:r>
      <w:r>
        <w:rPr>
          <w:rFonts w:hint="eastAsia" w:ascii="Arial" w:cs="Arial"/>
          <w:sz w:val="26"/>
          <w:szCs w:val="26"/>
          <w:lang w:eastAsia="zh-CN"/>
        </w:rPr>
        <w:t>双龙社区、回龙场村</w:t>
      </w:r>
      <w:r>
        <w:rPr>
          <w:rFonts w:hint="eastAsia" w:ascii="Arial" w:cs="Arial"/>
          <w:sz w:val="26"/>
          <w:szCs w:val="26"/>
        </w:rPr>
        <w:t>，</w:t>
      </w:r>
      <w:r>
        <w:rPr>
          <w:rFonts w:hint="eastAsia" w:ascii="Arial" w:cs="Arial"/>
          <w:sz w:val="26"/>
          <w:szCs w:val="26"/>
          <w:lang w:eastAsia="zh-CN"/>
        </w:rPr>
        <w:t>灌溉供水量为</w:t>
      </w:r>
      <w:r>
        <w:rPr>
          <w:rFonts w:hint="eastAsia" w:ascii="Arial" w:cs="Arial"/>
          <w:sz w:val="26"/>
          <w:szCs w:val="26"/>
          <w:lang w:val="en-US" w:eastAsia="zh-CN"/>
        </w:rPr>
        <w:t>57.5万m</w:t>
      </w:r>
      <w:r>
        <w:rPr>
          <w:rFonts w:hint="eastAsia" w:ascii="Arial" w:cs="Arial"/>
          <w:sz w:val="26"/>
          <w:szCs w:val="26"/>
          <w:vertAlign w:val="superscript"/>
          <w:lang w:val="en-US" w:eastAsia="zh-CN"/>
        </w:rPr>
        <w:t>3</w:t>
      </w:r>
      <w:r>
        <w:rPr>
          <w:rFonts w:hint="eastAsia" w:ascii="Arial" w:cs="Arial"/>
          <w:sz w:val="26"/>
          <w:szCs w:val="26"/>
          <w:lang w:val="en-US" w:eastAsia="zh-CN"/>
        </w:rPr>
        <w:t>/a，</w:t>
      </w:r>
      <w:r>
        <w:rPr>
          <w:rFonts w:hint="eastAsia" w:ascii="Arial" w:cs="Arial"/>
          <w:sz w:val="26"/>
          <w:szCs w:val="26"/>
        </w:rPr>
        <w:t>主要农作物有</w:t>
      </w:r>
      <w:r>
        <w:rPr>
          <w:rFonts w:hint="eastAsia" w:ascii="Arial" w:cs="Arial"/>
          <w:sz w:val="26"/>
          <w:szCs w:val="26"/>
          <w:lang w:eastAsia="zh-CN"/>
        </w:rPr>
        <w:t>水稻、玉米、红薯、季节性蔬菜、经果林</w:t>
      </w:r>
      <w:r>
        <w:rPr>
          <w:rFonts w:hint="eastAsia" w:ascii="Arial" w:cs="Arial"/>
          <w:sz w:val="26"/>
          <w:szCs w:val="26"/>
        </w:rPr>
        <w:t>。工程实施后，灌溉水得到保证，使灌区农业生产条件得到改善，农作物产量出现明显增长</w:t>
      </w:r>
      <w:r>
        <w:rPr>
          <w:rFonts w:hint="eastAsia" w:ascii="Arial" w:cs="Arial"/>
          <w:sz w:val="26"/>
          <w:szCs w:val="26"/>
          <w:lang w:eastAsia="zh-CN"/>
        </w:rPr>
        <w:t>。灌区亩产粮食按</w:t>
      </w:r>
      <w:r>
        <w:rPr>
          <w:rFonts w:hint="eastAsia" w:ascii="Arial" w:cs="Arial"/>
          <w:sz w:val="26"/>
          <w:szCs w:val="26"/>
          <w:lang w:val="en-US" w:eastAsia="zh-CN"/>
        </w:rPr>
        <w:t>500kg计，每斤粮食按1.2元计，这新增</w:t>
      </w:r>
      <w:r>
        <w:rPr>
          <w:rFonts w:hint="eastAsia" w:ascii="Arial" w:cs="Arial"/>
          <w:sz w:val="26"/>
          <w:szCs w:val="26"/>
        </w:rPr>
        <w:t>农业灌溉效益</w:t>
      </w:r>
      <w:r>
        <w:rPr>
          <w:rFonts w:hint="eastAsia" w:ascii="Arial" w:cs="Arial"/>
          <w:sz w:val="26"/>
          <w:szCs w:val="26"/>
          <w:lang w:eastAsia="zh-CN"/>
        </w:rPr>
        <w:t>为</w:t>
      </w:r>
      <w:r>
        <w:rPr>
          <w:rFonts w:hint="eastAsia" w:ascii="Arial" w:cs="Arial"/>
          <w:sz w:val="26"/>
          <w:szCs w:val="26"/>
          <w:lang w:val="en-US" w:eastAsia="zh-CN"/>
        </w:rPr>
        <w:t>240万元</w:t>
      </w:r>
      <w:r>
        <w:rPr>
          <w:rFonts w:hint="eastAsia" w:ascii="Arial" w:cs="Arial"/>
          <w:sz w:val="26"/>
          <w:szCs w:val="26"/>
        </w:rPr>
        <w:t>。</w:t>
      </w:r>
    </w:p>
    <w:p w14:paraId="461327C7">
      <w:pPr>
        <w:keepNext w:val="0"/>
        <w:keepLines w:val="0"/>
        <w:pageBreakBefore w:val="0"/>
        <w:kinsoku/>
        <w:wordWrap/>
        <w:overflowPunct/>
        <w:topLinePunct w:val="0"/>
        <w:autoSpaceDE/>
        <w:autoSpaceDN/>
        <w:bidi w:val="0"/>
        <w:spacing w:line="460" w:lineRule="exact"/>
        <w:ind w:firstLine="522" w:firstLineChars="200"/>
        <w:textAlignment w:val="auto"/>
        <w:rPr>
          <w:rFonts w:hint="eastAsia" w:ascii="Arial" w:cs="Arial"/>
          <w:b/>
          <w:sz w:val="26"/>
          <w:szCs w:val="26"/>
        </w:rPr>
      </w:pPr>
      <w:r>
        <w:rPr>
          <w:rFonts w:hint="eastAsia" w:ascii="Arial" w:cs="Arial"/>
          <w:b/>
          <w:sz w:val="26"/>
          <w:szCs w:val="26"/>
        </w:rPr>
        <w:t>8.2.2供水效益</w:t>
      </w:r>
    </w:p>
    <w:p w14:paraId="2BF813B6">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eastAsia="宋体" w:cs="Arial"/>
          <w:sz w:val="26"/>
          <w:szCs w:val="26"/>
          <w:lang w:val="en-US" w:eastAsia="zh-CN"/>
        </w:rPr>
      </w:pPr>
      <w:r>
        <w:rPr>
          <w:rFonts w:hint="eastAsia" w:ascii="Arial" w:cs="Arial"/>
          <w:sz w:val="26"/>
          <w:szCs w:val="26"/>
          <w:lang w:eastAsia="zh-CN"/>
        </w:rPr>
        <w:t>设计</w:t>
      </w:r>
      <w:r>
        <w:rPr>
          <w:rFonts w:hint="eastAsia" w:ascii="Arial" w:cs="Arial"/>
          <w:bCs/>
          <w:sz w:val="26"/>
          <w:lang w:eastAsia="zh-CN"/>
        </w:rPr>
        <w:t>供水对象为农村居民7000人、大牲畜330头、小牲畜1280只</w:t>
      </w:r>
      <w:r>
        <w:rPr>
          <w:rFonts w:hint="eastAsia" w:ascii="Arial" w:cs="Arial"/>
          <w:sz w:val="26"/>
          <w:szCs w:val="26"/>
          <w:lang w:eastAsia="zh-CN"/>
        </w:rPr>
        <w:t>，集中在双龙社区、回龙场村、田家山村，供水量为</w:t>
      </w:r>
      <w:r>
        <w:rPr>
          <w:rFonts w:hint="eastAsia" w:ascii="Arial" w:cs="Arial"/>
          <w:sz w:val="26"/>
          <w:szCs w:val="26"/>
          <w:lang w:val="en-US" w:eastAsia="zh-CN"/>
        </w:rPr>
        <w:t>18.78万m</w:t>
      </w:r>
      <w:r>
        <w:rPr>
          <w:rFonts w:hint="eastAsia" w:ascii="Arial" w:cs="Arial"/>
          <w:sz w:val="26"/>
          <w:szCs w:val="26"/>
          <w:vertAlign w:val="superscript"/>
          <w:lang w:val="en-US" w:eastAsia="zh-CN"/>
        </w:rPr>
        <w:t>3</w:t>
      </w:r>
      <w:r>
        <w:rPr>
          <w:rFonts w:hint="eastAsia" w:ascii="Arial" w:cs="Arial"/>
          <w:sz w:val="26"/>
          <w:szCs w:val="26"/>
          <w:lang w:val="en-US" w:eastAsia="zh-CN"/>
        </w:rPr>
        <w:t>/a。可为供区范围内居民提供基础的生活保障，解决区域缺水问题。</w:t>
      </w:r>
      <w:r>
        <w:rPr>
          <w:rFonts w:hint="eastAsia" w:ascii="Arial" w:cs="Arial"/>
          <w:sz w:val="26"/>
          <w:szCs w:val="26"/>
        </w:rPr>
        <w:t>参照类似已建工程，供水影子水价采用</w:t>
      </w:r>
      <w:r>
        <w:rPr>
          <w:rFonts w:hint="eastAsia" w:ascii="Arial" w:cs="Arial"/>
          <w:sz w:val="26"/>
          <w:szCs w:val="26"/>
          <w:lang w:val="en-US" w:eastAsia="zh-CN"/>
        </w:rPr>
        <w:t>2</w:t>
      </w:r>
      <w:r>
        <w:rPr>
          <w:rFonts w:hint="eastAsia" w:ascii="Arial" w:cs="Arial"/>
          <w:sz w:val="26"/>
          <w:szCs w:val="26"/>
        </w:rPr>
        <w:t>.5元</w:t>
      </w:r>
      <w:r>
        <w:rPr>
          <w:rFonts w:hint="eastAsia" w:ascii="Arial" w:cs="Arial"/>
          <w:sz w:val="26"/>
          <w:szCs w:val="26"/>
          <w:lang w:val="en-US" w:eastAsia="zh-CN"/>
        </w:rPr>
        <w:t>/</w:t>
      </w:r>
      <w:r>
        <w:rPr>
          <w:rFonts w:ascii="Arial" w:cs="Arial"/>
          <w:sz w:val="26"/>
          <w:szCs w:val="26"/>
        </w:rPr>
        <w:t>m</w:t>
      </w:r>
      <w:r>
        <w:rPr>
          <w:rFonts w:hint="eastAsia" w:ascii="Arial" w:cs="Arial"/>
          <w:sz w:val="26"/>
          <w:szCs w:val="26"/>
          <w:vertAlign w:val="superscript"/>
        </w:rPr>
        <w:t>3</w:t>
      </w:r>
      <w:r>
        <w:rPr>
          <w:rFonts w:hint="eastAsia" w:ascii="Arial" w:cs="Arial"/>
          <w:sz w:val="26"/>
          <w:szCs w:val="26"/>
        </w:rPr>
        <w:t>，则新增人饮供水效益为</w:t>
      </w:r>
      <w:r>
        <w:rPr>
          <w:rFonts w:hint="eastAsia" w:ascii="Arial" w:cs="Arial"/>
          <w:sz w:val="26"/>
          <w:szCs w:val="26"/>
          <w:lang w:val="en-US" w:eastAsia="zh-CN"/>
        </w:rPr>
        <w:t>46.95</w:t>
      </w:r>
      <w:r>
        <w:rPr>
          <w:rFonts w:hint="eastAsia" w:ascii="Arial" w:cs="Arial"/>
          <w:sz w:val="26"/>
          <w:szCs w:val="26"/>
        </w:rPr>
        <w:t>万元</w:t>
      </w:r>
      <w:r>
        <w:rPr>
          <w:rFonts w:hint="eastAsia" w:ascii="Arial" w:cs="Arial"/>
          <w:sz w:val="26"/>
          <w:szCs w:val="26"/>
          <w:lang w:eastAsia="zh-CN"/>
        </w:rPr>
        <w:t>。</w:t>
      </w:r>
    </w:p>
    <w:p w14:paraId="59673E65">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w:t>
      </w:r>
      <w:r>
        <w:rPr>
          <w:rFonts w:hint="eastAsia" w:ascii="Arial" w:hAnsi="Arial" w:cs="Arial"/>
          <w:sz w:val="26"/>
          <w:szCs w:val="26"/>
          <w:highlight w:val="none"/>
          <w:lang w:val="en-US" w:eastAsia="zh-CN"/>
        </w:rPr>
        <w:t>3社会</w:t>
      </w:r>
      <w:r>
        <w:rPr>
          <w:rFonts w:hint="eastAsia" w:ascii="Arial" w:hAnsi="Arial" w:eastAsia="宋体" w:cs="Arial"/>
          <w:sz w:val="26"/>
          <w:szCs w:val="26"/>
          <w:highlight w:val="none"/>
          <w:lang w:val="en-US" w:eastAsia="zh-CN"/>
        </w:rPr>
        <w:t>效益分析</w:t>
      </w:r>
    </w:p>
    <w:p w14:paraId="19981188">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cs="Arial"/>
          <w:sz w:val="26"/>
          <w:szCs w:val="26"/>
        </w:rPr>
      </w:pPr>
      <w:r>
        <w:rPr>
          <w:rFonts w:hint="eastAsia" w:ascii="Arial" w:cs="Arial"/>
          <w:sz w:val="26"/>
          <w:szCs w:val="26"/>
        </w:rPr>
        <w:t>该项目的各项国民经济指标都满足国家规范对灌溉、供水水利建设项目的要求，经济指标可行，具有一定的抗风险能力，且工程实施后将有力地缓解该地区的</w:t>
      </w:r>
      <w:r>
        <w:rPr>
          <w:rFonts w:hint="eastAsia" w:ascii="Arial" w:cs="Arial"/>
          <w:sz w:val="26"/>
          <w:szCs w:val="26"/>
          <w:lang w:eastAsia="zh-CN"/>
        </w:rPr>
        <w:t>缺水问题</w:t>
      </w:r>
      <w:r>
        <w:rPr>
          <w:rFonts w:hint="eastAsia" w:ascii="Arial" w:cs="Arial"/>
          <w:sz w:val="26"/>
          <w:szCs w:val="26"/>
        </w:rPr>
        <w:t>，</w:t>
      </w:r>
      <w:r>
        <w:rPr>
          <w:rFonts w:hint="eastAsia" w:ascii="Arial" w:cs="Arial"/>
          <w:sz w:val="26"/>
          <w:szCs w:val="26"/>
          <w:lang w:eastAsia="zh-CN"/>
        </w:rPr>
        <w:t>保障农业发展，</w:t>
      </w:r>
      <w:r>
        <w:rPr>
          <w:rFonts w:hint="eastAsia" w:ascii="Arial" w:cs="Arial"/>
          <w:sz w:val="26"/>
          <w:szCs w:val="26"/>
        </w:rPr>
        <w:t>带动区域经济发展，提高人民生活水平，具有一定的经济效益和社会效益，因此该工程在经济上是合理可行的。</w:t>
      </w:r>
    </w:p>
    <w:p w14:paraId="40D18F28">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w:t>
      </w:r>
      <w:r>
        <w:rPr>
          <w:rFonts w:hint="eastAsia" w:ascii="Arial" w:hAnsi="Arial" w:cs="Arial"/>
          <w:sz w:val="26"/>
          <w:szCs w:val="26"/>
          <w:highlight w:val="none"/>
          <w:lang w:val="en-US" w:eastAsia="zh-CN"/>
        </w:rPr>
        <w:t>4环境损失</w:t>
      </w:r>
      <w:r>
        <w:rPr>
          <w:rFonts w:hint="eastAsia" w:ascii="Arial" w:hAnsi="Arial" w:eastAsia="宋体" w:cs="Arial"/>
          <w:sz w:val="26"/>
          <w:szCs w:val="26"/>
          <w:highlight w:val="none"/>
          <w:lang w:val="en-US" w:eastAsia="zh-CN"/>
        </w:rPr>
        <w:t>分析</w:t>
      </w:r>
    </w:p>
    <w:p w14:paraId="1B627D2F">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cs="Arial"/>
          <w:sz w:val="26"/>
          <w:szCs w:val="26"/>
        </w:rPr>
      </w:pPr>
      <w:r>
        <w:rPr>
          <w:rFonts w:hint="eastAsia" w:ascii="Arial" w:cs="Arial"/>
          <w:sz w:val="26"/>
          <w:szCs w:val="26"/>
        </w:rPr>
        <w:t>根据环境经济学理论，如果建设项目引起环境质量下降，则恢复环境质量或生产性资产所花费的费用可作为环境效益损失的最低估价。本工程以减免工程对环境的不利影响或恢复、补偿环境效益所采取的保护和补偿措施费用作为反映工程影响损失大小的尺度，计算其损失值。</w:t>
      </w:r>
      <w:r>
        <w:rPr>
          <w:rFonts w:ascii="Arial" w:cs="Arial"/>
          <w:sz w:val="26"/>
          <w:szCs w:val="26"/>
        </w:rPr>
        <w:t xml:space="preserve"> </w:t>
      </w:r>
    </w:p>
    <w:p w14:paraId="74FDA07F">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cs="Arial"/>
          <w:sz w:val="26"/>
          <w:szCs w:val="26"/>
        </w:rPr>
      </w:pPr>
      <w:r>
        <w:rPr>
          <w:rFonts w:hint="eastAsia" w:ascii="Arial" w:cs="Arial"/>
          <w:sz w:val="26"/>
          <w:szCs w:val="26"/>
        </w:rPr>
        <w:t>根据</w:t>
      </w:r>
      <w:r>
        <w:rPr>
          <w:rFonts w:hint="eastAsia" w:ascii="Arial" w:cs="Arial"/>
          <w:sz w:val="26"/>
          <w:szCs w:val="26"/>
          <w:lang w:eastAsia="zh-CN"/>
        </w:rPr>
        <w:t>海螺沟</w:t>
      </w:r>
      <w:r>
        <w:rPr>
          <w:rFonts w:hint="eastAsia" w:ascii="Arial" w:cs="Arial"/>
          <w:sz w:val="26"/>
          <w:szCs w:val="26"/>
        </w:rPr>
        <w:t>水库工程及工程区域环境特点，为减免、恢复或补偿不利环境影响所采取的环境保护措施主要包括以下内容：施工生产废水及生活污水处理、大气污染控制措施、固体废弃物处理、噪声及粉尘控制；建设期环境监测、环境管理及环境监理；生态建设与水土保持；鱼类资源保护以及人群健康保护等，在进行技术经济分析或多方</w:t>
      </w:r>
      <w:r>
        <w:rPr>
          <w:rFonts w:hint="eastAsia" w:ascii="Arial" w:cs="Arial"/>
          <w:color w:val="auto"/>
          <w:sz w:val="26"/>
          <w:szCs w:val="26"/>
        </w:rPr>
        <w:t>案比选基础上，提出了各项措施推荐方案及相应费用概算。工程环境保护措施总费用</w:t>
      </w:r>
      <w:r>
        <w:rPr>
          <w:rFonts w:hint="eastAsia" w:ascii="Arial" w:cs="Arial"/>
          <w:color w:val="auto"/>
          <w:sz w:val="26"/>
          <w:szCs w:val="26"/>
          <w:lang w:val="en-US" w:eastAsia="zh-CN"/>
        </w:rPr>
        <w:t>208</w:t>
      </w:r>
      <w:r>
        <w:rPr>
          <w:rFonts w:hint="eastAsia" w:ascii="Arial" w:cs="Arial"/>
          <w:color w:val="auto"/>
          <w:sz w:val="26"/>
          <w:szCs w:val="26"/>
        </w:rPr>
        <w:t>万</w:t>
      </w:r>
      <w:r>
        <w:rPr>
          <w:rFonts w:hint="eastAsia" w:ascii="Arial" w:cs="Arial"/>
          <w:sz w:val="26"/>
          <w:szCs w:val="26"/>
        </w:rPr>
        <w:t>元，作为本工程可货币化的环境损失。</w:t>
      </w:r>
    </w:p>
    <w:p w14:paraId="3A553C2B">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highlight w:val="none"/>
          <w:lang w:val="en-US" w:eastAsia="zh-CN"/>
        </w:rPr>
      </w:pPr>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w:t>
      </w:r>
      <w:r>
        <w:rPr>
          <w:rFonts w:hint="eastAsia" w:ascii="Arial" w:hAnsi="Arial" w:cs="Arial"/>
          <w:sz w:val="26"/>
          <w:szCs w:val="26"/>
          <w:highlight w:val="none"/>
          <w:lang w:val="en-US" w:eastAsia="zh-CN"/>
        </w:rPr>
        <w:t xml:space="preserve">5小结 </w:t>
      </w:r>
    </w:p>
    <w:p w14:paraId="291CCE93">
      <w:pPr>
        <w:keepNext w:val="0"/>
        <w:keepLines w:val="0"/>
        <w:pageBreakBefore w:val="0"/>
        <w:kinsoku/>
        <w:wordWrap/>
        <w:overflowPunct/>
        <w:topLinePunct w:val="0"/>
        <w:autoSpaceDE/>
        <w:autoSpaceDN/>
        <w:bidi w:val="0"/>
        <w:spacing w:line="460" w:lineRule="exact"/>
        <w:ind w:firstLine="520" w:firstLineChars="200"/>
        <w:textAlignment w:val="auto"/>
        <w:rPr>
          <w:rFonts w:hint="default" w:ascii="Arial" w:eastAsia="宋体" w:cs="Arial"/>
          <w:sz w:val="26"/>
          <w:szCs w:val="26"/>
          <w:lang w:val="en-US" w:eastAsia="zh-CN"/>
        </w:rPr>
      </w:pPr>
      <w:r>
        <w:rPr>
          <w:rFonts w:hint="eastAsia" w:ascii="Arial" w:cs="Arial"/>
          <w:sz w:val="26"/>
          <w:szCs w:val="26"/>
          <w:lang w:eastAsia="zh-CN"/>
        </w:rPr>
        <w:t>根据以上分析，</w:t>
      </w:r>
      <w:r>
        <w:rPr>
          <w:rFonts w:hint="eastAsia" w:ascii="Arial" w:cs="Arial"/>
          <w:sz w:val="26"/>
          <w:szCs w:val="26"/>
        </w:rPr>
        <w:t>为减免不利环境影响所采取的环保措施总费</w:t>
      </w:r>
      <w:r>
        <w:rPr>
          <w:rFonts w:hint="eastAsia" w:ascii="Arial" w:cs="Arial"/>
          <w:color w:val="auto"/>
          <w:sz w:val="26"/>
          <w:szCs w:val="26"/>
        </w:rPr>
        <w:t>用为</w:t>
      </w:r>
      <w:r>
        <w:rPr>
          <w:rFonts w:hint="eastAsia" w:ascii="Arial" w:cs="Arial"/>
          <w:color w:val="auto"/>
          <w:sz w:val="26"/>
          <w:szCs w:val="26"/>
          <w:lang w:val="en-US" w:eastAsia="zh-CN"/>
        </w:rPr>
        <w:t>208万</w:t>
      </w:r>
      <w:r>
        <w:rPr>
          <w:rFonts w:hint="eastAsia" w:ascii="Arial" w:cs="Arial"/>
          <w:color w:val="auto"/>
          <w:sz w:val="26"/>
          <w:szCs w:val="26"/>
        </w:rPr>
        <w:t>元，在各项</w:t>
      </w:r>
      <w:r>
        <w:rPr>
          <w:rFonts w:hint="eastAsia" w:ascii="Arial" w:cs="Arial"/>
          <w:sz w:val="26"/>
          <w:szCs w:val="26"/>
        </w:rPr>
        <w:t>环保措施得到落实的情况下，</w:t>
      </w:r>
      <w:r>
        <w:rPr>
          <w:rFonts w:hint="eastAsia" w:ascii="Arial" w:cs="Arial"/>
          <w:sz w:val="26"/>
          <w:szCs w:val="26"/>
          <w:lang w:eastAsia="zh-CN"/>
        </w:rPr>
        <w:t>对外环境的影响小。且海螺沟水库工程</w:t>
      </w:r>
      <w:r>
        <w:rPr>
          <w:rFonts w:hint="eastAsia" w:ascii="Arial" w:cs="Arial"/>
          <w:sz w:val="26"/>
          <w:szCs w:val="26"/>
        </w:rPr>
        <w:t>具有较好的经济、社会效益，</w:t>
      </w:r>
      <w:r>
        <w:rPr>
          <w:rFonts w:hint="eastAsia" w:ascii="Arial" w:cs="Arial"/>
          <w:sz w:val="26"/>
          <w:szCs w:val="26"/>
          <w:lang w:eastAsia="zh-CN"/>
        </w:rPr>
        <w:t>建成后创造的直接货币价值为</w:t>
      </w:r>
      <w:r>
        <w:rPr>
          <w:rFonts w:hint="eastAsia" w:ascii="Arial" w:cs="Arial"/>
          <w:sz w:val="26"/>
          <w:szCs w:val="26"/>
          <w:lang w:val="en-US" w:eastAsia="zh-CN"/>
        </w:rPr>
        <w:t>286.95万元，</w:t>
      </w:r>
      <w:r>
        <w:rPr>
          <w:rFonts w:hint="eastAsia" w:ascii="Arial" w:cs="Arial"/>
          <w:sz w:val="26"/>
          <w:szCs w:val="26"/>
        </w:rPr>
        <w:t>可较大程度地减免因工程产生的环境损失。</w:t>
      </w:r>
      <w:r>
        <w:rPr>
          <w:rFonts w:hint="eastAsia" w:ascii="Arial" w:cs="Arial"/>
          <w:sz w:val="26"/>
          <w:szCs w:val="26"/>
          <w:lang w:eastAsia="zh-CN"/>
        </w:rPr>
        <w:t>项目建成后，可以解决区域缺水问题，为当地居民生活、生产提供水资源方面的保障，是必不可少的民生项目。</w:t>
      </w:r>
    </w:p>
    <w:p w14:paraId="6A04EE1E">
      <w:pPr>
        <w:spacing w:line="480" w:lineRule="exact"/>
        <w:ind w:firstLine="520" w:firstLineChars="200"/>
        <w:rPr>
          <w:rFonts w:hint="eastAsia" w:ascii="Arial" w:cs="Arial"/>
          <w:sz w:val="26"/>
          <w:szCs w:val="26"/>
        </w:rPr>
      </w:pPr>
    </w:p>
    <w:p w14:paraId="49590099">
      <w:pPr>
        <w:pStyle w:val="3"/>
        <w:keepNext w:val="0"/>
        <w:keepLines w:val="0"/>
        <w:pageBreakBefore w:val="0"/>
        <w:widowControl w:val="0"/>
        <w:kinsoku/>
        <w:wordWrap/>
        <w:overflowPunct/>
        <w:topLinePunct w:val="0"/>
        <w:autoSpaceDE/>
        <w:autoSpaceDN/>
        <w:bidi w:val="0"/>
        <w:adjustRightInd/>
        <w:snapToGrid w:val="0"/>
        <w:spacing w:before="287" w:beforeLines="100" w:after="287" w:afterLines="100" w:line="460" w:lineRule="exact"/>
        <w:jc w:val="center"/>
        <w:textAlignment w:val="auto"/>
        <w:rPr>
          <w:sz w:val="24"/>
          <w:szCs w:val="24"/>
        </w:rPr>
      </w:pPr>
      <w:r>
        <w:br w:type="page"/>
      </w:r>
      <w:bookmarkStart w:id="137" w:name="_Toc6698"/>
      <w:r>
        <w:rPr>
          <w:rFonts w:hint="eastAsia" w:ascii="Arial" w:hAnsi="Arial" w:cs="Arial"/>
          <w:b/>
          <w:bCs/>
          <w:kern w:val="2"/>
          <w:sz w:val="26"/>
          <w:szCs w:val="26"/>
          <w:lang w:val="en-US" w:eastAsia="zh-CN" w:bidi="ar-SA"/>
        </w:rPr>
        <w:t>9</w:t>
      </w:r>
      <w:r>
        <w:rPr>
          <w:rFonts w:hint="eastAsia" w:ascii="Arial" w:hAnsi="Arial" w:eastAsia="宋体" w:cs="Arial"/>
          <w:b/>
          <w:bCs/>
          <w:kern w:val="2"/>
          <w:sz w:val="26"/>
          <w:szCs w:val="26"/>
          <w:lang w:val="en-US" w:eastAsia="zh-CN" w:bidi="ar-SA"/>
        </w:rPr>
        <w:t>环境管理与监测</w:t>
      </w:r>
      <w:bookmarkEnd w:id="137"/>
    </w:p>
    <w:p w14:paraId="213CD1CE">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38" w:name="_Toc420942288"/>
      <w:bookmarkStart w:id="139" w:name="_Toc214158758"/>
      <w:bookmarkStart w:id="140" w:name="_Toc33237555"/>
      <w:bookmarkStart w:id="141" w:name="_Toc308013946"/>
      <w:bookmarkStart w:id="142" w:name="_Toc535931083"/>
      <w:bookmarkStart w:id="143" w:name="_Toc199932418"/>
      <w:bookmarkStart w:id="144" w:name="_Toc273430834"/>
      <w:bookmarkStart w:id="145" w:name="_Toc109731105"/>
      <w:bookmarkStart w:id="146" w:name="_Toc33926444"/>
      <w:bookmarkStart w:id="147" w:name="_Toc33237924"/>
      <w:bookmarkStart w:id="148" w:name="_Toc225136115"/>
      <w:bookmarkStart w:id="149" w:name="_Toc5001"/>
      <w:r>
        <w:rPr>
          <w:rFonts w:hint="eastAsia" w:ascii="Arial" w:hAnsi="Arial" w:cs="Arial"/>
          <w:sz w:val="26"/>
          <w:szCs w:val="26"/>
          <w:highlight w:val="none"/>
          <w:lang w:val="en-US" w:eastAsia="zh-CN"/>
        </w:rPr>
        <w:t>9</w:t>
      </w:r>
      <w:r>
        <w:rPr>
          <w:rFonts w:hint="eastAsia" w:ascii="Arial" w:hAnsi="Arial" w:eastAsia="宋体" w:cs="Arial"/>
          <w:sz w:val="26"/>
          <w:szCs w:val="26"/>
          <w:highlight w:val="none"/>
          <w:lang w:val="en-US" w:eastAsia="zh-CN"/>
        </w:rPr>
        <w:t>.1环境</w:t>
      </w:r>
      <w:bookmarkEnd w:id="138"/>
      <w:bookmarkEnd w:id="139"/>
      <w:bookmarkEnd w:id="140"/>
      <w:bookmarkEnd w:id="141"/>
      <w:bookmarkEnd w:id="142"/>
      <w:bookmarkEnd w:id="143"/>
      <w:bookmarkEnd w:id="144"/>
      <w:bookmarkEnd w:id="145"/>
      <w:bookmarkEnd w:id="146"/>
      <w:bookmarkEnd w:id="147"/>
      <w:bookmarkEnd w:id="148"/>
      <w:r>
        <w:rPr>
          <w:rFonts w:hint="eastAsia" w:ascii="Arial" w:hAnsi="Arial" w:eastAsia="宋体" w:cs="Arial"/>
          <w:sz w:val="26"/>
          <w:szCs w:val="26"/>
          <w:highlight w:val="none"/>
          <w:lang w:val="en-US" w:eastAsia="zh-CN"/>
        </w:rPr>
        <w:t>管理</w:t>
      </w:r>
      <w:bookmarkEnd w:id="149"/>
    </w:p>
    <w:p w14:paraId="4B26A511">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bookmarkStart w:id="150" w:name="_Toc19366"/>
      <w:r>
        <w:rPr>
          <w:rFonts w:hint="eastAsia" w:ascii="Arial" w:hAnsi="Arial" w:eastAsia="宋体" w:cs="Arial"/>
          <w:sz w:val="26"/>
          <w:szCs w:val="26"/>
          <w:lang w:val="en-US" w:eastAsia="zh-CN"/>
        </w:rPr>
        <w:t>环境管理就是在工程建设和运营过程中，通过合理、有效、先进的管理措施、手段或规章，监督指导工程的环境保护工作，保障各环保设施的正常运转，并实施生态恢复，充分发挥工程建设的社会效益和生态效益，达到预防、减缓或补偿工程建设带来不利影响的最终目标。</w:t>
      </w:r>
    </w:p>
    <w:p w14:paraId="3BA0B296">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环境管理应在项目法人的领导下建立环境管理机构，负责拟建项目的环境保护管理工作，协调解决施工过程的环境问题。</w:t>
      </w:r>
    </w:p>
    <w:p w14:paraId="5526740E">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outlineLvl w:val="2"/>
        <w:rPr>
          <w:rFonts w:hint="eastAsia" w:ascii="Arial" w:hAnsi="Arial" w:eastAsia="宋体" w:cs="Arial"/>
          <w:b/>
          <w:bCs/>
          <w:kern w:val="2"/>
          <w:sz w:val="26"/>
          <w:szCs w:val="26"/>
          <w:highlight w:val="none"/>
          <w:lang w:val="en-US" w:eastAsia="zh-CN" w:bidi="ar-SA"/>
        </w:rPr>
      </w:pPr>
      <w:r>
        <w:rPr>
          <w:rFonts w:hint="eastAsia" w:ascii="Arial" w:hAnsi="Arial" w:eastAsia="宋体" w:cs="Arial"/>
          <w:b/>
          <w:bCs/>
          <w:kern w:val="2"/>
          <w:sz w:val="26"/>
          <w:szCs w:val="26"/>
          <w:highlight w:val="none"/>
          <w:lang w:val="en-US" w:eastAsia="zh-CN" w:bidi="ar-SA"/>
        </w:rPr>
        <w:fldChar w:fldCharType="begin"/>
      </w:r>
      <w:r>
        <w:rPr>
          <w:rFonts w:hint="eastAsia" w:ascii="Arial" w:hAnsi="Arial" w:eastAsia="宋体" w:cs="Arial"/>
          <w:b/>
          <w:bCs/>
          <w:kern w:val="2"/>
          <w:sz w:val="26"/>
          <w:szCs w:val="26"/>
          <w:highlight w:val="none"/>
          <w:lang w:val="en-US" w:eastAsia="zh-CN" w:bidi="ar-SA"/>
        </w:rPr>
        <w:instrText xml:space="preserve"> HYPERLINK "file:///C:\\Users\\Administrator\\AppData\\2018\\1、项目\\4、梁平水泥窑\\环评报批版\\文本\\梁平水泥窑（报批版）—8份，A4双面.doc" \l "_Toc446494582#_Toc446494582" </w:instrText>
      </w:r>
      <w:r>
        <w:rPr>
          <w:rFonts w:hint="eastAsia" w:ascii="Arial" w:hAnsi="Arial" w:eastAsia="宋体" w:cs="Arial"/>
          <w:b/>
          <w:bCs/>
          <w:kern w:val="2"/>
          <w:sz w:val="26"/>
          <w:szCs w:val="26"/>
          <w:highlight w:val="none"/>
          <w:lang w:val="en-US" w:eastAsia="zh-CN" w:bidi="ar-SA"/>
        </w:rPr>
        <w:fldChar w:fldCharType="separate"/>
      </w:r>
      <w:bookmarkStart w:id="151" w:name="_Toc82767281"/>
      <w:bookmarkStart w:id="152" w:name="_Toc119592478"/>
      <w:bookmarkStart w:id="153" w:name="_Toc36041160"/>
      <w:bookmarkStart w:id="154" w:name="_Toc84687758"/>
      <w:bookmarkStart w:id="155" w:name="_Toc80865341"/>
      <w:bookmarkStart w:id="156" w:name="_Toc37663427"/>
      <w:bookmarkStart w:id="157" w:name="_Toc34987959"/>
      <w:r>
        <w:rPr>
          <w:rFonts w:hint="eastAsia" w:ascii="Arial" w:hAnsi="Arial" w:cs="Arial"/>
          <w:b/>
          <w:bCs/>
          <w:kern w:val="2"/>
          <w:sz w:val="26"/>
          <w:szCs w:val="26"/>
          <w:highlight w:val="none"/>
          <w:lang w:val="en-US" w:eastAsia="zh-CN" w:bidi="ar-SA"/>
        </w:rPr>
        <w:t>9</w:t>
      </w:r>
      <w:r>
        <w:rPr>
          <w:rFonts w:hint="eastAsia" w:ascii="Arial" w:hAnsi="Arial" w:eastAsia="宋体" w:cs="Arial"/>
          <w:b/>
          <w:bCs/>
          <w:kern w:val="2"/>
          <w:sz w:val="26"/>
          <w:szCs w:val="26"/>
          <w:highlight w:val="none"/>
          <w:lang w:val="en-US" w:eastAsia="zh-CN" w:bidi="ar-SA"/>
        </w:rPr>
        <w:t>.1.1施工期环境管理</w:t>
      </w:r>
      <w:bookmarkEnd w:id="151"/>
      <w:bookmarkEnd w:id="152"/>
      <w:bookmarkEnd w:id="153"/>
      <w:bookmarkEnd w:id="154"/>
      <w:bookmarkEnd w:id="155"/>
      <w:bookmarkEnd w:id="156"/>
      <w:bookmarkEnd w:id="157"/>
      <w:r>
        <w:rPr>
          <w:rFonts w:hint="eastAsia" w:ascii="Arial" w:hAnsi="Arial" w:eastAsia="宋体" w:cs="Arial"/>
          <w:b/>
          <w:bCs/>
          <w:kern w:val="2"/>
          <w:sz w:val="26"/>
          <w:szCs w:val="26"/>
          <w:highlight w:val="none"/>
          <w:lang w:val="en-US" w:eastAsia="zh-CN" w:bidi="ar-SA"/>
        </w:rPr>
        <w:fldChar w:fldCharType="end"/>
      </w:r>
      <w:bookmarkEnd w:id="150"/>
    </w:p>
    <w:p w14:paraId="0A1A94EA">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环境管理的具体实施单位是</w:t>
      </w:r>
      <w:r>
        <w:rPr>
          <w:rFonts w:hint="eastAsia" w:ascii="Arial" w:hAnsi="Arial" w:cs="Arial"/>
          <w:sz w:val="26"/>
          <w:szCs w:val="26"/>
          <w:lang w:val="en-US" w:eastAsia="zh-CN"/>
        </w:rPr>
        <w:t>丰都县水利工程服务中心</w:t>
      </w:r>
      <w:r>
        <w:rPr>
          <w:rFonts w:hint="eastAsia" w:ascii="Arial" w:hAnsi="Arial" w:eastAsia="宋体" w:cs="Arial"/>
          <w:sz w:val="26"/>
          <w:szCs w:val="26"/>
          <w:lang w:val="en-US" w:eastAsia="zh-CN"/>
        </w:rPr>
        <w:t>。建议由建设单位管理部门安排1~2 名环境管理人员，在项目法人的领导下建立环境管理机构，负责拟建项目的环境保护管理工作，协调解决施工过程的环境问题。</w:t>
      </w:r>
      <w:r>
        <w:rPr>
          <w:rFonts w:hint="eastAsia" w:ascii="Arial" w:hAnsi="Arial" w:cs="Arial"/>
          <w:sz w:val="26"/>
          <w:szCs w:val="26"/>
          <w:lang w:val="en-US" w:eastAsia="zh-CN"/>
        </w:rPr>
        <w:t>环境管理工作内容如下：</w:t>
      </w:r>
    </w:p>
    <w:p w14:paraId="7C983E02">
      <w:pPr>
        <w:spacing w:line="460" w:lineRule="exact"/>
        <w:ind w:firstLine="520" w:firstLineChars="200"/>
        <w:rPr>
          <w:rFonts w:hint="eastAsia" w:ascii="Arial" w:hAnsi="Arial" w:cs="Arial"/>
          <w:color w:val="000000"/>
          <w:sz w:val="26"/>
        </w:rPr>
      </w:pPr>
      <w:r>
        <w:rPr>
          <w:rFonts w:hint="eastAsia" w:ascii="Arial" w:hAnsi="Arial" w:cs="Arial"/>
          <w:color w:val="000000"/>
          <w:sz w:val="26"/>
        </w:rPr>
        <w:t>① 贯彻执行国家、地方和行业环保部门的环境保护法规和标准；</w:t>
      </w:r>
    </w:p>
    <w:p w14:paraId="5C3BCCD8">
      <w:pPr>
        <w:spacing w:line="460" w:lineRule="exact"/>
        <w:ind w:firstLine="520" w:firstLineChars="200"/>
        <w:rPr>
          <w:rFonts w:hint="eastAsia" w:ascii="Arial" w:hAnsi="Arial" w:cs="Arial"/>
          <w:color w:val="000000"/>
          <w:sz w:val="26"/>
        </w:rPr>
      </w:pPr>
      <w:r>
        <w:rPr>
          <w:rFonts w:hint="eastAsia" w:ascii="Arial" w:hAnsi="Arial" w:cs="Arial"/>
          <w:color w:val="000000"/>
          <w:sz w:val="26"/>
        </w:rPr>
        <w:t>② 建立健全各种环境保护规章制度、环境风险事故应急预案，并检查督促实施，建议在工程施工合同中包括落实环境保护、水土保持、生态保护及恢复、突发环境事故应急措施等有关条款；</w:t>
      </w:r>
    </w:p>
    <w:p w14:paraId="27634F24">
      <w:pPr>
        <w:spacing w:line="460" w:lineRule="exact"/>
        <w:ind w:firstLine="520" w:firstLineChars="200"/>
        <w:rPr>
          <w:rFonts w:hint="eastAsia" w:ascii="Arial" w:hAnsi="Arial" w:cs="Arial"/>
          <w:color w:val="000000"/>
          <w:sz w:val="26"/>
        </w:rPr>
      </w:pPr>
      <w:r>
        <w:rPr>
          <w:rFonts w:hint="eastAsia" w:ascii="Arial" w:hAnsi="Arial" w:cs="Arial"/>
          <w:color w:val="000000"/>
          <w:sz w:val="26"/>
        </w:rPr>
        <w:t>③ 根据</w:t>
      </w:r>
      <w:r>
        <w:rPr>
          <w:rFonts w:ascii="宋体" w:hAnsi="宋体" w:cs="Arial"/>
          <w:color w:val="000000"/>
          <w:sz w:val="26"/>
        </w:rPr>
        <w:t>“</w:t>
      </w:r>
      <w:r>
        <w:rPr>
          <w:rFonts w:hint="eastAsia" w:ascii="Arial" w:hAnsi="Arial" w:cs="Arial"/>
          <w:color w:val="000000"/>
          <w:sz w:val="26"/>
        </w:rPr>
        <w:t>三同时</w:t>
      </w:r>
      <w:r>
        <w:rPr>
          <w:rFonts w:ascii="宋体" w:hAnsi="宋体" w:cs="Arial"/>
          <w:color w:val="000000"/>
          <w:sz w:val="26"/>
        </w:rPr>
        <w:t>”</w:t>
      </w:r>
      <w:r>
        <w:rPr>
          <w:rFonts w:hint="eastAsia" w:ascii="Arial" w:hAnsi="Arial" w:cs="Arial"/>
          <w:color w:val="000000"/>
          <w:sz w:val="26"/>
        </w:rPr>
        <w:t>制度，不断落实环评报告中的各项环境保护措施，组织环境监测工作，建立环境管理档案，对环保设施进行检查和维护；</w:t>
      </w:r>
    </w:p>
    <w:p w14:paraId="0E32D13B">
      <w:pPr>
        <w:spacing w:line="460" w:lineRule="exact"/>
        <w:ind w:firstLine="520" w:firstLineChars="200"/>
        <w:rPr>
          <w:rFonts w:hint="eastAsia" w:ascii="Arial" w:hAnsi="Arial" w:cs="Arial"/>
          <w:color w:val="000000"/>
          <w:sz w:val="26"/>
        </w:rPr>
      </w:pPr>
      <w:r>
        <w:rPr>
          <w:rFonts w:hint="eastAsia" w:ascii="Arial" w:hAnsi="Arial" w:cs="Arial"/>
          <w:color w:val="000000"/>
          <w:sz w:val="26"/>
        </w:rPr>
        <w:t>④ 协助当地环保部门开展环境保护工作，处理与工程有关的环境问题；</w:t>
      </w:r>
    </w:p>
    <w:p w14:paraId="5803BD96">
      <w:pPr>
        <w:spacing w:line="460" w:lineRule="exact"/>
        <w:ind w:firstLine="520" w:firstLineChars="200"/>
        <w:rPr>
          <w:rFonts w:hint="eastAsia" w:ascii="Arial" w:hAnsi="Arial" w:cs="Arial"/>
          <w:color w:val="000000"/>
          <w:sz w:val="26"/>
        </w:rPr>
      </w:pPr>
      <w:r>
        <w:rPr>
          <w:rFonts w:hint="eastAsia" w:ascii="Arial" w:hAnsi="Arial" w:cs="Arial"/>
          <w:color w:val="000000"/>
          <w:sz w:val="26"/>
        </w:rPr>
        <w:t>⑤ 掌握工程区环境状况，对污染物排放和生态破坏情况进行</w:t>
      </w:r>
      <w:r>
        <w:rPr>
          <w:rFonts w:hint="eastAsia" w:ascii="Arial" w:hAnsi="Arial" w:cs="Arial"/>
          <w:color w:val="000000"/>
          <w:sz w:val="26"/>
          <w:lang w:eastAsia="zh-CN"/>
        </w:rPr>
        <w:t>记录、汇总</w:t>
      </w:r>
      <w:r>
        <w:rPr>
          <w:rFonts w:hint="eastAsia" w:ascii="Arial" w:hAnsi="Arial" w:cs="Arial"/>
          <w:color w:val="000000"/>
          <w:sz w:val="26"/>
        </w:rPr>
        <w:t>；</w:t>
      </w:r>
    </w:p>
    <w:p w14:paraId="0AD91BD4">
      <w:pPr>
        <w:spacing w:line="460" w:lineRule="exact"/>
        <w:ind w:firstLine="520" w:firstLineChars="200"/>
        <w:rPr>
          <w:rFonts w:hint="eastAsia" w:ascii="Arial" w:hAnsi="Arial" w:cs="Arial"/>
          <w:color w:val="000000"/>
          <w:sz w:val="26"/>
        </w:rPr>
      </w:pPr>
      <w:r>
        <w:rPr>
          <w:rFonts w:hint="eastAsia" w:ascii="Arial" w:hAnsi="Arial" w:cs="Arial"/>
          <w:color w:val="000000"/>
          <w:sz w:val="26"/>
        </w:rPr>
        <w:t>⑥ 积累、保存、管理与拟建项目环境保护有关的资料、文件；</w:t>
      </w:r>
    </w:p>
    <w:p w14:paraId="3B84CC5E">
      <w:pPr>
        <w:spacing w:line="460" w:lineRule="exact"/>
        <w:ind w:firstLine="520" w:firstLineChars="200"/>
        <w:rPr>
          <w:rFonts w:hint="eastAsia" w:ascii="Arial" w:hAnsi="Arial" w:cs="Arial"/>
          <w:color w:val="000000"/>
          <w:sz w:val="26"/>
        </w:rPr>
      </w:pPr>
      <w:r>
        <w:rPr>
          <w:rFonts w:hint="eastAsia" w:ascii="Arial" w:hAnsi="Arial" w:cs="Arial"/>
          <w:color w:val="000000"/>
          <w:sz w:val="26"/>
        </w:rPr>
        <w:t>⑦ 做好环保宣传和教育工作，提高施工人员环保意识；</w:t>
      </w:r>
    </w:p>
    <w:p w14:paraId="48F18C4E">
      <w:pPr>
        <w:spacing w:line="460" w:lineRule="exact"/>
        <w:ind w:firstLine="520" w:firstLineChars="200"/>
        <w:rPr>
          <w:rFonts w:hint="eastAsia" w:ascii="Arial" w:hAnsi="Arial" w:cs="Arial"/>
          <w:color w:val="000000"/>
          <w:sz w:val="26"/>
        </w:rPr>
      </w:pPr>
      <w:r>
        <w:rPr>
          <w:rFonts w:hint="eastAsia" w:ascii="Arial" w:hAnsi="Arial" w:cs="Arial"/>
          <w:color w:val="000000"/>
          <w:sz w:val="26"/>
        </w:rPr>
        <w:t>⑧ 定期积极向领导汇报项目环境保护相关情况。</w:t>
      </w:r>
    </w:p>
    <w:p w14:paraId="4AA74C27">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outlineLvl w:val="2"/>
        <w:rPr>
          <w:rFonts w:hint="eastAsia" w:ascii="Arial" w:hAnsi="Arial" w:eastAsia="宋体" w:cs="Arial"/>
          <w:b/>
          <w:bCs/>
          <w:kern w:val="2"/>
          <w:sz w:val="26"/>
          <w:szCs w:val="26"/>
          <w:highlight w:val="none"/>
          <w:lang w:val="en-US" w:eastAsia="zh-CN" w:bidi="ar-SA"/>
        </w:rPr>
      </w:pPr>
      <w:bookmarkStart w:id="158" w:name="_Toc11156"/>
      <w:r>
        <w:rPr>
          <w:rFonts w:hint="eastAsia" w:ascii="Arial" w:hAnsi="Arial" w:eastAsia="宋体" w:cs="Arial"/>
          <w:b/>
          <w:bCs/>
          <w:kern w:val="2"/>
          <w:sz w:val="26"/>
          <w:szCs w:val="26"/>
          <w:highlight w:val="none"/>
          <w:lang w:val="en-US" w:eastAsia="zh-CN" w:bidi="ar-SA"/>
        </w:rPr>
        <w:fldChar w:fldCharType="begin"/>
      </w:r>
      <w:r>
        <w:rPr>
          <w:rFonts w:hint="eastAsia" w:ascii="Arial" w:hAnsi="Arial" w:eastAsia="宋体" w:cs="Arial"/>
          <w:b/>
          <w:bCs/>
          <w:kern w:val="2"/>
          <w:sz w:val="26"/>
          <w:szCs w:val="26"/>
          <w:highlight w:val="none"/>
          <w:lang w:val="en-US" w:eastAsia="zh-CN" w:bidi="ar-SA"/>
        </w:rPr>
        <w:instrText xml:space="preserve"> HYPERLINK "file:///C:\\Users\\Administrator\\AppData\\2018\\1、项目\\4、梁平水泥窑\\环评报批版\\文本\\梁平水泥窑（报批版）—8份，A4双面.doc" \l "_Toc446494582#_Toc446494582" </w:instrText>
      </w:r>
      <w:r>
        <w:rPr>
          <w:rFonts w:hint="eastAsia" w:ascii="Arial" w:hAnsi="Arial" w:eastAsia="宋体" w:cs="Arial"/>
          <w:b/>
          <w:bCs/>
          <w:kern w:val="2"/>
          <w:sz w:val="26"/>
          <w:szCs w:val="26"/>
          <w:highlight w:val="none"/>
          <w:lang w:val="en-US" w:eastAsia="zh-CN" w:bidi="ar-SA"/>
        </w:rPr>
        <w:fldChar w:fldCharType="separate"/>
      </w:r>
      <w:r>
        <w:rPr>
          <w:rFonts w:hint="eastAsia" w:ascii="Arial" w:hAnsi="Arial" w:cs="Arial"/>
          <w:b/>
          <w:bCs/>
          <w:kern w:val="2"/>
          <w:sz w:val="26"/>
          <w:szCs w:val="26"/>
          <w:highlight w:val="none"/>
          <w:lang w:val="en-US" w:eastAsia="zh-CN" w:bidi="ar-SA"/>
        </w:rPr>
        <w:t>9</w:t>
      </w:r>
      <w:r>
        <w:rPr>
          <w:rFonts w:hint="eastAsia" w:ascii="Arial" w:hAnsi="Arial" w:eastAsia="宋体" w:cs="Arial"/>
          <w:b/>
          <w:bCs/>
          <w:kern w:val="2"/>
          <w:sz w:val="26"/>
          <w:szCs w:val="26"/>
          <w:highlight w:val="none"/>
          <w:lang w:val="en-US" w:eastAsia="zh-CN" w:bidi="ar-SA"/>
        </w:rPr>
        <w:t>.1.2运营期环境管理</w:t>
      </w:r>
      <w:r>
        <w:rPr>
          <w:rFonts w:hint="eastAsia" w:ascii="Arial" w:hAnsi="Arial" w:eastAsia="宋体" w:cs="Arial"/>
          <w:b/>
          <w:bCs/>
          <w:kern w:val="2"/>
          <w:sz w:val="26"/>
          <w:szCs w:val="26"/>
          <w:highlight w:val="none"/>
          <w:lang w:val="en-US" w:eastAsia="zh-CN" w:bidi="ar-SA"/>
        </w:rPr>
        <w:fldChar w:fldCharType="end"/>
      </w:r>
      <w:bookmarkEnd w:id="158"/>
    </w:p>
    <w:p w14:paraId="4A1A048F">
      <w:pPr>
        <w:spacing w:line="460" w:lineRule="exact"/>
        <w:ind w:firstLine="520" w:firstLineChars="200"/>
        <w:rPr>
          <w:rFonts w:hint="eastAsia" w:ascii="Arial" w:hAnsi="Arial" w:cs="Arial"/>
          <w:sz w:val="26"/>
          <w:szCs w:val="26"/>
        </w:rPr>
      </w:pPr>
      <w:r>
        <w:rPr>
          <w:rFonts w:hint="eastAsia" w:ascii="Arial" w:hAnsi="Arial" w:eastAsia="宋体" w:cs="Arial"/>
          <w:color w:val="000000"/>
          <w:sz w:val="26"/>
          <w:lang w:val="en-US" w:eastAsia="zh-CN"/>
        </w:rPr>
        <w:t>本工程属于</w:t>
      </w:r>
      <w:r>
        <w:rPr>
          <w:rFonts w:hint="eastAsia" w:ascii="Arial" w:hAnsi="Arial" w:cs="Arial"/>
          <w:color w:val="000000"/>
          <w:sz w:val="26"/>
          <w:lang w:val="en-US" w:eastAsia="zh-CN"/>
        </w:rPr>
        <w:t>水利</w:t>
      </w:r>
      <w:r>
        <w:rPr>
          <w:rFonts w:hint="eastAsia" w:ascii="Arial" w:hAnsi="Arial" w:eastAsia="宋体" w:cs="Arial"/>
          <w:color w:val="000000"/>
          <w:sz w:val="26"/>
          <w:lang w:val="en-US" w:eastAsia="zh-CN"/>
        </w:rPr>
        <w:t>设施建设项目，运行期环境管理任务的重点在坝区和渠系区域，</w:t>
      </w:r>
      <w:r>
        <w:rPr>
          <w:rFonts w:hint="eastAsia" w:ascii="Arial" w:hAnsi="Arial" w:cs="Arial"/>
          <w:sz w:val="26"/>
          <w:szCs w:val="26"/>
        </w:rPr>
        <w:t>建议由项目业主在以上区域设置兼职环境管理人员</w:t>
      </w:r>
      <w:r>
        <w:rPr>
          <w:rFonts w:ascii="Arial" w:hAnsi="Arial" w:cs="Arial"/>
          <w:sz w:val="26"/>
          <w:szCs w:val="26"/>
        </w:rPr>
        <w:t>1</w:t>
      </w:r>
      <w:r>
        <w:rPr>
          <w:rFonts w:hint="eastAsia" w:ascii="Arial" w:hAnsi="Arial" w:cs="Arial"/>
          <w:sz w:val="26"/>
          <w:szCs w:val="26"/>
        </w:rPr>
        <w:t>人，负责环境管理工作，</w:t>
      </w:r>
      <w:r>
        <w:rPr>
          <w:rFonts w:hint="eastAsia"/>
          <w:sz w:val="26"/>
          <w:szCs w:val="26"/>
        </w:rPr>
        <w:t>重点是做好水库的调度工作，及时掌握库区污染源特征、污染物种类和数量，</w:t>
      </w:r>
      <w:r>
        <w:rPr>
          <w:rFonts w:hint="eastAsia" w:ascii="Arial" w:hAnsi="Arial" w:cs="Arial"/>
          <w:sz w:val="26"/>
          <w:szCs w:val="26"/>
        </w:rPr>
        <w:t>以及做好坝址处下泄生态基流管理。</w:t>
      </w:r>
      <w:r>
        <w:rPr>
          <w:rFonts w:hint="eastAsia"/>
          <w:sz w:val="26"/>
          <w:szCs w:val="26"/>
        </w:rPr>
        <w:t>根据实际情况，制定相关的污染防治方案，防治库区水质污染，</w:t>
      </w:r>
      <w:r>
        <w:rPr>
          <w:rFonts w:hint="eastAsia" w:ascii="Arial" w:hAnsi="Arial" w:cs="Arial"/>
          <w:sz w:val="26"/>
          <w:szCs w:val="26"/>
        </w:rPr>
        <w:t>此外还应做好生态恢复工作。</w:t>
      </w:r>
    </w:p>
    <w:p w14:paraId="768D7B01">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①设置生态放水管，采用DN100mm钢管，</w:t>
      </w:r>
      <w:r>
        <w:rPr>
          <w:rFonts w:hint="eastAsia" w:ascii="Arial" w:hAnsi="Arial" w:eastAsia="宋体" w:cs="Arial"/>
          <w:color w:val="000000"/>
          <w:sz w:val="26"/>
          <w:lang w:val="zh-CN" w:eastAsia="zh-CN"/>
        </w:rPr>
        <w:t>下泄生态流量为混合后的库区蓄水，</w:t>
      </w:r>
      <w:r>
        <w:rPr>
          <w:rFonts w:hint="eastAsia" w:ascii="Arial" w:hAnsi="Arial" w:eastAsia="宋体" w:cs="Arial"/>
          <w:color w:val="000000"/>
          <w:sz w:val="26"/>
          <w:lang w:val="en-US" w:eastAsia="zh-CN"/>
        </w:rPr>
        <w:t>不得直接下泄最底层水，下泄生态流量</w:t>
      </w:r>
      <w:r>
        <w:rPr>
          <w:rFonts w:hint="eastAsia" w:ascii="Arial" w:hAnsi="Arial" w:cs="Arial"/>
          <w:color w:val="000000"/>
          <w:sz w:val="26"/>
          <w:lang w:val="en-US" w:eastAsia="zh-CN"/>
        </w:rPr>
        <w:t>为0.005</w:t>
      </w:r>
      <w:r>
        <w:rPr>
          <w:rFonts w:hint="eastAsia" w:ascii="Arial" w:hAnsi="Arial" w:eastAsia="宋体" w:cs="Arial"/>
          <w:color w:val="000000"/>
          <w:sz w:val="26"/>
          <w:lang w:val="en-US" w:eastAsia="zh-CN"/>
        </w:rPr>
        <w:t>m</w:t>
      </w:r>
      <w:r>
        <w:rPr>
          <w:rFonts w:hint="eastAsia" w:ascii="Arial" w:hAnsi="Arial" w:eastAsia="宋体" w:cs="Arial"/>
          <w:color w:val="000000"/>
          <w:sz w:val="26"/>
          <w:vertAlign w:val="superscript"/>
          <w:lang w:val="en-US" w:eastAsia="zh-CN"/>
        </w:rPr>
        <w:t>3</w:t>
      </w:r>
      <w:r>
        <w:rPr>
          <w:rFonts w:hint="eastAsia" w:ascii="Arial" w:hAnsi="Arial" w:eastAsia="宋体" w:cs="Arial"/>
          <w:color w:val="000000"/>
          <w:sz w:val="26"/>
          <w:lang w:val="en-US" w:eastAsia="zh-CN"/>
        </w:rPr>
        <w:t>/s</w:t>
      </w:r>
      <w:r>
        <w:rPr>
          <w:rFonts w:hint="eastAsia" w:ascii="Arial" w:hAnsi="Arial" w:cs="Arial"/>
          <w:color w:val="000000"/>
          <w:sz w:val="26"/>
          <w:lang w:val="en-US" w:eastAsia="zh-CN"/>
        </w:rPr>
        <w:t>；设置生态流量在线监控装置，与主管部门联网运行。</w:t>
      </w:r>
      <w:r>
        <w:rPr>
          <w:rFonts w:hint="eastAsia" w:ascii="Arial" w:hAnsi="Arial" w:eastAsia="宋体" w:cs="Arial"/>
          <w:color w:val="000000"/>
          <w:sz w:val="26"/>
          <w:lang w:val="zh-CN" w:eastAsia="zh-CN"/>
        </w:rPr>
        <w:t>在水库初期蓄水阶段，当水位未达到高程</w:t>
      </w:r>
      <w:r>
        <w:rPr>
          <w:rFonts w:hint="eastAsia" w:ascii="Arial" w:hAnsi="Arial" w:cs="Arial"/>
          <w:color w:val="000000"/>
          <w:sz w:val="26"/>
          <w:lang w:val="en-US" w:eastAsia="zh-CN"/>
        </w:rPr>
        <w:t>407.5</w:t>
      </w:r>
      <w:r>
        <w:rPr>
          <w:rFonts w:hint="eastAsia" w:ascii="Arial" w:hAnsi="Arial" w:eastAsia="宋体" w:cs="Arial"/>
          <w:color w:val="000000"/>
          <w:sz w:val="26"/>
          <w:lang w:val="zh-CN" w:eastAsia="zh-CN"/>
        </w:rPr>
        <w:t>m</w:t>
      </w:r>
      <w:r>
        <w:rPr>
          <w:rFonts w:hint="eastAsia" w:ascii="Arial" w:hAnsi="Arial" w:eastAsia="宋体" w:cs="Arial"/>
          <w:color w:val="000000"/>
          <w:sz w:val="26"/>
          <w:lang w:val="en-US" w:eastAsia="zh-CN"/>
        </w:rPr>
        <w:t>时，用水泵等抽水装置将水抽送至生态放水管，向坝后下泄生态流量。</w:t>
      </w:r>
    </w:p>
    <w:p w14:paraId="2CF031F9">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②执行国家、地方和行业环保部门的环境保护要求，制定工程的环境保护规划和环境保护规章制度。</w:t>
      </w:r>
    </w:p>
    <w:p w14:paraId="00C4D08F">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③严格实施环境监测计划，及时掌握水质情况，并采取切实可行的保护措施。</w:t>
      </w:r>
    </w:p>
    <w:p w14:paraId="63AAE6D9">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④开展保护生态、保护水资源、保护森林资源的环境保护宣传，提高人们的环境意识。</w:t>
      </w:r>
    </w:p>
    <w:p w14:paraId="407E9FCF">
      <w:pPr>
        <w:spacing w:line="460" w:lineRule="exact"/>
        <w:ind w:firstLine="520" w:firstLineChars="200"/>
        <w:rPr>
          <w:rFonts w:hint="default" w:ascii="Arial" w:hAnsi="Arial" w:eastAsia="宋体" w:cs="Arial"/>
          <w:color w:val="000000"/>
          <w:sz w:val="26"/>
          <w:lang w:val="en-US" w:eastAsia="zh-CN"/>
        </w:rPr>
      </w:pPr>
      <w:r>
        <w:rPr>
          <w:rFonts w:hint="eastAsia" w:ascii="宋体" w:hAnsi="宋体" w:eastAsia="宋体" w:cs="宋体"/>
          <w:color w:val="000000"/>
          <w:sz w:val="26"/>
          <w:lang w:val="en-US" w:eastAsia="zh-CN"/>
        </w:rPr>
        <w:t>⑤</w:t>
      </w:r>
      <w:r>
        <w:rPr>
          <w:rFonts w:hint="eastAsia" w:ascii="Arial" w:hAnsi="Arial" w:eastAsia="宋体" w:cs="Arial"/>
          <w:color w:val="000000"/>
          <w:sz w:val="26"/>
          <w:lang w:val="en-US" w:eastAsia="zh-CN"/>
        </w:rPr>
        <w:t>协助当地环保部门开展环境保护工作，排查和控制大坝集雨范围内污染源，保障库区水源水质安全，处理与工程有关的环境问题。</w:t>
      </w:r>
    </w:p>
    <w:p w14:paraId="18248A97">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59" w:name="_Toc21542"/>
      <w:r>
        <w:rPr>
          <w:rFonts w:hint="eastAsia" w:ascii="Arial" w:hAnsi="Arial" w:cs="Arial"/>
          <w:sz w:val="26"/>
          <w:szCs w:val="26"/>
          <w:highlight w:val="none"/>
          <w:lang w:val="en-US" w:eastAsia="zh-CN"/>
        </w:rPr>
        <w:t>9</w:t>
      </w:r>
      <w:r>
        <w:rPr>
          <w:rFonts w:hint="eastAsia" w:ascii="Arial" w:hAnsi="Arial" w:eastAsia="宋体" w:cs="Arial"/>
          <w:sz w:val="26"/>
          <w:szCs w:val="26"/>
          <w:highlight w:val="none"/>
          <w:lang w:val="en-US" w:eastAsia="zh-CN"/>
        </w:rPr>
        <w:t>.2环境监理</w:t>
      </w:r>
      <w:bookmarkEnd w:id="159"/>
    </w:p>
    <w:p w14:paraId="7EC1AFCB">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为强化对工程建设的环境监督管理，业主需委托相关单位承担本环境监理工作，配备环境监理人员数名，主要通过现场监督执法工作，使承包商注意避免和及时处理环境施工中出现的污染问题。环境监理机构由项目业主单位在具有相应资质的单位中招标确定，具体工作职责为：</w:t>
      </w:r>
    </w:p>
    <w:p w14:paraId="0076E2F6">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① 受业主委托，监督、检查工程环保措施实施进度、质量、资金及效果。</w:t>
      </w:r>
    </w:p>
    <w:p w14:paraId="48B37A1D">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② 有权就施工单位提出的施工组织设计、施工技术方案和施工进度计划提出环保方面的改进意见，以确保环保措施的实施。</w:t>
      </w:r>
    </w:p>
    <w:p w14:paraId="78B241B2">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③ 审查施工单位提出的可能造成污染的材料和设备清单及各项环保指标。</w:t>
      </w:r>
    </w:p>
    <w:p w14:paraId="14A977EF">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④ 监理过程中发现环境问题，以书面形式通知责任单位，要求限期处理。</w:t>
      </w:r>
    </w:p>
    <w:p w14:paraId="2D9302D0">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⑤ 配合环境监测部门对施工期环境质量进行监测。</w:t>
      </w:r>
    </w:p>
    <w:p w14:paraId="32E6B3AB">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⑥ 对施工过程及竣工后的施工迹地，依据环境保护要求进行监督、检查和验收。</w:t>
      </w:r>
    </w:p>
    <w:p w14:paraId="4F696D09">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⑦ 工程质量认可需包括环境质量认可，工程的验收凡有关环保的内容需环境监理工程师参加，并签字认可。</w:t>
      </w:r>
    </w:p>
    <w:p w14:paraId="52F263E4">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⑧ 环境监理部应以监理月报、年报的形式及时向业主汇报环境监理工作的情况，反映工作中存在的问题，以做好工程区施工期的环境保护工作。</w:t>
      </w:r>
    </w:p>
    <w:p w14:paraId="603FE022">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评价提出施工期的环境监理计划如下：</w:t>
      </w:r>
    </w:p>
    <w:p w14:paraId="7F01E81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000000"/>
          <w:sz w:val="26"/>
          <w:lang w:val="en-US" w:eastAsia="zh-CN"/>
        </w:rPr>
      </w:pPr>
      <w:r>
        <w:rPr>
          <w:rFonts w:hint="eastAsia" w:ascii="Arial" w:hAnsi="Arial" w:cs="Arial"/>
          <w:b/>
          <w:bCs/>
          <w:color w:val="000000"/>
          <w:sz w:val="26"/>
          <w:lang w:val="en-US" w:eastAsia="zh-CN"/>
        </w:rPr>
        <w:t>表9.2-1 施工期环境监理计划</w:t>
      </w:r>
    </w:p>
    <w:tbl>
      <w:tblPr>
        <w:tblStyle w:val="77"/>
        <w:tblW w:w="93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6795"/>
        <w:gridCol w:w="667"/>
        <w:gridCol w:w="670"/>
      </w:tblGrid>
      <w:tr w14:paraId="43065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7B2E265E">
            <w:pPr>
              <w:pStyle w:val="946"/>
              <w:spacing w:line="300" w:lineRule="exact"/>
              <w:rPr>
                <w:rFonts w:ascii="Arial" w:hAnsi="Arial" w:cs="Arial"/>
                <w:sz w:val="22"/>
                <w:szCs w:val="22"/>
              </w:rPr>
            </w:pPr>
            <w:r>
              <w:rPr>
                <w:rFonts w:ascii="Arial" w:cs="Arial"/>
                <w:sz w:val="22"/>
                <w:szCs w:val="22"/>
              </w:rPr>
              <w:t>监理对象</w:t>
            </w:r>
          </w:p>
        </w:tc>
        <w:tc>
          <w:tcPr>
            <w:tcW w:w="6795" w:type="dxa"/>
            <w:noWrap w:val="0"/>
            <w:vAlign w:val="center"/>
          </w:tcPr>
          <w:p w14:paraId="374B0A8F">
            <w:pPr>
              <w:pStyle w:val="946"/>
              <w:spacing w:line="300" w:lineRule="exact"/>
              <w:rPr>
                <w:rFonts w:ascii="Arial" w:hAnsi="Arial" w:cs="Arial"/>
                <w:sz w:val="22"/>
                <w:szCs w:val="22"/>
              </w:rPr>
            </w:pPr>
            <w:r>
              <w:rPr>
                <w:rFonts w:ascii="Arial" w:cs="Arial"/>
                <w:sz w:val="22"/>
                <w:szCs w:val="22"/>
              </w:rPr>
              <w:t>监理内容</w:t>
            </w:r>
          </w:p>
        </w:tc>
        <w:tc>
          <w:tcPr>
            <w:tcW w:w="667" w:type="dxa"/>
            <w:noWrap w:val="0"/>
            <w:vAlign w:val="center"/>
          </w:tcPr>
          <w:p w14:paraId="5DD6B4D2">
            <w:pPr>
              <w:pStyle w:val="946"/>
              <w:spacing w:line="300" w:lineRule="exact"/>
              <w:rPr>
                <w:rFonts w:ascii="Arial" w:hAnsi="Arial" w:cs="Arial"/>
                <w:sz w:val="22"/>
                <w:szCs w:val="22"/>
              </w:rPr>
            </w:pPr>
            <w:r>
              <w:rPr>
                <w:rFonts w:ascii="Arial" w:cs="Arial"/>
                <w:sz w:val="22"/>
                <w:szCs w:val="22"/>
              </w:rPr>
              <w:t>实施</w:t>
            </w:r>
          </w:p>
          <w:p w14:paraId="686E4F49">
            <w:pPr>
              <w:pStyle w:val="946"/>
              <w:spacing w:line="300" w:lineRule="exact"/>
              <w:rPr>
                <w:rFonts w:ascii="Arial" w:hAnsi="Arial" w:cs="Arial"/>
                <w:sz w:val="22"/>
                <w:szCs w:val="22"/>
              </w:rPr>
            </w:pPr>
            <w:r>
              <w:rPr>
                <w:rFonts w:ascii="Arial" w:cs="Arial"/>
                <w:sz w:val="22"/>
                <w:szCs w:val="22"/>
              </w:rPr>
              <w:t>单位</w:t>
            </w:r>
          </w:p>
        </w:tc>
        <w:tc>
          <w:tcPr>
            <w:tcW w:w="670" w:type="dxa"/>
            <w:noWrap w:val="0"/>
            <w:vAlign w:val="center"/>
          </w:tcPr>
          <w:p w14:paraId="1316FFE6">
            <w:pPr>
              <w:pStyle w:val="946"/>
              <w:spacing w:line="300" w:lineRule="exact"/>
              <w:rPr>
                <w:rFonts w:ascii="Arial" w:hAnsi="Arial" w:cs="Arial"/>
                <w:sz w:val="22"/>
                <w:szCs w:val="22"/>
              </w:rPr>
            </w:pPr>
            <w:r>
              <w:rPr>
                <w:rFonts w:ascii="Arial" w:cs="Arial"/>
                <w:sz w:val="22"/>
                <w:szCs w:val="22"/>
              </w:rPr>
              <w:t>责任单位</w:t>
            </w:r>
          </w:p>
        </w:tc>
      </w:tr>
      <w:tr w14:paraId="4BCFE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40EC5502">
            <w:pPr>
              <w:pStyle w:val="946"/>
              <w:spacing w:line="300" w:lineRule="exact"/>
              <w:rPr>
                <w:rFonts w:ascii="Arial" w:hAnsi="Arial" w:cs="Arial"/>
                <w:sz w:val="22"/>
                <w:szCs w:val="22"/>
              </w:rPr>
            </w:pPr>
            <w:r>
              <w:rPr>
                <w:rFonts w:ascii="Arial" w:cs="Arial"/>
                <w:sz w:val="22"/>
                <w:szCs w:val="22"/>
              </w:rPr>
              <w:t>水土保持</w:t>
            </w:r>
          </w:p>
        </w:tc>
        <w:tc>
          <w:tcPr>
            <w:tcW w:w="6795" w:type="dxa"/>
            <w:noWrap w:val="0"/>
            <w:vAlign w:val="center"/>
          </w:tcPr>
          <w:p w14:paraId="45E5DE8E">
            <w:pPr>
              <w:pStyle w:val="946"/>
              <w:spacing w:line="300" w:lineRule="exact"/>
              <w:jc w:val="both"/>
              <w:rPr>
                <w:rFonts w:ascii="Arial" w:hAnsi="Arial" w:cs="Arial"/>
                <w:sz w:val="22"/>
                <w:szCs w:val="22"/>
              </w:rPr>
            </w:pPr>
            <w:r>
              <w:rPr>
                <w:rFonts w:hint="eastAsia" w:ascii="Arial" w:hAnsi="Arial" w:cs="Arial"/>
                <w:sz w:val="22"/>
                <w:szCs w:val="22"/>
                <w:lang w:eastAsia="zh-CN"/>
              </w:rPr>
              <w:t>按照项目水土保持报告及相关批复，落实个防治分区的水土保持工作，包括</w:t>
            </w:r>
            <w:r>
              <w:rPr>
                <w:rFonts w:hint="eastAsia" w:ascii="Arial" w:cs="Arial"/>
                <w:sz w:val="22"/>
                <w:szCs w:val="22"/>
              </w:rPr>
              <w:t>采取表土剥离及回填、修建截排水沟、挡土墙、沉砂池、导流渠、边坡防护等工程措施，土地翻耕、植树、喷洒草籽等植物措施，临时截排水沟、沉砂池、遮盖、拦挡、围挡等措施</w:t>
            </w:r>
            <w:r>
              <w:rPr>
                <w:rFonts w:ascii="Arial" w:cs="Arial"/>
                <w:sz w:val="22"/>
                <w:szCs w:val="22"/>
              </w:rPr>
              <w:t>。</w:t>
            </w:r>
          </w:p>
        </w:tc>
        <w:tc>
          <w:tcPr>
            <w:tcW w:w="667" w:type="dxa"/>
            <w:vMerge w:val="restart"/>
            <w:noWrap w:val="0"/>
            <w:vAlign w:val="center"/>
          </w:tcPr>
          <w:p w14:paraId="11BB9043">
            <w:pPr>
              <w:pStyle w:val="946"/>
              <w:spacing w:line="300" w:lineRule="exact"/>
              <w:rPr>
                <w:rFonts w:ascii="Arial" w:hAnsi="Arial" w:cs="Arial"/>
                <w:sz w:val="22"/>
                <w:szCs w:val="22"/>
              </w:rPr>
            </w:pPr>
            <w:r>
              <w:rPr>
                <w:rFonts w:ascii="Arial" w:cs="Arial"/>
                <w:sz w:val="22"/>
                <w:szCs w:val="22"/>
              </w:rPr>
              <w:t>环境监理单位</w:t>
            </w:r>
          </w:p>
        </w:tc>
        <w:tc>
          <w:tcPr>
            <w:tcW w:w="670" w:type="dxa"/>
            <w:vMerge w:val="restart"/>
            <w:noWrap w:val="0"/>
            <w:vAlign w:val="center"/>
          </w:tcPr>
          <w:p w14:paraId="2FB715B8">
            <w:pPr>
              <w:pStyle w:val="946"/>
              <w:spacing w:line="300" w:lineRule="exact"/>
              <w:rPr>
                <w:rFonts w:ascii="Arial" w:hAnsi="Arial" w:cs="Arial"/>
                <w:sz w:val="22"/>
                <w:szCs w:val="22"/>
              </w:rPr>
            </w:pPr>
            <w:r>
              <w:rPr>
                <w:rFonts w:ascii="Arial" w:cs="Arial"/>
                <w:sz w:val="22"/>
                <w:szCs w:val="22"/>
              </w:rPr>
              <w:t>建设</w:t>
            </w:r>
            <w:r>
              <w:rPr>
                <w:rFonts w:ascii="Arial" w:hAnsi="Arial" w:cs="Arial"/>
                <w:sz w:val="22"/>
                <w:szCs w:val="22"/>
              </w:rPr>
              <w:t xml:space="preserve"> </w:t>
            </w:r>
            <w:r>
              <w:rPr>
                <w:rFonts w:ascii="Arial" w:cs="Arial"/>
                <w:sz w:val="22"/>
                <w:szCs w:val="22"/>
              </w:rPr>
              <w:t>单位</w:t>
            </w:r>
          </w:p>
        </w:tc>
      </w:tr>
      <w:tr w14:paraId="1FA50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06A62590">
            <w:pPr>
              <w:pStyle w:val="946"/>
              <w:spacing w:line="300" w:lineRule="exact"/>
              <w:rPr>
                <w:rFonts w:ascii="Arial" w:hAnsi="Arial" w:cs="Arial"/>
                <w:sz w:val="22"/>
                <w:szCs w:val="22"/>
              </w:rPr>
            </w:pPr>
            <w:r>
              <w:rPr>
                <w:rFonts w:ascii="Arial" w:cs="Arial"/>
                <w:sz w:val="22"/>
                <w:szCs w:val="22"/>
              </w:rPr>
              <w:t>生态环境</w:t>
            </w:r>
          </w:p>
        </w:tc>
        <w:tc>
          <w:tcPr>
            <w:tcW w:w="6795" w:type="dxa"/>
            <w:noWrap w:val="0"/>
            <w:vAlign w:val="center"/>
          </w:tcPr>
          <w:p w14:paraId="0B267DE5">
            <w:pPr>
              <w:spacing w:line="300" w:lineRule="exact"/>
              <w:jc w:val="left"/>
              <w:rPr>
                <w:rFonts w:ascii="Arial" w:hAnsi="Arial" w:cs="Arial"/>
                <w:color w:val="auto"/>
                <w:sz w:val="22"/>
                <w:szCs w:val="22"/>
              </w:rPr>
            </w:pPr>
            <w:r>
              <w:rPr>
                <w:rFonts w:hint="eastAsia" w:ascii="宋体" w:hAnsi="宋体" w:cs="宋体"/>
                <w:color w:val="auto"/>
                <w:sz w:val="22"/>
                <w:szCs w:val="22"/>
              </w:rPr>
              <w:t>①</w:t>
            </w:r>
            <w:r>
              <w:rPr>
                <w:rFonts w:ascii="Arial" w:hAnsi="Arial" w:cs="Arial"/>
                <w:color w:val="auto"/>
                <w:sz w:val="22"/>
                <w:szCs w:val="22"/>
              </w:rPr>
              <w:t xml:space="preserve"> </w:t>
            </w:r>
            <w:r>
              <w:rPr>
                <w:rFonts w:ascii="Arial" w:hAnsi="Calibri" w:cs="Arial"/>
                <w:color w:val="auto"/>
                <w:sz w:val="22"/>
                <w:szCs w:val="22"/>
              </w:rPr>
              <w:t>按照施工组织设计的要求，施工单位严格按照规定的工程征占地范围进行施工，</w:t>
            </w:r>
            <w:r>
              <w:rPr>
                <w:rFonts w:hint="eastAsia" w:ascii="Arial" w:hAnsi="Calibri" w:cs="Arial"/>
                <w:color w:val="auto"/>
                <w:sz w:val="22"/>
                <w:szCs w:val="22"/>
              </w:rPr>
              <w:t>严格控制施工占地红线，尽量将临时设施布置在项目永久占地范围内，</w:t>
            </w:r>
            <w:r>
              <w:rPr>
                <w:rFonts w:ascii="Arial" w:hAnsi="Calibri" w:cs="Arial"/>
                <w:color w:val="auto"/>
                <w:sz w:val="22"/>
                <w:szCs w:val="22"/>
              </w:rPr>
              <w:t>减少表土及植被的破坏，严禁超范围占压植被。</w:t>
            </w:r>
          </w:p>
          <w:p w14:paraId="2397A51F">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② 施工过程中注意保护好施工区的表层土壤，</w:t>
            </w:r>
            <w:r>
              <w:rPr>
                <w:rFonts w:hint="eastAsia" w:ascii="Arial" w:hAnsi="Arial" w:cs="Arial"/>
                <w:sz w:val="22"/>
                <w:szCs w:val="22"/>
                <w:lang w:eastAsia="zh-CN"/>
              </w:rPr>
              <w:t>集中收集后，分区暂存于弃渣场内，</w:t>
            </w:r>
            <w:r>
              <w:rPr>
                <w:rFonts w:hint="default" w:ascii="Arial" w:hAnsi="Arial" w:cs="Arial"/>
                <w:sz w:val="22"/>
                <w:szCs w:val="22"/>
              </w:rPr>
              <w:t>后期</w:t>
            </w:r>
            <w:r>
              <w:rPr>
                <w:rFonts w:hint="eastAsia" w:ascii="Arial" w:hAnsi="Arial" w:cs="Arial"/>
                <w:sz w:val="22"/>
                <w:szCs w:val="22"/>
                <w:lang w:eastAsia="zh-CN"/>
              </w:rPr>
              <w:t>全部用作生态覆土</w:t>
            </w:r>
            <w:r>
              <w:rPr>
                <w:rFonts w:hint="default" w:ascii="Arial" w:hAnsi="Arial" w:cs="Arial"/>
                <w:sz w:val="22"/>
                <w:szCs w:val="22"/>
              </w:rPr>
              <w:t>。</w:t>
            </w:r>
          </w:p>
          <w:p w14:paraId="0EB35161">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③ 施工区周边实施植物绿化措施，并做好抚育管理。施工扰动区域内的植被恢复以当地适生树种和草本为主，乔灌草结合，使工程区尽快融入当地景观。</w:t>
            </w:r>
          </w:p>
          <w:p w14:paraId="19DB1F63">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④ 施工结束后，施工便道、弃渣场、施工区进行生态覆绿，种植区域内常见的</w:t>
            </w:r>
            <w:r>
              <w:rPr>
                <w:rFonts w:hint="eastAsia" w:ascii="Arial" w:hAnsi="Arial" w:cs="Arial"/>
                <w:sz w:val="22"/>
                <w:szCs w:val="22"/>
                <w:lang w:eastAsia="zh-CN"/>
              </w:rPr>
              <w:t>马尾松、桉树、麻栎、化香</w:t>
            </w:r>
            <w:r>
              <w:rPr>
                <w:rFonts w:hint="default" w:ascii="Arial" w:hAnsi="Arial" w:cs="Arial"/>
                <w:sz w:val="22"/>
                <w:szCs w:val="22"/>
              </w:rPr>
              <w:t>等，不得遗留裸露地表。</w:t>
            </w:r>
          </w:p>
          <w:p w14:paraId="648DF688">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⑤ 在工程完成后须对输水管线沿线补充破坏的植被进行人工恢复，如在管线外侧种植乔木及灌木。临时占地应尽量恢复为农田；不能恢复为农田的，在通过平整后，按照</w:t>
            </w:r>
            <w:r>
              <w:rPr>
                <w:rFonts w:hint="eastAsia" w:ascii="宋体" w:hAnsi="宋体" w:eastAsia="宋体" w:cs="宋体"/>
                <w:sz w:val="22"/>
                <w:szCs w:val="22"/>
              </w:rPr>
              <w:t>“宜林则林、宜草则草”</w:t>
            </w:r>
            <w:r>
              <w:rPr>
                <w:rFonts w:hint="default" w:ascii="Arial" w:hAnsi="Arial" w:cs="Arial"/>
                <w:sz w:val="22"/>
                <w:szCs w:val="22"/>
              </w:rPr>
              <w:t>的原则，种植适宜的林木和草类，最大限度地提高生态环境质量。</w:t>
            </w:r>
          </w:p>
          <w:p w14:paraId="010EC183">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⑥ 在建设工程中，加强宣传教育和管理，认真全面地贯彻执行《中华人民共和国野生动物保护法》等法律、法规，严禁非法猎捕野生动物。通过发放宣传册、张贴宣传画报等，增强人们的环境保护意识，严禁猎杀捕食野生动物，使野生动物生境能在不受额外影响的情况下得以尽快恢复。</w:t>
            </w:r>
          </w:p>
          <w:p w14:paraId="338DD73B">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⑦ 加强施工人员的卫生管理。及时清理施工弃渣及废料。避免引起动物瘟疫。</w:t>
            </w:r>
          </w:p>
          <w:p w14:paraId="2FBC8950">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eastAsia="宋体" w:cs="Arial"/>
                <w:sz w:val="22"/>
                <w:szCs w:val="22"/>
              </w:rPr>
            </w:pPr>
            <w:r>
              <w:rPr>
                <w:rFonts w:hint="default" w:ascii="Arial" w:hAnsi="Arial" w:cs="Arial"/>
                <w:sz w:val="22"/>
                <w:szCs w:val="22"/>
              </w:rPr>
              <w:t>⑧ 加强对野生动物栖息地的监控和管理工作；在引水补水过程中，要注意定期对饮用水水质进行检测，以防因引水</w:t>
            </w:r>
            <w:r>
              <w:rPr>
                <w:rFonts w:hint="default" w:ascii="Arial" w:hAnsi="Arial" w:eastAsia="宋体" w:cs="Arial"/>
                <w:sz w:val="22"/>
                <w:szCs w:val="22"/>
              </w:rPr>
              <w:t>水质问题对保护区动物造成影响。</w:t>
            </w:r>
          </w:p>
          <w:p w14:paraId="43B6B366">
            <w:pPr>
              <w:spacing w:line="300" w:lineRule="exact"/>
              <w:jc w:val="left"/>
              <w:rPr>
                <w:rFonts w:hint="eastAsia" w:ascii="宋体" w:hAnsi="宋体" w:cs="宋体"/>
                <w:sz w:val="22"/>
                <w:szCs w:val="22"/>
              </w:rPr>
            </w:pPr>
            <w:r>
              <w:rPr>
                <w:rFonts w:hint="default" w:ascii="Arial" w:hAnsi="Arial" w:eastAsia="宋体" w:cs="Arial"/>
                <w:sz w:val="22"/>
                <w:szCs w:val="22"/>
              </w:rPr>
              <w:t xml:space="preserve">⑨ </w:t>
            </w:r>
            <w:r>
              <w:rPr>
                <w:rFonts w:hint="eastAsia" w:ascii="Arial" w:hAnsi="Arial" w:eastAsia="宋体" w:cs="Arial"/>
                <w:sz w:val="22"/>
                <w:szCs w:val="22"/>
                <w:lang w:eastAsia="zh-CN"/>
              </w:rPr>
              <w:t>合理安排施工作业时间，尽量避免夜间进行高噪声、高振动的施工作业。</w:t>
            </w:r>
          </w:p>
          <w:p w14:paraId="08E83522">
            <w:pPr>
              <w:spacing w:line="300" w:lineRule="exact"/>
              <w:rPr>
                <w:rFonts w:hint="eastAsia" w:ascii="宋体" w:hAnsi="宋体" w:cs="宋体"/>
                <w:color w:val="auto"/>
                <w:sz w:val="22"/>
                <w:szCs w:val="22"/>
              </w:rPr>
            </w:pPr>
            <w:r>
              <w:rPr>
                <w:rFonts w:ascii="Arial" w:hAnsi="MS Mincho" w:eastAsia="MS Mincho" w:cs="Arial"/>
                <w:color w:val="auto"/>
                <w:sz w:val="22"/>
                <w:szCs w:val="22"/>
              </w:rPr>
              <w:t>⑪</w:t>
            </w:r>
            <w:r>
              <w:rPr>
                <w:rFonts w:hint="eastAsia" w:ascii="Arial" w:hAnsi="MS Mincho" w:cs="Arial"/>
                <w:color w:val="auto"/>
                <w:sz w:val="22"/>
                <w:szCs w:val="22"/>
              </w:rPr>
              <w:t xml:space="preserve"> </w:t>
            </w:r>
            <w:r>
              <w:rPr>
                <w:rFonts w:hint="default" w:ascii="Arial" w:hAnsi="Arial" w:cs="Arial"/>
                <w:color w:val="auto"/>
                <w:sz w:val="22"/>
                <w:szCs w:val="22"/>
              </w:rPr>
              <w:t>优先选择枯水期分段施工，避免大面积涉水开挖。施工前做好拦河堰、导流、围堰、集水坑等措施，做好各类污废水的收集处理工作，减少排河量。</w:t>
            </w:r>
          </w:p>
          <w:p w14:paraId="4C61BB76">
            <w:pPr>
              <w:spacing w:line="300" w:lineRule="exact"/>
              <w:rPr>
                <w:rFonts w:hint="eastAsia" w:ascii="宋体" w:hAnsi="宋体" w:cs="宋体"/>
                <w:color w:val="auto"/>
                <w:sz w:val="22"/>
                <w:szCs w:val="22"/>
              </w:rPr>
            </w:pPr>
            <w:r>
              <w:rPr>
                <w:rFonts w:hint="eastAsia" w:ascii="宋体" w:hAnsi="宋体" w:cs="宋体"/>
                <w:color w:val="auto"/>
                <w:sz w:val="22"/>
                <w:szCs w:val="22"/>
              </w:rPr>
              <w:t>⑪</w:t>
            </w:r>
            <w:r>
              <w:rPr>
                <w:rFonts w:hint="default" w:ascii="Arial" w:hAnsi="Arial" w:cs="Arial"/>
                <w:color w:val="auto"/>
                <w:sz w:val="22"/>
                <w:szCs w:val="22"/>
              </w:rPr>
              <w:t>加强施工管理，严禁施工人员随意捕捞鱼类，避开鱼类的繁殖时期施工</w:t>
            </w:r>
            <w:r>
              <w:rPr>
                <w:rFonts w:hint="eastAsia" w:ascii="Arial" w:hAnsi="Arial" w:cs="Arial"/>
                <w:color w:val="auto"/>
                <w:sz w:val="22"/>
                <w:szCs w:val="22"/>
                <w:lang w:eastAsia="zh-CN"/>
              </w:rPr>
              <w:t>；严禁</w:t>
            </w:r>
            <w:r>
              <w:rPr>
                <w:rFonts w:hint="eastAsia" w:ascii="宋体" w:hAnsi="宋体" w:eastAsia="宋体" w:cs="宋体"/>
                <w:sz w:val="22"/>
                <w:szCs w:val="22"/>
                <w:lang w:val="en-US" w:eastAsia="zh-CN"/>
              </w:rPr>
              <w:t>在水域、滩涂内清洗施工机械、车辆以及冲洗建材</w:t>
            </w:r>
            <w:r>
              <w:rPr>
                <w:rFonts w:hint="default" w:ascii="Arial" w:hAnsi="Arial" w:cs="Arial"/>
                <w:color w:val="auto"/>
                <w:sz w:val="22"/>
                <w:szCs w:val="22"/>
              </w:rPr>
              <w:t>。</w:t>
            </w:r>
          </w:p>
          <w:p w14:paraId="02673849">
            <w:pPr>
              <w:spacing w:line="300" w:lineRule="exact"/>
              <w:rPr>
                <w:rFonts w:hint="eastAsia" w:ascii="宋体" w:hAnsi="宋体" w:cs="宋体"/>
                <w:color w:val="auto"/>
                <w:sz w:val="22"/>
                <w:szCs w:val="22"/>
                <w:lang w:eastAsia="zh-CN"/>
              </w:rPr>
            </w:pPr>
            <w:r>
              <w:rPr>
                <w:rFonts w:hint="eastAsia" w:ascii="宋体" w:hAnsi="宋体" w:cs="宋体"/>
                <w:color w:val="auto"/>
                <w:sz w:val="22"/>
                <w:szCs w:val="22"/>
                <w:lang w:eastAsia="zh-CN"/>
              </w:rPr>
              <w:t>⑫</w:t>
            </w:r>
            <w:r>
              <w:rPr>
                <w:rFonts w:hint="default" w:ascii="Arial" w:hAnsi="Arial" w:cs="Arial"/>
                <w:color w:val="auto"/>
                <w:sz w:val="22"/>
                <w:szCs w:val="22"/>
              </w:rPr>
              <w:t>输水工程管道有</w:t>
            </w:r>
            <w:r>
              <w:rPr>
                <w:rFonts w:hint="eastAsia" w:ascii="Arial" w:hAnsi="Arial" w:cs="Arial"/>
                <w:color w:val="auto"/>
                <w:sz w:val="22"/>
                <w:szCs w:val="22"/>
                <w:lang w:val="en-US" w:eastAsia="zh-CN"/>
              </w:rPr>
              <w:t>5</w:t>
            </w:r>
            <w:r>
              <w:rPr>
                <w:rFonts w:hint="default" w:ascii="Arial" w:hAnsi="Arial" w:cs="Arial"/>
                <w:color w:val="auto"/>
                <w:sz w:val="22"/>
                <w:szCs w:val="22"/>
              </w:rPr>
              <w:t>处跨河，</w:t>
            </w:r>
            <w:r>
              <w:rPr>
                <w:rFonts w:hint="eastAsia" w:ascii="Arial" w:hAnsi="Arial" w:cs="Arial"/>
                <w:color w:val="auto"/>
                <w:sz w:val="22"/>
                <w:szCs w:val="22"/>
                <w:lang w:eastAsia="zh-CN"/>
              </w:rPr>
              <w:t>本评价建议</w:t>
            </w:r>
            <w:r>
              <w:rPr>
                <w:rFonts w:hint="default" w:ascii="Arial" w:hAnsi="Arial" w:cs="Arial"/>
                <w:color w:val="auto"/>
                <w:sz w:val="22"/>
                <w:szCs w:val="22"/>
              </w:rPr>
              <w:t>应优先选用顶管</w:t>
            </w:r>
            <w:r>
              <w:rPr>
                <w:rFonts w:hint="eastAsia" w:ascii="Arial" w:hAnsi="Arial" w:cs="Arial"/>
                <w:color w:val="auto"/>
                <w:sz w:val="22"/>
                <w:szCs w:val="22"/>
                <w:lang w:eastAsia="zh-CN"/>
              </w:rPr>
              <w:t>、定向钻</w:t>
            </w:r>
            <w:r>
              <w:rPr>
                <w:rFonts w:hint="default" w:ascii="Arial" w:hAnsi="Arial" w:cs="Arial"/>
                <w:color w:val="auto"/>
                <w:sz w:val="22"/>
                <w:szCs w:val="22"/>
              </w:rPr>
              <w:t>等不涉水的施工工艺，不具备相应施工条件时，选择枯水期作业，同时需做好施工导流、围堰等工作，并尽可能将处理后的基坑废水回用于施工抑尘洒水，多余部分需沉淀处理</w:t>
            </w:r>
            <w:r>
              <w:rPr>
                <w:rFonts w:hint="eastAsia" w:ascii="Arial" w:hAnsi="Arial" w:cs="Arial"/>
                <w:color w:val="auto"/>
                <w:sz w:val="22"/>
                <w:szCs w:val="22"/>
                <w:lang w:eastAsia="zh-CN"/>
              </w:rPr>
              <w:t>后排入下游河道。</w:t>
            </w:r>
            <w:r>
              <w:rPr>
                <w:rFonts w:hint="default" w:ascii="Arial" w:hAnsi="Arial" w:cs="Arial"/>
                <w:color w:val="auto"/>
                <w:sz w:val="22"/>
                <w:szCs w:val="22"/>
              </w:rPr>
              <w:t>同时输水管线施工段应设置围挡，严格控制施工活动，做好废弃土石方的收集处理工作，严禁向</w:t>
            </w:r>
            <w:r>
              <w:rPr>
                <w:rFonts w:hint="eastAsia" w:ascii="Arial" w:hAnsi="Arial" w:cs="Arial"/>
                <w:color w:val="auto"/>
                <w:sz w:val="22"/>
                <w:szCs w:val="22"/>
                <w:lang w:eastAsia="zh-CN"/>
              </w:rPr>
              <w:t>河道内</w:t>
            </w:r>
            <w:r>
              <w:rPr>
                <w:rFonts w:hint="default" w:ascii="Arial" w:hAnsi="Arial" w:cs="Arial"/>
                <w:color w:val="auto"/>
                <w:sz w:val="22"/>
                <w:szCs w:val="22"/>
              </w:rPr>
              <w:t>倾倒废渣，减轻涉水作业对流域水质、水生生态环境的影响。</w:t>
            </w:r>
          </w:p>
          <w:p w14:paraId="108E16DA">
            <w:pPr>
              <w:pStyle w:val="946"/>
              <w:spacing w:line="300" w:lineRule="exact"/>
              <w:jc w:val="both"/>
              <w:rPr>
                <w:rFonts w:hint="eastAsia" w:ascii="Arial" w:hAnsi="Arial" w:cs="Arial"/>
                <w:sz w:val="22"/>
                <w:szCs w:val="22"/>
                <w:lang w:eastAsia="zh-CN"/>
              </w:rPr>
            </w:pPr>
            <w:r>
              <w:rPr>
                <w:rFonts w:hint="eastAsia" w:ascii="宋体" w:hAnsi="宋体" w:cs="宋体"/>
                <w:color w:val="auto"/>
                <w:sz w:val="22"/>
                <w:szCs w:val="22"/>
                <w:lang w:eastAsia="zh-CN"/>
              </w:rPr>
              <w:t>⑬</w:t>
            </w:r>
            <w:r>
              <w:rPr>
                <w:rFonts w:hint="eastAsia" w:ascii="Arial" w:cs="Arial"/>
                <w:sz w:val="22"/>
                <w:szCs w:val="22"/>
              </w:rPr>
              <w:t>施工结束后，拆除施工临时设施，清理施工区固体废弃物，对施工临时占地进行生态恢复</w:t>
            </w:r>
            <w:r>
              <w:rPr>
                <w:rFonts w:ascii="Arial" w:cs="Arial"/>
                <w:sz w:val="22"/>
                <w:szCs w:val="22"/>
              </w:rPr>
              <w:t>。</w:t>
            </w:r>
          </w:p>
        </w:tc>
        <w:tc>
          <w:tcPr>
            <w:tcW w:w="667" w:type="dxa"/>
            <w:vMerge w:val="continue"/>
            <w:noWrap w:val="0"/>
            <w:vAlign w:val="center"/>
          </w:tcPr>
          <w:p w14:paraId="53F9A4BF">
            <w:pPr>
              <w:widowControl/>
              <w:spacing w:line="300" w:lineRule="exact"/>
              <w:jc w:val="center"/>
              <w:rPr>
                <w:rFonts w:ascii="Arial" w:hAnsi="Arial" w:cs="Arial"/>
                <w:sz w:val="22"/>
                <w:szCs w:val="22"/>
              </w:rPr>
            </w:pPr>
          </w:p>
        </w:tc>
        <w:tc>
          <w:tcPr>
            <w:tcW w:w="670" w:type="dxa"/>
            <w:vMerge w:val="continue"/>
            <w:noWrap w:val="0"/>
            <w:vAlign w:val="center"/>
          </w:tcPr>
          <w:p w14:paraId="67AF4249">
            <w:pPr>
              <w:widowControl/>
              <w:spacing w:line="300" w:lineRule="exact"/>
              <w:jc w:val="center"/>
              <w:rPr>
                <w:rFonts w:ascii="Arial" w:hAnsi="Arial" w:cs="Arial"/>
                <w:sz w:val="22"/>
                <w:szCs w:val="22"/>
              </w:rPr>
            </w:pPr>
          </w:p>
        </w:tc>
      </w:tr>
      <w:tr w14:paraId="0C163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707E60EF">
            <w:pPr>
              <w:pStyle w:val="946"/>
              <w:spacing w:line="300" w:lineRule="exact"/>
              <w:rPr>
                <w:rFonts w:ascii="Arial" w:hAnsi="Arial" w:cs="Arial"/>
                <w:sz w:val="22"/>
                <w:szCs w:val="22"/>
              </w:rPr>
            </w:pPr>
            <w:r>
              <w:rPr>
                <w:rFonts w:ascii="Arial" w:cs="Arial"/>
                <w:sz w:val="22"/>
                <w:szCs w:val="22"/>
              </w:rPr>
              <w:t>生产废水</w:t>
            </w:r>
          </w:p>
        </w:tc>
        <w:tc>
          <w:tcPr>
            <w:tcW w:w="6795" w:type="dxa"/>
            <w:noWrap w:val="0"/>
            <w:vAlign w:val="center"/>
          </w:tcPr>
          <w:p w14:paraId="6629D99D">
            <w:pPr>
              <w:pStyle w:val="946"/>
              <w:spacing w:line="300" w:lineRule="exact"/>
              <w:rPr>
                <w:rFonts w:ascii="Arial" w:hAnsi="Arial" w:cs="Arial"/>
                <w:sz w:val="22"/>
                <w:szCs w:val="22"/>
              </w:rPr>
            </w:pPr>
            <w:r>
              <w:rPr>
                <w:rFonts w:ascii="Arial" w:cs="Arial"/>
                <w:sz w:val="22"/>
                <w:szCs w:val="22"/>
              </w:rPr>
              <w:t>施工场地设置沉淀</w:t>
            </w:r>
            <w:r>
              <w:rPr>
                <w:rFonts w:hint="eastAsia" w:ascii="Arial" w:cs="Arial"/>
                <w:sz w:val="22"/>
                <w:szCs w:val="22"/>
                <w:lang w:eastAsia="zh-CN"/>
              </w:rPr>
              <w:t>池、</w:t>
            </w:r>
            <w:r>
              <w:rPr>
                <w:rFonts w:ascii="Arial" w:cs="Arial"/>
                <w:sz w:val="22"/>
                <w:szCs w:val="22"/>
              </w:rPr>
              <w:t>隔油池、</w:t>
            </w:r>
            <w:r>
              <w:rPr>
                <w:rFonts w:hint="eastAsia" w:ascii="Arial" w:cs="Arial"/>
                <w:sz w:val="22"/>
                <w:szCs w:val="22"/>
                <w:lang w:eastAsia="zh-CN"/>
              </w:rPr>
              <w:t>截排水沟等环保设施</w:t>
            </w:r>
            <w:r>
              <w:rPr>
                <w:rFonts w:ascii="Arial" w:cs="Arial"/>
                <w:sz w:val="22"/>
                <w:szCs w:val="22"/>
              </w:rPr>
              <w:t>，生产废水实现</w:t>
            </w:r>
            <w:r>
              <w:rPr>
                <w:rFonts w:hint="eastAsia" w:ascii="Arial" w:cs="Arial"/>
                <w:sz w:val="22"/>
                <w:szCs w:val="22"/>
                <w:lang w:eastAsia="zh-CN"/>
              </w:rPr>
              <w:t>全部</w:t>
            </w:r>
            <w:r>
              <w:rPr>
                <w:rFonts w:ascii="Arial" w:cs="Arial"/>
                <w:sz w:val="22"/>
                <w:szCs w:val="22"/>
              </w:rPr>
              <w:t>收集，重复利用。</w:t>
            </w:r>
          </w:p>
        </w:tc>
        <w:tc>
          <w:tcPr>
            <w:tcW w:w="667" w:type="dxa"/>
            <w:vMerge w:val="continue"/>
            <w:noWrap w:val="0"/>
            <w:vAlign w:val="center"/>
          </w:tcPr>
          <w:p w14:paraId="2DD085BD">
            <w:pPr>
              <w:widowControl/>
              <w:spacing w:line="300" w:lineRule="exact"/>
              <w:jc w:val="center"/>
              <w:rPr>
                <w:rFonts w:ascii="Arial" w:hAnsi="Arial" w:cs="Arial"/>
                <w:sz w:val="22"/>
                <w:szCs w:val="22"/>
              </w:rPr>
            </w:pPr>
          </w:p>
        </w:tc>
        <w:tc>
          <w:tcPr>
            <w:tcW w:w="670" w:type="dxa"/>
            <w:vMerge w:val="continue"/>
            <w:noWrap w:val="0"/>
            <w:vAlign w:val="center"/>
          </w:tcPr>
          <w:p w14:paraId="1AC286EB">
            <w:pPr>
              <w:widowControl/>
              <w:spacing w:line="300" w:lineRule="exact"/>
              <w:jc w:val="center"/>
              <w:rPr>
                <w:rFonts w:ascii="Arial" w:hAnsi="Arial" w:cs="Arial"/>
                <w:sz w:val="22"/>
                <w:szCs w:val="22"/>
              </w:rPr>
            </w:pPr>
          </w:p>
        </w:tc>
      </w:tr>
      <w:tr w14:paraId="0A7FF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39FD6899">
            <w:pPr>
              <w:pStyle w:val="946"/>
              <w:spacing w:line="300" w:lineRule="exact"/>
              <w:rPr>
                <w:rFonts w:hint="eastAsia" w:ascii="Arial" w:eastAsia="宋体" w:cs="Arial"/>
                <w:sz w:val="22"/>
                <w:szCs w:val="22"/>
                <w:lang w:eastAsia="zh-CN"/>
              </w:rPr>
            </w:pPr>
            <w:r>
              <w:rPr>
                <w:rFonts w:hint="eastAsia" w:ascii="Arial" w:cs="Arial"/>
                <w:sz w:val="22"/>
                <w:szCs w:val="22"/>
                <w:lang w:eastAsia="zh-CN"/>
              </w:rPr>
              <w:t>基坑排水</w:t>
            </w:r>
          </w:p>
        </w:tc>
        <w:tc>
          <w:tcPr>
            <w:tcW w:w="6795" w:type="dxa"/>
            <w:noWrap w:val="0"/>
            <w:vAlign w:val="center"/>
          </w:tcPr>
          <w:p w14:paraId="09AC54CB">
            <w:pPr>
              <w:pStyle w:val="946"/>
              <w:spacing w:line="300" w:lineRule="exact"/>
              <w:rPr>
                <w:rFonts w:ascii="Arial" w:cs="Arial"/>
                <w:sz w:val="22"/>
                <w:szCs w:val="22"/>
              </w:rPr>
            </w:pPr>
            <w:r>
              <w:rPr>
                <w:rFonts w:hint="default" w:ascii="Arial" w:hAnsi="Arial" w:cs="Arial"/>
                <w:sz w:val="22"/>
                <w:szCs w:val="22"/>
                <w:lang w:val="en-US" w:eastAsia="zh-CN"/>
              </w:rPr>
              <w:t>在基坑内设立截水沟、集水坑，将基坑废水收集并静置1~2h后，上清液可用作施工用水，多余部分泵入下游河道。</w:t>
            </w:r>
          </w:p>
        </w:tc>
        <w:tc>
          <w:tcPr>
            <w:tcW w:w="667" w:type="dxa"/>
            <w:vMerge w:val="continue"/>
            <w:noWrap w:val="0"/>
            <w:vAlign w:val="center"/>
          </w:tcPr>
          <w:p w14:paraId="4C2C230E">
            <w:pPr>
              <w:widowControl/>
              <w:spacing w:line="300" w:lineRule="exact"/>
              <w:jc w:val="center"/>
              <w:rPr>
                <w:rFonts w:ascii="Arial" w:hAnsi="Arial" w:cs="Arial"/>
                <w:sz w:val="22"/>
                <w:szCs w:val="22"/>
              </w:rPr>
            </w:pPr>
          </w:p>
        </w:tc>
        <w:tc>
          <w:tcPr>
            <w:tcW w:w="670" w:type="dxa"/>
            <w:vMerge w:val="continue"/>
            <w:noWrap w:val="0"/>
            <w:vAlign w:val="center"/>
          </w:tcPr>
          <w:p w14:paraId="7E45AD63">
            <w:pPr>
              <w:widowControl/>
              <w:spacing w:line="300" w:lineRule="exact"/>
              <w:jc w:val="center"/>
              <w:rPr>
                <w:rFonts w:ascii="Arial" w:hAnsi="Arial" w:cs="Arial"/>
                <w:sz w:val="22"/>
                <w:szCs w:val="22"/>
              </w:rPr>
            </w:pPr>
          </w:p>
        </w:tc>
      </w:tr>
      <w:tr w14:paraId="39CF1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3B1C3595">
            <w:pPr>
              <w:pStyle w:val="946"/>
              <w:spacing w:line="300" w:lineRule="exact"/>
              <w:rPr>
                <w:rFonts w:ascii="Arial" w:hAnsi="Arial" w:cs="Arial"/>
                <w:sz w:val="22"/>
                <w:szCs w:val="22"/>
              </w:rPr>
            </w:pPr>
            <w:r>
              <w:rPr>
                <w:rFonts w:ascii="Arial" w:cs="Arial"/>
                <w:sz w:val="22"/>
                <w:szCs w:val="22"/>
              </w:rPr>
              <w:t>生活污水</w:t>
            </w:r>
          </w:p>
        </w:tc>
        <w:tc>
          <w:tcPr>
            <w:tcW w:w="6795" w:type="dxa"/>
            <w:noWrap w:val="0"/>
            <w:vAlign w:val="center"/>
          </w:tcPr>
          <w:p w14:paraId="37F71830">
            <w:pPr>
              <w:pStyle w:val="946"/>
              <w:spacing w:line="300" w:lineRule="exact"/>
              <w:rPr>
                <w:rFonts w:hint="eastAsia" w:ascii="Arial" w:hAnsi="Arial" w:cs="Arial"/>
                <w:sz w:val="22"/>
                <w:szCs w:val="22"/>
                <w:lang w:eastAsia="zh-CN"/>
              </w:rPr>
            </w:pPr>
            <w:r>
              <w:rPr>
                <w:rFonts w:hint="eastAsia" w:ascii="Arial" w:hAnsi="Arial" w:cs="Arial"/>
                <w:color w:val="auto"/>
                <w:sz w:val="22"/>
                <w:szCs w:val="22"/>
                <w:lang w:eastAsia="zh-CN"/>
              </w:rPr>
              <w:t>经租赁居民房屋内已有</w:t>
            </w:r>
            <w:r>
              <w:rPr>
                <w:rFonts w:hint="default" w:ascii="Arial" w:hAnsi="Arial" w:cs="Arial"/>
                <w:color w:val="auto"/>
                <w:sz w:val="22"/>
                <w:szCs w:val="22"/>
              </w:rPr>
              <w:t>旱厕收集厌氧消化处置后，交附近居民作农肥</w:t>
            </w:r>
            <w:r>
              <w:rPr>
                <w:rFonts w:hint="eastAsia" w:ascii="Arial" w:hAnsi="Arial" w:cs="Arial"/>
                <w:color w:val="auto"/>
                <w:sz w:val="22"/>
                <w:szCs w:val="22"/>
                <w:lang w:eastAsia="zh-CN"/>
              </w:rPr>
              <w:t>，不外排</w:t>
            </w:r>
            <w:r>
              <w:rPr>
                <w:rFonts w:hint="default" w:ascii="Arial" w:hAnsi="Arial" w:cs="Arial"/>
                <w:color w:val="auto"/>
                <w:sz w:val="22"/>
                <w:szCs w:val="22"/>
              </w:rPr>
              <w:t>。</w:t>
            </w:r>
          </w:p>
        </w:tc>
        <w:tc>
          <w:tcPr>
            <w:tcW w:w="667" w:type="dxa"/>
            <w:vMerge w:val="continue"/>
            <w:noWrap w:val="0"/>
            <w:vAlign w:val="center"/>
          </w:tcPr>
          <w:p w14:paraId="5A343262">
            <w:pPr>
              <w:widowControl/>
              <w:spacing w:line="300" w:lineRule="exact"/>
              <w:jc w:val="center"/>
              <w:rPr>
                <w:rFonts w:ascii="Arial" w:hAnsi="Arial" w:cs="Arial"/>
                <w:sz w:val="22"/>
                <w:szCs w:val="22"/>
              </w:rPr>
            </w:pPr>
          </w:p>
        </w:tc>
        <w:tc>
          <w:tcPr>
            <w:tcW w:w="670" w:type="dxa"/>
            <w:vMerge w:val="continue"/>
            <w:noWrap w:val="0"/>
            <w:vAlign w:val="center"/>
          </w:tcPr>
          <w:p w14:paraId="7431B428">
            <w:pPr>
              <w:widowControl/>
              <w:spacing w:line="300" w:lineRule="exact"/>
              <w:jc w:val="center"/>
              <w:rPr>
                <w:rFonts w:ascii="Arial" w:hAnsi="Arial" w:cs="Arial"/>
                <w:sz w:val="22"/>
                <w:szCs w:val="22"/>
              </w:rPr>
            </w:pPr>
          </w:p>
        </w:tc>
      </w:tr>
      <w:tr w14:paraId="424E4C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329AEB5F">
            <w:pPr>
              <w:pStyle w:val="946"/>
              <w:spacing w:line="300" w:lineRule="exact"/>
              <w:rPr>
                <w:rFonts w:ascii="Arial" w:hAnsi="Arial" w:cs="Arial"/>
                <w:sz w:val="22"/>
                <w:szCs w:val="22"/>
              </w:rPr>
            </w:pPr>
            <w:r>
              <w:rPr>
                <w:rFonts w:ascii="Arial" w:cs="Arial"/>
                <w:sz w:val="22"/>
                <w:szCs w:val="22"/>
              </w:rPr>
              <w:t>初期雨水</w:t>
            </w:r>
          </w:p>
        </w:tc>
        <w:tc>
          <w:tcPr>
            <w:tcW w:w="6795" w:type="dxa"/>
            <w:noWrap w:val="0"/>
            <w:vAlign w:val="center"/>
          </w:tcPr>
          <w:p w14:paraId="0B180EAD">
            <w:pPr>
              <w:pStyle w:val="946"/>
              <w:spacing w:line="300" w:lineRule="exact"/>
              <w:rPr>
                <w:rFonts w:ascii="Arial" w:hAnsi="Arial" w:cs="Arial"/>
                <w:sz w:val="22"/>
                <w:szCs w:val="22"/>
              </w:rPr>
            </w:pPr>
            <w:r>
              <w:rPr>
                <w:rFonts w:hint="eastAsia" w:ascii="Arial" w:hAnsi="Arial" w:eastAsia="宋体" w:cs="Arial"/>
                <w:b w:val="0"/>
                <w:bCs/>
                <w:sz w:val="22"/>
                <w:szCs w:val="22"/>
                <w:lang w:val="en-US" w:eastAsia="zh-CN"/>
              </w:rPr>
              <w:t>根据施工进度，</w:t>
            </w:r>
            <w:r>
              <w:rPr>
                <w:rFonts w:hint="eastAsia" w:ascii="Arial" w:hAnsi="Arial" w:cs="Arial"/>
                <w:b w:val="0"/>
                <w:bCs/>
                <w:sz w:val="22"/>
                <w:szCs w:val="22"/>
                <w:lang w:val="en-US" w:eastAsia="zh-CN"/>
              </w:rPr>
              <w:t>建设截排水沟、沉砂池等收集、处理设施，将初期雨水收集</w:t>
            </w:r>
            <w:r>
              <w:rPr>
                <w:rFonts w:hint="eastAsia" w:ascii="Arial" w:hAnsi="Arial" w:eastAsia="宋体" w:cs="Arial"/>
                <w:b w:val="0"/>
                <w:bCs/>
                <w:sz w:val="22"/>
                <w:szCs w:val="22"/>
                <w:lang w:val="en-US" w:eastAsia="zh-CN"/>
              </w:rPr>
              <w:t>沉淀</w:t>
            </w:r>
            <w:r>
              <w:rPr>
                <w:rFonts w:hint="eastAsia" w:ascii="Arial" w:hAnsi="Arial" w:cs="Arial"/>
                <w:b w:val="0"/>
                <w:bCs/>
                <w:sz w:val="22"/>
                <w:szCs w:val="22"/>
                <w:lang w:val="en-US" w:eastAsia="zh-CN"/>
              </w:rPr>
              <w:t>处理</w:t>
            </w:r>
            <w:r>
              <w:rPr>
                <w:rFonts w:hint="eastAsia" w:ascii="Arial" w:hAnsi="Arial" w:eastAsia="宋体" w:cs="Arial"/>
                <w:b w:val="0"/>
                <w:bCs/>
                <w:sz w:val="22"/>
                <w:szCs w:val="22"/>
                <w:lang w:val="en-US" w:eastAsia="zh-CN"/>
              </w:rPr>
              <w:t>后</w:t>
            </w:r>
            <w:r>
              <w:rPr>
                <w:rFonts w:hint="eastAsia" w:ascii="Arial" w:hAnsi="Arial" w:cs="Arial"/>
                <w:b w:val="0"/>
                <w:bCs/>
                <w:sz w:val="22"/>
                <w:szCs w:val="22"/>
                <w:lang w:val="en-US" w:eastAsia="zh-CN"/>
              </w:rPr>
              <w:t>，</w:t>
            </w:r>
            <w:r>
              <w:rPr>
                <w:rFonts w:hint="eastAsia" w:ascii="Arial" w:hAnsi="Arial" w:eastAsia="宋体" w:cs="Arial"/>
                <w:b w:val="0"/>
                <w:bCs/>
                <w:sz w:val="22"/>
                <w:szCs w:val="22"/>
                <w:lang w:val="en-US" w:eastAsia="zh-CN"/>
              </w:rPr>
              <w:t>回用作施工用水或排入环境。</w:t>
            </w:r>
          </w:p>
        </w:tc>
        <w:tc>
          <w:tcPr>
            <w:tcW w:w="667" w:type="dxa"/>
            <w:vMerge w:val="continue"/>
            <w:noWrap w:val="0"/>
            <w:vAlign w:val="center"/>
          </w:tcPr>
          <w:p w14:paraId="0866A801">
            <w:pPr>
              <w:widowControl/>
              <w:spacing w:line="300" w:lineRule="exact"/>
              <w:jc w:val="center"/>
              <w:rPr>
                <w:rFonts w:ascii="Arial" w:hAnsi="Arial" w:cs="Arial"/>
                <w:sz w:val="22"/>
                <w:szCs w:val="22"/>
              </w:rPr>
            </w:pPr>
          </w:p>
        </w:tc>
        <w:tc>
          <w:tcPr>
            <w:tcW w:w="670" w:type="dxa"/>
            <w:vMerge w:val="continue"/>
            <w:noWrap w:val="0"/>
            <w:vAlign w:val="center"/>
          </w:tcPr>
          <w:p w14:paraId="276BDE61">
            <w:pPr>
              <w:widowControl/>
              <w:spacing w:line="300" w:lineRule="exact"/>
              <w:jc w:val="center"/>
              <w:rPr>
                <w:rFonts w:ascii="Arial" w:hAnsi="Arial" w:cs="Arial"/>
                <w:sz w:val="22"/>
                <w:szCs w:val="22"/>
              </w:rPr>
            </w:pPr>
          </w:p>
        </w:tc>
      </w:tr>
      <w:tr w14:paraId="0B392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6F31EA35">
            <w:pPr>
              <w:pStyle w:val="946"/>
              <w:spacing w:line="300" w:lineRule="exact"/>
              <w:rPr>
                <w:rFonts w:ascii="Arial" w:cs="Arial"/>
                <w:sz w:val="22"/>
                <w:szCs w:val="22"/>
              </w:rPr>
            </w:pPr>
            <w:r>
              <w:rPr>
                <w:rFonts w:ascii="Arial" w:cs="Arial"/>
                <w:sz w:val="22"/>
                <w:szCs w:val="22"/>
              </w:rPr>
              <w:t>噪声</w:t>
            </w:r>
          </w:p>
        </w:tc>
        <w:tc>
          <w:tcPr>
            <w:tcW w:w="6795" w:type="dxa"/>
            <w:noWrap w:val="0"/>
            <w:vAlign w:val="center"/>
          </w:tcPr>
          <w:p w14:paraId="3623E3D4">
            <w:pPr>
              <w:pStyle w:val="946"/>
              <w:spacing w:line="300" w:lineRule="exact"/>
              <w:rPr>
                <w:rFonts w:ascii="Arial" w:cs="Arial"/>
                <w:sz w:val="22"/>
                <w:szCs w:val="22"/>
              </w:rPr>
            </w:pPr>
            <w:r>
              <w:rPr>
                <w:rFonts w:hint="default" w:ascii="Arial" w:hAnsi="Arial" w:cs="Arial"/>
                <w:sz w:val="22"/>
                <w:szCs w:val="22"/>
              </w:rPr>
              <w:t>根据《重庆市噪声污染防治办法》的相关要求，优先用低产噪设备，同时加强施工机械的维护保养；合理布置施工机械和施工强度，作好施工组织，将施工区内高产噪区域远离环境敏感点布置，并设置临时设备间、通过墙体隔声，以减缓噪声影响；物料运输尽量安排在白天运输，途径密集居住区时采取缓速、禁鸣等措施；合理安排施工作业时间，尽量避免夜间作业，偶遇混凝土浇筑必须连续作业的工序，需取得当地</w:t>
            </w:r>
            <w:r>
              <w:rPr>
                <w:rFonts w:hint="default" w:ascii="Arial" w:hAnsi="Arial" w:cs="Arial"/>
                <w:sz w:val="22"/>
                <w:szCs w:val="22"/>
                <w:lang w:val="en-US" w:eastAsia="zh-CN"/>
              </w:rPr>
              <w:t>城市管理或者住房城乡建设部门的</w:t>
            </w:r>
            <w:r>
              <w:rPr>
                <w:rFonts w:hint="default" w:ascii="Arial" w:hAnsi="Arial" w:cs="Arial"/>
                <w:sz w:val="22"/>
                <w:szCs w:val="22"/>
              </w:rPr>
              <w:t>批准，并告知附近居民，以取得谅解。</w:t>
            </w:r>
          </w:p>
        </w:tc>
        <w:tc>
          <w:tcPr>
            <w:tcW w:w="667" w:type="dxa"/>
            <w:vMerge w:val="continue"/>
            <w:noWrap w:val="0"/>
            <w:vAlign w:val="center"/>
          </w:tcPr>
          <w:p w14:paraId="1FD51643">
            <w:pPr>
              <w:widowControl/>
              <w:spacing w:line="300" w:lineRule="exact"/>
              <w:jc w:val="center"/>
              <w:rPr>
                <w:rFonts w:ascii="Arial" w:hAnsi="Arial" w:cs="Arial"/>
                <w:sz w:val="22"/>
                <w:szCs w:val="22"/>
              </w:rPr>
            </w:pPr>
          </w:p>
        </w:tc>
        <w:tc>
          <w:tcPr>
            <w:tcW w:w="670" w:type="dxa"/>
            <w:vMerge w:val="continue"/>
            <w:noWrap w:val="0"/>
            <w:vAlign w:val="center"/>
          </w:tcPr>
          <w:p w14:paraId="77D9BBD4">
            <w:pPr>
              <w:widowControl/>
              <w:spacing w:line="300" w:lineRule="exact"/>
              <w:jc w:val="center"/>
              <w:rPr>
                <w:rFonts w:ascii="Arial" w:hAnsi="Arial" w:cs="Arial"/>
                <w:sz w:val="22"/>
                <w:szCs w:val="22"/>
              </w:rPr>
            </w:pPr>
          </w:p>
        </w:tc>
      </w:tr>
      <w:tr w14:paraId="51F25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42" w:type="dxa"/>
            <w:noWrap w:val="0"/>
            <w:vAlign w:val="center"/>
          </w:tcPr>
          <w:p w14:paraId="70913B99">
            <w:pPr>
              <w:pStyle w:val="946"/>
              <w:spacing w:line="300" w:lineRule="exact"/>
              <w:jc w:val="both"/>
              <w:rPr>
                <w:rFonts w:ascii="Arial" w:hAnsi="Arial" w:cs="Arial"/>
                <w:sz w:val="22"/>
                <w:szCs w:val="22"/>
              </w:rPr>
            </w:pPr>
            <w:r>
              <w:rPr>
                <w:rFonts w:ascii="Arial" w:cs="Arial"/>
                <w:sz w:val="22"/>
                <w:szCs w:val="22"/>
              </w:rPr>
              <w:t>固体废物</w:t>
            </w:r>
          </w:p>
        </w:tc>
        <w:tc>
          <w:tcPr>
            <w:tcW w:w="6795" w:type="dxa"/>
            <w:noWrap w:val="0"/>
            <w:vAlign w:val="center"/>
          </w:tcPr>
          <w:p w14:paraId="28892E56">
            <w:pPr>
              <w:pStyle w:val="946"/>
              <w:spacing w:line="300" w:lineRule="exact"/>
              <w:jc w:val="both"/>
              <w:rPr>
                <w:rFonts w:hint="eastAsia" w:ascii="Arial" w:eastAsia="宋体" w:cs="Arial"/>
                <w:bCs/>
                <w:sz w:val="22"/>
                <w:szCs w:val="22"/>
                <w:lang w:eastAsia="zh-CN"/>
              </w:rPr>
            </w:pPr>
            <w:r>
              <w:rPr>
                <w:rFonts w:hint="eastAsia" w:ascii="Arial" w:cs="Arial"/>
                <w:sz w:val="22"/>
                <w:szCs w:val="22"/>
              </w:rPr>
              <w:t>①</w:t>
            </w:r>
            <w:r>
              <w:rPr>
                <w:rFonts w:hint="eastAsia" w:ascii="Arial" w:cs="Arial"/>
                <w:sz w:val="22"/>
                <w:szCs w:val="22"/>
                <w:lang w:eastAsia="zh-CN"/>
              </w:rPr>
              <w:t>剥离表土集中收集后，清运至项目所设弃渣场内分区堆存，后期全部用于生态覆土</w:t>
            </w:r>
            <w:r>
              <w:rPr>
                <w:rFonts w:hint="eastAsia" w:ascii="Arial" w:cs="Arial"/>
                <w:bCs/>
                <w:sz w:val="22"/>
                <w:szCs w:val="22"/>
              </w:rPr>
              <w:t>。</w:t>
            </w:r>
            <w:r>
              <w:rPr>
                <w:rFonts w:hint="eastAsia" w:ascii="Arial" w:cs="Arial"/>
                <w:bCs/>
                <w:sz w:val="22"/>
                <w:szCs w:val="22"/>
                <w:lang w:eastAsia="zh-CN"/>
              </w:rPr>
              <w:t>弃渣</w:t>
            </w:r>
            <w:r>
              <w:rPr>
                <w:rFonts w:hint="eastAsia" w:ascii="Arial" w:hAnsi="Arial" w:cs="Arial"/>
                <w:sz w:val="22"/>
                <w:szCs w:val="22"/>
                <w:lang w:eastAsia="zh-CN"/>
              </w:rPr>
              <w:t>及时清运至项目所设弃渣场内填埋处置</w:t>
            </w:r>
            <w:r>
              <w:rPr>
                <w:rFonts w:hint="default" w:ascii="Arial" w:hAnsi="Arial" w:cs="Arial"/>
                <w:bCs/>
                <w:sz w:val="22"/>
                <w:szCs w:val="22"/>
              </w:rPr>
              <w:t>。</w:t>
            </w:r>
          </w:p>
          <w:p w14:paraId="7D418C4F">
            <w:pPr>
              <w:pStyle w:val="946"/>
              <w:spacing w:line="300" w:lineRule="exact"/>
              <w:jc w:val="both"/>
              <w:rPr>
                <w:rFonts w:hint="eastAsia" w:ascii="Arial" w:cs="Arial"/>
                <w:sz w:val="22"/>
                <w:szCs w:val="22"/>
                <w:lang w:eastAsia="zh-CN"/>
              </w:rPr>
            </w:pPr>
            <w:r>
              <w:rPr>
                <w:rFonts w:hint="eastAsia" w:ascii="Arial" w:hAnsi="Arial" w:cs="Arial"/>
                <w:sz w:val="22"/>
                <w:szCs w:val="22"/>
                <w:lang w:eastAsia="zh-CN" w:bidi="he-IL"/>
              </w:rPr>
              <w:t>②废油</w:t>
            </w:r>
            <w:r>
              <w:rPr>
                <w:rFonts w:hint="eastAsia" w:ascii="Arial" w:cs="Arial"/>
                <w:sz w:val="22"/>
                <w:szCs w:val="22"/>
              </w:rPr>
              <w:t>主要来源于</w:t>
            </w:r>
            <w:r>
              <w:rPr>
                <w:rFonts w:hint="eastAsia" w:ascii="Arial" w:cs="Arial"/>
                <w:sz w:val="22"/>
                <w:szCs w:val="22"/>
                <w:lang w:eastAsia="zh-CN"/>
              </w:rPr>
              <w:t>机械</w:t>
            </w:r>
            <w:r>
              <w:rPr>
                <w:rFonts w:hint="eastAsia" w:ascii="Arial" w:cs="Arial"/>
                <w:sz w:val="22"/>
                <w:szCs w:val="22"/>
              </w:rPr>
              <w:t>设备维护和保养，</w:t>
            </w:r>
            <w:r>
              <w:rPr>
                <w:rFonts w:hint="eastAsia" w:ascii="Arial" w:hAnsi="Arial" w:cs="Arial"/>
                <w:color w:val="auto"/>
                <w:sz w:val="22"/>
                <w:szCs w:val="22"/>
                <w:lang w:eastAsia="zh-CN"/>
              </w:rPr>
              <w:t>桶装收集后，</w:t>
            </w:r>
            <w:r>
              <w:rPr>
                <w:rFonts w:hint="eastAsia" w:ascii="Arial" w:hAnsi="Arial" w:cs="Arial"/>
                <w:color w:val="auto"/>
                <w:sz w:val="22"/>
                <w:szCs w:val="22"/>
              </w:rPr>
              <w:t>暂存于施工</w:t>
            </w:r>
            <w:r>
              <w:rPr>
                <w:rFonts w:hint="eastAsia" w:ascii="Arial" w:hAnsi="Arial" w:cs="Arial"/>
                <w:color w:val="auto"/>
                <w:sz w:val="22"/>
                <w:szCs w:val="22"/>
                <w:lang w:eastAsia="zh-CN"/>
              </w:rPr>
              <w:t>场地</w:t>
            </w:r>
            <w:r>
              <w:rPr>
                <w:rFonts w:hint="eastAsia" w:ascii="Arial" w:hAnsi="Arial" w:cs="Arial"/>
                <w:color w:val="auto"/>
                <w:sz w:val="22"/>
                <w:szCs w:val="22"/>
              </w:rPr>
              <w:t>内独立设置的危废</w:t>
            </w:r>
            <w:r>
              <w:rPr>
                <w:rFonts w:hint="eastAsia" w:ascii="Arial" w:hAnsi="Arial" w:cs="Arial"/>
                <w:color w:val="auto"/>
                <w:sz w:val="22"/>
                <w:szCs w:val="22"/>
                <w:lang w:eastAsia="zh-CN"/>
              </w:rPr>
              <w:t>贮存区内</w:t>
            </w:r>
            <w:r>
              <w:rPr>
                <w:rFonts w:hint="eastAsia" w:ascii="Arial" w:hAnsi="Arial" w:cs="Arial"/>
                <w:color w:val="auto"/>
                <w:sz w:val="22"/>
                <w:szCs w:val="22"/>
              </w:rPr>
              <w:t>，按规定进行“</w:t>
            </w:r>
            <w:r>
              <w:rPr>
                <w:rFonts w:hint="eastAsia" w:ascii="Arial" w:hAnsi="Arial" w:cs="Arial"/>
                <w:color w:val="auto"/>
                <w:sz w:val="22"/>
                <w:szCs w:val="22"/>
                <w:lang w:eastAsia="zh-CN"/>
              </w:rPr>
              <w:t>六</w:t>
            </w:r>
            <w:r>
              <w:rPr>
                <w:rFonts w:hint="eastAsia" w:ascii="Arial" w:hAnsi="Arial" w:cs="Arial"/>
                <w:color w:val="auto"/>
                <w:sz w:val="22"/>
                <w:szCs w:val="22"/>
              </w:rPr>
              <w:t>防”处置，最终交有有资质的单位回收处置。</w:t>
            </w:r>
          </w:p>
          <w:p w14:paraId="6E103134">
            <w:pPr>
              <w:pStyle w:val="946"/>
              <w:spacing w:line="300" w:lineRule="exact"/>
              <w:jc w:val="both"/>
              <w:rPr>
                <w:rFonts w:hint="eastAsia" w:ascii="Arial" w:hAnsi="Arial" w:cs="Arial"/>
                <w:sz w:val="22"/>
                <w:szCs w:val="22"/>
                <w:lang w:eastAsia="zh-CN" w:bidi="he-IL"/>
              </w:rPr>
            </w:pPr>
            <w:r>
              <w:rPr>
                <w:rFonts w:hint="eastAsia" w:ascii="Arial" w:hAnsi="Arial" w:cs="Arial"/>
                <w:sz w:val="22"/>
                <w:szCs w:val="22"/>
                <w:lang w:eastAsia="zh-CN" w:bidi="he-IL"/>
              </w:rPr>
              <w:t>③生活垃圾</w:t>
            </w:r>
            <w:r>
              <w:rPr>
                <w:rFonts w:hint="eastAsia" w:ascii="Arial" w:cs="Arial"/>
                <w:sz w:val="22"/>
                <w:szCs w:val="22"/>
              </w:rPr>
              <w:t>日产日清，经各施工区所设垃圾桶收集后，交</w:t>
            </w:r>
            <w:r>
              <w:rPr>
                <w:rFonts w:hint="eastAsia" w:ascii="Arial" w:cs="Arial"/>
                <w:sz w:val="22"/>
                <w:szCs w:val="22"/>
                <w:lang w:eastAsia="zh-CN"/>
              </w:rPr>
              <w:t>当地</w:t>
            </w:r>
            <w:r>
              <w:rPr>
                <w:rFonts w:hint="eastAsia" w:ascii="Arial" w:cs="Arial"/>
                <w:sz w:val="22"/>
                <w:szCs w:val="22"/>
              </w:rPr>
              <w:t>环卫部门统一清运处置</w:t>
            </w:r>
          </w:p>
          <w:p w14:paraId="22EB3618">
            <w:pPr>
              <w:pStyle w:val="946"/>
              <w:spacing w:line="300" w:lineRule="exact"/>
              <w:jc w:val="both"/>
              <w:rPr>
                <w:rFonts w:hint="eastAsia" w:ascii="Arial" w:cs="Arial"/>
                <w:sz w:val="22"/>
                <w:szCs w:val="22"/>
                <w:lang w:eastAsia="zh-CN"/>
              </w:rPr>
            </w:pPr>
            <w:r>
              <w:rPr>
                <w:rFonts w:hint="eastAsia" w:ascii="Arial" w:hAnsi="Arial" w:cs="Arial"/>
                <w:sz w:val="22"/>
                <w:szCs w:val="22"/>
                <w:lang w:eastAsia="zh-CN" w:bidi="he-IL"/>
              </w:rPr>
              <w:t>④餐厨垃圾</w:t>
            </w:r>
            <w:r>
              <w:rPr>
                <w:rFonts w:hint="eastAsia" w:ascii="Arial" w:cs="Arial"/>
                <w:sz w:val="22"/>
                <w:szCs w:val="22"/>
              </w:rPr>
              <w:t>桶装收集后，交有资质单位清运处置</w:t>
            </w:r>
          </w:p>
          <w:p w14:paraId="18774064">
            <w:pPr>
              <w:pStyle w:val="946"/>
              <w:spacing w:line="300" w:lineRule="exact"/>
              <w:jc w:val="both"/>
              <w:rPr>
                <w:rFonts w:ascii="Arial" w:hAnsi="Arial" w:cs="Arial"/>
                <w:sz w:val="22"/>
                <w:szCs w:val="22"/>
                <w:lang w:eastAsia="zh-CN" w:bidi="he-IL"/>
              </w:rPr>
            </w:pPr>
            <w:r>
              <w:rPr>
                <w:rFonts w:hint="eastAsia" w:ascii="Arial" w:hAnsi="Arial" w:cs="Arial"/>
                <w:sz w:val="22"/>
                <w:szCs w:val="22"/>
                <w:lang w:eastAsia="zh-CN" w:bidi="he-IL"/>
              </w:rPr>
              <w:t>⑤清库废物</w:t>
            </w:r>
            <w:r>
              <w:rPr>
                <w:rFonts w:hint="eastAsia" w:ascii="Arial" w:cs="Arial"/>
                <w:sz w:val="22"/>
                <w:szCs w:val="22"/>
              </w:rPr>
              <w:t>分类收集，外售作木材使用或</w:t>
            </w:r>
            <w:r>
              <w:rPr>
                <w:rFonts w:hint="eastAsia" w:ascii="Arial" w:cs="Arial"/>
                <w:sz w:val="22"/>
                <w:szCs w:val="22"/>
                <w:lang w:eastAsia="zh-CN"/>
              </w:rPr>
              <w:t>交当地市政环卫部门统一清运处置</w:t>
            </w:r>
            <w:r>
              <w:rPr>
                <w:rFonts w:hint="eastAsia" w:ascii="Arial" w:cs="Arial"/>
                <w:sz w:val="22"/>
                <w:szCs w:val="22"/>
              </w:rPr>
              <w:t>。</w:t>
            </w:r>
          </w:p>
        </w:tc>
        <w:tc>
          <w:tcPr>
            <w:tcW w:w="667" w:type="dxa"/>
            <w:vMerge w:val="continue"/>
            <w:noWrap w:val="0"/>
            <w:vAlign w:val="center"/>
          </w:tcPr>
          <w:p w14:paraId="23A3BD52">
            <w:pPr>
              <w:widowControl/>
              <w:spacing w:line="300" w:lineRule="exact"/>
              <w:jc w:val="center"/>
              <w:rPr>
                <w:rFonts w:ascii="Arial" w:hAnsi="Arial" w:cs="Arial"/>
                <w:sz w:val="22"/>
                <w:szCs w:val="22"/>
              </w:rPr>
            </w:pPr>
          </w:p>
        </w:tc>
        <w:tc>
          <w:tcPr>
            <w:tcW w:w="670" w:type="dxa"/>
            <w:vMerge w:val="continue"/>
            <w:noWrap w:val="0"/>
            <w:vAlign w:val="center"/>
          </w:tcPr>
          <w:p w14:paraId="5EC63B2A">
            <w:pPr>
              <w:widowControl/>
              <w:spacing w:line="300" w:lineRule="exact"/>
              <w:jc w:val="center"/>
              <w:rPr>
                <w:rFonts w:ascii="Arial" w:hAnsi="Arial" w:cs="Arial"/>
                <w:sz w:val="22"/>
                <w:szCs w:val="22"/>
              </w:rPr>
            </w:pPr>
          </w:p>
        </w:tc>
      </w:tr>
    </w:tbl>
    <w:p w14:paraId="560E1574">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cs="Arial"/>
          <w:color w:val="000000"/>
          <w:sz w:val="26"/>
          <w:lang w:val="en-US" w:eastAsia="zh-CN"/>
        </w:rPr>
      </w:pPr>
    </w:p>
    <w:p w14:paraId="76E31F52">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60" w:name="_Toc27648"/>
      <w:r>
        <w:rPr>
          <w:rFonts w:hint="eastAsia" w:ascii="Arial" w:hAnsi="Arial" w:cs="Arial"/>
          <w:sz w:val="26"/>
          <w:szCs w:val="26"/>
          <w:highlight w:val="none"/>
          <w:lang w:val="en-US" w:eastAsia="zh-CN"/>
        </w:rPr>
        <w:t>9</w:t>
      </w:r>
      <w:r>
        <w:rPr>
          <w:rFonts w:hint="eastAsia" w:ascii="Arial" w:hAnsi="Arial" w:eastAsia="宋体" w:cs="Arial"/>
          <w:sz w:val="26"/>
          <w:szCs w:val="26"/>
          <w:highlight w:val="none"/>
          <w:lang w:val="en-US" w:eastAsia="zh-CN"/>
        </w:rPr>
        <w:t>.3环境监测</w:t>
      </w:r>
      <w:bookmarkEnd w:id="160"/>
    </w:p>
    <w:p w14:paraId="67B96627">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hAnsi="Arial" w:cs="Arial"/>
          <w:color w:val="000000"/>
          <w:sz w:val="26"/>
          <w:szCs w:val="26"/>
        </w:rPr>
      </w:pPr>
      <w:r>
        <w:rPr>
          <w:rFonts w:hint="eastAsia" w:ascii="Arial" w:hAnsi="Arial" w:cs="Arial"/>
          <w:color w:val="000000"/>
          <w:sz w:val="26"/>
          <w:szCs w:val="26"/>
        </w:rPr>
        <w:t>为给工程施工期和营运期环境污染控制、环境质量管理提供可靠的数据资料，以及为研究工程区环境变化规律和发展趋势，制定工程区域以及流域生态环境保护规划提供科学的依据，评价拟对工程施工期、营运期提出环境监测计划。</w:t>
      </w:r>
    </w:p>
    <w:p w14:paraId="785BE680">
      <w:pPr>
        <w:keepNext w:val="0"/>
        <w:keepLines w:val="0"/>
        <w:pageBreakBefore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000000"/>
          <w:sz w:val="26"/>
          <w:lang w:val="en-US" w:eastAsia="zh-CN"/>
        </w:rPr>
      </w:pPr>
      <w:r>
        <w:rPr>
          <w:rFonts w:hint="eastAsia" w:ascii="Arial" w:hAnsi="Arial" w:cs="Arial"/>
          <w:b/>
          <w:bCs/>
          <w:color w:val="000000"/>
          <w:sz w:val="26"/>
          <w:lang w:val="en-US" w:eastAsia="zh-CN"/>
        </w:rPr>
        <w:t>9.</w:t>
      </w:r>
      <w:r>
        <w:rPr>
          <w:rFonts w:hint="eastAsia" w:ascii="Arial" w:hAnsi="Arial" w:eastAsia="宋体" w:cs="Arial"/>
          <w:b/>
          <w:bCs/>
          <w:color w:val="000000"/>
          <w:sz w:val="26"/>
          <w:lang w:val="en-US" w:eastAsia="zh-CN"/>
        </w:rPr>
        <w:t>3.1施工期环境监测计划</w:t>
      </w:r>
    </w:p>
    <w:p w14:paraId="66A83947">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hAnsi="Arial" w:eastAsia="宋体" w:cs="Arial"/>
          <w:color w:val="000000"/>
          <w:sz w:val="26"/>
          <w:lang w:val="en-US" w:eastAsia="zh-CN"/>
        </w:rPr>
      </w:pPr>
      <w:r>
        <w:rPr>
          <w:rFonts w:hint="eastAsia" w:ascii="Arial" w:hAnsi="Arial" w:cs="Arial"/>
          <w:color w:val="000000"/>
          <w:sz w:val="26"/>
          <w:szCs w:val="26"/>
        </w:rPr>
        <w:t>本项目施工期环境监测计划详见表</w:t>
      </w:r>
      <w:r>
        <w:rPr>
          <w:rFonts w:hint="eastAsia" w:ascii="Arial" w:hAnsi="Arial" w:cs="Arial"/>
          <w:color w:val="000000"/>
          <w:sz w:val="26"/>
          <w:szCs w:val="26"/>
          <w:lang w:val="en-US" w:eastAsia="zh-CN"/>
        </w:rPr>
        <w:t>9.3</w:t>
      </w:r>
      <w:r>
        <w:rPr>
          <w:rFonts w:hint="eastAsia" w:ascii="Arial" w:hAnsi="Arial" w:cs="Arial"/>
          <w:color w:val="000000"/>
          <w:sz w:val="26"/>
          <w:szCs w:val="26"/>
        </w:rPr>
        <w:t>-1所示。</w:t>
      </w:r>
    </w:p>
    <w:p w14:paraId="117AB2DC">
      <w:pPr>
        <w:spacing w:line="460" w:lineRule="exact"/>
        <w:jc w:val="center"/>
        <w:rPr>
          <w:rFonts w:hint="eastAsia" w:ascii="Arial" w:hAnsi="Arial" w:cs="Arial"/>
          <w:b/>
          <w:color w:val="auto"/>
          <w:sz w:val="26"/>
          <w:szCs w:val="26"/>
        </w:rPr>
      </w:pPr>
      <w:r>
        <w:rPr>
          <w:rFonts w:hint="eastAsia" w:ascii="Arial" w:hAnsi="Arial" w:cs="Arial"/>
          <w:b/>
          <w:color w:val="auto"/>
          <w:sz w:val="26"/>
          <w:szCs w:val="26"/>
        </w:rPr>
        <w:t>表</w:t>
      </w:r>
      <w:r>
        <w:rPr>
          <w:rFonts w:hint="eastAsia" w:ascii="Arial" w:hAnsi="Arial" w:cs="Arial"/>
          <w:b/>
          <w:color w:val="auto"/>
          <w:sz w:val="26"/>
          <w:szCs w:val="26"/>
          <w:lang w:val="en-US" w:eastAsia="zh-CN"/>
        </w:rPr>
        <w:t>9.3</w:t>
      </w:r>
      <w:r>
        <w:rPr>
          <w:rFonts w:hint="eastAsia" w:ascii="Arial" w:hAnsi="Arial" w:cs="Arial"/>
          <w:b/>
          <w:color w:val="auto"/>
          <w:sz w:val="26"/>
          <w:szCs w:val="26"/>
        </w:rPr>
        <w:t>-1 施工期环境监测计划</w:t>
      </w:r>
    </w:p>
    <w:tbl>
      <w:tblPr>
        <w:tblStyle w:val="77"/>
        <w:tblW w:w="90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9"/>
        <w:gridCol w:w="1432"/>
        <w:gridCol w:w="2011"/>
        <w:gridCol w:w="2107"/>
        <w:gridCol w:w="1237"/>
        <w:gridCol w:w="1137"/>
      </w:tblGrid>
      <w:tr w14:paraId="74408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1159" w:type="dxa"/>
            <w:noWrap w:val="0"/>
            <w:vAlign w:val="center"/>
          </w:tcPr>
          <w:p w14:paraId="4AAB5CEA">
            <w:pPr>
              <w:pStyle w:val="946"/>
              <w:spacing w:line="300" w:lineRule="exact"/>
              <w:rPr>
                <w:rFonts w:ascii="Arial" w:hAnsi="Arial" w:cs="Arial"/>
                <w:color w:val="auto"/>
                <w:sz w:val="22"/>
                <w:szCs w:val="22"/>
              </w:rPr>
            </w:pPr>
            <w:r>
              <w:rPr>
                <w:rFonts w:ascii="Arial" w:cs="Arial"/>
                <w:color w:val="auto"/>
                <w:sz w:val="22"/>
                <w:szCs w:val="22"/>
              </w:rPr>
              <w:t>监测类别</w:t>
            </w:r>
          </w:p>
        </w:tc>
        <w:tc>
          <w:tcPr>
            <w:tcW w:w="1432" w:type="dxa"/>
            <w:noWrap w:val="0"/>
            <w:vAlign w:val="center"/>
          </w:tcPr>
          <w:p w14:paraId="601B428B">
            <w:pPr>
              <w:pStyle w:val="946"/>
              <w:spacing w:line="300" w:lineRule="exact"/>
              <w:rPr>
                <w:rFonts w:ascii="Arial" w:hAnsi="Arial" w:cs="Arial"/>
                <w:color w:val="auto"/>
                <w:sz w:val="22"/>
                <w:szCs w:val="22"/>
              </w:rPr>
            </w:pPr>
            <w:r>
              <w:rPr>
                <w:rFonts w:ascii="Arial" w:cs="Arial"/>
                <w:color w:val="auto"/>
                <w:sz w:val="22"/>
                <w:szCs w:val="22"/>
              </w:rPr>
              <w:t>监测因子</w:t>
            </w:r>
          </w:p>
        </w:tc>
        <w:tc>
          <w:tcPr>
            <w:tcW w:w="2011" w:type="dxa"/>
            <w:noWrap w:val="0"/>
            <w:vAlign w:val="center"/>
          </w:tcPr>
          <w:p w14:paraId="258FC458">
            <w:pPr>
              <w:pStyle w:val="946"/>
              <w:spacing w:line="300" w:lineRule="exact"/>
              <w:rPr>
                <w:rFonts w:ascii="Arial" w:hAnsi="Arial" w:cs="Arial"/>
                <w:color w:val="auto"/>
                <w:sz w:val="22"/>
                <w:szCs w:val="22"/>
              </w:rPr>
            </w:pPr>
            <w:r>
              <w:rPr>
                <w:rFonts w:ascii="Arial" w:cs="Arial"/>
                <w:color w:val="auto"/>
                <w:sz w:val="22"/>
                <w:szCs w:val="22"/>
              </w:rPr>
              <w:t>监测点</w:t>
            </w:r>
          </w:p>
        </w:tc>
        <w:tc>
          <w:tcPr>
            <w:tcW w:w="2107" w:type="dxa"/>
            <w:noWrap w:val="0"/>
            <w:vAlign w:val="center"/>
          </w:tcPr>
          <w:p w14:paraId="35BAC0D6">
            <w:pPr>
              <w:pStyle w:val="946"/>
              <w:spacing w:line="300" w:lineRule="exact"/>
              <w:rPr>
                <w:rFonts w:ascii="Arial" w:hAnsi="Arial" w:cs="Arial"/>
                <w:color w:val="auto"/>
                <w:sz w:val="22"/>
                <w:szCs w:val="22"/>
              </w:rPr>
            </w:pPr>
            <w:r>
              <w:rPr>
                <w:rFonts w:ascii="Arial" w:cs="Arial"/>
                <w:color w:val="auto"/>
                <w:sz w:val="22"/>
                <w:szCs w:val="22"/>
              </w:rPr>
              <w:t>监测频次</w:t>
            </w:r>
          </w:p>
        </w:tc>
        <w:tc>
          <w:tcPr>
            <w:tcW w:w="1237" w:type="dxa"/>
            <w:noWrap w:val="0"/>
            <w:vAlign w:val="center"/>
          </w:tcPr>
          <w:p w14:paraId="612D14F0">
            <w:pPr>
              <w:pStyle w:val="946"/>
              <w:spacing w:line="300" w:lineRule="exact"/>
              <w:rPr>
                <w:rFonts w:ascii="Arial" w:hAnsi="Arial" w:cs="Arial"/>
                <w:color w:val="auto"/>
                <w:sz w:val="22"/>
                <w:szCs w:val="22"/>
              </w:rPr>
            </w:pPr>
            <w:r>
              <w:rPr>
                <w:rFonts w:ascii="Arial" w:cs="Arial"/>
                <w:color w:val="auto"/>
                <w:sz w:val="22"/>
                <w:szCs w:val="22"/>
              </w:rPr>
              <w:t>监测单位</w:t>
            </w:r>
          </w:p>
        </w:tc>
        <w:tc>
          <w:tcPr>
            <w:tcW w:w="1137" w:type="dxa"/>
            <w:noWrap w:val="0"/>
            <w:vAlign w:val="center"/>
          </w:tcPr>
          <w:p w14:paraId="5286233C">
            <w:pPr>
              <w:pStyle w:val="946"/>
              <w:spacing w:line="300" w:lineRule="exact"/>
              <w:rPr>
                <w:rFonts w:ascii="Arial" w:hAnsi="Arial" w:cs="Arial"/>
                <w:color w:val="auto"/>
                <w:sz w:val="22"/>
                <w:szCs w:val="22"/>
              </w:rPr>
            </w:pPr>
            <w:r>
              <w:rPr>
                <w:rFonts w:ascii="Arial" w:cs="Arial"/>
                <w:color w:val="auto"/>
                <w:sz w:val="22"/>
                <w:szCs w:val="22"/>
              </w:rPr>
              <w:t>责任单位</w:t>
            </w:r>
          </w:p>
        </w:tc>
      </w:tr>
      <w:tr w14:paraId="74F6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9083" w:type="dxa"/>
            <w:gridSpan w:val="6"/>
            <w:noWrap w:val="0"/>
            <w:vAlign w:val="center"/>
          </w:tcPr>
          <w:p w14:paraId="6352B64B">
            <w:pPr>
              <w:pStyle w:val="946"/>
              <w:spacing w:line="300" w:lineRule="exact"/>
              <w:rPr>
                <w:rFonts w:hint="eastAsia" w:ascii="Arial" w:cs="Arial"/>
                <w:color w:val="auto"/>
                <w:sz w:val="22"/>
                <w:szCs w:val="22"/>
                <w:lang w:eastAsia="zh-CN"/>
              </w:rPr>
            </w:pPr>
            <w:r>
              <w:rPr>
                <w:rFonts w:hint="eastAsia" w:ascii="Arial" w:cs="Arial"/>
                <w:color w:val="auto"/>
                <w:sz w:val="22"/>
                <w:szCs w:val="22"/>
                <w:lang w:eastAsia="zh-CN"/>
              </w:rPr>
              <w:t>排污监测</w:t>
            </w:r>
          </w:p>
        </w:tc>
      </w:tr>
      <w:tr w14:paraId="1AEB2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159" w:type="dxa"/>
            <w:noWrap w:val="0"/>
            <w:vAlign w:val="center"/>
          </w:tcPr>
          <w:p w14:paraId="13F2A9CB">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废气</w:t>
            </w:r>
          </w:p>
        </w:tc>
        <w:tc>
          <w:tcPr>
            <w:tcW w:w="1432" w:type="dxa"/>
            <w:noWrap w:val="0"/>
            <w:vAlign w:val="center"/>
          </w:tcPr>
          <w:p w14:paraId="20A37372">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粉尘</w:t>
            </w:r>
          </w:p>
        </w:tc>
        <w:tc>
          <w:tcPr>
            <w:tcW w:w="2011" w:type="dxa"/>
            <w:noWrap w:val="0"/>
            <w:vAlign w:val="center"/>
          </w:tcPr>
          <w:p w14:paraId="7413FBB8">
            <w:pPr>
              <w:pStyle w:val="946"/>
              <w:spacing w:line="300" w:lineRule="exact"/>
              <w:rPr>
                <w:rFonts w:ascii="Arial" w:hAnsi="Arial" w:cs="Arial"/>
                <w:color w:val="auto"/>
                <w:sz w:val="22"/>
                <w:szCs w:val="22"/>
              </w:rPr>
            </w:pPr>
            <w:r>
              <w:rPr>
                <w:rFonts w:hint="eastAsia" w:ascii="Arial" w:cs="Arial"/>
                <w:color w:val="auto"/>
                <w:sz w:val="22"/>
                <w:szCs w:val="22"/>
                <w:lang w:eastAsia="zh-CN"/>
              </w:rPr>
              <w:t>枢纽工程施工场地</w:t>
            </w:r>
            <w:r>
              <w:rPr>
                <w:rFonts w:ascii="Arial" w:cs="Arial"/>
                <w:color w:val="auto"/>
                <w:sz w:val="22"/>
                <w:szCs w:val="22"/>
              </w:rPr>
              <w:t>下风向</w:t>
            </w:r>
            <w:r>
              <w:rPr>
                <w:rFonts w:hint="eastAsia" w:ascii="Arial" w:cs="Arial"/>
                <w:color w:val="auto"/>
                <w:sz w:val="22"/>
                <w:szCs w:val="22"/>
                <w:lang w:eastAsia="zh-CN"/>
              </w:rPr>
              <w:t>10m处设1个监测点。</w:t>
            </w:r>
          </w:p>
        </w:tc>
        <w:tc>
          <w:tcPr>
            <w:tcW w:w="2107" w:type="dxa"/>
            <w:noWrap w:val="0"/>
            <w:vAlign w:val="center"/>
          </w:tcPr>
          <w:p w14:paraId="54EB9B99">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土石方开挖、混凝土拌合期间进行监测，每年监测</w:t>
            </w:r>
            <w:r>
              <w:rPr>
                <w:rFonts w:hint="eastAsia" w:ascii="Arial" w:cs="Arial"/>
                <w:color w:val="auto"/>
                <w:sz w:val="22"/>
                <w:szCs w:val="22"/>
                <w:lang w:val="en-US" w:eastAsia="zh-CN"/>
              </w:rPr>
              <w:t>2次，</w:t>
            </w:r>
            <w:r>
              <w:rPr>
                <w:rFonts w:hint="eastAsia" w:ascii="Arial" w:cs="Arial"/>
                <w:color w:val="auto"/>
                <w:sz w:val="22"/>
                <w:szCs w:val="22"/>
                <w:lang w:eastAsia="zh-CN"/>
              </w:rPr>
              <w:t>每次</w:t>
            </w:r>
            <w:r>
              <w:rPr>
                <w:rFonts w:hint="eastAsia" w:ascii="Arial" w:cs="Arial"/>
                <w:color w:val="auto"/>
                <w:sz w:val="22"/>
                <w:szCs w:val="22"/>
              </w:rPr>
              <w:t>连续监测</w:t>
            </w:r>
            <w:r>
              <w:rPr>
                <w:rFonts w:ascii="Arial" w:cs="Arial"/>
                <w:color w:val="auto"/>
                <w:sz w:val="22"/>
                <w:szCs w:val="22"/>
              </w:rPr>
              <w:t>2</w:t>
            </w:r>
            <w:r>
              <w:rPr>
                <w:rFonts w:hint="eastAsia" w:ascii="Arial" w:cs="Arial"/>
                <w:color w:val="auto"/>
                <w:sz w:val="22"/>
                <w:szCs w:val="22"/>
              </w:rPr>
              <w:t>天，每天监测</w:t>
            </w:r>
            <w:r>
              <w:rPr>
                <w:rFonts w:ascii="Arial" w:cs="Arial"/>
                <w:color w:val="auto"/>
                <w:sz w:val="22"/>
                <w:szCs w:val="22"/>
              </w:rPr>
              <w:t>3</w:t>
            </w:r>
            <w:r>
              <w:rPr>
                <w:rFonts w:hint="eastAsia" w:ascii="Arial" w:cs="Arial"/>
                <w:color w:val="auto"/>
                <w:sz w:val="22"/>
                <w:szCs w:val="22"/>
              </w:rPr>
              <w:t>次</w:t>
            </w:r>
            <w:r>
              <w:rPr>
                <w:rFonts w:hint="eastAsia" w:ascii="Arial" w:cs="Arial"/>
                <w:color w:val="auto"/>
                <w:sz w:val="22"/>
                <w:szCs w:val="22"/>
                <w:lang w:eastAsia="zh-CN"/>
              </w:rPr>
              <w:t>。</w:t>
            </w:r>
          </w:p>
        </w:tc>
        <w:tc>
          <w:tcPr>
            <w:tcW w:w="1237" w:type="dxa"/>
            <w:vMerge w:val="restart"/>
            <w:noWrap w:val="0"/>
            <w:vAlign w:val="center"/>
          </w:tcPr>
          <w:p w14:paraId="09651672">
            <w:pPr>
              <w:pStyle w:val="946"/>
              <w:spacing w:line="300" w:lineRule="exact"/>
              <w:rPr>
                <w:rFonts w:ascii="Arial" w:hAnsi="Arial" w:cs="Arial"/>
                <w:color w:val="auto"/>
                <w:sz w:val="22"/>
                <w:szCs w:val="22"/>
              </w:rPr>
            </w:pPr>
            <w:r>
              <w:rPr>
                <w:rFonts w:ascii="Arial" w:cs="Arial"/>
                <w:color w:val="auto"/>
                <w:sz w:val="22"/>
                <w:szCs w:val="22"/>
              </w:rPr>
              <w:t>有监测资质的单位</w:t>
            </w:r>
          </w:p>
        </w:tc>
        <w:tc>
          <w:tcPr>
            <w:tcW w:w="1137" w:type="dxa"/>
            <w:vMerge w:val="restart"/>
            <w:noWrap w:val="0"/>
            <w:vAlign w:val="center"/>
          </w:tcPr>
          <w:p w14:paraId="246AC3A0">
            <w:pPr>
              <w:pStyle w:val="946"/>
              <w:spacing w:line="300" w:lineRule="exact"/>
              <w:rPr>
                <w:rFonts w:ascii="Arial" w:hAnsi="Arial" w:cs="Arial"/>
                <w:color w:val="auto"/>
                <w:sz w:val="22"/>
                <w:szCs w:val="22"/>
              </w:rPr>
            </w:pPr>
            <w:r>
              <w:rPr>
                <w:rFonts w:ascii="Arial" w:cs="Arial"/>
                <w:color w:val="auto"/>
                <w:sz w:val="22"/>
                <w:szCs w:val="22"/>
              </w:rPr>
              <w:t>建设单位</w:t>
            </w:r>
          </w:p>
        </w:tc>
      </w:tr>
      <w:tr w14:paraId="08B1E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159" w:type="dxa"/>
            <w:noWrap w:val="0"/>
            <w:vAlign w:val="center"/>
          </w:tcPr>
          <w:p w14:paraId="2672B40F">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噪声</w:t>
            </w:r>
          </w:p>
        </w:tc>
        <w:tc>
          <w:tcPr>
            <w:tcW w:w="1432" w:type="dxa"/>
            <w:noWrap w:val="0"/>
            <w:vAlign w:val="center"/>
          </w:tcPr>
          <w:p w14:paraId="3329335C">
            <w:pPr>
              <w:pStyle w:val="946"/>
              <w:spacing w:line="300" w:lineRule="exact"/>
              <w:rPr>
                <w:rFonts w:ascii="Arial" w:hAnsi="Arial" w:cs="Arial"/>
                <w:color w:val="auto"/>
                <w:sz w:val="22"/>
                <w:szCs w:val="22"/>
              </w:rPr>
            </w:pPr>
            <w:r>
              <w:rPr>
                <w:rFonts w:ascii="Arial" w:hAnsi="Arial" w:cs="Arial"/>
                <w:color w:val="auto"/>
                <w:sz w:val="22"/>
                <w:szCs w:val="22"/>
                <w:shd w:val="clear" w:color="auto" w:fill="FFFFFF"/>
              </w:rPr>
              <w:t>L</w:t>
            </w:r>
            <w:r>
              <w:rPr>
                <w:rFonts w:ascii="Arial" w:hAnsi="Arial" w:cs="Arial"/>
                <w:color w:val="auto"/>
                <w:sz w:val="22"/>
                <w:szCs w:val="22"/>
                <w:shd w:val="clear" w:color="auto" w:fill="FFFFFF"/>
                <w:vertAlign w:val="subscript"/>
              </w:rPr>
              <w:t>Aeq</w:t>
            </w:r>
          </w:p>
        </w:tc>
        <w:tc>
          <w:tcPr>
            <w:tcW w:w="2011" w:type="dxa"/>
            <w:noWrap w:val="0"/>
            <w:vAlign w:val="center"/>
          </w:tcPr>
          <w:p w14:paraId="0608D4CA">
            <w:pPr>
              <w:pStyle w:val="946"/>
              <w:spacing w:line="300" w:lineRule="exact"/>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枢纽工程、输水工程施工区场界和临近的居民点处各设1个监测点。</w:t>
            </w:r>
          </w:p>
        </w:tc>
        <w:tc>
          <w:tcPr>
            <w:tcW w:w="2107" w:type="dxa"/>
            <w:noWrap w:val="0"/>
            <w:vAlign w:val="center"/>
          </w:tcPr>
          <w:p w14:paraId="0847EB5D">
            <w:pPr>
              <w:pStyle w:val="946"/>
              <w:spacing w:line="300" w:lineRule="exact"/>
              <w:rPr>
                <w:rFonts w:ascii="Arial" w:hAnsi="Arial" w:cs="Arial"/>
                <w:color w:val="auto"/>
                <w:sz w:val="22"/>
                <w:szCs w:val="22"/>
              </w:rPr>
            </w:pPr>
            <w:r>
              <w:rPr>
                <w:rFonts w:hint="eastAsia" w:ascii="Arial" w:cs="Arial"/>
                <w:color w:val="auto"/>
                <w:sz w:val="22"/>
                <w:szCs w:val="22"/>
                <w:lang w:eastAsia="zh-CN"/>
              </w:rPr>
              <w:t>每年监测</w:t>
            </w:r>
            <w:r>
              <w:rPr>
                <w:rFonts w:hint="eastAsia" w:ascii="Arial" w:cs="Arial"/>
                <w:color w:val="auto"/>
                <w:sz w:val="22"/>
                <w:szCs w:val="22"/>
                <w:lang w:val="en-US" w:eastAsia="zh-CN"/>
              </w:rPr>
              <w:t>2次</w:t>
            </w:r>
            <w:r>
              <w:rPr>
                <w:rFonts w:hint="eastAsia" w:ascii="Arial" w:cs="Arial"/>
                <w:color w:val="auto"/>
                <w:sz w:val="22"/>
                <w:szCs w:val="22"/>
                <w:lang w:eastAsia="zh-CN"/>
              </w:rPr>
              <w:t>，每次</w:t>
            </w:r>
            <w:r>
              <w:rPr>
                <w:rFonts w:hint="eastAsia" w:ascii="Arial" w:cs="Arial"/>
                <w:color w:val="auto"/>
                <w:sz w:val="22"/>
                <w:szCs w:val="22"/>
              </w:rPr>
              <w:t>连续监测</w:t>
            </w:r>
            <w:r>
              <w:rPr>
                <w:rFonts w:ascii="Arial" w:cs="Arial"/>
                <w:color w:val="auto"/>
                <w:sz w:val="22"/>
                <w:szCs w:val="22"/>
              </w:rPr>
              <w:t>2</w:t>
            </w:r>
            <w:r>
              <w:rPr>
                <w:rFonts w:hint="eastAsia" w:ascii="Arial" w:cs="Arial"/>
                <w:color w:val="auto"/>
                <w:sz w:val="22"/>
                <w:szCs w:val="22"/>
              </w:rPr>
              <w:t>天，昼</w:t>
            </w:r>
            <w:r>
              <w:rPr>
                <w:rFonts w:hint="eastAsia" w:ascii="Arial" w:cs="Arial"/>
                <w:color w:val="auto"/>
                <w:sz w:val="22"/>
                <w:szCs w:val="22"/>
                <w:lang w:eastAsia="zh-CN"/>
              </w:rPr>
              <w:t>、</w:t>
            </w:r>
            <w:r>
              <w:rPr>
                <w:rFonts w:hint="eastAsia" w:ascii="Arial" w:cs="Arial"/>
                <w:color w:val="auto"/>
                <w:sz w:val="22"/>
                <w:szCs w:val="22"/>
              </w:rPr>
              <w:t>夜各</w:t>
            </w:r>
            <w:r>
              <w:rPr>
                <w:rFonts w:hint="eastAsia" w:ascii="Arial" w:cs="Arial"/>
                <w:color w:val="auto"/>
                <w:sz w:val="22"/>
                <w:szCs w:val="22"/>
                <w:lang w:eastAsia="zh-CN"/>
              </w:rPr>
              <w:t>取样</w:t>
            </w:r>
            <w:r>
              <w:rPr>
                <w:rFonts w:hint="eastAsia" w:ascii="Arial" w:cs="Arial"/>
                <w:color w:val="auto"/>
                <w:sz w:val="22"/>
                <w:szCs w:val="22"/>
              </w:rPr>
              <w:t>一次。</w:t>
            </w:r>
          </w:p>
        </w:tc>
        <w:tc>
          <w:tcPr>
            <w:tcW w:w="1237" w:type="dxa"/>
            <w:vMerge w:val="continue"/>
            <w:noWrap w:val="0"/>
            <w:vAlign w:val="center"/>
          </w:tcPr>
          <w:p w14:paraId="7D05AE8C">
            <w:pPr>
              <w:widowControl/>
              <w:spacing w:line="300" w:lineRule="exact"/>
              <w:jc w:val="center"/>
              <w:rPr>
                <w:rFonts w:ascii="Arial" w:hAnsi="Arial" w:cs="Arial"/>
                <w:color w:val="auto"/>
                <w:sz w:val="22"/>
                <w:szCs w:val="22"/>
              </w:rPr>
            </w:pPr>
          </w:p>
        </w:tc>
        <w:tc>
          <w:tcPr>
            <w:tcW w:w="1137" w:type="dxa"/>
            <w:vMerge w:val="continue"/>
            <w:noWrap w:val="0"/>
            <w:vAlign w:val="center"/>
          </w:tcPr>
          <w:p w14:paraId="12FA79AE">
            <w:pPr>
              <w:widowControl/>
              <w:spacing w:line="300" w:lineRule="exact"/>
              <w:jc w:val="center"/>
              <w:rPr>
                <w:rFonts w:ascii="Arial" w:hAnsi="Arial" w:cs="Arial"/>
                <w:color w:val="auto"/>
                <w:sz w:val="22"/>
                <w:szCs w:val="22"/>
              </w:rPr>
            </w:pPr>
          </w:p>
        </w:tc>
      </w:tr>
      <w:tr w14:paraId="6FE02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083" w:type="dxa"/>
            <w:gridSpan w:val="6"/>
            <w:noWrap w:val="0"/>
            <w:vAlign w:val="center"/>
          </w:tcPr>
          <w:p w14:paraId="35C14073">
            <w:pPr>
              <w:widowControl/>
              <w:spacing w:line="300" w:lineRule="exact"/>
              <w:jc w:val="center"/>
              <w:rPr>
                <w:rFonts w:hint="eastAsia" w:ascii="Arial" w:hAnsi="Arial" w:cs="Arial"/>
                <w:color w:val="auto"/>
                <w:sz w:val="22"/>
                <w:szCs w:val="22"/>
              </w:rPr>
            </w:pPr>
            <w:r>
              <w:rPr>
                <w:rFonts w:hint="eastAsia" w:ascii="Arial" w:hAnsi="Arial" w:cs="Arial"/>
                <w:color w:val="auto"/>
                <w:sz w:val="22"/>
                <w:szCs w:val="22"/>
              </w:rPr>
              <w:t>环境质量监测</w:t>
            </w:r>
          </w:p>
        </w:tc>
      </w:tr>
      <w:tr w14:paraId="5EF65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159" w:type="dxa"/>
            <w:noWrap w:val="0"/>
            <w:vAlign w:val="center"/>
          </w:tcPr>
          <w:p w14:paraId="3DF7E2DA">
            <w:pPr>
              <w:pStyle w:val="946"/>
              <w:spacing w:line="300" w:lineRule="exact"/>
              <w:rPr>
                <w:rFonts w:ascii="Arial" w:cs="Arial"/>
                <w:color w:val="auto"/>
                <w:sz w:val="22"/>
                <w:szCs w:val="22"/>
              </w:rPr>
            </w:pPr>
            <w:r>
              <w:rPr>
                <w:rFonts w:ascii="Arial" w:cs="Arial"/>
                <w:color w:val="auto"/>
                <w:sz w:val="22"/>
                <w:szCs w:val="22"/>
              </w:rPr>
              <w:t>地表水</w:t>
            </w:r>
          </w:p>
          <w:p w14:paraId="57022E2A">
            <w:pPr>
              <w:pStyle w:val="946"/>
              <w:spacing w:line="300" w:lineRule="exact"/>
              <w:rPr>
                <w:rFonts w:ascii="Arial" w:hAnsi="Arial" w:cs="Arial"/>
                <w:color w:val="auto"/>
                <w:sz w:val="22"/>
                <w:szCs w:val="22"/>
              </w:rPr>
            </w:pPr>
            <w:r>
              <w:rPr>
                <w:rFonts w:ascii="Arial" w:cs="Arial"/>
                <w:color w:val="auto"/>
                <w:sz w:val="22"/>
                <w:szCs w:val="22"/>
              </w:rPr>
              <w:t>环境</w:t>
            </w:r>
          </w:p>
        </w:tc>
        <w:tc>
          <w:tcPr>
            <w:tcW w:w="1432" w:type="dxa"/>
            <w:noWrap w:val="0"/>
            <w:vAlign w:val="center"/>
          </w:tcPr>
          <w:p w14:paraId="4AC9D399">
            <w:pPr>
              <w:pStyle w:val="946"/>
              <w:spacing w:line="300" w:lineRule="exact"/>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pH、石油类、SS、COD、NH</w:t>
            </w:r>
            <w:r>
              <w:rPr>
                <w:rFonts w:hint="eastAsia" w:ascii="Arial" w:hAnsi="Arial" w:cs="Arial"/>
                <w:color w:val="auto"/>
                <w:sz w:val="22"/>
                <w:szCs w:val="22"/>
                <w:vertAlign w:val="subscript"/>
                <w:lang w:val="en-US" w:eastAsia="zh-CN"/>
              </w:rPr>
              <w:t>3</w:t>
            </w:r>
            <w:r>
              <w:rPr>
                <w:rFonts w:hint="eastAsia" w:ascii="Arial" w:hAnsi="Arial" w:cs="Arial"/>
                <w:color w:val="auto"/>
                <w:sz w:val="22"/>
                <w:szCs w:val="22"/>
                <w:lang w:val="en-US" w:eastAsia="zh-CN"/>
              </w:rPr>
              <w:t>-N等。</w:t>
            </w:r>
          </w:p>
        </w:tc>
        <w:tc>
          <w:tcPr>
            <w:tcW w:w="2011" w:type="dxa"/>
            <w:noWrap w:val="0"/>
            <w:vAlign w:val="center"/>
          </w:tcPr>
          <w:p w14:paraId="1416A937">
            <w:pPr>
              <w:pStyle w:val="946"/>
              <w:spacing w:line="300" w:lineRule="exact"/>
              <w:rPr>
                <w:rFonts w:hint="default" w:ascii="Arial" w:hAnsi="Arial" w:cs="Arial"/>
                <w:color w:val="auto"/>
                <w:sz w:val="22"/>
                <w:szCs w:val="22"/>
                <w:lang w:val="en-US" w:eastAsia="zh-CN"/>
              </w:rPr>
            </w:pPr>
            <w:r>
              <w:rPr>
                <w:rFonts w:hint="eastAsia" w:ascii="Arial" w:cs="Arial"/>
                <w:color w:val="auto"/>
                <w:sz w:val="22"/>
                <w:szCs w:val="22"/>
                <w:lang w:eastAsia="zh-CN"/>
              </w:rPr>
              <w:t>枢纽工程施工区上游</w:t>
            </w:r>
            <w:r>
              <w:rPr>
                <w:rFonts w:hint="eastAsia" w:ascii="Arial" w:cs="Arial"/>
                <w:color w:val="auto"/>
                <w:sz w:val="22"/>
                <w:szCs w:val="22"/>
                <w:lang w:val="en-US" w:eastAsia="zh-CN"/>
              </w:rPr>
              <w:t>500m、下游1000m各设1个取样断面。</w:t>
            </w:r>
          </w:p>
        </w:tc>
        <w:tc>
          <w:tcPr>
            <w:tcW w:w="2107" w:type="dxa"/>
            <w:noWrap w:val="0"/>
            <w:vAlign w:val="center"/>
          </w:tcPr>
          <w:p w14:paraId="4AE7DDAD">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每年丰水期、枯水期各监测</w:t>
            </w:r>
            <w:r>
              <w:rPr>
                <w:rFonts w:hint="eastAsia" w:ascii="Arial" w:cs="Arial"/>
                <w:color w:val="auto"/>
                <w:sz w:val="22"/>
                <w:szCs w:val="22"/>
                <w:lang w:val="en-US" w:eastAsia="zh-CN"/>
              </w:rPr>
              <w:t>1次</w:t>
            </w:r>
            <w:r>
              <w:rPr>
                <w:rFonts w:hint="eastAsia" w:ascii="Arial" w:cs="Arial"/>
                <w:color w:val="auto"/>
                <w:sz w:val="22"/>
                <w:szCs w:val="22"/>
                <w:lang w:eastAsia="zh-CN"/>
              </w:rPr>
              <w:t>，每次连续监测3天，每天监测1次。</w:t>
            </w:r>
          </w:p>
        </w:tc>
        <w:tc>
          <w:tcPr>
            <w:tcW w:w="1237" w:type="dxa"/>
            <w:noWrap w:val="0"/>
            <w:vAlign w:val="center"/>
          </w:tcPr>
          <w:p w14:paraId="65FAA599">
            <w:pPr>
              <w:pStyle w:val="946"/>
              <w:spacing w:line="300" w:lineRule="exact"/>
              <w:rPr>
                <w:rFonts w:ascii="Arial" w:hAnsi="Arial" w:cs="Arial"/>
                <w:color w:val="auto"/>
                <w:sz w:val="22"/>
                <w:szCs w:val="22"/>
              </w:rPr>
            </w:pPr>
            <w:r>
              <w:rPr>
                <w:rFonts w:ascii="Arial" w:cs="Arial"/>
                <w:color w:val="auto"/>
                <w:sz w:val="22"/>
                <w:szCs w:val="22"/>
              </w:rPr>
              <w:t>有监测资质的单位</w:t>
            </w:r>
          </w:p>
        </w:tc>
        <w:tc>
          <w:tcPr>
            <w:tcW w:w="1137" w:type="dxa"/>
            <w:noWrap w:val="0"/>
            <w:vAlign w:val="center"/>
          </w:tcPr>
          <w:p w14:paraId="78CA2986">
            <w:pPr>
              <w:pStyle w:val="946"/>
              <w:spacing w:line="300" w:lineRule="exact"/>
              <w:rPr>
                <w:rFonts w:ascii="Arial" w:hAnsi="Arial" w:cs="Arial"/>
                <w:color w:val="auto"/>
                <w:sz w:val="22"/>
                <w:szCs w:val="22"/>
              </w:rPr>
            </w:pPr>
            <w:r>
              <w:rPr>
                <w:rFonts w:ascii="Arial" w:cs="Arial"/>
                <w:color w:val="auto"/>
                <w:sz w:val="22"/>
                <w:szCs w:val="22"/>
              </w:rPr>
              <w:t>建设单位</w:t>
            </w:r>
          </w:p>
        </w:tc>
      </w:tr>
      <w:tr w14:paraId="097121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159" w:type="dxa"/>
            <w:noWrap w:val="0"/>
            <w:vAlign w:val="center"/>
          </w:tcPr>
          <w:p w14:paraId="1AEE0C5D">
            <w:pPr>
              <w:pStyle w:val="946"/>
              <w:spacing w:line="300" w:lineRule="exact"/>
              <w:rPr>
                <w:rFonts w:hint="eastAsia" w:ascii="Arial" w:eastAsia="宋体" w:cs="Arial"/>
                <w:color w:val="auto"/>
                <w:sz w:val="22"/>
                <w:szCs w:val="22"/>
                <w:lang w:eastAsia="zh-CN"/>
              </w:rPr>
            </w:pPr>
            <w:r>
              <w:rPr>
                <w:rFonts w:hint="eastAsia" w:ascii="Arial" w:cs="Arial"/>
                <w:color w:val="auto"/>
                <w:sz w:val="22"/>
                <w:szCs w:val="22"/>
                <w:lang w:eastAsia="zh-CN"/>
              </w:rPr>
              <w:t>环境空气</w:t>
            </w:r>
          </w:p>
        </w:tc>
        <w:tc>
          <w:tcPr>
            <w:tcW w:w="1432" w:type="dxa"/>
            <w:noWrap w:val="0"/>
            <w:vAlign w:val="center"/>
          </w:tcPr>
          <w:p w14:paraId="56444627">
            <w:pPr>
              <w:pStyle w:val="946"/>
              <w:spacing w:line="300" w:lineRule="exact"/>
              <w:rPr>
                <w:rFonts w:hint="default" w:ascii="Arial" w:hAnsi="Arial" w:cs="Arial"/>
                <w:color w:val="auto"/>
                <w:sz w:val="22"/>
                <w:szCs w:val="22"/>
                <w:lang w:val="en-US" w:eastAsia="zh-CN"/>
              </w:rPr>
            </w:pPr>
            <w:r>
              <w:rPr>
                <w:rFonts w:hint="eastAsia" w:ascii="Arial" w:hAnsi="Arial" w:cs="Arial"/>
                <w:color w:val="auto"/>
                <w:sz w:val="22"/>
                <w:szCs w:val="22"/>
                <w:lang w:val="en-US" w:eastAsia="zh-CN"/>
              </w:rPr>
              <w:t>TSP</w:t>
            </w:r>
          </w:p>
        </w:tc>
        <w:tc>
          <w:tcPr>
            <w:tcW w:w="2011" w:type="dxa"/>
            <w:noWrap w:val="0"/>
            <w:vAlign w:val="center"/>
          </w:tcPr>
          <w:p w14:paraId="787CC792">
            <w:pPr>
              <w:pStyle w:val="946"/>
              <w:spacing w:line="300" w:lineRule="exact"/>
              <w:rPr>
                <w:rFonts w:hint="default" w:ascii="Arial" w:cs="Arial"/>
                <w:color w:val="auto"/>
                <w:sz w:val="22"/>
                <w:szCs w:val="22"/>
                <w:lang w:val="en-US" w:eastAsia="zh-CN"/>
              </w:rPr>
            </w:pPr>
            <w:r>
              <w:rPr>
                <w:rFonts w:hint="eastAsia" w:ascii="Arial" w:cs="Arial"/>
                <w:color w:val="auto"/>
                <w:sz w:val="22"/>
                <w:szCs w:val="22"/>
                <w:lang w:eastAsia="zh-CN"/>
              </w:rPr>
              <w:t>枢纽工程施工区下风向</w:t>
            </w:r>
            <w:r>
              <w:rPr>
                <w:rFonts w:hint="eastAsia" w:ascii="Arial" w:cs="Arial"/>
                <w:color w:val="auto"/>
                <w:sz w:val="22"/>
                <w:szCs w:val="22"/>
                <w:lang w:val="en-US" w:eastAsia="zh-CN"/>
              </w:rPr>
              <w:t>10m处设1个监测点。</w:t>
            </w:r>
          </w:p>
        </w:tc>
        <w:tc>
          <w:tcPr>
            <w:tcW w:w="2107" w:type="dxa"/>
            <w:noWrap w:val="0"/>
            <w:vAlign w:val="center"/>
          </w:tcPr>
          <w:p w14:paraId="6DAC6F95">
            <w:pPr>
              <w:pStyle w:val="946"/>
              <w:spacing w:line="300" w:lineRule="exact"/>
              <w:rPr>
                <w:rFonts w:hint="default" w:ascii="Arial" w:cs="Arial"/>
                <w:color w:val="auto"/>
                <w:sz w:val="22"/>
                <w:szCs w:val="22"/>
                <w:lang w:val="en-US" w:eastAsia="zh-CN"/>
              </w:rPr>
            </w:pPr>
            <w:r>
              <w:rPr>
                <w:rFonts w:hint="eastAsia" w:ascii="Arial" w:cs="Arial"/>
                <w:color w:val="auto"/>
                <w:sz w:val="22"/>
                <w:szCs w:val="22"/>
                <w:lang w:eastAsia="zh-CN"/>
              </w:rPr>
              <w:t>每年监测</w:t>
            </w:r>
            <w:r>
              <w:rPr>
                <w:rFonts w:hint="eastAsia" w:ascii="Arial" w:cs="Arial"/>
                <w:color w:val="auto"/>
                <w:sz w:val="22"/>
                <w:szCs w:val="22"/>
                <w:lang w:val="en-US" w:eastAsia="zh-CN"/>
              </w:rPr>
              <w:t>2次</w:t>
            </w:r>
            <w:r>
              <w:rPr>
                <w:rFonts w:hint="eastAsia" w:ascii="Arial" w:cs="Arial"/>
                <w:color w:val="auto"/>
                <w:sz w:val="22"/>
                <w:szCs w:val="22"/>
                <w:lang w:eastAsia="zh-CN"/>
              </w:rPr>
              <w:t>，每次连续监测</w:t>
            </w:r>
            <w:r>
              <w:rPr>
                <w:rFonts w:hint="eastAsia" w:ascii="Arial" w:cs="Arial"/>
                <w:color w:val="auto"/>
                <w:sz w:val="22"/>
                <w:szCs w:val="22"/>
                <w:lang w:val="en-US" w:eastAsia="zh-CN"/>
              </w:rPr>
              <w:t>7天。</w:t>
            </w:r>
          </w:p>
        </w:tc>
        <w:tc>
          <w:tcPr>
            <w:tcW w:w="1237" w:type="dxa"/>
            <w:noWrap w:val="0"/>
            <w:vAlign w:val="center"/>
          </w:tcPr>
          <w:p w14:paraId="78B00931">
            <w:pPr>
              <w:pStyle w:val="946"/>
              <w:spacing w:line="300" w:lineRule="exact"/>
              <w:rPr>
                <w:rFonts w:ascii="Arial" w:cs="Arial"/>
                <w:color w:val="auto"/>
                <w:sz w:val="22"/>
                <w:szCs w:val="22"/>
              </w:rPr>
            </w:pPr>
            <w:r>
              <w:rPr>
                <w:rFonts w:ascii="Arial" w:cs="Arial"/>
                <w:color w:val="auto"/>
                <w:sz w:val="22"/>
                <w:szCs w:val="22"/>
              </w:rPr>
              <w:t>有监测资质的单位</w:t>
            </w:r>
          </w:p>
        </w:tc>
        <w:tc>
          <w:tcPr>
            <w:tcW w:w="1137" w:type="dxa"/>
            <w:noWrap w:val="0"/>
            <w:vAlign w:val="center"/>
          </w:tcPr>
          <w:p w14:paraId="5967C4B9">
            <w:pPr>
              <w:pStyle w:val="946"/>
              <w:spacing w:line="300" w:lineRule="exact"/>
              <w:rPr>
                <w:rFonts w:ascii="Arial" w:cs="Arial"/>
                <w:color w:val="auto"/>
                <w:sz w:val="22"/>
                <w:szCs w:val="22"/>
              </w:rPr>
            </w:pPr>
            <w:r>
              <w:rPr>
                <w:rFonts w:ascii="Arial" w:cs="Arial"/>
                <w:color w:val="auto"/>
                <w:sz w:val="22"/>
                <w:szCs w:val="22"/>
              </w:rPr>
              <w:t>建设单位</w:t>
            </w:r>
          </w:p>
        </w:tc>
      </w:tr>
      <w:tr w14:paraId="1AD72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59" w:type="dxa"/>
            <w:vMerge w:val="restart"/>
            <w:noWrap w:val="0"/>
            <w:vAlign w:val="center"/>
          </w:tcPr>
          <w:p w14:paraId="59BEA1C2">
            <w:pPr>
              <w:pStyle w:val="946"/>
              <w:spacing w:line="300" w:lineRule="exact"/>
              <w:rPr>
                <w:rFonts w:hint="eastAsia" w:ascii="Arial" w:eastAsia="宋体" w:cs="Arial"/>
                <w:color w:val="auto"/>
                <w:sz w:val="22"/>
                <w:szCs w:val="22"/>
                <w:lang w:eastAsia="zh-CN"/>
              </w:rPr>
            </w:pPr>
            <w:r>
              <w:rPr>
                <w:rFonts w:hint="eastAsia" w:ascii="Arial" w:cs="Arial"/>
                <w:color w:val="auto"/>
                <w:sz w:val="22"/>
                <w:szCs w:val="22"/>
                <w:lang w:eastAsia="zh-CN"/>
              </w:rPr>
              <w:t>生态环境</w:t>
            </w:r>
          </w:p>
        </w:tc>
        <w:tc>
          <w:tcPr>
            <w:tcW w:w="1432" w:type="dxa"/>
            <w:noWrap w:val="0"/>
            <w:vAlign w:val="center"/>
          </w:tcPr>
          <w:p w14:paraId="3F5A637C">
            <w:pPr>
              <w:pStyle w:val="946"/>
              <w:spacing w:line="300" w:lineRule="exact"/>
              <w:rPr>
                <w:rFonts w:hint="eastAsia" w:ascii="Arial" w:hAnsi="Arial" w:eastAsia="宋体" w:cs="Arial"/>
                <w:color w:val="auto"/>
                <w:sz w:val="22"/>
                <w:szCs w:val="22"/>
                <w:lang w:eastAsia="zh-CN"/>
              </w:rPr>
            </w:pPr>
            <w:r>
              <w:rPr>
                <w:rFonts w:hint="eastAsia" w:ascii="Arial" w:hAnsi="Arial" w:cs="Arial"/>
                <w:color w:val="auto"/>
                <w:sz w:val="22"/>
                <w:szCs w:val="22"/>
                <w:lang w:eastAsia="zh-CN"/>
              </w:rPr>
              <w:t>动植物区系组成、分布及其特点，种群数量、生物多样性的变化，植被恢复情况等。</w:t>
            </w:r>
          </w:p>
        </w:tc>
        <w:tc>
          <w:tcPr>
            <w:tcW w:w="2011" w:type="dxa"/>
            <w:noWrap w:val="0"/>
            <w:vAlign w:val="center"/>
          </w:tcPr>
          <w:p w14:paraId="3B121187">
            <w:pPr>
              <w:pStyle w:val="946"/>
              <w:spacing w:line="300" w:lineRule="exact"/>
              <w:rPr>
                <w:rFonts w:hint="eastAsia" w:ascii="Arial" w:cs="Arial"/>
                <w:color w:val="auto"/>
                <w:sz w:val="22"/>
                <w:szCs w:val="22"/>
                <w:lang w:eastAsia="zh-CN"/>
              </w:rPr>
            </w:pPr>
            <w:r>
              <w:rPr>
                <w:rFonts w:hint="eastAsia" w:ascii="Arial" w:hAnsi="Arial" w:cs="Arial"/>
                <w:color w:val="auto"/>
                <w:sz w:val="22"/>
                <w:szCs w:val="22"/>
                <w:lang w:eastAsia="zh-CN"/>
              </w:rPr>
              <w:t>枢纽工程、输水工程施工区及周边区域。</w:t>
            </w:r>
          </w:p>
        </w:tc>
        <w:tc>
          <w:tcPr>
            <w:tcW w:w="2107" w:type="dxa"/>
            <w:noWrap w:val="0"/>
            <w:vAlign w:val="center"/>
          </w:tcPr>
          <w:p w14:paraId="3C4521A2">
            <w:pPr>
              <w:pStyle w:val="946"/>
              <w:spacing w:line="300" w:lineRule="exact"/>
              <w:rPr>
                <w:rFonts w:hint="default" w:ascii="Arial" w:cs="Arial"/>
                <w:color w:val="auto"/>
                <w:sz w:val="22"/>
                <w:szCs w:val="22"/>
                <w:lang w:val="en-US" w:eastAsia="zh-CN"/>
              </w:rPr>
            </w:pPr>
            <w:r>
              <w:rPr>
                <w:rFonts w:hint="eastAsia" w:ascii="Arial" w:cs="Arial"/>
                <w:color w:val="auto"/>
                <w:sz w:val="22"/>
                <w:szCs w:val="22"/>
                <w:lang w:val="en-US" w:eastAsia="zh-CN"/>
              </w:rPr>
              <w:t>在蓄水前调查1次</w:t>
            </w:r>
          </w:p>
        </w:tc>
        <w:tc>
          <w:tcPr>
            <w:tcW w:w="1237" w:type="dxa"/>
            <w:noWrap w:val="0"/>
            <w:vAlign w:val="center"/>
          </w:tcPr>
          <w:p w14:paraId="18131934">
            <w:pPr>
              <w:widowControl/>
              <w:spacing w:line="30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w:t>
            </w:r>
          </w:p>
        </w:tc>
        <w:tc>
          <w:tcPr>
            <w:tcW w:w="1137" w:type="dxa"/>
            <w:noWrap w:val="0"/>
            <w:vAlign w:val="center"/>
          </w:tcPr>
          <w:p w14:paraId="55C8BAE5">
            <w:pPr>
              <w:widowControl/>
              <w:spacing w:line="30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建设单位</w:t>
            </w:r>
          </w:p>
        </w:tc>
      </w:tr>
      <w:tr w14:paraId="50FB2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59" w:type="dxa"/>
            <w:vMerge w:val="continue"/>
            <w:noWrap w:val="0"/>
            <w:vAlign w:val="center"/>
          </w:tcPr>
          <w:p w14:paraId="68D9D434">
            <w:pPr>
              <w:pStyle w:val="946"/>
              <w:spacing w:line="300" w:lineRule="exact"/>
              <w:rPr>
                <w:rFonts w:hint="eastAsia" w:ascii="Arial" w:cs="Arial"/>
                <w:color w:val="auto"/>
                <w:sz w:val="22"/>
                <w:szCs w:val="22"/>
                <w:lang w:eastAsia="zh-CN"/>
              </w:rPr>
            </w:pPr>
          </w:p>
        </w:tc>
        <w:tc>
          <w:tcPr>
            <w:tcW w:w="1432" w:type="dxa"/>
            <w:noWrap w:val="0"/>
            <w:vAlign w:val="center"/>
          </w:tcPr>
          <w:p w14:paraId="2A3C20C6">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水生生物种类、数量、分布、生境等。</w:t>
            </w:r>
          </w:p>
        </w:tc>
        <w:tc>
          <w:tcPr>
            <w:tcW w:w="2011" w:type="dxa"/>
            <w:noWrap w:val="0"/>
            <w:vAlign w:val="center"/>
          </w:tcPr>
          <w:p w14:paraId="5E5A539B">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枢纽工程施工区上游</w:t>
            </w:r>
            <w:r>
              <w:rPr>
                <w:rFonts w:hint="eastAsia" w:ascii="Arial" w:cs="Arial"/>
                <w:color w:val="auto"/>
                <w:sz w:val="22"/>
                <w:szCs w:val="22"/>
                <w:lang w:val="en-US" w:eastAsia="zh-CN"/>
              </w:rPr>
              <w:t>500m、下游1000m各设1个断面。</w:t>
            </w:r>
          </w:p>
        </w:tc>
        <w:tc>
          <w:tcPr>
            <w:tcW w:w="2107" w:type="dxa"/>
            <w:noWrap w:val="0"/>
            <w:vAlign w:val="center"/>
          </w:tcPr>
          <w:p w14:paraId="1C07FD8B">
            <w:pPr>
              <w:pStyle w:val="946"/>
              <w:spacing w:line="300" w:lineRule="exact"/>
              <w:rPr>
                <w:rFonts w:hint="default" w:ascii="Arial" w:cs="Arial"/>
                <w:color w:val="auto"/>
                <w:sz w:val="22"/>
                <w:szCs w:val="22"/>
                <w:lang w:val="en-US" w:eastAsia="zh-CN"/>
              </w:rPr>
            </w:pPr>
            <w:r>
              <w:rPr>
                <w:rFonts w:hint="eastAsia" w:ascii="Arial" w:cs="Arial"/>
                <w:color w:val="auto"/>
                <w:sz w:val="22"/>
                <w:szCs w:val="22"/>
                <w:lang w:val="en-US" w:eastAsia="zh-CN"/>
              </w:rPr>
              <w:t>每年分别在鱼类繁殖期（5月）、育肥期（9月）各监测1次。</w:t>
            </w:r>
          </w:p>
        </w:tc>
        <w:tc>
          <w:tcPr>
            <w:tcW w:w="1237" w:type="dxa"/>
            <w:shd w:val="clear" w:color="auto" w:fill="auto"/>
            <w:noWrap w:val="0"/>
            <w:vAlign w:val="center"/>
          </w:tcPr>
          <w:p w14:paraId="3A1BAB45">
            <w:pPr>
              <w:widowControl/>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lang w:val="en-US" w:eastAsia="zh-CN"/>
              </w:rPr>
              <w:t>/</w:t>
            </w:r>
          </w:p>
        </w:tc>
        <w:tc>
          <w:tcPr>
            <w:tcW w:w="1137" w:type="dxa"/>
            <w:shd w:val="clear" w:color="auto" w:fill="auto"/>
            <w:noWrap w:val="0"/>
            <w:vAlign w:val="center"/>
          </w:tcPr>
          <w:p w14:paraId="724E40AE">
            <w:pPr>
              <w:widowControl/>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lang w:eastAsia="zh-CN"/>
              </w:rPr>
              <w:t>建设单位</w:t>
            </w:r>
          </w:p>
        </w:tc>
      </w:tr>
    </w:tbl>
    <w:p w14:paraId="150766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 w:val="24"/>
          <w:szCs w:val="24"/>
        </w:rPr>
      </w:pPr>
    </w:p>
    <w:p w14:paraId="3F5AF30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cs="Arial"/>
          <w:b/>
          <w:bCs/>
          <w:color w:val="000000"/>
          <w:sz w:val="26"/>
          <w:szCs w:val="26"/>
          <w:lang w:val="en-US" w:eastAsia="zh-CN"/>
        </w:rPr>
        <w:t>9</w:t>
      </w:r>
      <w:r>
        <w:rPr>
          <w:rFonts w:hint="eastAsia" w:ascii="Arial" w:hAnsi="Arial" w:eastAsia="宋体" w:cs="Arial"/>
          <w:b/>
          <w:bCs/>
          <w:color w:val="000000"/>
          <w:sz w:val="26"/>
          <w:szCs w:val="26"/>
          <w:lang w:val="en-US" w:eastAsia="zh-CN"/>
        </w:rPr>
        <w:t>.3.2运营期环境监测计划</w:t>
      </w:r>
    </w:p>
    <w:p w14:paraId="2F3BAED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cs="Arial"/>
          <w:color w:val="000000"/>
          <w:sz w:val="26"/>
          <w:szCs w:val="26"/>
        </w:rPr>
        <w:t>本项目</w:t>
      </w:r>
      <w:r>
        <w:rPr>
          <w:rFonts w:hint="eastAsia" w:ascii="Arial" w:hAnsi="Arial" w:cs="Arial"/>
          <w:color w:val="000000"/>
          <w:sz w:val="26"/>
          <w:szCs w:val="26"/>
          <w:lang w:eastAsia="zh-CN"/>
        </w:rPr>
        <w:t>运营期</w:t>
      </w:r>
      <w:r>
        <w:rPr>
          <w:rFonts w:hint="eastAsia" w:ascii="Arial" w:hAnsi="Arial" w:cs="Arial"/>
          <w:color w:val="000000"/>
          <w:sz w:val="26"/>
          <w:szCs w:val="26"/>
        </w:rPr>
        <w:t>环境监测计划详见表</w:t>
      </w:r>
      <w:r>
        <w:rPr>
          <w:rFonts w:hint="eastAsia" w:ascii="Arial" w:hAnsi="Arial" w:cs="Arial"/>
          <w:color w:val="000000"/>
          <w:sz w:val="26"/>
          <w:szCs w:val="26"/>
          <w:lang w:val="en-US" w:eastAsia="zh-CN"/>
        </w:rPr>
        <w:t>9.3</w:t>
      </w:r>
      <w:r>
        <w:rPr>
          <w:rFonts w:hint="eastAsia" w:ascii="Arial" w:hAnsi="Arial" w:cs="Arial"/>
          <w:color w:val="000000"/>
          <w:sz w:val="26"/>
          <w:szCs w:val="26"/>
        </w:rPr>
        <w:t>-</w:t>
      </w:r>
      <w:r>
        <w:rPr>
          <w:rFonts w:hint="eastAsia" w:ascii="Arial" w:hAnsi="Arial" w:cs="Arial"/>
          <w:color w:val="000000"/>
          <w:sz w:val="26"/>
          <w:szCs w:val="26"/>
          <w:lang w:val="en-US" w:eastAsia="zh-CN"/>
        </w:rPr>
        <w:t>2</w:t>
      </w:r>
      <w:r>
        <w:rPr>
          <w:rFonts w:hint="eastAsia" w:ascii="Arial" w:hAnsi="Arial" w:cs="Arial"/>
          <w:color w:val="000000"/>
          <w:sz w:val="26"/>
          <w:szCs w:val="26"/>
        </w:rPr>
        <w:t>所示。</w:t>
      </w:r>
    </w:p>
    <w:p w14:paraId="0A47E86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
          <w:sz w:val="26"/>
          <w:szCs w:val="26"/>
        </w:rPr>
      </w:pPr>
      <w:r>
        <w:rPr>
          <w:rFonts w:hint="eastAsia" w:ascii="Arial" w:hAnsi="Arial" w:cs="Arial"/>
          <w:b/>
          <w:color w:val="000000"/>
          <w:sz w:val="26"/>
          <w:szCs w:val="26"/>
        </w:rPr>
        <w:t>表</w:t>
      </w:r>
      <w:r>
        <w:rPr>
          <w:rFonts w:hint="eastAsia" w:ascii="Arial" w:hAnsi="Arial" w:cs="Arial"/>
          <w:b/>
          <w:color w:val="000000"/>
          <w:sz w:val="26"/>
          <w:szCs w:val="26"/>
          <w:lang w:val="en-US" w:eastAsia="zh-CN"/>
        </w:rPr>
        <w:t>9.3</w:t>
      </w:r>
      <w:r>
        <w:rPr>
          <w:rFonts w:hint="eastAsia" w:ascii="Arial" w:hAnsi="Arial" w:cs="Arial"/>
          <w:b/>
          <w:color w:val="000000"/>
          <w:sz w:val="26"/>
          <w:szCs w:val="26"/>
        </w:rPr>
        <w:t>-</w:t>
      </w:r>
      <w:r>
        <w:rPr>
          <w:rFonts w:hint="eastAsia" w:ascii="Arial" w:hAnsi="Arial" w:cs="Arial"/>
          <w:b/>
          <w:color w:val="000000"/>
          <w:sz w:val="26"/>
          <w:szCs w:val="26"/>
          <w:lang w:val="en-US" w:eastAsia="zh-CN"/>
        </w:rPr>
        <w:t>2</w:t>
      </w:r>
      <w:r>
        <w:rPr>
          <w:rFonts w:hint="eastAsia" w:ascii="Arial" w:hAnsi="Arial" w:cs="Arial"/>
          <w:b/>
          <w:color w:val="000000"/>
          <w:sz w:val="26"/>
          <w:szCs w:val="26"/>
        </w:rPr>
        <w:t xml:space="preserve"> </w:t>
      </w:r>
      <w:r>
        <w:rPr>
          <w:rFonts w:hint="eastAsia" w:ascii="Arial" w:hAnsi="Arial" w:cs="Arial"/>
          <w:b/>
          <w:color w:val="000000"/>
          <w:sz w:val="26"/>
          <w:szCs w:val="26"/>
          <w:lang w:eastAsia="zh-CN"/>
        </w:rPr>
        <w:t>运营期</w:t>
      </w:r>
      <w:r>
        <w:rPr>
          <w:rFonts w:hint="eastAsia" w:ascii="Arial" w:hAnsi="Arial" w:cs="Arial"/>
          <w:b/>
          <w:color w:val="000000"/>
          <w:sz w:val="26"/>
          <w:szCs w:val="26"/>
        </w:rPr>
        <w:t>环境监测计划</w:t>
      </w:r>
    </w:p>
    <w:tbl>
      <w:tblPr>
        <w:tblStyle w:val="77"/>
        <w:tblW w:w="96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3"/>
        <w:gridCol w:w="2584"/>
        <w:gridCol w:w="1949"/>
        <w:gridCol w:w="1552"/>
        <w:gridCol w:w="1158"/>
        <w:gridCol w:w="1106"/>
      </w:tblGrid>
      <w:tr w14:paraId="4111A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5" w:hRule="atLeast"/>
          <w:jc w:val="center"/>
        </w:trPr>
        <w:tc>
          <w:tcPr>
            <w:tcW w:w="1283" w:type="dxa"/>
            <w:noWrap w:val="0"/>
            <w:vAlign w:val="center"/>
          </w:tcPr>
          <w:p w14:paraId="759E0DC4">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监测类别</w:t>
            </w:r>
          </w:p>
        </w:tc>
        <w:tc>
          <w:tcPr>
            <w:tcW w:w="2584" w:type="dxa"/>
            <w:noWrap w:val="0"/>
            <w:vAlign w:val="center"/>
          </w:tcPr>
          <w:p w14:paraId="23B59EC9">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监测因子</w:t>
            </w:r>
          </w:p>
        </w:tc>
        <w:tc>
          <w:tcPr>
            <w:tcW w:w="1949" w:type="dxa"/>
            <w:noWrap w:val="0"/>
            <w:vAlign w:val="center"/>
          </w:tcPr>
          <w:p w14:paraId="3F0843EA">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监测点</w:t>
            </w:r>
          </w:p>
        </w:tc>
        <w:tc>
          <w:tcPr>
            <w:tcW w:w="1552" w:type="dxa"/>
            <w:noWrap w:val="0"/>
            <w:vAlign w:val="center"/>
          </w:tcPr>
          <w:p w14:paraId="1E6418B7">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监测频次</w:t>
            </w:r>
          </w:p>
        </w:tc>
        <w:tc>
          <w:tcPr>
            <w:tcW w:w="1158" w:type="dxa"/>
            <w:noWrap w:val="0"/>
            <w:vAlign w:val="center"/>
          </w:tcPr>
          <w:p w14:paraId="33A29D5C">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监测单位</w:t>
            </w:r>
          </w:p>
        </w:tc>
        <w:tc>
          <w:tcPr>
            <w:tcW w:w="1106" w:type="dxa"/>
            <w:noWrap w:val="0"/>
            <w:vAlign w:val="center"/>
          </w:tcPr>
          <w:p w14:paraId="375D49A1">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责任单位</w:t>
            </w:r>
          </w:p>
        </w:tc>
      </w:tr>
      <w:tr w14:paraId="26C7E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noWrap w:val="0"/>
            <w:vAlign w:val="center"/>
          </w:tcPr>
          <w:p w14:paraId="29E1AE09">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kern w:val="2"/>
                <w:sz w:val="22"/>
                <w:szCs w:val="22"/>
                <w:lang w:val="en-US" w:eastAsia="zh-CN" w:bidi="ar-SA"/>
              </w:rPr>
            </w:pPr>
            <w:r>
              <w:rPr>
                <w:rFonts w:hint="eastAsia" w:ascii="Arial" w:cs="Arial"/>
                <w:color w:val="000000"/>
                <w:sz w:val="22"/>
                <w:szCs w:val="22"/>
                <w:lang w:eastAsia="zh-CN"/>
              </w:rPr>
              <w:t>噪声</w:t>
            </w:r>
          </w:p>
        </w:tc>
        <w:tc>
          <w:tcPr>
            <w:tcW w:w="2584" w:type="dxa"/>
            <w:noWrap w:val="0"/>
            <w:vAlign w:val="center"/>
          </w:tcPr>
          <w:p w14:paraId="02805F3E">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kern w:val="2"/>
                <w:sz w:val="22"/>
                <w:szCs w:val="22"/>
                <w:lang w:val="en-US" w:eastAsia="zh-CN" w:bidi="ar-SA"/>
              </w:rPr>
            </w:pPr>
            <w:r>
              <w:rPr>
                <w:rFonts w:ascii="Arial" w:hAnsi="Arial" w:cs="Arial"/>
                <w:color w:val="000000"/>
                <w:sz w:val="22"/>
                <w:szCs w:val="22"/>
                <w:shd w:val="clear" w:color="auto" w:fill="FFFFFF"/>
              </w:rPr>
              <w:t>L</w:t>
            </w:r>
            <w:r>
              <w:rPr>
                <w:rFonts w:ascii="Arial" w:hAnsi="Arial" w:cs="Arial"/>
                <w:color w:val="000000"/>
                <w:sz w:val="22"/>
                <w:szCs w:val="22"/>
                <w:shd w:val="clear" w:color="auto" w:fill="FFFFFF"/>
                <w:vertAlign w:val="subscript"/>
              </w:rPr>
              <w:t>Aeq</w:t>
            </w:r>
          </w:p>
        </w:tc>
        <w:tc>
          <w:tcPr>
            <w:tcW w:w="1949" w:type="dxa"/>
            <w:noWrap w:val="0"/>
            <w:vAlign w:val="center"/>
          </w:tcPr>
          <w:p w14:paraId="4939A128">
            <w:pPr>
              <w:pStyle w:val="946"/>
              <w:keepNext w:val="0"/>
              <w:keepLines w:val="0"/>
              <w:pageBreakBefore w:val="0"/>
              <w:kinsoku/>
              <w:wordWrap/>
              <w:overflowPunct/>
              <w:topLinePunct w:val="0"/>
              <w:autoSpaceDE/>
              <w:autoSpaceDN/>
              <w:bidi w:val="0"/>
              <w:spacing w:line="300" w:lineRule="exact"/>
              <w:ind w:left="0" w:right="0" w:firstLine="0"/>
              <w:textAlignment w:val="auto"/>
              <w:rPr>
                <w:rFonts w:hint="default" w:ascii="Arial" w:hAnsi="Arial" w:eastAsia="宋体" w:cs="Arial"/>
                <w:color w:val="000000"/>
                <w:sz w:val="22"/>
                <w:szCs w:val="22"/>
                <w:lang w:val="en-US" w:eastAsia="zh-CN"/>
              </w:rPr>
            </w:pPr>
            <w:r>
              <w:rPr>
                <w:rFonts w:hint="eastAsia" w:ascii="Arial" w:hAnsi="Arial" w:cs="Arial"/>
                <w:color w:val="000000"/>
                <w:sz w:val="22"/>
                <w:szCs w:val="22"/>
                <w:lang w:val="en-US" w:eastAsia="zh-CN"/>
              </w:rPr>
              <w:t>枢纽工程北侧、南侧边界外1m处</w:t>
            </w:r>
          </w:p>
        </w:tc>
        <w:tc>
          <w:tcPr>
            <w:tcW w:w="1552" w:type="dxa"/>
            <w:noWrap w:val="0"/>
            <w:vAlign w:val="center"/>
          </w:tcPr>
          <w:p w14:paraId="1380895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eastAsia="zh-CN"/>
              </w:rPr>
            </w:pPr>
            <w:r>
              <w:rPr>
                <w:rFonts w:hint="eastAsia" w:ascii="Arial" w:cs="Arial"/>
                <w:color w:val="000000"/>
                <w:sz w:val="22"/>
                <w:szCs w:val="22"/>
                <w:lang w:eastAsia="zh-CN"/>
              </w:rPr>
              <w:t>竣工验收时监测一次，每次连续监测2天，每天昼、夜各1次</w:t>
            </w:r>
          </w:p>
        </w:tc>
        <w:tc>
          <w:tcPr>
            <w:tcW w:w="1158" w:type="dxa"/>
            <w:vMerge w:val="restart"/>
            <w:noWrap w:val="0"/>
            <w:vAlign w:val="center"/>
          </w:tcPr>
          <w:p w14:paraId="430D76E3">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hint="eastAsia" w:ascii="Arial" w:hAnsi="Arial" w:eastAsia="宋体" w:cs="Arial"/>
                <w:color w:val="000000"/>
                <w:sz w:val="22"/>
                <w:szCs w:val="22"/>
                <w:lang w:val="en-US" w:eastAsia="zh-CN"/>
              </w:rPr>
            </w:pPr>
            <w:r>
              <w:rPr>
                <w:rFonts w:ascii="Arial" w:cs="Arial"/>
                <w:color w:val="000000"/>
                <w:sz w:val="22"/>
                <w:szCs w:val="22"/>
              </w:rPr>
              <w:t>有监测资质的单位</w:t>
            </w:r>
          </w:p>
        </w:tc>
        <w:tc>
          <w:tcPr>
            <w:tcW w:w="1106" w:type="dxa"/>
            <w:vMerge w:val="restart"/>
            <w:noWrap w:val="0"/>
            <w:vAlign w:val="center"/>
          </w:tcPr>
          <w:p w14:paraId="55E58A02">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建设单位</w:t>
            </w:r>
          </w:p>
        </w:tc>
      </w:tr>
      <w:tr w14:paraId="43FB8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restart"/>
            <w:noWrap w:val="0"/>
            <w:vAlign w:val="center"/>
          </w:tcPr>
          <w:p w14:paraId="602498DE">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r>
              <w:rPr>
                <w:rFonts w:hint="eastAsia" w:ascii="Arial" w:cs="Arial"/>
                <w:color w:val="000000"/>
                <w:sz w:val="22"/>
                <w:szCs w:val="22"/>
                <w:lang w:eastAsia="zh-CN"/>
              </w:rPr>
              <w:t>地表水</w:t>
            </w:r>
          </w:p>
          <w:p w14:paraId="13695692">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r>
              <w:rPr>
                <w:rFonts w:hint="eastAsia" w:ascii="Arial" w:cs="Arial"/>
                <w:color w:val="000000"/>
                <w:sz w:val="22"/>
                <w:szCs w:val="22"/>
                <w:lang w:eastAsia="zh-CN"/>
              </w:rPr>
              <w:t>环境</w:t>
            </w:r>
          </w:p>
        </w:tc>
        <w:tc>
          <w:tcPr>
            <w:tcW w:w="2584" w:type="dxa"/>
            <w:shd w:val="clear" w:color="auto" w:fill="auto"/>
            <w:noWrap w:val="0"/>
            <w:vAlign w:val="center"/>
          </w:tcPr>
          <w:p w14:paraId="57F28C8F">
            <w:pPr>
              <w:pStyle w:val="946"/>
              <w:keepNext w:val="0"/>
              <w:keepLines w:val="0"/>
              <w:pageBreakBefore w:val="0"/>
              <w:kinsoku/>
              <w:wordWrap/>
              <w:overflowPunct/>
              <w:topLinePunct w:val="0"/>
              <w:autoSpaceDE/>
              <w:autoSpaceDN/>
              <w:bidi w:val="0"/>
              <w:spacing w:line="300" w:lineRule="exact"/>
              <w:ind w:left="0" w:right="0" w:firstLine="0"/>
              <w:jc w:val="left"/>
              <w:textAlignment w:val="auto"/>
              <w:rPr>
                <w:rFonts w:hint="eastAsia" w:ascii="Arial" w:cs="Arial"/>
                <w:sz w:val="22"/>
                <w:szCs w:val="22"/>
              </w:rPr>
            </w:pPr>
            <w:r>
              <w:rPr>
                <w:rFonts w:hint="eastAsia" w:ascii="Arial" w:cs="Arial"/>
                <w:sz w:val="22"/>
                <w:szCs w:val="22"/>
              </w:rPr>
              <w:t>常规监测：</w:t>
            </w:r>
          </w:p>
          <w:p w14:paraId="51F498F8">
            <w:pPr>
              <w:pStyle w:val="946"/>
              <w:keepNext w:val="0"/>
              <w:keepLines w:val="0"/>
              <w:pageBreakBefore w:val="0"/>
              <w:kinsoku/>
              <w:wordWrap/>
              <w:overflowPunct/>
              <w:topLinePunct w:val="0"/>
              <w:autoSpaceDE/>
              <w:autoSpaceDN/>
              <w:bidi w:val="0"/>
              <w:spacing w:line="300" w:lineRule="exact"/>
              <w:ind w:left="0" w:right="0" w:firstLine="0"/>
              <w:jc w:val="left"/>
              <w:textAlignment w:val="auto"/>
              <w:rPr>
                <w:rFonts w:hint="eastAsia" w:ascii="Arial" w:hAnsi="Times New Roman" w:eastAsia="宋体" w:cs="Arial"/>
                <w:kern w:val="2"/>
                <w:sz w:val="22"/>
                <w:szCs w:val="22"/>
                <w:lang w:val="en-US" w:eastAsia="zh-CN" w:bidi="ar-SA"/>
              </w:rPr>
            </w:pPr>
            <w:r>
              <w:rPr>
                <w:rFonts w:hint="eastAsia" w:ascii="Arial" w:cs="Arial"/>
                <w:sz w:val="22"/>
                <w:szCs w:val="22"/>
              </w:rPr>
              <w:t>《地表水环境质量标准》</w:t>
            </w:r>
            <w:r>
              <w:rPr>
                <w:rFonts w:ascii="宋体" w:hAnsi="宋体" w:cs="Arial"/>
                <w:sz w:val="22"/>
                <w:szCs w:val="22"/>
              </w:rPr>
              <w:t>(</w:t>
            </w:r>
            <w:r>
              <w:rPr>
                <w:rFonts w:ascii="Arial" w:cs="Arial"/>
                <w:sz w:val="22"/>
                <w:szCs w:val="22"/>
              </w:rPr>
              <w:t>GB3838-2002</w:t>
            </w:r>
            <w:r>
              <w:rPr>
                <w:rFonts w:ascii="宋体" w:hAnsi="宋体" w:cs="Arial"/>
                <w:sz w:val="22"/>
                <w:szCs w:val="22"/>
              </w:rPr>
              <w:t>)</w:t>
            </w:r>
            <w:r>
              <w:rPr>
                <w:rFonts w:hint="eastAsia" w:ascii="Arial" w:cs="Arial"/>
                <w:sz w:val="22"/>
                <w:szCs w:val="22"/>
              </w:rPr>
              <w:t>表</w:t>
            </w:r>
            <w:r>
              <w:rPr>
                <w:rFonts w:ascii="Arial" w:cs="Arial"/>
                <w:sz w:val="22"/>
                <w:szCs w:val="22"/>
              </w:rPr>
              <w:t>1</w:t>
            </w:r>
            <w:r>
              <w:rPr>
                <w:rFonts w:hint="eastAsia" w:ascii="Arial" w:cs="Arial"/>
                <w:sz w:val="22"/>
                <w:szCs w:val="22"/>
              </w:rPr>
              <w:t>的基本项目（</w:t>
            </w:r>
            <w:r>
              <w:rPr>
                <w:rFonts w:ascii="Arial" w:cs="Arial"/>
                <w:sz w:val="22"/>
                <w:szCs w:val="22"/>
              </w:rPr>
              <w:t>2</w:t>
            </w:r>
            <w:r>
              <w:rPr>
                <w:rFonts w:hint="eastAsia" w:ascii="Arial" w:cs="Arial"/>
                <w:sz w:val="22"/>
                <w:szCs w:val="22"/>
                <w:lang w:val="en-US" w:eastAsia="zh-CN"/>
              </w:rPr>
              <w:t>3</w:t>
            </w:r>
            <w:r>
              <w:rPr>
                <w:rFonts w:hint="eastAsia" w:ascii="Arial" w:cs="Arial"/>
                <w:sz w:val="22"/>
                <w:szCs w:val="22"/>
              </w:rPr>
              <w:t>项</w:t>
            </w:r>
            <w:r>
              <w:rPr>
                <w:rFonts w:hint="eastAsia" w:ascii="Arial" w:cs="Arial"/>
                <w:sz w:val="22"/>
                <w:szCs w:val="22"/>
                <w:lang w:eastAsia="zh-CN"/>
              </w:rPr>
              <w:t>，</w:t>
            </w:r>
            <w:r>
              <w:rPr>
                <w:rFonts w:hint="eastAsia" w:ascii="Arial" w:cs="Arial"/>
                <w:sz w:val="22"/>
                <w:szCs w:val="22"/>
                <w:lang w:val="en-US" w:eastAsia="zh-CN"/>
              </w:rPr>
              <w:t>COD除外</w:t>
            </w:r>
            <w:r>
              <w:rPr>
                <w:rFonts w:hint="eastAsia" w:ascii="Arial" w:cs="Arial"/>
                <w:sz w:val="22"/>
                <w:szCs w:val="22"/>
              </w:rPr>
              <w:t>）、表</w:t>
            </w:r>
            <w:r>
              <w:rPr>
                <w:rFonts w:ascii="Arial" w:cs="Arial"/>
                <w:sz w:val="22"/>
                <w:szCs w:val="22"/>
              </w:rPr>
              <w:t>2</w:t>
            </w:r>
            <w:r>
              <w:rPr>
                <w:rFonts w:hint="eastAsia" w:ascii="Arial" w:cs="Arial"/>
                <w:sz w:val="22"/>
                <w:szCs w:val="22"/>
              </w:rPr>
              <w:t>的补充项目（</w:t>
            </w:r>
            <w:r>
              <w:rPr>
                <w:rFonts w:ascii="Arial" w:cs="Arial"/>
                <w:sz w:val="22"/>
                <w:szCs w:val="22"/>
              </w:rPr>
              <w:t>5</w:t>
            </w:r>
            <w:r>
              <w:rPr>
                <w:rFonts w:hint="eastAsia" w:ascii="Arial" w:cs="Arial"/>
                <w:sz w:val="22"/>
                <w:szCs w:val="22"/>
              </w:rPr>
              <w:t>项目）和表</w:t>
            </w:r>
            <w:r>
              <w:rPr>
                <w:rFonts w:ascii="Arial" w:cs="Arial"/>
                <w:sz w:val="22"/>
                <w:szCs w:val="22"/>
              </w:rPr>
              <w:t>3</w:t>
            </w:r>
            <w:r>
              <w:rPr>
                <w:rFonts w:hint="eastAsia" w:ascii="Arial" w:cs="Arial"/>
                <w:sz w:val="22"/>
                <w:szCs w:val="22"/>
              </w:rPr>
              <w:t>的优选特定项目（前</w:t>
            </w:r>
            <w:r>
              <w:rPr>
                <w:rFonts w:ascii="Arial" w:cs="Arial"/>
                <w:sz w:val="22"/>
                <w:szCs w:val="22"/>
              </w:rPr>
              <w:t>35</w:t>
            </w:r>
            <w:r>
              <w:rPr>
                <w:rFonts w:hint="eastAsia" w:ascii="Arial" w:cs="Arial"/>
                <w:sz w:val="22"/>
                <w:szCs w:val="22"/>
              </w:rPr>
              <w:t>项），共</w:t>
            </w:r>
            <w:r>
              <w:rPr>
                <w:rFonts w:ascii="Arial" w:cs="Arial"/>
                <w:sz w:val="22"/>
                <w:szCs w:val="22"/>
              </w:rPr>
              <w:t>6</w:t>
            </w:r>
            <w:r>
              <w:rPr>
                <w:rFonts w:hint="eastAsia" w:ascii="Arial" w:cs="Arial"/>
                <w:sz w:val="22"/>
                <w:szCs w:val="22"/>
                <w:lang w:val="en-US" w:eastAsia="zh-CN"/>
              </w:rPr>
              <w:t>5</w:t>
            </w:r>
            <w:r>
              <w:rPr>
                <w:rFonts w:hint="eastAsia" w:ascii="Arial" w:cs="Arial"/>
                <w:sz w:val="22"/>
                <w:szCs w:val="22"/>
              </w:rPr>
              <w:t>项</w:t>
            </w:r>
            <w:r>
              <w:rPr>
                <w:rFonts w:hint="eastAsia" w:ascii="Arial" w:cs="Arial"/>
                <w:sz w:val="22"/>
                <w:szCs w:val="22"/>
                <w:lang w:eastAsia="zh-CN"/>
              </w:rPr>
              <w:t>。</w:t>
            </w:r>
          </w:p>
        </w:tc>
        <w:tc>
          <w:tcPr>
            <w:tcW w:w="1949" w:type="dxa"/>
            <w:vMerge w:val="restart"/>
            <w:noWrap w:val="0"/>
            <w:vAlign w:val="center"/>
          </w:tcPr>
          <w:p w14:paraId="36622F1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val="en-US" w:eastAsia="zh-CN"/>
              </w:rPr>
            </w:pPr>
            <w:r>
              <w:rPr>
                <w:rFonts w:hint="eastAsia" w:ascii="Arial" w:hAnsi="Arial" w:cs="Arial"/>
                <w:color w:val="000000"/>
                <w:sz w:val="22"/>
                <w:szCs w:val="22"/>
                <w:lang w:val="en-US" w:eastAsia="zh-CN"/>
              </w:rPr>
              <w:t>取水口处</w:t>
            </w:r>
          </w:p>
        </w:tc>
        <w:tc>
          <w:tcPr>
            <w:tcW w:w="1552" w:type="dxa"/>
            <w:noWrap w:val="0"/>
            <w:vAlign w:val="center"/>
          </w:tcPr>
          <w:p w14:paraId="3977B971">
            <w:pPr>
              <w:pStyle w:val="946"/>
              <w:keepNext w:val="0"/>
              <w:keepLines w:val="0"/>
              <w:pageBreakBefore w:val="0"/>
              <w:kinsoku/>
              <w:wordWrap/>
              <w:overflowPunct/>
              <w:topLinePunct w:val="0"/>
              <w:autoSpaceDE/>
              <w:autoSpaceDN/>
              <w:bidi w:val="0"/>
              <w:spacing w:line="300" w:lineRule="exact"/>
              <w:ind w:left="0" w:right="0" w:firstLine="0"/>
              <w:textAlignment w:val="auto"/>
              <w:rPr>
                <w:rFonts w:hint="default" w:ascii="Arial" w:cs="Arial"/>
                <w:color w:val="000000"/>
                <w:sz w:val="22"/>
                <w:szCs w:val="22"/>
                <w:lang w:val="en-US" w:eastAsia="zh-CN"/>
              </w:rPr>
            </w:pPr>
            <w:r>
              <w:rPr>
                <w:rFonts w:hint="eastAsia" w:ascii="Arial" w:cs="Arial"/>
                <w:color w:val="000000"/>
                <w:sz w:val="22"/>
                <w:szCs w:val="22"/>
                <w:lang w:eastAsia="zh-CN"/>
              </w:rPr>
              <w:t>每季度监测</w:t>
            </w:r>
            <w:r>
              <w:rPr>
                <w:rFonts w:hint="eastAsia" w:ascii="Arial" w:cs="Arial"/>
                <w:color w:val="000000"/>
                <w:sz w:val="22"/>
                <w:szCs w:val="22"/>
                <w:lang w:val="en-US" w:eastAsia="zh-CN"/>
              </w:rPr>
              <w:t>1次，每次连续监测3天，每天采样1次。</w:t>
            </w:r>
          </w:p>
        </w:tc>
        <w:tc>
          <w:tcPr>
            <w:tcW w:w="1158" w:type="dxa"/>
            <w:vMerge w:val="continue"/>
            <w:noWrap w:val="0"/>
            <w:vAlign w:val="center"/>
          </w:tcPr>
          <w:p w14:paraId="4579BE36">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c>
          <w:tcPr>
            <w:tcW w:w="1106" w:type="dxa"/>
            <w:vMerge w:val="continue"/>
            <w:noWrap w:val="0"/>
            <w:vAlign w:val="center"/>
          </w:tcPr>
          <w:p w14:paraId="57227435">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r>
      <w:tr w14:paraId="1342D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continue"/>
            <w:noWrap w:val="0"/>
            <w:vAlign w:val="center"/>
          </w:tcPr>
          <w:p w14:paraId="0758E7DD">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p>
        </w:tc>
        <w:tc>
          <w:tcPr>
            <w:tcW w:w="2584" w:type="dxa"/>
            <w:shd w:val="clear" w:color="auto" w:fill="auto"/>
            <w:noWrap w:val="0"/>
            <w:vAlign w:val="center"/>
          </w:tcPr>
          <w:p w14:paraId="7A77D393">
            <w:pPr>
              <w:pStyle w:val="946"/>
              <w:keepNext w:val="0"/>
              <w:keepLines w:val="0"/>
              <w:pageBreakBefore w:val="0"/>
              <w:kinsoku/>
              <w:wordWrap/>
              <w:overflowPunct/>
              <w:topLinePunct w:val="0"/>
              <w:autoSpaceDE/>
              <w:autoSpaceDN/>
              <w:bidi w:val="0"/>
              <w:spacing w:line="300" w:lineRule="exact"/>
              <w:ind w:left="0" w:right="0" w:firstLine="0"/>
              <w:jc w:val="left"/>
              <w:textAlignment w:val="auto"/>
              <w:rPr>
                <w:rFonts w:hint="eastAsia" w:ascii="Arial" w:hAnsi="Times New Roman" w:eastAsia="宋体" w:cs="Arial"/>
                <w:kern w:val="2"/>
                <w:sz w:val="22"/>
                <w:szCs w:val="22"/>
                <w:lang w:val="en-US" w:eastAsia="zh-CN" w:bidi="ar-SA"/>
              </w:rPr>
            </w:pPr>
            <w:r>
              <w:rPr>
                <w:rFonts w:hint="eastAsia" w:ascii="Arial" w:cs="Arial"/>
                <w:sz w:val="22"/>
                <w:szCs w:val="22"/>
              </w:rPr>
              <w:t>水质全分析</w:t>
            </w:r>
            <w:r>
              <w:rPr>
                <w:rFonts w:hint="eastAsia" w:ascii="Arial" w:cs="Arial"/>
                <w:sz w:val="22"/>
                <w:szCs w:val="22"/>
                <w:lang w:eastAsia="zh-CN"/>
              </w:rPr>
              <w:t>：</w:t>
            </w:r>
            <w:r>
              <w:rPr>
                <w:rFonts w:ascii="宋体" w:hAnsi="宋体" w:cs="Arial"/>
                <w:sz w:val="22"/>
                <w:szCs w:val="22"/>
              </w:rPr>
              <w:t>(</w:t>
            </w:r>
            <w:r>
              <w:rPr>
                <w:rFonts w:ascii="Arial" w:cs="Arial"/>
                <w:sz w:val="22"/>
                <w:szCs w:val="22"/>
              </w:rPr>
              <w:t>GB3838-2002</w:t>
            </w:r>
            <w:r>
              <w:rPr>
                <w:rFonts w:ascii="宋体" w:hAnsi="宋体" w:cs="Arial"/>
                <w:sz w:val="22"/>
                <w:szCs w:val="22"/>
              </w:rPr>
              <w:t>)</w:t>
            </w:r>
            <w:r>
              <w:rPr>
                <w:rFonts w:hint="eastAsia" w:ascii="Arial" w:cs="Arial"/>
                <w:sz w:val="22"/>
                <w:szCs w:val="22"/>
              </w:rPr>
              <w:t>《地表水环境质量标准》中的</w:t>
            </w:r>
            <w:r>
              <w:rPr>
                <w:rFonts w:ascii="Arial" w:cs="Arial"/>
                <w:sz w:val="22"/>
                <w:szCs w:val="22"/>
              </w:rPr>
              <w:t>109</w:t>
            </w:r>
            <w:r>
              <w:rPr>
                <w:rFonts w:hint="eastAsia" w:ascii="Arial" w:cs="Arial"/>
                <w:sz w:val="22"/>
                <w:szCs w:val="22"/>
              </w:rPr>
              <w:t>项</w:t>
            </w:r>
            <w:r>
              <w:rPr>
                <w:rFonts w:hint="eastAsia" w:ascii="Arial" w:cs="Arial"/>
                <w:sz w:val="22"/>
                <w:szCs w:val="22"/>
                <w:lang w:eastAsia="zh-CN"/>
              </w:rPr>
              <w:t>。</w:t>
            </w:r>
          </w:p>
        </w:tc>
        <w:tc>
          <w:tcPr>
            <w:tcW w:w="1949" w:type="dxa"/>
            <w:vMerge w:val="continue"/>
            <w:noWrap w:val="0"/>
            <w:vAlign w:val="center"/>
          </w:tcPr>
          <w:p w14:paraId="7BDBC6CA">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val="en-US" w:eastAsia="zh-CN"/>
              </w:rPr>
            </w:pPr>
          </w:p>
        </w:tc>
        <w:tc>
          <w:tcPr>
            <w:tcW w:w="1552" w:type="dxa"/>
            <w:noWrap w:val="0"/>
            <w:vAlign w:val="center"/>
          </w:tcPr>
          <w:p w14:paraId="69423D6F">
            <w:pPr>
              <w:pStyle w:val="946"/>
              <w:keepNext w:val="0"/>
              <w:keepLines w:val="0"/>
              <w:pageBreakBefore w:val="0"/>
              <w:kinsoku/>
              <w:wordWrap/>
              <w:overflowPunct/>
              <w:topLinePunct w:val="0"/>
              <w:autoSpaceDE/>
              <w:autoSpaceDN/>
              <w:bidi w:val="0"/>
              <w:spacing w:line="300" w:lineRule="exact"/>
              <w:ind w:left="0" w:right="0" w:firstLine="0"/>
              <w:textAlignment w:val="auto"/>
              <w:rPr>
                <w:rFonts w:hint="default" w:ascii="Arial" w:cs="Arial"/>
                <w:color w:val="000000"/>
                <w:sz w:val="22"/>
                <w:szCs w:val="22"/>
                <w:lang w:val="en-US" w:eastAsia="zh-CN"/>
              </w:rPr>
            </w:pPr>
            <w:r>
              <w:rPr>
                <w:rFonts w:hint="eastAsia" w:ascii="Arial" w:cs="Arial"/>
                <w:color w:val="000000"/>
                <w:sz w:val="22"/>
                <w:szCs w:val="22"/>
                <w:lang w:val="en-US" w:eastAsia="zh-CN"/>
              </w:rPr>
              <w:t>2年监测1次</w:t>
            </w:r>
          </w:p>
        </w:tc>
        <w:tc>
          <w:tcPr>
            <w:tcW w:w="1158" w:type="dxa"/>
            <w:vMerge w:val="continue"/>
            <w:noWrap w:val="0"/>
            <w:vAlign w:val="center"/>
          </w:tcPr>
          <w:p w14:paraId="4DFBA1B2">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c>
          <w:tcPr>
            <w:tcW w:w="1106" w:type="dxa"/>
            <w:vMerge w:val="continue"/>
            <w:noWrap w:val="0"/>
            <w:vAlign w:val="center"/>
          </w:tcPr>
          <w:p w14:paraId="469E983E">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r>
      <w:tr w14:paraId="63706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continue"/>
            <w:noWrap w:val="0"/>
            <w:vAlign w:val="center"/>
          </w:tcPr>
          <w:p w14:paraId="510B9131">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p>
        </w:tc>
        <w:tc>
          <w:tcPr>
            <w:tcW w:w="2584" w:type="dxa"/>
            <w:shd w:val="clear" w:color="auto" w:fill="auto"/>
            <w:noWrap w:val="0"/>
            <w:vAlign w:val="center"/>
          </w:tcPr>
          <w:p w14:paraId="5AE061CE">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Times New Roman" w:eastAsia="宋体" w:cs="Arial"/>
                <w:kern w:val="2"/>
                <w:sz w:val="22"/>
                <w:szCs w:val="22"/>
                <w:lang w:val="en-US" w:eastAsia="zh-CN" w:bidi="ar-SA"/>
              </w:rPr>
            </w:pPr>
            <w:r>
              <w:rPr>
                <w:rFonts w:hint="eastAsia" w:ascii="Arial" w:cs="Arial"/>
                <w:sz w:val="22"/>
                <w:szCs w:val="22"/>
              </w:rPr>
              <w:t>湖库水体富营养化指标：水温、溶解氧、总氮、总磷、高锰酸盐指数、叶绿素</w:t>
            </w:r>
            <w:r>
              <w:rPr>
                <w:rFonts w:ascii="Arial" w:cs="Arial"/>
                <w:sz w:val="22"/>
                <w:szCs w:val="22"/>
              </w:rPr>
              <w:t>a</w:t>
            </w:r>
            <w:r>
              <w:rPr>
                <w:rFonts w:hint="eastAsia" w:ascii="Arial" w:cs="Arial"/>
                <w:sz w:val="22"/>
                <w:szCs w:val="22"/>
              </w:rPr>
              <w:t>和透明度等</w:t>
            </w:r>
            <w:r>
              <w:rPr>
                <w:rFonts w:ascii="Arial" w:cs="Arial"/>
                <w:sz w:val="22"/>
                <w:szCs w:val="22"/>
              </w:rPr>
              <w:t>7</w:t>
            </w:r>
            <w:r>
              <w:rPr>
                <w:rFonts w:hint="eastAsia" w:ascii="Arial" w:cs="Arial"/>
                <w:sz w:val="22"/>
                <w:szCs w:val="22"/>
              </w:rPr>
              <w:t>项指标。</w:t>
            </w:r>
            <w:r>
              <w:rPr>
                <w:rFonts w:ascii="Arial" w:cs="Arial"/>
                <w:sz w:val="22"/>
                <w:szCs w:val="22"/>
              </w:rPr>
              <w:t xml:space="preserve"> </w:t>
            </w:r>
          </w:p>
        </w:tc>
        <w:tc>
          <w:tcPr>
            <w:tcW w:w="1949" w:type="dxa"/>
            <w:vMerge w:val="continue"/>
            <w:noWrap w:val="0"/>
            <w:vAlign w:val="center"/>
          </w:tcPr>
          <w:p w14:paraId="7D458A9E">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val="en-US" w:eastAsia="zh-CN"/>
              </w:rPr>
            </w:pPr>
          </w:p>
        </w:tc>
        <w:tc>
          <w:tcPr>
            <w:tcW w:w="1552" w:type="dxa"/>
            <w:vMerge w:val="restart"/>
            <w:noWrap w:val="0"/>
            <w:vAlign w:val="center"/>
          </w:tcPr>
          <w:p w14:paraId="7165778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r>
              <w:rPr>
                <w:rFonts w:hint="eastAsia" w:ascii="Arial" w:cs="Arial"/>
                <w:color w:val="000000"/>
                <w:sz w:val="22"/>
                <w:szCs w:val="22"/>
                <w:lang w:eastAsia="zh-CN"/>
              </w:rPr>
              <w:t>与水质监测时间同步</w:t>
            </w:r>
          </w:p>
        </w:tc>
        <w:tc>
          <w:tcPr>
            <w:tcW w:w="1158" w:type="dxa"/>
            <w:vMerge w:val="continue"/>
            <w:noWrap w:val="0"/>
            <w:vAlign w:val="center"/>
          </w:tcPr>
          <w:p w14:paraId="422799B2">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c>
          <w:tcPr>
            <w:tcW w:w="1106" w:type="dxa"/>
            <w:vMerge w:val="continue"/>
            <w:noWrap w:val="0"/>
            <w:vAlign w:val="center"/>
          </w:tcPr>
          <w:p w14:paraId="11232E12">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r>
      <w:tr w14:paraId="42F4B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continue"/>
            <w:noWrap w:val="0"/>
            <w:vAlign w:val="center"/>
          </w:tcPr>
          <w:p w14:paraId="1D7C9AA9">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p>
        </w:tc>
        <w:tc>
          <w:tcPr>
            <w:tcW w:w="2584" w:type="dxa"/>
            <w:shd w:val="clear" w:color="auto" w:fill="auto"/>
            <w:noWrap w:val="0"/>
            <w:vAlign w:val="center"/>
          </w:tcPr>
          <w:p w14:paraId="121117B2">
            <w:pPr>
              <w:pStyle w:val="946"/>
              <w:keepNext w:val="0"/>
              <w:keepLines w:val="0"/>
              <w:pageBreakBefore w:val="0"/>
              <w:kinsoku/>
              <w:wordWrap/>
              <w:overflowPunct/>
              <w:topLinePunct w:val="0"/>
              <w:autoSpaceDE/>
              <w:autoSpaceDN/>
              <w:bidi w:val="0"/>
              <w:spacing w:line="300" w:lineRule="exact"/>
              <w:ind w:left="0" w:right="0" w:firstLine="0"/>
              <w:textAlignment w:val="auto"/>
              <w:rPr>
                <w:rFonts w:hint="default" w:ascii="Arial" w:eastAsia="宋体" w:cs="Arial"/>
                <w:sz w:val="22"/>
                <w:szCs w:val="22"/>
                <w:lang w:val="en-US" w:eastAsia="zh-CN"/>
              </w:rPr>
            </w:pPr>
            <w:r>
              <w:rPr>
                <w:rFonts w:hint="eastAsia" w:ascii="Arial" w:cs="Arial"/>
                <w:sz w:val="22"/>
                <w:szCs w:val="22"/>
                <w:lang w:eastAsia="zh-CN"/>
              </w:rPr>
              <w:t>坝前垂向水温：按照水库</w:t>
            </w:r>
            <w:r>
              <w:rPr>
                <w:rFonts w:hint="eastAsia" w:ascii="Arial" w:cs="Arial"/>
                <w:sz w:val="22"/>
                <w:szCs w:val="22"/>
                <w:lang w:val="en-US" w:eastAsia="zh-CN"/>
              </w:rPr>
              <w:t>5层取水口高程取样，分别为</w:t>
            </w:r>
            <w:r>
              <w:rPr>
                <w:rFonts w:hint="eastAsia" w:ascii="Arial" w:hAnsi="Arial" w:cs="Arial"/>
                <w:color w:val="auto"/>
                <w:kern w:val="0"/>
                <w:sz w:val="22"/>
                <w:szCs w:val="22"/>
                <w:highlight w:val="none"/>
                <w:lang w:val="en-US" w:eastAsia="zh-CN"/>
              </w:rPr>
              <w:t>418.0m、415.0m、412.0m、409.0m、405.5m处。</w:t>
            </w:r>
          </w:p>
        </w:tc>
        <w:tc>
          <w:tcPr>
            <w:tcW w:w="1949" w:type="dxa"/>
            <w:noWrap w:val="0"/>
            <w:vAlign w:val="center"/>
          </w:tcPr>
          <w:p w14:paraId="22D1B194">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val="en-US" w:eastAsia="zh-CN"/>
              </w:rPr>
            </w:pPr>
            <w:r>
              <w:rPr>
                <w:rFonts w:hint="eastAsia" w:ascii="Arial" w:hAnsi="Arial" w:cs="Arial"/>
                <w:color w:val="000000"/>
                <w:sz w:val="22"/>
                <w:szCs w:val="22"/>
                <w:lang w:val="en-US" w:eastAsia="zh-CN"/>
              </w:rPr>
              <w:t>坝址处</w:t>
            </w:r>
          </w:p>
        </w:tc>
        <w:tc>
          <w:tcPr>
            <w:tcW w:w="1552" w:type="dxa"/>
            <w:vMerge w:val="continue"/>
            <w:noWrap w:val="0"/>
            <w:vAlign w:val="center"/>
          </w:tcPr>
          <w:p w14:paraId="20FEC48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p>
        </w:tc>
        <w:tc>
          <w:tcPr>
            <w:tcW w:w="1158" w:type="dxa"/>
            <w:vMerge w:val="continue"/>
            <w:noWrap w:val="0"/>
            <w:vAlign w:val="center"/>
          </w:tcPr>
          <w:p w14:paraId="54AA53B7">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c>
          <w:tcPr>
            <w:tcW w:w="1106" w:type="dxa"/>
            <w:vMerge w:val="continue"/>
            <w:noWrap w:val="0"/>
            <w:vAlign w:val="center"/>
          </w:tcPr>
          <w:p w14:paraId="7020F204">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r>
      <w:tr w14:paraId="1CE0E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restart"/>
            <w:noWrap w:val="0"/>
            <w:vAlign w:val="center"/>
          </w:tcPr>
          <w:p w14:paraId="7791E809">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eastAsia="zh-CN"/>
              </w:rPr>
            </w:pPr>
            <w:r>
              <w:rPr>
                <w:rFonts w:hint="eastAsia" w:ascii="Arial" w:hAnsi="Arial" w:cs="Arial"/>
                <w:color w:val="000000"/>
                <w:sz w:val="22"/>
                <w:szCs w:val="22"/>
                <w:lang w:eastAsia="zh-CN"/>
              </w:rPr>
              <w:t>生态环境</w:t>
            </w:r>
          </w:p>
        </w:tc>
        <w:tc>
          <w:tcPr>
            <w:tcW w:w="2584" w:type="dxa"/>
            <w:noWrap w:val="0"/>
            <w:vAlign w:val="center"/>
          </w:tcPr>
          <w:p w14:paraId="7DA34361">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cs="Arial"/>
                <w:sz w:val="22"/>
                <w:szCs w:val="22"/>
                <w:lang w:eastAsia="zh-CN"/>
              </w:rPr>
            </w:pPr>
            <w:r>
              <w:rPr>
                <w:rFonts w:hint="eastAsia" w:ascii="Arial" w:cs="Arial"/>
                <w:sz w:val="22"/>
                <w:szCs w:val="22"/>
              </w:rPr>
              <w:t>库区两侧山峦群落垂直结构，观测记录项目建成前后区域动植物种类、数量变化情况，外来物种入侵情况等</w:t>
            </w:r>
            <w:r>
              <w:rPr>
                <w:rFonts w:hint="eastAsia" w:ascii="Arial" w:cs="Arial"/>
                <w:sz w:val="22"/>
                <w:szCs w:val="22"/>
                <w:lang w:eastAsia="zh-CN"/>
              </w:rPr>
              <w:t>。</w:t>
            </w:r>
          </w:p>
        </w:tc>
        <w:tc>
          <w:tcPr>
            <w:tcW w:w="1949" w:type="dxa"/>
            <w:noWrap w:val="0"/>
            <w:vAlign w:val="center"/>
          </w:tcPr>
          <w:p w14:paraId="05F75E8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kern w:val="2"/>
                <w:sz w:val="22"/>
                <w:szCs w:val="22"/>
                <w:lang w:val="en-US" w:eastAsia="zh-CN" w:bidi="ar-SA"/>
              </w:rPr>
            </w:pPr>
            <w:r>
              <w:rPr>
                <w:rFonts w:hint="eastAsia" w:ascii="Arial" w:hAnsi="Arial" w:eastAsia="宋体" w:cs="Arial"/>
                <w:color w:val="000000"/>
                <w:kern w:val="2"/>
                <w:sz w:val="22"/>
                <w:szCs w:val="22"/>
                <w:lang w:val="en-US" w:eastAsia="zh-CN" w:bidi="ar-SA"/>
              </w:rPr>
              <w:t>以坝区、水库淹没区、输水管道为中心线向两侧延伸1km的区域</w:t>
            </w:r>
          </w:p>
        </w:tc>
        <w:tc>
          <w:tcPr>
            <w:tcW w:w="1552" w:type="dxa"/>
            <w:vMerge w:val="restart"/>
            <w:noWrap w:val="0"/>
            <w:vAlign w:val="center"/>
          </w:tcPr>
          <w:p w14:paraId="3CE1264E">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eastAsia="宋体" w:cs="Arial"/>
                <w:sz w:val="22"/>
                <w:szCs w:val="22"/>
                <w:lang w:val="en-US" w:eastAsia="zh-CN"/>
              </w:rPr>
            </w:pPr>
            <w:r>
              <w:rPr>
                <w:rFonts w:hint="eastAsia" w:ascii="Arial" w:cs="Arial"/>
                <w:sz w:val="22"/>
                <w:szCs w:val="22"/>
              </w:rPr>
              <w:t>施工结束后调查1次，水库蓄水后第3</w:t>
            </w:r>
            <w:r>
              <w:rPr>
                <w:rFonts w:hint="eastAsia" w:ascii="Arial" w:cs="Arial"/>
                <w:sz w:val="22"/>
                <w:szCs w:val="22"/>
                <w:lang w:eastAsia="zh-CN"/>
              </w:rPr>
              <w:t>年</w:t>
            </w:r>
            <w:r>
              <w:rPr>
                <w:rFonts w:hint="eastAsia" w:ascii="Arial" w:cs="Arial"/>
                <w:sz w:val="22"/>
                <w:szCs w:val="22"/>
              </w:rPr>
              <w:t>跟踪调查1次，每年7-8月份调查</w:t>
            </w:r>
            <w:r>
              <w:rPr>
                <w:rFonts w:hint="eastAsia" w:ascii="Arial" w:cs="Arial"/>
                <w:sz w:val="22"/>
                <w:szCs w:val="22"/>
                <w:lang w:eastAsia="zh-CN"/>
              </w:rPr>
              <w:t>。</w:t>
            </w:r>
          </w:p>
        </w:tc>
        <w:tc>
          <w:tcPr>
            <w:tcW w:w="1158" w:type="dxa"/>
            <w:vMerge w:val="continue"/>
            <w:noWrap w:val="0"/>
            <w:vAlign w:val="center"/>
          </w:tcPr>
          <w:p w14:paraId="463F72B1">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hint="eastAsia" w:ascii="Arial" w:hAnsi="Arial" w:eastAsia="宋体" w:cs="Arial"/>
                <w:color w:val="000000"/>
                <w:sz w:val="22"/>
                <w:szCs w:val="22"/>
                <w:lang w:val="en-US" w:eastAsia="zh-CN"/>
              </w:rPr>
            </w:pPr>
          </w:p>
        </w:tc>
        <w:tc>
          <w:tcPr>
            <w:tcW w:w="1106" w:type="dxa"/>
            <w:vMerge w:val="continue"/>
            <w:noWrap w:val="0"/>
            <w:vAlign w:val="center"/>
          </w:tcPr>
          <w:p w14:paraId="0237A282">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ascii="Arial" w:hAnsi="Arial" w:cs="Arial"/>
                <w:color w:val="000000"/>
                <w:sz w:val="22"/>
                <w:szCs w:val="22"/>
              </w:rPr>
            </w:pPr>
          </w:p>
        </w:tc>
      </w:tr>
      <w:tr w14:paraId="076EA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283" w:type="dxa"/>
            <w:vMerge w:val="continue"/>
            <w:noWrap w:val="0"/>
            <w:vAlign w:val="center"/>
          </w:tcPr>
          <w:p w14:paraId="4D29EB59">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eastAsia="zh-CN"/>
              </w:rPr>
            </w:pPr>
          </w:p>
        </w:tc>
        <w:tc>
          <w:tcPr>
            <w:tcW w:w="2584" w:type="dxa"/>
            <w:noWrap w:val="0"/>
            <w:vAlign w:val="center"/>
          </w:tcPr>
          <w:p w14:paraId="47578369">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eastAsia="宋体" w:cs="Arial"/>
                <w:sz w:val="22"/>
                <w:szCs w:val="22"/>
                <w:lang w:eastAsia="zh-CN"/>
              </w:rPr>
            </w:pPr>
            <w:r>
              <w:rPr>
                <w:rFonts w:hint="eastAsia" w:ascii="Arial" w:cs="Arial"/>
                <w:sz w:val="22"/>
                <w:szCs w:val="22"/>
              </w:rPr>
              <w:t>施工迹地内植被恢复情况、动物的回迁情况</w:t>
            </w:r>
            <w:r>
              <w:rPr>
                <w:rFonts w:hint="eastAsia" w:ascii="Arial" w:cs="Arial"/>
                <w:sz w:val="22"/>
                <w:szCs w:val="22"/>
                <w:lang w:eastAsia="zh-CN"/>
              </w:rPr>
              <w:t>。</w:t>
            </w:r>
          </w:p>
        </w:tc>
        <w:tc>
          <w:tcPr>
            <w:tcW w:w="1949" w:type="dxa"/>
            <w:noWrap w:val="0"/>
            <w:vAlign w:val="center"/>
          </w:tcPr>
          <w:p w14:paraId="67C463B5">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kern w:val="2"/>
                <w:sz w:val="22"/>
                <w:szCs w:val="22"/>
                <w:lang w:val="en-US" w:eastAsia="zh-CN" w:bidi="ar-SA"/>
              </w:rPr>
            </w:pPr>
            <w:r>
              <w:rPr>
                <w:rFonts w:hint="eastAsia" w:ascii="Arial" w:hAnsi="Arial" w:eastAsia="宋体" w:cs="Arial"/>
                <w:color w:val="000000"/>
                <w:kern w:val="2"/>
                <w:sz w:val="22"/>
                <w:szCs w:val="22"/>
                <w:lang w:val="en-US" w:eastAsia="zh-CN" w:bidi="ar-SA"/>
              </w:rPr>
              <w:t>枢纽及输水工程施工占地范围内</w:t>
            </w:r>
          </w:p>
        </w:tc>
        <w:tc>
          <w:tcPr>
            <w:tcW w:w="1552" w:type="dxa"/>
            <w:vMerge w:val="continue"/>
            <w:noWrap w:val="0"/>
            <w:vAlign w:val="center"/>
          </w:tcPr>
          <w:p w14:paraId="7096FB7E">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cs="Arial"/>
                <w:sz w:val="22"/>
                <w:szCs w:val="22"/>
                <w:lang w:val="en-US" w:eastAsia="zh-CN"/>
              </w:rPr>
            </w:pPr>
          </w:p>
        </w:tc>
        <w:tc>
          <w:tcPr>
            <w:tcW w:w="1158" w:type="dxa"/>
            <w:vMerge w:val="continue"/>
            <w:noWrap w:val="0"/>
            <w:vAlign w:val="center"/>
          </w:tcPr>
          <w:p w14:paraId="365E6731">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hint="eastAsia" w:ascii="Arial" w:hAnsi="Arial" w:cs="Arial"/>
                <w:color w:val="000000"/>
                <w:sz w:val="22"/>
                <w:szCs w:val="22"/>
                <w:lang w:val="en-US" w:eastAsia="zh-CN"/>
              </w:rPr>
            </w:pPr>
          </w:p>
        </w:tc>
        <w:tc>
          <w:tcPr>
            <w:tcW w:w="1106" w:type="dxa"/>
            <w:vMerge w:val="continue"/>
            <w:noWrap w:val="0"/>
            <w:vAlign w:val="center"/>
          </w:tcPr>
          <w:p w14:paraId="756609FA">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ascii="Arial" w:hAnsi="Arial" w:cs="Arial"/>
                <w:color w:val="000000"/>
                <w:sz w:val="22"/>
                <w:szCs w:val="22"/>
              </w:rPr>
            </w:pPr>
          </w:p>
        </w:tc>
      </w:tr>
      <w:tr w14:paraId="79EDD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283" w:type="dxa"/>
            <w:vMerge w:val="continue"/>
            <w:noWrap w:val="0"/>
            <w:vAlign w:val="center"/>
          </w:tcPr>
          <w:p w14:paraId="5ED75577">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eastAsia="zh-CN"/>
              </w:rPr>
            </w:pPr>
          </w:p>
        </w:tc>
        <w:tc>
          <w:tcPr>
            <w:tcW w:w="2584" w:type="dxa"/>
            <w:noWrap w:val="0"/>
            <w:vAlign w:val="center"/>
          </w:tcPr>
          <w:p w14:paraId="14BD4382">
            <w:pPr>
              <w:pStyle w:val="2102"/>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sz w:val="22"/>
                <w:szCs w:val="22"/>
                <w:lang w:eastAsia="zh-CN"/>
              </w:rPr>
            </w:pPr>
            <w:r>
              <w:rPr>
                <w:sz w:val="22"/>
                <w:szCs w:val="22"/>
              </w:rPr>
              <w:t>库区内、拦水坝下游减水河段、库尾上游河段水生生物的种类、数量及分布情况</w:t>
            </w:r>
            <w:r>
              <w:rPr>
                <w:rFonts w:hint="eastAsia"/>
                <w:sz w:val="22"/>
                <w:szCs w:val="22"/>
                <w:lang w:eastAsia="zh-CN"/>
              </w:rPr>
              <w:t>。</w:t>
            </w:r>
          </w:p>
        </w:tc>
        <w:tc>
          <w:tcPr>
            <w:tcW w:w="1949" w:type="dxa"/>
            <w:noWrap w:val="0"/>
            <w:vAlign w:val="center"/>
          </w:tcPr>
          <w:p w14:paraId="483933F9">
            <w:pPr>
              <w:pStyle w:val="2102"/>
              <w:keepNext w:val="0"/>
              <w:keepLines w:val="0"/>
              <w:pageBreakBefore w:val="0"/>
              <w:kinsoku/>
              <w:wordWrap/>
              <w:overflowPunct/>
              <w:topLinePunct w:val="0"/>
              <w:autoSpaceDE/>
              <w:autoSpaceDN/>
              <w:bidi w:val="0"/>
              <w:spacing w:line="300" w:lineRule="exact"/>
              <w:ind w:left="0" w:leftChars="0" w:right="0" w:rightChars="0" w:firstLine="0" w:firstLineChars="0"/>
              <w:jc w:val="center"/>
              <w:textAlignment w:val="auto"/>
              <w:rPr>
                <w:rFonts w:hint="eastAsia" w:ascii="Arial" w:hAnsi="Arial" w:eastAsia="宋体" w:cs="Arial"/>
                <w:color w:val="000000"/>
                <w:kern w:val="2"/>
                <w:sz w:val="22"/>
                <w:szCs w:val="22"/>
                <w:lang w:val="en-US" w:eastAsia="zh-CN" w:bidi="ar-SA"/>
              </w:rPr>
            </w:pPr>
            <w:r>
              <w:rPr>
                <w:rFonts w:hint="eastAsia" w:ascii="Arial" w:hAnsi="Arial" w:eastAsia="宋体" w:cs="Arial"/>
                <w:color w:val="000000"/>
                <w:kern w:val="2"/>
                <w:sz w:val="22"/>
                <w:szCs w:val="22"/>
                <w:lang w:val="en-US" w:eastAsia="zh-CN" w:bidi="ar-SA"/>
              </w:rPr>
              <w:t>库尾上游500m~拦水坝下游汇入高洞桥河处。</w:t>
            </w:r>
          </w:p>
        </w:tc>
        <w:tc>
          <w:tcPr>
            <w:tcW w:w="1552" w:type="dxa"/>
            <w:noWrap w:val="0"/>
            <w:vAlign w:val="center"/>
          </w:tcPr>
          <w:p w14:paraId="38FEA2A4">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cs="Arial"/>
                <w:sz w:val="22"/>
                <w:szCs w:val="22"/>
              </w:rPr>
            </w:pPr>
            <w:r>
              <w:rPr>
                <w:rFonts w:hint="eastAsia" w:ascii="Arial" w:cs="Arial"/>
                <w:sz w:val="22"/>
                <w:szCs w:val="22"/>
              </w:rPr>
              <w:t>施工结束后调查1次，水库运行后每年调查1次，连续</w:t>
            </w:r>
          </w:p>
          <w:p w14:paraId="0F02B8CB">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eastAsia="宋体" w:cs="Arial"/>
                <w:sz w:val="22"/>
                <w:szCs w:val="22"/>
                <w:lang w:val="en-US" w:eastAsia="zh-CN"/>
              </w:rPr>
            </w:pPr>
            <w:r>
              <w:rPr>
                <w:rFonts w:hint="eastAsia" w:ascii="Arial" w:cs="Arial"/>
                <w:sz w:val="22"/>
                <w:szCs w:val="22"/>
              </w:rPr>
              <w:t>调查3年，每年7~8月份调查</w:t>
            </w:r>
            <w:r>
              <w:rPr>
                <w:rFonts w:hint="eastAsia" w:ascii="Arial" w:cs="Arial"/>
                <w:sz w:val="22"/>
                <w:szCs w:val="22"/>
                <w:lang w:eastAsia="zh-CN"/>
              </w:rPr>
              <w:t>。</w:t>
            </w:r>
          </w:p>
        </w:tc>
        <w:tc>
          <w:tcPr>
            <w:tcW w:w="1158" w:type="dxa"/>
            <w:vMerge w:val="continue"/>
            <w:noWrap w:val="0"/>
            <w:vAlign w:val="center"/>
          </w:tcPr>
          <w:p w14:paraId="08EBCA59">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hint="eastAsia" w:ascii="Arial" w:hAnsi="Arial" w:cs="Arial"/>
                <w:color w:val="000000"/>
                <w:sz w:val="22"/>
                <w:szCs w:val="22"/>
                <w:lang w:val="en-US" w:eastAsia="zh-CN"/>
              </w:rPr>
            </w:pPr>
          </w:p>
        </w:tc>
        <w:tc>
          <w:tcPr>
            <w:tcW w:w="1106" w:type="dxa"/>
            <w:vMerge w:val="continue"/>
            <w:noWrap w:val="0"/>
            <w:vAlign w:val="center"/>
          </w:tcPr>
          <w:p w14:paraId="4A634D36">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ascii="Arial" w:hAnsi="Arial" w:cs="Arial"/>
                <w:color w:val="000000"/>
                <w:sz w:val="22"/>
                <w:szCs w:val="22"/>
              </w:rPr>
            </w:pPr>
          </w:p>
        </w:tc>
      </w:tr>
    </w:tbl>
    <w:p w14:paraId="2159F1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 w:val="24"/>
          <w:szCs w:val="24"/>
        </w:rPr>
      </w:pPr>
    </w:p>
    <w:p w14:paraId="6EEA774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cs="Arial"/>
          <w:b/>
          <w:bCs/>
          <w:color w:val="000000"/>
          <w:sz w:val="26"/>
          <w:szCs w:val="26"/>
          <w:lang w:val="en-US" w:eastAsia="zh-CN"/>
        </w:rPr>
        <w:t>9</w:t>
      </w:r>
      <w:r>
        <w:rPr>
          <w:rFonts w:hint="eastAsia" w:ascii="Arial" w:hAnsi="Arial" w:eastAsia="宋体" w:cs="Arial"/>
          <w:b/>
          <w:bCs/>
          <w:color w:val="000000"/>
          <w:sz w:val="26"/>
          <w:szCs w:val="26"/>
          <w:lang w:val="en-US" w:eastAsia="zh-CN"/>
        </w:rPr>
        <w:t>.3.</w:t>
      </w:r>
      <w:r>
        <w:rPr>
          <w:rFonts w:hint="eastAsia" w:ascii="Arial" w:hAnsi="Arial" w:cs="Arial"/>
          <w:b/>
          <w:bCs/>
          <w:color w:val="000000"/>
          <w:sz w:val="26"/>
          <w:szCs w:val="26"/>
          <w:lang w:val="en-US" w:eastAsia="zh-CN"/>
        </w:rPr>
        <w:t>3下泄生态流量监控</w:t>
      </w:r>
    </w:p>
    <w:p w14:paraId="35045CF6">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cs="Arial"/>
          <w:b/>
          <w:bCs/>
          <w:color w:val="000000"/>
          <w:kern w:val="2"/>
          <w:sz w:val="26"/>
          <w:szCs w:val="26"/>
          <w:lang w:val="en-US" w:eastAsia="zh-CN" w:bidi="ar-SA"/>
        </w:rPr>
        <w:t>（1）</w:t>
      </w:r>
      <w:r>
        <w:rPr>
          <w:rFonts w:hint="eastAsia" w:ascii="Arial" w:hAnsi="Arial" w:eastAsia="宋体" w:cs="Arial"/>
          <w:b/>
          <w:bCs/>
          <w:color w:val="000000"/>
          <w:kern w:val="2"/>
          <w:sz w:val="26"/>
          <w:szCs w:val="26"/>
          <w:lang w:val="en-US" w:eastAsia="zh-CN" w:bidi="ar-SA"/>
        </w:rPr>
        <w:t>监控目的</w:t>
      </w:r>
    </w:p>
    <w:p w14:paraId="2A5ADB9A">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为确保生态流量下泄措施的有效运行，需对工程在不同阶段的下泄流量进行实时监控，同时可为生态流量对下游水环境、水生生态及河道景观的影响与效果研究提供基础资料。</w:t>
      </w:r>
    </w:p>
    <w:p w14:paraId="15466B72">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cs="Arial"/>
          <w:b/>
          <w:bCs/>
          <w:color w:val="000000"/>
          <w:kern w:val="2"/>
          <w:sz w:val="26"/>
          <w:szCs w:val="26"/>
          <w:lang w:val="en-US" w:eastAsia="zh-CN" w:bidi="ar-SA"/>
        </w:rPr>
      </w:pPr>
      <w:r>
        <w:rPr>
          <w:rFonts w:hint="eastAsia" w:ascii="Arial" w:hAnsi="Arial" w:cs="Arial"/>
          <w:b/>
          <w:bCs/>
          <w:color w:val="000000"/>
          <w:kern w:val="2"/>
          <w:sz w:val="26"/>
          <w:szCs w:val="26"/>
          <w:lang w:val="en-US" w:eastAsia="zh-CN" w:bidi="ar-SA"/>
        </w:rPr>
        <w:t>（2）监控断面布设</w:t>
      </w:r>
    </w:p>
    <w:p w14:paraId="371AAD80">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本项目运营期将设置流速仪、水位监测设施、水温监测设施、气温监测系统、降雨量监测系统、水质监测设备等</w:t>
      </w:r>
      <w:r>
        <w:rPr>
          <w:rFonts w:hint="eastAsia" w:ascii="Arial" w:hAnsi="Arial" w:cs="Arial"/>
          <w:color w:val="000000"/>
          <w:kern w:val="2"/>
          <w:sz w:val="26"/>
          <w:szCs w:val="26"/>
          <w:lang w:val="en-US" w:eastAsia="zh-CN" w:bidi="ar-SA"/>
        </w:rPr>
        <w:t>，同时根据项目下泄生态流量的方案，拟在生态放水管出水口处设置1个在线实时监控系统。</w:t>
      </w:r>
    </w:p>
    <w:p w14:paraId="43E99B86">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cs="Arial"/>
          <w:b/>
          <w:bCs/>
          <w:color w:val="000000"/>
          <w:kern w:val="2"/>
          <w:sz w:val="26"/>
          <w:szCs w:val="26"/>
          <w:lang w:val="en-US" w:eastAsia="zh-CN" w:bidi="ar-SA"/>
        </w:rPr>
      </w:pPr>
      <w:r>
        <w:rPr>
          <w:rFonts w:hint="eastAsia" w:ascii="Arial" w:hAnsi="Arial" w:cs="Arial"/>
          <w:b/>
          <w:bCs/>
          <w:color w:val="000000"/>
          <w:kern w:val="2"/>
          <w:sz w:val="26"/>
          <w:szCs w:val="26"/>
          <w:lang w:val="en-US" w:eastAsia="zh-CN" w:bidi="ar-SA"/>
        </w:rPr>
        <w:t>（3）监控时间</w:t>
      </w:r>
    </w:p>
    <w:p w14:paraId="41455F21">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为满足初期蓄水阶段生态流量监控要求，生态流量监测系统需在蓄水前安装完成。</w:t>
      </w:r>
    </w:p>
    <w:p w14:paraId="4A63B2CB">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61" w:name="_Toc512244276"/>
      <w:bookmarkStart w:id="162" w:name="_Toc4376"/>
      <w:r>
        <w:rPr>
          <w:rFonts w:hint="eastAsia" w:ascii="Arial" w:hAnsi="Arial" w:cs="Arial"/>
          <w:sz w:val="26"/>
          <w:szCs w:val="26"/>
          <w:highlight w:val="none"/>
          <w:lang w:val="en-US" w:eastAsia="zh-CN"/>
        </w:rPr>
        <w:t>9</w:t>
      </w:r>
      <w:r>
        <w:rPr>
          <w:rFonts w:hint="eastAsia" w:ascii="Arial" w:hAnsi="Arial" w:eastAsia="宋体" w:cs="Arial"/>
          <w:sz w:val="26"/>
          <w:szCs w:val="26"/>
          <w:highlight w:val="none"/>
          <w:lang w:val="en-US" w:eastAsia="zh-CN"/>
        </w:rPr>
        <w:t>.4 竣工环境保护验收</w:t>
      </w:r>
      <w:bookmarkEnd w:id="161"/>
      <w:bookmarkEnd w:id="162"/>
    </w:p>
    <w:p w14:paraId="375ABE68">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工程所有环保设施均应与主体工程同时设计、同时施工、同时投产，并进行项目竣工环境保护验收管理办法。根据《建设项目环境保护管理条例》和《关于规范建设单位自主开展建设项目竣工环境保护验收的通知》，由</w:t>
      </w:r>
      <w:r>
        <w:rPr>
          <w:rFonts w:hint="eastAsia" w:ascii="Arial" w:hAnsi="Arial" w:cs="Arial"/>
          <w:color w:val="000000"/>
          <w:kern w:val="2"/>
          <w:sz w:val="26"/>
          <w:szCs w:val="26"/>
          <w:lang w:val="en-US" w:eastAsia="zh-CN" w:bidi="ar-SA"/>
        </w:rPr>
        <w:t>丰都县水利工程服务中心</w:t>
      </w:r>
      <w:r>
        <w:rPr>
          <w:rFonts w:hint="eastAsia" w:ascii="Arial" w:hAnsi="Arial" w:eastAsia="宋体" w:cs="Arial"/>
          <w:color w:val="000000"/>
          <w:kern w:val="2"/>
          <w:sz w:val="26"/>
          <w:szCs w:val="26"/>
          <w:lang w:val="en-US" w:eastAsia="zh-CN" w:bidi="ar-SA"/>
        </w:rPr>
        <w:t>负责本项目的竣工环保验收工作，验收合格后，项目方能投入正式运营。拟建项目竣工环境保护验收要求分别见表</w:t>
      </w:r>
      <w:r>
        <w:rPr>
          <w:rFonts w:hint="eastAsia" w:ascii="Arial" w:hAnsi="Arial" w:cs="Arial"/>
          <w:color w:val="000000"/>
          <w:kern w:val="2"/>
          <w:sz w:val="26"/>
          <w:szCs w:val="26"/>
          <w:lang w:val="en-US" w:eastAsia="zh-CN" w:bidi="ar-SA"/>
        </w:rPr>
        <w:t>9</w:t>
      </w:r>
      <w:r>
        <w:rPr>
          <w:rFonts w:hint="eastAsia" w:ascii="Arial" w:hAnsi="Arial" w:eastAsia="宋体" w:cs="Arial"/>
          <w:color w:val="000000"/>
          <w:kern w:val="2"/>
          <w:sz w:val="26"/>
          <w:szCs w:val="26"/>
          <w:lang w:val="en-US" w:eastAsia="zh-CN" w:bidi="ar-SA"/>
        </w:rPr>
        <w:t>.4-1所示。</w:t>
      </w:r>
    </w:p>
    <w:p w14:paraId="3CF782C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rPr>
      </w:pPr>
      <w:r>
        <w:rPr>
          <w:rFonts w:hint="eastAsia" w:ascii="Arial" w:hAnsi="Arial" w:cs="Arial"/>
          <w:b/>
          <w:color w:val="000000"/>
          <w:sz w:val="26"/>
          <w:szCs w:val="26"/>
          <w:lang w:val="en-US" w:eastAsia="zh-CN"/>
        </w:rPr>
        <w:t>9</w:t>
      </w:r>
      <w:r>
        <w:rPr>
          <w:rFonts w:hint="eastAsia" w:ascii="Arial" w:hAnsi="Arial" w:eastAsia="宋体" w:cs="Arial"/>
          <w:b/>
          <w:color w:val="000000"/>
          <w:sz w:val="26"/>
          <w:szCs w:val="26"/>
        </w:rPr>
        <w:t>.4</w:t>
      </w:r>
      <w:r>
        <w:rPr>
          <w:rFonts w:hint="eastAsia" w:ascii="Arial" w:hAnsi="Arial" w:eastAsia="宋体" w:cs="Arial"/>
          <w:b/>
          <w:color w:val="000000"/>
          <w:sz w:val="26"/>
          <w:szCs w:val="26"/>
          <w:lang w:val="en-US" w:eastAsia="zh-CN"/>
        </w:rPr>
        <w:t>-</w:t>
      </w:r>
      <w:r>
        <w:rPr>
          <w:rFonts w:hint="eastAsia" w:ascii="Arial" w:hAnsi="Arial" w:eastAsia="宋体" w:cs="Arial"/>
          <w:b/>
          <w:color w:val="000000"/>
          <w:sz w:val="26"/>
          <w:szCs w:val="26"/>
        </w:rPr>
        <w:t>1  项目竣工环境保护验收要求及内容</w:t>
      </w:r>
    </w:p>
    <w:tbl>
      <w:tblPr>
        <w:tblStyle w:val="77"/>
        <w:tblW w:w="95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7"/>
        <w:gridCol w:w="1331"/>
        <w:gridCol w:w="1559"/>
        <w:gridCol w:w="2893"/>
        <w:gridCol w:w="2635"/>
      </w:tblGrid>
      <w:tr w14:paraId="49145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79B69375">
            <w:pPr>
              <w:spacing w:line="300" w:lineRule="exact"/>
              <w:jc w:val="center"/>
              <w:rPr>
                <w:rFonts w:hint="eastAsia" w:ascii="Arial" w:hAnsi="Arial" w:cs="Arial"/>
                <w:sz w:val="22"/>
                <w:szCs w:val="22"/>
              </w:rPr>
            </w:pPr>
            <w:r>
              <w:rPr>
                <w:rFonts w:hint="eastAsia" w:ascii="Arial" w:hAnsi="Arial" w:cs="Arial"/>
                <w:sz w:val="22"/>
                <w:szCs w:val="22"/>
              </w:rPr>
              <w:t>验收项目</w:t>
            </w:r>
          </w:p>
        </w:tc>
        <w:tc>
          <w:tcPr>
            <w:tcW w:w="1331" w:type="dxa"/>
            <w:noWrap w:val="0"/>
            <w:vAlign w:val="center"/>
          </w:tcPr>
          <w:p w14:paraId="459236AE">
            <w:pPr>
              <w:spacing w:line="300" w:lineRule="exact"/>
              <w:jc w:val="center"/>
              <w:rPr>
                <w:rFonts w:hint="eastAsia" w:ascii="Arial" w:hAnsi="Arial" w:cs="Arial"/>
                <w:sz w:val="22"/>
                <w:szCs w:val="22"/>
              </w:rPr>
            </w:pPr>
            <w:r>
              <w:rPr>
                <w:rFonts w:hint="eastAsia" w:ascii="Arial" w:hAnsi="Arial" w:cs="Arial"/>
                <w:sz w:val="22"/>
                <w:szCs w:val="22"/>
              </w:rPr>
              <w:t>验收点</w:t>
            </w:r>
          </w:p>
        </w:tc>
        <w:tc>
          <w:tcPr>
            <w:tcW w:w="1559" w:type="dxa"/>
            <w:noWrap w:val="0"/>
            <w:vAlign w:val="center"/>
          </w:tcPr>
          <w:p w14:paraId="64384C63">
            <w:pPr>
              <w:spacing w:line="300" w:lineRule="exact"/>
              <w:jc w:val="center"/>
              <w:rPr>
                <w:rFonts w:hint="eastAsia" w:ascii="Arial" w:hAnsi="Arial" w:cs="Arial"/>
                <w:sz w:val="22"/>
                <w:szCs w:val="22"/>
              </w:rPr>
            </w:pPr>
            <w:r>
              <w:rPr>
                <w:rFonts w:hint="eastAsia" w:ascii="Arial" w:hAnsi="Arial" w:cs="Arial"/>
                <w:sz w:val="22"/>
                <w:szCs w:val="22"/>
              </w:rPr>
              <w:t>治理措施</w:t>
            </w:r>
          </w:p>
        </w:tc>
        <w:tc>
          <w:tcPr>
            <w:tcW w:w="2893" w:type="dxa"/>
            <w:noWrap w:val="0"/>
            <w:vAlign w:val="center"/>
          </w:tcPr>
          <w:p w14:paraId="46B521A4">
            <w:pPr>
              <w:spacing w:line="300" w:lineRule="exact"/>
              <w:jc w:val="center"/>
              <w:rPr>
                <w:rFonts w:hint="eastAsia" w:ascii="Arial" w:hAnsi="Arial" w:cs="Arial"/>
                <w:sz w:val="22"/>
                <w:szCs w:val="22"/>
              </w:rPr>
            </w:pPr>
            <w:r>
              <w:rPr>
                <w:rFonts w:hint="eastAsia" w:ascii="Arial" w:hAnsi="Arial" w:cs="Arial"/>
                <w:sz w:val="22"/>
                <w:szCs w:val="22"/>
              </w:rPr>
              <w:t>验收内容及指标</w:t>
            </w:r>
          </w:p>
        </w:tc>
        <w:tc>
          <w:tcPr>
            <w:tcW w:w="2635" w:type="dxa"/>
            <w:noWrap w:val="0"/>
            <w:vAlign w:val="center"/>
          </w:tcPr>
          <w:p w14:paraId="279FF071">
            <w:pPr>
              <w:spacing w:line="300" w:lineRule="exact"/>
              <w:jc w:val="center"/>
              <w:rPr>
                <w:rFonts w:hint="eastAsia" w:ascii="Arial" w:hAnsi="Arial" w:cs="Arial"/>
                <w:sz w:val="22"/>
                <w:szCs w:val="22"/>
              </w:rPr>
            </w:pPr>
            <w:r>
              <w:rPr>
                <w:rFonts w:hint="eastAsia" w:ascii="Arial" w:hAnsi="Arial" w:cs="Arial"/>
                <w:sz w:val="22"/>
                <w:szCs w:val="22"/>
              </w:rPr>
              <w:t>验收标准及要求</w:t>
            </w:r>
          </w:p>
        </w:tc>
      </w:tr>
      <w:tr w14:paraId="0F5F2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restart"/>
            <w:noWrap w:val="0"/>
            <w:vAlign w:val="center"/>
          </w:tcPr>
          <w:p w14:paraId="4311F397">
            <w:pPr>
              <w:spacing w:line="300" w:lineRule="exact"/>
              <w:jc w:val="center"/>
              <w:rPr>
                <w:rFonts w:hint="eastAsia" w:ascii="Arial" w:hAnsi="Arial" w:cs="Arial"/>
                <w:sz w:val="22"/>
                <w:szCs w:val="22"/>
              </w:rPr>
            </w:pPr>
            <w:r>
              <w:rPr>
                <w:rFonts w:hint="eastAsia" w:ascii="Arial" w:hAnsi="Arial" w:cs="Arial"/>
                <w:sz w:val="22"/>
                <w:szCs w:val="22"/>
              </w:rPr>
              <w:t>污废水</w:t>
            </w:r>
          </w:p>
        </w:tc>
        <w:tc>
          <w:tcPr>
            <w:tcW w:w="1331" w:type="dxa"/>
            <w:noWrap w:val="0"/>
            <w:vAlign w:val="center"/>
          </w:tcPr>
          <w:p w14:paraId="35F8D514">
            <w:pPr>
              <w:spacing w:line="300" w:lineRule="exact"/>
              <w:jc w:val="center"/>
              <w:rPr>
                <w:rFonts w:hint="eastAsia" w:ascii="Arial" w:hAnsi="Arial" w:cs="Arial"/>
                <w:sz w:val="22"/>
                <w:szCs w:val="22"/>
              </w:rPr>
            </w:pPr>
            <w:r>
              <w:rPr>
                <w:rFonts w:hint="eastAsia" w:ascii="Arial" w:hAnsi="Arial" w:cs="Arial"/>
                <w:sz w:val="22"/>
                <w:szCs w:val="22"/>
              </w:rPr>
              <w:t>水库管理</w:t>
            </w:r>
          </w:p>
          <w:p w14:paraId="0B3E50C9">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用房</w:t>
            </w:r>
          </w:p>
        </w:tc>
        <w:tc>
          <w:tcPr>
            <w:tcW w:w="1559" w:type="dxa"/>
            <w:noWrap w:val="0"/>
            <w:vAlign w:val="center"/>
          </w:tcPr>
          <w:p w14:paraId="527C5DF7">
            <w:pPr>
              <w:spacing w:line="300" w:lineRule="exact"/>
              <w:jc w:val="center"/>
              <w:rPr>
                <w:rFonts w:hint="eastAsia" w:ascii="Arial" w:hAnsi="Arial" w:cs="Arial"/>
                <w:sz w:val="22"/>
                <w:szCs w:val="22"/>
              </w:rPr>
            </w:pPr>
            <w:r>
              <w:rPr>
                <w:rFonts w:hint="eastAsia" w:ascii="Arial" w:hAnsi="Arial" w:cs="Arial"/>
                <w:sz w:val="22"/>
                <w:szCs w:val="22"/>
              </w:rPr>
              <w:t>化粪池</w:t>
            </w:r>
          </w:p>
        </w:tc>
        <w:tc>
          <w:tcPr>
            <w:tcW w:w="2893" w:type="dxa"/>
            <w:noWrap w:val="0"/>
            <w:vAlign w:val="center"/>
          </w:tcPr>
          <w:p w14:paraId="3BB025A9">
            <w:pPr>
              <w:spacing w:line="300" w:lineRule="exact"/>
              <w:jc w:val="center"/>
              <w:rPr>
                <w:rFonts w:hint="eastAsia" w:ascii="Arial" w:hAnsi="Arial" w:cs="Arial"/>
                <w:sz w:val="22"/>
                <w:szCs w:val="22"/>
              </w:rPr>
            </w:pPr>
            <w:r>
              <w:rPr>
                <w:rFonts w:hint="eastAsia" w:ascii="Arial" w:hAnsi="Arial" w:cs="Arial"/>
                <w:sz w:val="22"/>
                <w:szCs w:val="22"/>
              </w:rPr>
              <w:t>生活污水处理方式及去向</w:t>
            </w:r>
          </w:p>
        </w:tc>
        <w:tc>
          <w:tcPr>
            <w:tcW w:w="2635" w:type="dxa"/>
            <w:noWrap w:val="0"/>
            <w:vAlign w:val="center"/>
          </w:tcPr>
          <w:p w14:paraId="24B43610">
            <w:pPr>
              <w:spacing w:line="300" w:lineRule="exact"/>
              <w:jc w:val="center"/>
              <w:rPr>
                <w:rFonts w:hint="eastAsia" w:ascii="Arial" w:hAnsi="Arial" w:cs="Arial"/>
                <w:sz w:val="22"/>
                <w:szCs w:val="22"/>
              </w:rPr>
            </w:pPr>
            <w:r>
              <w:rPr>
                <w:rFonts w:hint="eastAsia" w:ascii="Arial" w:hAnsi="Arial" w:cs="Arial"/>
                <w:sz w:val="22"/>
                <w:szCs w:val="22"/>
              </w:rPr>
              <w:t>生活污水经化粪池收集处理后，</w:t>
            </w:r>
            <w:r>
              <w:rPr>
                <w:rFonts w:hint="eastAsia" w:ascii="Arial" w:hAnsi="Arial" w:cs="Arial"/>
                <w:sz w:val="22"/>
                <w:szCs w:val="22"/>
                <w:lang w:eastAsia="zh-CN"/>
              </w:rPr>
              <w:t>交附近居民作农肥</w:t>
            </w:r>
            <w:r>
              <w:rPr>
                <w:rFonts w:hint="eastAsia" w:ascii="Arial" w:hAnsi="Arial" w:cs="Arial"/>
                <w:sz w:val="22"/>
                <w:szCs w:val="22"/>
              </w:rPr>
              <w:t>，不外排。</w:t>
            </w:r>
          </w:p>
        </w:tc>
      </w:tr>
      <w:tr w14:paraId="3BFF29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41670F89">
            <w:pPr>
              <w:spacing w:line="300" w:lineRule="exact"/>
              <w:jc w:val="center"/>
              <w:rPr>
                <w:rFonts w:hint="eastAsia" w:ascii="Arial" w:hAnsi="Arial" w:cs="Arial"/>
                <w:sz w:val="22"/>
                <w:szCs w:val="22"/>
              </w:rPr>
            </w:pPr>
          </w:p>
        </w:tc>
        <w:tc>
          <w:tcPr>
            <w:tcW w:w="1331" w:type="dxa"/>
            <w:noWrap w:val="0"/>
            <w:vAlign w:val="center"/>
          </w:tcPr>
          <w:p w14:paraId="40439090">
            <w:pPr>
              <w:spacing w:line="300" w:lineRule="exact"/>
              <w:jc w:val="center"/>
              <w:rPr>
                <w:rFonts w:hint="eastAsia" w:ascii="Arial" w:hAnsi="Arial" w:cs="Arial"/>
                <w:sz w:val="22"/>
                <w:szCs w:val="22"/>
              </w:rPr>
            </w:pPr>
            <w:r>
              <w:rPr>
                <w:rFonts w:hint="eastAsia" w:ascii="Arial" w:hAnsi="Arial" w:cs="Arial"/>
                <w:sz w:val="22"/>
                <w:szCs w:val="22"/>
              </w:rPr>
              <w:t>灌区回归水</w:t>
            </w:r>
          </w:p>
        </w:tc>
        <w:tc>
          <w:tcPr>
            <w:tcW w:w="7087" w:type="dxa"/>
            <w:gridSpan w:val="3"/>
            <w:noWrap w:val="0"/>
            <w:vAlign w:val="center"/>
          </w:tcPr>
          <w:p w14:paraId="62A7D36C">
            <w:pPr>
              <w:spacing w:line="300" w:lineRule="exact"/>
              <w:jc w:val="center"/>
              <w:rPr>
                <w:rFonts w:hint="eastAsia" w:ascii="Arial" w:hAnsi="Arial" w:cs="Arial"/>
                <w:sz w:val="22"/>
                <w:szCs w:val="22"/>
              </w:rPr>
            </w:pPr>
            <w:r>
              <w:rPr>
                <w:rFonts w:hint="default" w:ascii="Arial" w:hAnsi="Arial" w:cs="Arial"/>
                <w:sz w:val="22"/>
                <w:szCs w:val="22"/>
              </w:rPr>
              <w:t>灌区应采取科学的灌溉措施，加强工程管理，减少管道漏水；</w:t>
            </w:r>
            <w:r>
              <w:rPr>
                <w:rFonts w:hint="eastAsia" w:ascii="Arial" w:hAnsi="Arial" w:cs="Arial"/>
                <w:sz w:val="22"/>
                <w:szCs w:val="22"/>
                <w:lang w:eastAsia="zh-CN"/>
              </w:rPr>
              <w:t>与当地主管部门一同</w:t>
            </w:r>
            <w:r>
              <w:rPr>
                <w:rFonts w:hint="default" w:ascii="Arial" w:hAnsi="Arial" w:cs="Arial"/>
                <w:sz w:val="22"/>
                <w:szCs w:val="22"/>
              </w:rPr>
              <w:t>推行计划用水、科学用水、合理进行水量调配；</w:t>
            </w:r>
            <w:r>
              <w:rPr>
                <w:rFonts w:hint="eastAsia" w:ascii="Arial" w:hAnsi="Arial" w:cs="Arial"/>
                <w:sz w:val="22"/>
                <w:szCs w:val="22"/>
                <w:lang w:eastAsia="zh-CN"/>
              </w:rPr>
              <w:t>协同当地农业主管部</w:t>
            </w:r>
            <w:r>
              <w:rPr>
                <w:rFonts w:hint="eastAsia" w:ascii="Arial" w:hAnsi="Arial" w:cs="Arial"/>
                <w:color w:val="auto"/>
                <w:sz w:val="22"/>
                <w:szCs w:val="22"/>
                <w:lang w:eastAsia="zh-CN"/>
              </w:rPr>
              <w:t>门，</w:t>
            </w:r>
            <w:r>
              <w:rPr>
                <w:rFonts w:hint="default" w:ascii="Arial" w:hAnsi="Arial" w:cs="Arial"/>
                <w:bCs/>
                <w:color w:val="auto"/>
                <w:sz w:val="22"/>
                <w:szCs w:val="22"/>
              </w:rPr>
              <w:t>根据《长江保护修复攻坚战行动计划》，落实化肥、农药施用量负增长行动，通过开展化肥、农药减量利用和替代利用，加大测土配方施肥推广力度，引导科学合理施肥施药，</w:t>
            </w:r>
            <w:r>
              <w:rPr>
                <w:rFonts w:hint="default" w:ascii="Arial" w:hAnsi="Arial" w:cs="Arial"/>
                <w:color w:val="auto"/>
                <w:sz w:val="22"/>
                <w:szCs w:val="22"/>
              </w:rPr>
              <w:t>降低N、P流失量。</w:t>
            </w:r>
          </w:p>
        </w:tc>
      </w:tr>
      <w:tr w14:paraId="21C3E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4A013202">
            <w:pPr>
              <w:spacing w:line="300" w:lineRule="exact"/>
              <w:jc w:val="center"/>
              <w:rPr>
                <w:rFonts w:hint="eastAsia" w:ascii="Arial" w:hAnsi="Arial" w:cs="Arial"/>
                <w:sz w:val="22"/>
                <w:szCs w:val="22"/>
              </w:rPr>
            </w:pPr>
            <w:r>
              <w:rPr>
                <w:rFonts w:hint="eastAsia" w:ascii="Arial" w:hAnsi="Arial" w:cs="Arial"/>
                <w:sz w:val="22"/>
                <w:szCs w:val="22"/>
              </w:rPr>
              <w:t>废气</w:t>
            </w:r>
          </w:p>
        </w:tc>
        <w:tc>
          <w:tcPr>
            <w:tcW w:w="1331" w:type="dxa"/>
            <w:noWrap w:val="0"/>
            <w:vAlign w:val="center"/>
          </w:tcPr>
          <w:p w14:paraId="74C0793B">
            <w:pPr>
              <w:spacing w:line="300" w:lineRule="exact"/>
              <w:jc w:val="center"/>
              <w:rPr>
                <w:rFonts w:hint="eastAsia" w:ascii="Arial" w:hAnsi="Arial" w:cs="Arial"/>
                <w:sz w:val="22"/>
                <w:szCs w:val="22"/>
              </w:rPr>
            </w:pPr>
            <w:r>
              <w:rPr>
                <w:rFonts w:hint="eastAsia" w:ascii="Arial" w:hAnsi="Arial" w:cs="Arial"/>
                <w:sz w:val="22"/>
                <w:szCs w:val="22"/>
              </w:rPr>
              <w:t>水库管理</w:t>
            </w:r>
          </w:p>
          <w:p w14:paraId="0EAC9B8E">
            <w:pPr>
              <w:spacing w:line="300" w:lineRule="exact"/>
              <w:jc w:val="center"/>
              <w:rPr>
                <w:rFonts w:hint="eastAsia" w:ascii="Arial" w:hAnsi="Arial" w:cs="Arial"/>
                <w:sz w:val="22"/>
                <w:szCs w:val="22"/>
              </w:rPr>
            </w:pPr>
            <w:r>
              <w:rPr>
                <w:rFonts w:hint="eastAsia" w:ascii="Arial" w:hAnsi="Arial" w:cs="Arial"/>
                <w:sz w:val="22"/>
                <w:szCs w:val="22"/>
                <w:lang w:eastAsia="zh-CN"/>
              </w:rPr>
              <w:t>用房</w:t>
            </w:r>
          </w:p>
        </w:tc>
        <w:tc>
          <w:tcPr>
            <w:tcW w:w="1559" w:type="dxa"/>
            <w:noWrap w:val="0"/>
            <w:vAlign w:val="center"/>
          </w:tcPr>
          <w:p w14:paraId="5DCD0D18">
            <w:pPr>
              <w:spacing w:line="300" w:lineRule="exact"/>
              <w:jc w:val="center"/>
              <w:rPr>
                <w:rFonts w:hint="eastAsia" w:ascii="Arial" w:hAnsi="Arial" w:cs="Arial"/>
                <w:sz w:val="22"/>
                <w:szCs w:val="22"/>
              </w:rPr>
            </w:pPr>
            <w:r>
              <w:rPr>
                <w:rFonts w:hint="eastAsia" w:ascii="Arial" w:hAnsi="Arial" w:cs="Arial"/>
                <w:sz w:val="22"/>
                <w:szCs w:val="22"/>
              </w:rPr>
              <w:t>油烟净化器</w:t>
            </w:r>
          </w:p>
        </w:tc>
        <w:tc>
          <w:tcPr>
            <w:tcW w:w="2893" w:type="dxa"/>
            <w:noWrap w:val="0"/>
            <w:vAlign w:val="center"/>
          </w:tcPr>
          <w:p w14:paraId="42CD8A03">
            <w:pPr>
              <w:spacing w:line="300" w:lineRule="exact"/>
              <w:jc w:val="center"/>
              <w:rPr>
                <w:rFonts w:hint="eastAsia" w:ascii="Arial" w:hAnsi="Arial" w:cs="Arial"/>
                <w:sz w:val="22"/>
                <w:szCs w:val="22"/>
              </w:rPr>
            </w:pPr>
            <w:r>
              <w:rPr>
                <w:rFonts w:hint="eastAsia" w:ascii="Arial" w:hAnsi="Arial" w:cs="Arial"/>
                <w:sz w:val="22"/>
                <w:szCs w:val="22"/>
              </w:rPr>
              <w:t>职工食堂燃料结构，烹饪油烟处理方式及去向</w:t>
            </w:r>
          </w:p>
        </w:tc>
        <w:tc>
          <w:tcPr>
            <w:tcW w:w="2635" w:type="dxa"/>
            <w:noWrap w:val="0"/>
            <w:vAlign w:val="center"/>
          </w:tcPr>
          <w:p w14:paraId="2EC86135">
            <w:pPr>
              <w:spacing w:line="300" w:lineRule="exact"/>
              <w:jc w:val="center"/>
              <w:rPr>
                <w:rFonts w:hint="eastAsia" w:ascii="Arial" w:hAnsi="Arial" w:cs="Arial"/>
                <w:sz w:val="22"/>
                <w:szCs w:val="22"/>
              </w:rPr>
            </w:pPr>
            <w:r>
              <w:rPr>
                <w:rFonts w:hint="eastAsia" w:ascii="Arial" w:hAnsi="Arial" w:cs="Arial"/>
                <w:sz w:val="22"/>
                <w:szCs w:val="22"/>
              </w:rPr>
              <w:t>以液化石油气、电等清洁能源为燃料，食堂油烟经油烟净化器处理达标后，由专用烟道引至超屋顶外排。</w:t>
            </w:r>
          </w:p>
        </w:tc>
      </w:tr>
      <w:tr w14:paraId="4D916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1885C503">
            <w:pPr>
              <w:spacing w:line="300" w:lineRule="exact"/>
              <w:jc w:val="center"/>
              <w:rPr>
                <w:rFonts w:hint="eastAsia" w:ascii="Arial" w:hAnsi="Arial" w:cs="Arial"/>
                <w:sz w:val="22"/>
                <w:szCs w:val="22"/>
              </w:rPr>
            </w:pPr>
            <w:r>
              <w:rPr>
                <w:rFonts w:hint="eastAsia" w:ascii="Arial" w:hAnsi="Arial" w:cs="Arial"/>
                <w:sz w:val="22"/>
                <w:szCs w:val="22"/>
              </w:rPr>
              <w:t>噪声</w:t>
            </w:r>
          </w:p>
        </w:tc>
        <w:tc>
          <w:tcPr>
            <w:tcW w:w="1331" w:type="dxa"/>
            <w:noWrap w:val="0"/>
            <w:vAlign w:val="center"/>
          </w:tcPr>
          <w:p w14:paraId="2D28F990">
            <w:pPr>
              <w:spacing w:line="300" w:lineRule="exact"/>
              <w:jc w:val="center"/>
              <w:rPr>
                <w:rFonts w:hint="eastAsia" w:ascii="Arial" w:hAnsi="Arial" w:cs="Arial"/>
                <w:sz w:val="22"/>
                <w:szCs w:val="22"/>
              </w:rPr>
            </w:pPr>
            <w:r>
              <w:rPr>
                <w:rFonts w:hint="eastAsia" w:ascii="Arial" w:hAnsi="Arial" w:cs="Arial"/>
                <w:sz w:val="22"/>
                <w:szCs w:val="22"/>
              </w:rPr>
              <w:t>枢纽工程</w:t>
            </w:r>
          </w:p>
          <w:p w14:paraId="11D44027">
            <w:pPr>
              <w:spacing w:line="300" w:lineRule="exact"/>
              <w:jc w:val="center"/>
              <w:rPr>
                <w:rFonts w:hint="eastAsia" w:ascii="Arial" w:hAnsi="Arial" w:cs="Arial"/>
                <w:sz w:val="22"/>
                <w:szCs w:val="22"/>
              </w:rPr>
            </w:pPr>
            <w:r>
              <w:rPr>
                <w:rFonts w:hint="eastAsia" w:ascii="Arial" w:hAnsi="Arial" w:cs="Arial"/>
                <w:sz w:val="22"/>
                <w:szCs w:val="22"/>
              </w:rPr>
              <w:t>场界</w:t>
            </w:r>
          </w:p>
        </w:tc>
        <w:tc>
          <w:tcPr>
            <w:tcW w:w="1559" w:type="dxa"/>
            <w:noWrap w:val="0"/>
            <w:vAlign w:val="center"/>
          </w:tcPr>
          <w:p w14:paraId="78BE79BA">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闸阀房密闭设置，上坝道路车流量小。</w:t>
            </w:r>
          </w:p>
        </w:tc>
        <w:tc>
          <w:tcPr>
            <w:tcW w:w="2893" w:type="dxa"/>
            <w:noWrap w:val="0"/>
            <w:vAlign w:val="center"/>
          </w:tcPr>
          <w:p w14:paraId="40E1A364">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枢纽工程降噪措施落实情况。</w:t>
            </w:r>
          </w:p>
        </w:tc>
        <w:tc>
          <w:tcPr>
            <w:tcW w:w="2635" w:type="dxa"/>
            <w:noWrap w:val="0"/>
            <w:vAlign w:val="center"/>
          </w:tcPr>
          <w:p w14:paraId="6002198B">
            <w:pPr>
              <w:spacing w:line="300" w:lineRule="exact"/>
              <w:jc w:val="center"/>
              <w:rPr>
                <w:rFonts w:hint="eastAsia" w:ascii="Arial" w:hAnsi="Arial" w:cs="Arial"/>
                <w:sz w:val="22"/>
                <w:szCs w:val="22"/>
              </w:rPr>
            </w:pPr>
            <w:r>
              <w:rPr>
                <w:rFonts w:hint="eastAsia" w:ascii="Arial" w:hAnsi="Arial" w:cs="Arial"/>
                <w:sz w:val="22"/>
                <w:szCs w:val="22"/>
              </w:rPr>
              <w:t>场界噪声满足</w:t>
            </w:r>
            <w:r>
              <w:rPr>
                <w:rFonts w:hint="eastAsia" w:ascii="Arial" w:cs="Arial"/>
                <w:sz w:val="22"/>
              </w:rPr>
              <w:t>《工业企业厂界环境噪声排放标准》</w:t>
            </w:r>
            <w:r>
              <w:rPr>
                <w:rFonts w:hint="eastAsia" w:ascii="Arial" w:hAnsi="Arial" w:cs="Arial"/>
                <w:sz w:val="22"/>
              </w:rPr>
              <w:t>（</w:t>
            </w:r>
            <w:r>
              <w:rPr>
                <w:rFonts w:ascii="Arial" w:hAnsi="Arial" w:cs="Arial"/>
                <w:sz w:val="22"/>
              </w:rPr>
              <w:t>GB12348-2008</w:t>
            </w:r>
            <w:r>
              <w:rPr>
                <w:rFonts w:hint="eastAsia" w:ascii="Arial" w:hAnsi="Arial" w:cs="Arial"/>
                <w:sz w:val="22"/>
              </w:rPr>
              <w:t>）</w:t>
            </w:r>
            <w:r>
              <w:rPr>
                <w:rFonts w:hint="eastAsia" w:ascii="Arial" w:cs="Arial"/>
                <w:sz w:val="22"/>
              </w:rPr>
              <w:t>中</w:t>
            </w:r>
            <w:r>
              <w:rPr>
                <w:rFonts w:hint="eastAsia" w:ascii="Arial" w:cs="Arial"/>
                <w:sz w:val="22"/>
                <w:lang w:val="en-US" w:eastAsia="zh-CN"/>
              </w:rPr>
              <w:t>1</w:t>
            </w:r>
            <w:r>
              <w:rPr>
                <w:rFonts w:hint="eastAsia" w:ascii="Arial" w:cs="Arial"/>
                <w:sz w:val="22"/>
              </w:rPr>
              <w:t>类区标准限值要求，昼间≤</w:t>
            </w:r>
            <w:r>
              <w:rPr>
                <w:rFonts w:hint="eastAsia" w:ascii="Arial" w:cs="Arial"/>
                <w:sz w:val="22"/>
                <w:lang w:val="en-US" w:eastAsia="zh-CN"/>
              </w:rPr>
              <w:t>55</w:t>
            </w:r>
            <w:r>
              <w:rPr>
                <w:rFonts w:hint="eastAsia" w:ascii="Arial" w:cs="Arial"/>
                <w:sz w:val="22"/>
              </w:rPr>
              <w:t>dB（A）、夜间≤</w:t>
            </w:r>
            <w:r>
              <w:rPr>
                <w:rFonts w:hint="eastAsia" w:ascii="Arial" w:cs="Arial"/>
                <w:sz w:val="22"/>
                <w:lang w:val="en-US" w:eastAsia="zh-CN"/>
              </w:rPr>
              <w:t>45</w:t>
            </w:r>
            <w:r>
              <w:rPr>
                <w:rFonts w:hint="eastAsia" w:ascii="Arial" w:cs="Arial"/>
                <w:sz w:val="22"/>
              </w:rPr>
              <w:t>dB（A）</w:t>
            </w:r>
          </w:p>
        </w:tc>
      </w:tr>
      <w:tr w14:paraId="4F194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restart"/>
            <w:noWrap w:val="0"/>
            <w:vAlign w:val="center"/>
          </w:tcPr>
          <w:p w14:paraId="02D1D7C3">
            <w:pPr>
              <w:spacing w:line="300" w:lineRule="exact"/>
              <w:jc w:val="center"/>
              <w:rPr>
                <w:rFonts w:hint="eastAsia" w:ascii="Arial" w:hAnsi="Arial" w:cs="Arial"/>
                <w:sz w:val="22"/>
                <w:szCs w:val="22"/>
              </w:rPr>
            </w:pPr>
            <w:r>
              <w:rPr>
                <w:rFonts w:hint="eastAsia" w:ascii="Arial" w:hAnsi="Arial" w:cs="Arial"/>
                <w:sz w:val="22"/>
                <w:szCs w:val="22"/>
              </w:rPr>
              <w:t>固体废</w:t>
            </w:r>
          </w:p>
          <w:p w14:paraId="00315D92">
            <w:pPr>
              <w:spacing w:line="300" w:lineRule="exact"/>
              <w:jc w:val="center"/>
              <w:rPr>
                <w:rFonts w:hint="eastAsia" w:ascii="Arial" w:hAnsi="Arial" w:cs="Arial"/>
                <w:sz w:val="22"/>
                <w:szCs w:val="22"/>
              </w:rPr>
            </w:pPr>
            <w:r>
              <w:rPr>
                <w:rFonts w:hint="eastAsia" w:ascii="Arial" w:hAnsi="Arial" w:cs="Arial"/>
                <w:sz w:val="22"/>
                <w:szCs w:val="22"/>
              </w:rPr>
              <w:t>弃物</w:t>
            </w:r>
          </w:p>
        </w:tc>
        <w:tc>
          <w:tcPr>
            <w:tcW w:w="1331" w:type="dxa"/>
            <w:vMerge w:val="restart"/>
            <w:noWrap w:val="0"/>
            <w:vAlign w:val="center"/>
          </w:tcPr>
          <w:p w14:paraId="3FBF207E">
            <w:pPr>
              <w:spacing w:line="300" w:lineRule="exact"/>
              <w:jc w:val="center"/>
              <w:rPr>
                <w:rFonts w:hint="eastAsia" w:ascii="Arial" w:hAnsi="Arial" w:cs="Arial"/>
                <w:sz w:val="22"/>
                <w:szCs w:val="22"/>
              </w:rPr>
            </w:pPr>
            <w:r>
              <w:rPr>
                <w:rFonts w:hint="eastAsia" w:ascii="Arial" w:hAnsi="Arial" w:cs="Arial"/>
                <w:sz w:val="22"/>
                <w:szCs w:val="22"/>
              </w:rPr>
              <w:t>水库管理</w:t>
            </w:r>
          </w:p>
          <w:p w14:paraId="2305B01C">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用房</w:t>
            </w:r>
          </w:p>
        </w:tc>
        <w:tc>
          <w:tcPr>
            <w:tcW w:w="1559" w:type="dxa"/>
            <w:noWrap w:val="0"/>
            <w:vAlign w:val="center"/>
          </w:tcPr>
          <w:p w14:paraId="1E0254F0">
            <w:pPr>
              <w:spacing w:line="300" w:lineRule="exact"/>
              <w:jc w:val="center"/>
              <w:rPr>
                <w:rFonts w:hint="eastAsia" w:ascii="Arial" w:hAnsi="Arial" w:cs="Arial"/>
                <w:sz w:val="22"/>
                <w:szCs w:val="22"/>
              </w:rPr>
            </w:pPr>
            <w:r>
              <w:rPr>
                <w:rFonts w:hint="eastAsia" w:ascii="Arial" w:hAnsi="Arial" w:cs="Arial"/>
                <w:sz w:val="22"/>
                <w:szCs w:val="22"/>
              </w:rPr>
              <w:t>垃圾桶</w:t>
            </w:r>
          </w:p>
        </w:tc>
        <w:tc>
          <w:tcPr>
            <w:tcW w:w="2893" w:type="dxa"/>
            <w:noWrap w:val="0"/>
            <w:vAlign w:val="center"/>
          </w:tcPr>
          <w:p w14:paraId="515CBCB3">
            <w:pPr>
              <w:spacing w:line="300" w:lineRule="exact"/>
              <w:jc w:val="center"/>
              <w:rPr>
                <w:rFonts w:hint="eastAsia" w:ascii="Arial" w:hAnsi="Arial" w:cs="Arial"/>
                <w:sz w:val="22"/>
                <w:szCs w:val="22"/>
              </w:rPr>
            </w:pPr>
            <w:r>
              <w:rPr>
                <w:rFonts w:hint="eastAsia" w:ascii="Arial" w:hAnsi="Arial" w:cs="Arial"/>
                <w:sz w:val="22"/>
                <w:szCs w:val="22"/>
              </w:rPr>
              <w:t>职工生活垃圾处理方式及去向</w:t>
            </w:r>
          </w:p>
        </w:tc>
        <w:tc>
          <w:tcPr>
            <w:tcW w:w="2635" w:type="dxa"/>
            <w:noWrap w:val="0"/>
            <w:vAlign w:val="center"/>
          </w:tcPr>
          <w:p w14:paraId="16A19814">
            <w:pPr>
              <w:spacing w:line="300" w:lineRule="exact"/>
              <w:jc w:val="center"/>
              <w:rPr>
                <w:rFonts w:hint="eastAsia" w:ascii="Arial" w:hAnsi="Arial" w:cs="Arial"/>
                <w:sz w:val="22"/>
                <w:szCs w:val="22"/>
              </w:rPr>
            </w:pPr>
            <w:r>
              <w:rPr>
                <w:rFonts w:hint="eastAsia" w:ascii="Arial" w:hAnsi="Arial" w:cs="Arial"/>
                <w:sz w:val="22"/>
                <w:szCs w:val="22"/>
              </w:rPr>
              <w:t>经垃圾桶集中收集后，交当地环卫部门统一清运处置</w:t>
            </w:r>
          </w:p>
        </w:tc>
      </w:tr>
      <w:tr w14:paraId="7C130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41707B62">
            <w:pPr>
              <w:spacing w:line="300" w:lineRule="exact"/>
              <w:jc w:val="center"/>
              <w:rPr>
                <w:rFonts w:hint="eastAsia" w:ascii="Arial" w:hAnsi="Arial" w:cs="Arial"/>
                <w:sz w:val="22"/>
                <w:szCs w:val="22"/>
              </w:rPr>
            </w:pPr>
          </w:p>
        </w:tc>
        <w:tc>
          <w:tcPr>
            <w:tcW w:w="1331" w:type="dxa"/>
            <w:vMerge w:val="continue"/>
            <w:noWrap w:val="0"/>
            <w:vAlign w:val="center"/>
          </w:tcPr>
          <w:p w14:paraId="6C6BABF4">
            <w:pPr>
              <w:spacing w:line="300" w:lineRule="exact"/>
              <w:jc w:val="center"/>
              <w:rPr>
                <w:rFonts w:hint="eastAsia" w:ascii="Arial" w:hAnsi="Arial" w:cs="Arial"/>
                <w:sz w:val="22"/>
                <w:szCs w:val="22"/>
              </w:rPr>
            </w:pPr>
          </w:p>
        </w:tc>
        <w:tc>
          <w:tcPr>
            <w:tcW w:w="1559" w:type="dxa"/>
            <w:noWrap w:val="0"/>
            <w:vAlign w:val="center"/>
          </w:tcPr>
          <w:p w14:paraId="7EFE18B3">
            <w:pPr>
              <w:spacing w:line="300" w:lineRule="exact"/>
              <w:jc w:val="center"/>
              <w:rPr>
                <w:rFonts w:hint="eastAsia" w:ascii="Arial" w:hAnsi="Arial" w:cs="Arial"/>
                <w:sz w:val="22"/>
                <w:szCs w:val="22"/>
              </w:rPr>
            </w:pPr>
            <w:r>
              <w:rPr>
                <w:rFonts w:hint="eastAsia" w:ascii="Arial" w:hAnsi="Arial" w:cs="Arial"/>
                <w:sz w:val="22"/>
                <w:szCs w:val="22"/>
              </w:rPr>
              <w:t>/</w:t>
            </w:r>
          </w:p>
        </w:tc>
        <w:tc>
          <w:tcPr>
            <w:tcW w:w="2893" w:type="dxa"/>
            <w:noWrap w:val="0"/>
            <w:vAlign w:val="center"/>
          </w:tcPr>
          <w:p w14:paraId="235145CE">
            <w:pPr>
              <w:spacing w:line="300" w:lineRule="exact"/>
              <w:jc w:val="center"/>
              <w:rPr>
                <w:rFonts w:hint="eastAsia" w:ascii="Arial" w:hAnsi="Arial" w:cs="Arial"/>
                <w:sz w:val="22"/>
                <w:szCs w:val="22"/>
              </w:rPr>
            </w:pPr>
            <w:r>
              <w:rPr>
                <w:rFonts w:hint="eastAsia" w:ascii="Arial" w:hAnsi="Arial" w:cs="Arial"/>
                <w:sz w:val="22"/>
                <w:szCs w:val="22"/>
              </w:rPr>
              <w:t>餐厨垃圾处理方式及去向</w:t>
            </w:r>
          </w:p>
        </w:tc>
        <w:tc>
          <w:tcPr>
            <w:tcW w:w="2635" w:type="dxa"/>
            <w:noWrap w:val="0"/>
            <w:vAlign w:val="center"/>
          </w:tcPr>
          <w:p w14:paraId="6600114C">
            <w:pPr>
              <w:spacing w:line="300" w:lineRule="exact"/>
              <w:jc w:val="center"/>
              <w:rPr>
                <w:rFonts w:hint="eastAsia" w:ascii="Arial" w:hAnsi="Arial" w:cs="Arial"/>
                <w:sz w:val="22"/>
                <w:szCs w:val="22"/>
              </w:rPr>
            </w:pPr>
            <w:r>
              <w:rPr>
                <w:rFonts w:hint="eastAsia" w:ascii="Arial" w:hAnsi="Arial" w:cs="Arial"/>
                <w:sz w:val="22"/>
                <w:szCs w:val="22"/>
              </w:rPr>
              <w:t>桶装收集后，交有资质单位收运处置</w:t>
            </w:r>
          </w:p>
        </w:tc>
      </w:tr>
      <w:tr w14:paraId="3FA16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70715A93">
            <w:pPr>
              <w:spacing w:line="300" w:lineRule="exact"/>
              <w:jc w:val="center"/>
              <w:rPr>
                <w:rFonts w:hint="eastAsia" w:ascii="Arial" w:hAnsi="Arial" w:cs="Arial"/>
                <w:sz w:val="22"/>
                <w:szCs w:val="22"/>
              </w:rPr>
            </w:pPr>
          </w:p>
        </w:tc>
        <w:tc>
          <w:tcPr>
            <w:tcW w:w="1331" w:type="dxa"/>
            <w:noWrap w:val="0"/>
            <w:vAlign w:val="center"/>
          </w:tcPr>
          <w:p w14:paraId="39D4B1A8">
            <w:pPr>
              <w:spacing w:line="300" w:lineRule="exact"/>
              <w:jc w:val="center"/>
              <w:rPr>
                <w:rFonts w:hint="eastAsia" w:ascii="Arial" w:hAnsi="Arial" w:cs="Arial"/>
                <w:sz w:val="22"/>
                <w:szCs w:val="22"/>
              </w:rPr>
            </w:pPr>
            <w:r>
              <w:rPr>
                <w:rFonts w:hint="eastAsia" w:ascii="Arial" w:hAnsi="Arial" w:cs="Arial"/>
                <w:sz w:val="22"/>
                <w:szCs w:val="22"/>
              </w:rPr>
              <w:t>库区</w:t>
            </w:r>
          </w:p>
        </w:tc>
        <w:tc>
          <w:tcPr>
            <w:tcW w:w="1559" w:type="dxa"/>
            <w:noWrap w:val="0"/>
            <w:vAlign w:val="center"/>
          </w:tcPr>
          <w:p w14:paraId="1C4B2BC4">
            <w:pPr>
              <w:spacing w:line="300" w:lineRule="exact"/>
              <w:jc w:val="center"/>
              <w:rPr>
                <w:rFonts w:hint="eastAsia" w:ascii="Arial" w:hAnsi="Arial" w:cs="Arial"/>
                <w:sz w:val="22"/>
                <w:szCs w:val="22"/>
              </w:rPr>
            </w:pPr>
            <w:r>
              <w:rPr>
                <w:rFonts w:hint="eastAsia" w:ascii="Arial" w:hAnsi="Arial" w:cs="Arial"/>
                <w:sz w:val="22"/>
                <w:szCs w:val="22"/>
              </w:rPr>
              <w:t>清捞漂浮垃圾</w:t>
            </w:r>
          </w:p>
        </w:tc>
        <w:tc>
          <w:tcPr>
            <w:tcW w:w="2893" w:type="dxa"/>
            <w:noWrap w:val="0"/>
            <w:vAlign w:val="center"/>
          </w:tcPr>
          <w:p w14:paraId="55518BE9">
            <w:pPr>
              <w:spacing w:line="300" w:lineRule="exact"/>
              <w:jc w:val="center"/>
              <w:rPr>
                <w:rFonts w:hint="eastAsia" w:ascii="Arial" w:hAnsi="Arial" w:cs="Arial"/>
                <w:sz w:val="22"/>
                <w:szCs w:val="22"/>
              </w:rPr>
            </w:pPr>
            <w:r>
              <w:rPr>
                <w:rFonts w:hint="eastAsia" w:ascii="Arial" w:hAnsi="Arial" w:cs="Arial"/>
                <w:sz w:val="22"/>
                <w:szCs w:val="22"/>
              </w:rPr>
              <w:t>库区水面清洁度及清捞废物处理方式及去向</w:t>
            </w:r>
          </w:p>
        </w:tc>
        <w:tc>
          <w:tcPr>
            <w:tcW w:w="2635" w:type="dxa"/>
            <w:noWrap w:val="0"/>
            <w:vAlign w:val="center"/>
          </w:tcPr>
          <w:p w14:paraId="4B8D7C3F">
            <w:pPr>
              <w:spacing w:line="300" w:lineRule="exact"/>
              <w:jc w:val="center"/>
              <w:rPr>
                <w:rFonts w:hint="eastAsia" w:ascii="Arial" w:hAnsi="Arial" w:cs="Arial"/>
                <w:sz w:val="22"/>
                <w:szCs w:val="22"/>
              </w:rPr>
            </w:pPr>
            <w:r>
              <w:rPr>
                <w:rFonts w:hint="eastAsia" w:ascii="Arial" w:hAnsi="Arial" w:cs="Arial"/>
                <w:sz w:val="22"/>
                <w:szCs w:val="22"/>
                <w:lang w:eastAsia="zh-CN"/>
              </w:rPr>
              <w:t>定期打捞，</w:t>
            </w:r>
            <w:r>
              <w:rPr>
                <w:rFonts w:hint="eastAsia" w:ascii="Arial" w:hAnsi="Arial" w:cs="Arial"/>
                <w:sz w:val="22"/>
                <w:szCs w:val="22"/>
              </w:rPr>
              <w:t>集中收集后，交当地环卫部门统一清运处置。</w:t>
            </w:r>
          </w:p>
        </w:tc>
      </w:tr>
      <w:tr w14:paraId="55D29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restart"/>
            <w:noWrap w:val="0"/>
            <w:vAlign w:val="center"/>
          </w:tcPr>
          <w:p w14:paraId="2838B96D">
            <w:pPr>
              <w:spacing w:line="300" w:lineRule="exact"/>
              <w:jc w:val="center"/>
              <w:rPr>
                <w:rFonts w:hint="eastAsia" w:ascii="Arial" w:hAnsi="Arial" w:cs="Arial"/>
                <w:sz w:val="22"/>
                <w:szCs w:val="22"/>
              </w:rPr>
            </w:pPr>
            <w:r>
              <w:rPr>
                <w:rFonts w:hint="eastAsia" w:ascii="Arial" w:hAnsi="Arial" w:cs="Arial"/>
                <w:sz w:val="22"/>
                <w:szCs w:val="22"/>
              </w:rPr>
              <w:t>地表水</w:t>
            </w:r>
          </w:p>
          <w:p w14:paraId="49274134">
            <w:pPr>
              <w:spacing w:line="300" w:lineRule="exact"/>
              <w:jc w:val="center"/>
              <w:rPr>
                <w:rFonts w:hint="eastAsia" w:ascii="Arial" w:hAnsi="Arial" w:cs="Arial"/>
                <w:sz w:val="22"/>
                <w:szCs w:val="22"/>
              </w:rPr>
            </w:pPr>
            <w:r>
              <w:rPr>
                <w:rFonts w:hint="eastAsia" w:ascii="Arial" w:hAnsi="Arial" w:cs="Arial"/>
                <w:sz w:val="22"/>
                <w:szCs w:val="22"/>
              </w:rPr>
              <w:t>环境</w:t>
            </w:r>
          </w:p>
        </w:tc>
        <w:tc>
          <w:tcPr>
            <w:tcW w:w="1331" w:type="dxa"/>
            <w:noWrap w:val="0"/>
            <w:vAlign w:val="center"/>
          </w:tcPr>
          <w:p w14:paraId="55FB0903">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库区</w:t>
            </w:r>
          </w:p>
        </w:tc>
        <w:tc>
          <w:tcPr>
            <w:tcW w:w="1559" w:type="dxa"/>
            <w:noWrap w:val="0"/>
            <w:vAlign w:val="center"/>
          </w:tcPr>
          <w:p w14:paraId="4F1DE283">
            <w:pPr>
              <w:spacing w:line="300" w:lineRule="exact"/>
              <w:jc w:val="center"/>
              <w:rPr>
                <w:rFonts w:hint="eastAsia" w:ascii="Arial" w:hAnsi="Arial" w:eastAsia="宋体" w:cs="Arial"/>
                <w:sz w:val="22"/>
                <w:szCs w:val="22"/>
                <w:lang w:eastAsia="zh-CN"/>
              </w:rPr>
            </w:pPr>
            <w:r>
              <w:rPr>
                <w:rFonts w:hint="eastAsia" w:ascii="Arial" w:hAnsi="Arial" w:cs="Arial"/>
                <w:sz w:val="22"/>
                <w:szCs w:val="22"/>
              </w:rPr>
              <w:t>划定</w:t>
            </w:r>
            <w:r>
              <w:rPr>
                <w:rFonts w:hint="eastAsia" w:ascii="Arial" w:hAnsi="Arial" w:cs="Arial"/>
                <w:sz w:val="22"/>
                <w:szCs w:val="22"/>
                <w:lang w:eastAsia="zh-CN"/>
              </w:rPr>
              <w:t>饮用水水源保护区</w:t>
            </w:r>
          </w:p>
        </w:tc>
        <w:tc>
          <w:tcPr>
            <w:tcW w:w="2893" w:type="dxa"/>
            <w:noWrap w:val="0"/>
            <w:vAlign w:val="center"/>
          </w:tcPr>
          <w:p w14:paraId="5F15CEAE">
            <w:pPr>
              <w:spacing w:line="300" w:lineRule="exact"/>
              <w:jc w:val="center"/>
              <w:rPr>
                <w:rFonts w:hint="eastAsia" w:ascii="Arial" w:hAnsi="Arial" w:cs="Arial"/>
                <w:sz w:val="22"/>
                <w:szCs w:val="22"/>
              </w:rPr>
            </w:pPr>
            <w:r>
              <w:rPr>
                <w:rFonts w:hint="eastAsia" w:ascii="Arial" w:cs="Arial"/>
                <w:sz w:val="22"/>
                <w:szCs w:val="22"/>
              </w:rPr>
              <w:t>《地表水环境质量标准》</w:t>
            </w:r>
            <w:r>
              <w:rPr>
                <w:rFonts w:ascii="宋体" w:hAnsi="宋体" w:cs="Arial"/>
                <w:sz w:val="22"/>
                <w:szCs w:val="22"/>
              </w:rPr>
              <w:t>(</w:t>
            </w:r>
            <w:r>
              <w:rPr>
                <w:rFonts w:ascii="Arial" w:cs="Arial"/>
                <w:sz w:val="22"/>
                <w:szCs w:val="22"/>
              </w:rPr>
              <w:t>GB3838-2002</w:t>
            </w:r>
            <w:r>
              <w:rPr>
                <w:rFonts w:ascii="宋体" w:hAnsi="宋体" w:cs="Arial"/>
                <w:sz w:val="22"/>
                <w:szCs w:val="22"/>
              </w:rPr>
              <w:t>)</w:t>
            </w:r>
            <w:r>
              <w:rPr>
                <w:rFonts w:hint="eastAsia" w:ascii="Arial" w:cs="Arial"/>
                <w:sz w:val="22"/>
                <w:szCs w:val="22"/>
              </w:rPr>
              <w:t>表</w:t>
            </w:r>
            <w:r>
              <w:rPr>
                <w:rFonts w:ascii="Arial" w:cs="Arial"/>
                <w:sz w:val="22"/>
                <w:szCs w:val="22"/>
              </w:rPr>
              <w:t>1</w:t>
            </w:r>
            <w:r>
              <w:rPr>
                <w:rFonts w:hint="eastAsia" w:ascii="Arial" w:cs="Arial"/>
                <w:sz w:val="22"/>
                <w:szCs w:val="22"/>
              </w:rPr>
              <w:t>的基本项目（</w:t>
            </w:r>
            <w:r>
              <w:rPr>
                <w:rFonts w:ascii="Arial" w:cs="Arial"/>
                <w:sz w:val="22"/>
                <w:szCs w:val="22"/>
              </w:rPr>
              <w:t>2</w:t>
            </w:r>
            <w:r>
              <w:rPr>
                <w:rFonts w:hint="eastAsia" w:ascii="Arial" w:cs="Arial"/>
                <w:sz w:val="22"/>
                <w:szCs w:val="22"/>
                <w:lang w:val="en-US" w:eastAsia="zh-CN"/>
              </w:rPr>
              <w:t>3</w:t>
            </w:r>
            <w:r>
              <w:rPr>
                <w:rFonts w:hint="eastAsia" w:ascii="Arial" w:cs="Arial"/>
                <w:sz w:val="22"/>
                <w:szCs w:val="22"/>
              </w:rPr>
              <w:t>项</w:t>
            </w:r>
            <w:r>
              <w:rPr>
                <w:rFonts w:hint="eastAsia" w:ascii="Arial" w:cs="Arial"/>
                <w:sz w:val="22"/>
                <w:szCs w:val="22"/>
                <w:lang w:eastAsia="zh-CN"/>
              </w:rPr>
              <w:t>，</w:t>
            </w:r>
            <w:r>
              <w:rPr>
                <w:rFonts w:hint="eastAsia" w:ascii="Arial" w:cs="Arial"/>
                <w:sz w:val="22"/>
                <w:szCs w:val="22"/>
                <w:lang w:val="en-US" w:eastAsia="zh-CN"/>
              </w:rPr>
              <w:t>COD除外</w:t>
            </w:r>
            <w:r>
              <w:rPr>
                <w:rFonts w:hint="eastAsia" w:ascii="Arial" w:cs="Arial"/>
                <w:sz w:val="22"/>
                <w:szCs w:val="22"/>
              </w:rPr>
              <w:t>）、表</w:t>
            </w:r>
            <w:r>
              <w:rPr>
                <w:rFonts w:ascii="Arial" w:cs="Arial"/>
                <w:sz w:val="22"/>
                <w:szCs w:val="22"/>
              </w:rPr>
              <w:t>2</w:t>
            </w:r>
            <w:r>
              <w:rPr>
                <w:rFonts w:hint="eastAsia" w:ascii="Arial" w:cs="Arial"/>
                <w:sz w:val="22"/>
                <w:szCs w:val="22"/>
              </w:rPr>
              <w:t>的补充项目（</w:t>
            </w:r>
            <w:r>
              <w:rPr>
                <w:rFonts w:ascii="Arial" w:cs="Arial"/>
                <w:sz w:val="22"/>
                <w:szCs w:val="22"/>
              </w:rPr>
              <w:t>5</w:t>
            </w:r>
            <w:r>
              <w:rPr>
                <w:rFonts w:hint="eastAsia" w:ascii="Arial" w:cs="Arial"/>
                <w:sz w:val="22"/>
                <w:szCs w:val="22"/>
              </w:rPr>
              <w:t>项目）和表</w:t>
            </w:r>
            <w:r>
              <w:rPr>
                <w:rFonts w:ascii="Arial" w:cs="Arial"/>
                <w:sz w:val="22"/>
                <w:szCs w:val="22"/>
              </w:rPr>
              <w:t>3</w:t>
            </w:r>
            <w:r>
              <w:rPr>
                <w:rFonts w:hint="eastAsia" w:ascii="Arial" w:cs="Arial"/>
                <w:sz w:val="22"/>
                <w:szCs w:val="22"/>
              </w:rPr>
              <w:t>的优选特定项目（前</w:t>
            </w:r>
            <w:r>
              <w:rPr>
                <w:rFonts w:ascii="Arial" w:cs="Arial"/>
                <w:sz w:val="22"/>
                <w:szCs w:val="22"/>
              </w:rPr>
              <w:t>35</w:t>
            </w:r>
            <w:r>
              <w:rPr>
                <w:rFonts w:hint="eastAsia" w:ascii="Arial" w:cs="Arial"/>
                <w:sz w:val="22"/>
                <w:szCs w:val="22"/>
              </w:rPr>
              <w:t>项），共</w:t>
            </w:r>
            <w:r>
              <w:rPr>
                <w:rFonts w:ascii="Arial" w:cs="Arial"/>
                <w:sz w:val="22"/>
                <w:szCs w:val="22"/>
              </w:rPr>
              <w:t>6</w:t>
            </w:r>
            <w:r>
              <w:rPr>
                <w:rFonts w:hint="eastAsia" w:ascii="Arial" w:cs="Arial"/>
                <w:sz w:val="22"/>
                <w:szCs w:val="22"/>
                <w:lang w:val="en-US" w:eastAsia="zh-CN"/>
              </w:rPr>
              <w:t>5</w:t>
            </w:r>
            <w:r>
              <w:rPr>
                <w:rFonts w:hint="eastAsia" w:ascii="Arial" w:cs="Arial"/>
                <w:sz w:val="22"/>
                <w:szCs w:val="22"/>
              </w:rPr>
              <w:t>项</w:t>
            </w:r>
            <w:r>
              <w:rPr>
                <w:rFonts w:hint="eastAsia" w:ascii="Arial" w:cs="Arial"/>
                <w:sz w:val="22"/>
                <w:szCs w:val="22"/>
                <w:lang w:eastAsia="zh-CN"/>
              </w:rPr>
              <w:t>因子</w:t>
            </w:r>
            <w:r>
              <w:rPr>
                <w:rFonts w:hint="eastAsia" w:ascii="Arial" w:cs="Arial"/>
                <w:sz w:val="22"/>
                <w:szCs w:val="22"/>
              </w:rPr>
              <w:t>浓度的达标情况</w:t>
            </w:r>
          </w:p>
        </w:tc>
        <w:tc>
          <w:tcPr>
            <w:tcW w:w="2635" w:type="dxa"/>
            <w:noWrap w:val="0"/>
            <w:vAlign w:val="center"/>
          </w:tcPr>
          <w:p w14:paraId="0196F6F0">
            <w:pPr>
              <w:spacing w:line="300" w:lineRule="exact"/>
              <w:jc w:val="center"/>
              <w:rPr>
                <w:rFonts w:hint="eastAsia" w:ascii="Arial" w:hAnsi="Arial" w:cs="Arial"/>
                <w:sz w:val="22"/>
                <w:szCs w:val="22"/>
              </w:rPr>
            </w:pPr>
            <w:r>
              <w:rPr>
                <w:rFonts w:hint="eastAsia" w:ascii="Arial" w:hAnsi="Arial" w:cs="Arial"/>
                <w:sz w:val="22"/>
                <w:szCs w:val="22"/>
              </w:rPr>
              <w:t>满足《地表水环境质标准》（</w:t>
            </w:r>
            <w:r>
              <w:rPr>
                <w:rFonts w:ascii="Arial" w:hAnsi="Arial" w:cs="Arial"/>
                <w:sz w:val="22"/>
                <w:szCs w:val="22"/>
              </w:rPr>
              <w:t>GB3838-2002</w:t>
            </w:r>
            <w:r>
              <w:rPr>
                <w:rFonts w:hint="eastAsia" w:ascii="Arial" w:hAnsi="Arial" w:cs="Arial"/>
                <w:sz w:val="22"/>
                <w:szCs w:val="22"/>
              </w:rPr>
              <w:t>）中</w:t>
            </w:r>
            <w:r>
              <w:rPr>
                <w:rFonts w:hint="eastAsia" w:ascii="宋体" w:hAnsi="宋体" w:eastAsia="宋体" w:cs="宋体"/>
                <w:sz w:val="22"/>
                <w:szCs w:val="22"/>
              </w:rPr>
              <w:t>Ⅲ</w:t>
            </w:r>
            <w:r>
              <w:rPr>
                <w:rFonts w:hint="eastAsia" w:ascii="Arial" w:hAnsi="Arial" w:cs="Arial"/>
                <w:sz w:val="22"/>
                <w:szCs w:val="22"/>
              </w:rPr>
              <w:t>类标准。</w:t>
            </w:r>
          </w:p>
        </w:tc>
      </w:tr>
      <w:tr w14:paraId="1961E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53AA6AEF">
            <w:pPr>
              <w:spacing w:line="300" w:lineRule="exact"/>
              <w:jc w:val="center"/>
              <w:rPr>
                <w:rFonts w:hint="eastAsia" w:ascii="Arial" w:hAnsi="Arial" w:cs="Arial"/>
                <w:sz w:val="22"/>
                <w:szCs w:val="22"/>
              </w:rPr>
            </w:pPr>
          </w:p>
        </w:tc>
        <w:tc>
          <w:tcPr>
            <w:tcW w:w="1331" w:type="dxa"/>
            <w:noWrap w:val="0"/>
            <w:vAlign w:val="center"/>
          </w:tcPr>
          <w:p w14:paraId="6ADA4AE3">
            <w:pPr>
              <w:spacing w:line="300" w:lineRule="exact"/>
              <w:jc w:val="center"/>
              <w:rPr>
                <w:rFonts w:hint="eastAsia" w:ascii="Arial" w:hAnsi="Arial" w:cs="Arial"/>
                <w:sz w:val="22"/>
                <w:szCs w:val="22"/>
              </w:rPr>
            </w:pPr>
            <w:r>
              <w:rPr>
                <w:rFonts w:hint="eastAsia" w:ascii="Arial" w:hAnsi="Arial" w:cs="Arial"/>
                <w:sz w:val="22"/>
                <w:szCs w:val="22"/>
              </w:rPr>
              <w:t>库区</w:t>
            </w:r>
          </w:p>
        </w:tc>
        <w:tc>
          <w:tcPr>
            <w:tcW w:w="1559" w:type="dxa"/>
            <w:vMerge w:val="restart"/>
            <w:noWrap w:val="0"/>
            <w:vAlign w:val="center"/>
          </w:tcPr>
          <w:p w14:paraId="4796298C">
            <w:pPr>
              <w:spacing w:line="300" w:lineRule="exact"/>
              <w:jc w:val="center"/>
              <w:rPr>
                <w:rFonts w:hint="eastAsia" w:ascii="Arial" w:hAnsi="Arial" w:cs="Arial"/>
                <w:sz w:val="22"/>
                <w:szCs w:val="22"/>
              </w:rPr>
            </w:pPr>
            <w:r>
              <w:rPr>
                <w:rFonts w:hint="eastAsia" w:ascii="Arial" w:hAnsi="Arial" w:cs="Arial"/>
                <w:sz w:val="22"/>
                <w:szCs w:val="22"/>
              </w:rPr>
              <w:t>进行水质保护</w:t>
            </w:r>
          </w:p>
        </w:tc>
        <w:tc>
          <w:tcPr>
            <w:tcW w:w="2893" w:type="dxa"/>
            <w:noWrap w:val="0"/>
            <w:vAlign w:val="center"/>
          </w:tcPr>
          <w:p w14:paraId="7A283820">
            <w:pPr>
              <w:spacing w:line="300" w:lineRule="exact"/>
              <w:jc w:val="center"/>
              <w:rPr>
                <w:rFonts w:ascii="宋体" w:hAnsi="宋体" w:cs="Arial"/>
                <w:sz w:val="22"/>
                <w:szCs w:val="22"/>
              </w:rPr>
            </w:pPr>
            <w:r>
              <w:rPr>
                <w:rFonts w:hint="eastAsia" w:ascii="Arial" w:hAnsi="Arial" w:cs="Arial"/>
                <w:color w:val="auto"/>
                <w:sz w:val="22"/>
                <w:szCs w:val="22"/>
                <w:lang w:eastAsia="zh-CN"/>
              </w:rPr>
              <w:t>按照</w:t>
            </w:r>
            <w:r>
              <w:rPr>
                <w:rFonts w:hint="eastAsia" w:ascii="Arial" w:hAnsi="Arial" w:cs="Arial"/>
                <w:sz w:val="22"/>
                <w:szCs w:val="22"/>
              </w:rPr>
              <w:t>《饮用水水源保护区划分技术规范》（</w:t>
            </w:r>
            <w:r>
              <w:rPr>
                <w:rFonts w:ascii="Arial" w:hAnsi="Arial" w:cs="Arial"/>
                <w:sz w:val="22"/>
                <w:szCs w:val="22"/>
              </w:rPr>
              <w:t>HJ338-2018</w:t>
            </w:r>
            <w:r>
              <w:rPr>
                <w:rFonts w:hint="eastAsia" w:ascii="Arial" w:hAnsi="Arial" w:cs="Arial"/>
                <w:sz w:val="22"/>
                <w:szCs w:val="22"/>
              </w:rPr>
              <w:t>）</w:t>
            </w:r>
            <w:r>
              <w:rPr>
                <w:rFonts w:hint="eastAsia" w:ascii="Arial" w:hAnsi="Arial" w:cs="Arial"/>
                <w:sz w:val="22"/>
                <w:szCs w:val="22"/>
                <w:lang w:eastAsia="zh-CN"/>
              </w:rPr>
              <w:t>划定饮用水水源保护区，落实库底清理措施，并按照《中华人民共和国水污染防治法》、《饮用水水源保护区污染防治管理规定》（环境保护令第16号）、《关于进一步加强饮用水水源安全保障工作的通知》（环办〔2009〕30号）、《重庆市水资源管理条例》（重庆市人民代表大会常务委员会公告</w:t>
            </w:r>
            <w:r>
              <w:rPr>
                <w:rFonts w:hint="default" w:ascii="Arial" w:hAnsi="Arial" w:eastAsia="宋体" w:cs="Arial"/>
                <w:sz w:val="22"/>
                <w:szCs w:val="22"/>
                <w:lang w:eastAsia="zh-CN"/>
              </w:rPr>
              <w:t>〔</w:t>
            </w:r>
            <w:r>
              <w:rPr>
                <w:rFonts w:hint="default" w:ascii="Arial" w:hAnsi="Arial" w:eastAsia="宋体" w:cs="Arial"/>
                <w:sz w:val="22"/>
                <w:szCs w:val="22"/>
                <w:lang w:val="en-US" w:eastAsia="zh-CN"/>
              </w:rPr>
              <w:t>2015</w:t>
            </w:r>
            <w:r>
              <w:rPr>
                <w:rFonts w:hint="default" w:ascii="Arial" w:hAnsi="Arial" w:eastAsia="宋体" w:cs="Arial"/>
                <w:sz w:val="22"/>
                <w:szCs w:val="22"/>
                <w:lang w:eastAsia="zh-CN"/>
              </w:rPr>
              <w:t>〕第</w:t>
            </w:r>
            <w:r>
              <w:rPr>
                <w:rFonts w:hint="default" w:ascii="Arial" w:hAnsi="Arial" w:eastAsia="宋体" w:cs="Arial"/>
                <w:sz w:val="22"/>
                <w:szCs w:val="22"/>
                <w:lang w:val="en-US" w:eastAsia="zh-CN"/>
              </w:rPr>
              <w:t>14号</w:t>
            </w:r>
            <w:r>
              <w:rPr>
                <w:rFonts w:hint="eastAsia" w:ascii="宋体" w:hAnsi="宋体" w:eastAsia="宋体" w:cs="宋体"/>
                <w:sz w:val="22"/>
                <w:szCs w:val="22"/>
                <w:lang w:val="en-US" w:eastAsia="zh-CN"/>
              </w:rPr>
              <w:t>）</w:t>
            </w:r>
            <w:r>
              <w:rPr>
                <w:rFonts w:hint="eastAsia" w:ascii="Arial" w:hAnsi="Arial" w:cs="Arial"/>
                <w:sz w:val="22"/>
                <w:szCs w:val="22"/>
                <w:lang w:eastAsia="zh-CN"/>
              </w:rPr>
              <w:t>、《重庆市人民政府关于加强集中式饮用水源保护工作的通知》（渝府发〔2012〕79号）、</w:t>
            </w:r>
            <w:r>
              <w:rPr>
                <w:rFonts w:hint="default" w:ascii="Arial" w:hAnsi="Arial" w:cs="Arial"/>
                <w:sz w:val="22"/>
                <w:szCs w:val="22"/>
              </w:rPr>
              <w:t>《集中式饮用水水源环境保护指南（试行）》（环办〔2012〕50 号）</w:t>
            </w:r>
            <w:r>
              <w:rPr>
                <w:rFonts w:hint="eastAsia" w:ascii="Arial" w:hAnsi="Arial" w:cs="Arial"/>
                <w:sz w:val="22"/>
                <w:szCs w:val="22"/>
                <w:lang w:eastAsia="zh-CN"/>
              </w:rPr>
              <w:t>等文件要求，落实水源地水质保护措施。</w:t>
            </w:r>
          </w:p>
        </w:tc>
        <w:tc>
          <w:tcPr>
            <w:tcW w:w="2635" w:type="dxa"/>
            <w:noWrap w:val="0"/>
            <w:vAlign w:val="center"/>
          </w:tcPr>
          <w:p w14:paraId="2AB414CF">
            <w:pPr>
              <w:spacing w:line="300" w:lineRule="exact"/>
              <w:jc w:val="center"/>
              <w:rPr>
                <w:rFonts w:hint="eastAsia" w:ascii="Arial" w:hAnsi="Arial" w:eastAsia="宋体" w:cs="Arial"/>
                <w:sz w:val="22"/>
                <w:szCs w:val="22"/>
                <w:lang w:eastAsia="zh-CN"/>
              </w:rPr>
            </w:pPr>
            <w:r>
              <w:rPr>
                <w:rFonts w:hint="eastAsia" w:ascii="Arial" w:hAnsi="Arial" w:cs="Arial"/>
                <w:sz w:val="22"/>
                <w:szCs w:val="22"/>
              </w:rPr>
              <w:t>确保库区水质不受污染，满足饮用水</w:t>
            </w:r>
            <w:r>
              <w:rPr>
                <w:rFonts w:hint="eastAsia" w:ascii="Arial" w:hAnsi="Arial" w:cs="Arial"/>
                <w:sz w:val="22"/>
                <w:szCs w:val="22"/>
                <w:lang w:eastAsia="zh-CN"/>
              </w:rPr>
              <w:t>源地保护</w:t>
            </w:r>
            <w:r>
              <w:rPr>
                <w:rFonts w:hint="eastAsia" w:ascii="Arial" w:hAnsi="Arial" w:cs="Arial"/>
                <w:sz w:val="22"/>
                <w:szCs w:val="22"/>
              </w:rPr>
              <w:t>要求</w:t>
            </w:r>
            <w:r>
              <w:rPr>
                <w:rFonts w:hint="eastAsia" w:ascii="Arial" w:hAnsi="Arial" w:cs="Arial"/>
                <w:sz w:val="22"/>
                <w:szCs w:val="22"/>
                <w:lang w:eastAsia="zh-CN"/>
              </w:rPr>
              <w:t>，</w:t>
            </w:r>
            <w:r>
              <w:rPr>
                <w:rFonts w:hint="eastAsia" w:ascii="Arial" w:cs="Arial"/>
                <w:sz w:val="22"/>
                <w:szCs w:val="22"/>
              </w:rPr>
              <w:t>《地表水环境质量标准》</w:t>
            </w:r>
            <w:r>
              <w:rPr>
                <w:rFonts w:ascii="宋体" w:hAnsi="宋体" w:cs="Arial"/>
                <w:sz w:val="22"/>
                <w:szCs w:val="22"/>
              </w:rPr>
              <w:t>(</w:t>
            </w:r>
            <w:r>
              <w:rPr>
                <w:rFonts w:ascii="Arial" w:cs="Arial"/>
                <w:sz w:val="22"/>
                <w:szCs w:val="22"/>
              </w:rPr>
              <w:t>GB3838-2002</w:t>
            </w:r>
            <w:r>
              <w:rPr>
                <w:rFonts w:ascii="宋体" w:hAnsi="宋体" w:cs="Arial"/>
                <w:sz w:val="22"/>
                <w:szCs w:val="22"/>
              </w:rPr>
              <w:t>)</w:t>
            </w:r>
            <w:r>
              <w:rPr>
                <w:rFonts w:hint="eastAsia" w:ascii="Arial" w:cs="Arial"/>
                <w:sz w:val="22"/>
                <w:szCs w:val="22"/>
              </w:rPr>
              <w:t>中的</w:t>
            </w:r>
            <w:r>
              <w:rPr>
                <w:rFonts w:ascii="Arial" w:cs="Arial"/>
                <w:sz w:val="22"/>
                <w:szCs w:val="22"/>
              </w:rPr>
              <w:t>109</w:t>
            </w:r>
            <w:r>
              <w:rPr>
                <w:rFonts w:hint="eastAsia" w:ascii="Arial" w:cs="Arial"/>
                <w:sz w:val="22"/>
                <w:szCs w:val="22"/>
              </w:rPr>
              <w:t>项</w:t>
            </w:r>
            <w:r>
              <w:rPr>
                <w:rFonts w:hint="eastAsia" w:ascii="Arial" w:cs="Arial"/>
                <w:sz w:val="22"/>
                <w:szCs w:val="22"/>
                <w:lang w:eastAsia="zh-CN"/>
              </w:rPr>
              <w:t>因子浓度满足</w:t>
            </w:r>
            <w:r>
              <w:rPr>
                <w:rFonts w:hint="eastAsia" w:ascii="宋体" w:hAnsi="宋体" w:eastAsia="宋体" w:cs="宋体"/>
                <w:sz w:val="22"/>
                <w:szCs w:val="22"/>
              </w:rPr>
              <w:t>Ⅲ</w:t>
            </w:r>
            <w:r>
              <w:rPr>
                <w:rFonts w:hint="eastAsia" w:ascii="Arial" w:hAnsi="Arial" w:cs="Arial"/>
                <w:sz w:val="22"/>
                <w:szCs w:val="22"/>
              </w:rPr>
              <w:t>类标准</w:t>
            </w:r>
            <w:r>
              <w:rPr>
                <w:rFonts w:hint="eastAsia" w:ascii="Arial" w:hAnsi="Arial" w:cs="Arial"/>
                <w:sz w:val="22"/>
                <w:szCs w:val="22"/>
                <w:lang w:eastAsia="zh-CN"/>
              </w:rPr>
              <w:t>。</w:t>
            </w:r>
          </w:p>
        </w:tc>
      </w:tr>
      <w:tr w14:paraId="446317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3A39F810">
            <w:pPr>
              <w:spacing w:line="300" w:lineRule="exact"/>
              <w:jc w:val="center"/>
              <w:rPr>
                <w:rFonts w:hint="eastAsia" w:ascii="Arial" w:hAnsi="Arial" w:cs="Arial"/>
                <w:sz w:val="22"/>
                <w:szCs w:val="22"/>
              </w:rPr>
            </w:pPr>
          </w:p>
        </w:tc>
        <w:tc>
          <w:tcPr>
            <w:tcW w:w="1331" w:type="dxa"/>
            <w:noWrap w:val="0"/>
            <w:vAlign w:val="center"/>
          </w:tcPr>
          <w:p w14:paraId="32AB93F4">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库区</w:t>
            </w:r>
          </w:p>
        </w:tc>
        <w:tc>
          <w:tcPr>
            <w:tcW w:w="1559" w:type="dxa"/>
            <w:vMerge w:val="continue"/>
            <w:noWrap w:val="0"/>
            <w:vAlign w:val="center"/>
          </w:tcPr>
          <w:p w14:paraId="75449972">
            <w:pPr>
              <w:spacing w:line="300" w:lineRule="exact"/>
              <w:jc w:val="center"/>
              <w:rPr>
                <w:rFonts w:hint="eastAsia" w:ascii="Arial" w:hAnsi="Arial" w:cs="Arial"/>
                <w:sz w:val="22"/>
                <w:szCs w:val="22"/>
              </w:rPr>
            </w:pPr>
          </w:p>
        </w:tc>
        <w:tc>
          <w:tcPr>
            <w:tcW w:w="2893" w:type="dxa"/>
            <w:noWrap w:val="0"/>
            <w:vAlign w:val="center"/>
          </w:tcPr>
          <w:p w14:paraId="3AFE6A71">
            <w:pPr>
              <w:spacing w:line="300" w:lineRule="exact"/>
              <w:jc w:val="center"/>
              <w:rPr>
                <w:rFonts w:hint="eastAsia" w:ascii="Arial" w:hAnsi="Arial" w:cs="Arial"/>
                <w:color w:val="auto"/>
                <w:sz w:val="22"/>
                <w:szCs w:val="22"/>
                <w:lang w:eastAsia="zh-CN"/>
              </w:rPr>
            </w:pPr>
            <w:r>
              <w:rPr>
                <w:rFonts w:hint="eastAsia" w:ascii="Arial" w:hAnsi="Arial" w:cs="Arial"/>
                <w:color w:val="auto"/>
                <w:sz w:val="22"/>
                <w:szCs w:val="22"/>
                <w:lang w:eastAsia="zh-CN"/>
              </w:rPr>
              <w:t>蓄水前按要求进行清库作业，运营期定期清漂，</w:t>
            </w:r>
            <w:r>
              <w:rPr>
                <w:rFonts w:hint="eastAsia" w:ascii="Arial" w:hAnsi="Arial" w:cs="Arial"/>
                <w:sz w:val="22"/>
                <w:szCs w:val="22"/>
                <w:lang w:eastAsia="zh-CN"/>
              </w:rPr>
              <w:t>协同当地农业主管部</w:t>
            </w:r>
            <w:r>
              <w:rPr>
                <w:rFonts w:hint="eastAsia" w:ascii="Arial" w:hAnsi="Arial" w:cs="Arial"/>
                <w:color w:val="auto"/>
                <w:sz w:val="22"/>
                <w:szCs w:val="22"/>
                <w:lang w:eastAsia="zh-CN"/>
              </w:rPr>
              <w:t>门控制集雨范围内农业面源污染</w:t>
            </w:r>
            <w:r>
              <w:rPr>
                <w:rFonts w:hint="default" w:ascii="Arial" w:hAnsi="Arial" w:cs="Arial"/>
                <w:color w:val="auto"/>
                <w:sz w:val="22"/>
                <w:szCs w:val="22"/>
              </w:rPr>
              <w:t>。</w:t>
            </w:r>
          </w:p>
        </w:tc>
        <w:tc>
          <w:tcPr>
            <w:tcW w:w="2635" w:type="dxa"/>
            <w:noWrap w:val="0"/>
            <w:vAlign w:val="center"/>
          </w:tcPr>
          <w:p w14:paraId="3FE92B9E">
            <w:pPr>
              <w:spacing w:line="300" w:lineRule="exact"/>
              <w:jc w:val="center"/>
              <w:rPr>
                <w:rFonts w:hint="eastAsia" w:ascii="Arial" w:hAnsi="Arial" w:cs="Arial"/>
                <w:sz w:val="22"/>
                <w:szCs w:val="22"/>
              </w:rPr>
            </w:pPr>
            <w:r>
              <w:rPr>
                <w:rFonts w:hint="eastAsia" w:ascii="Arial" w:cs="Arial"/>
                <w:sz w:val="22"/>
                <w:szCs w:val="22"/>
              </w:rPr>
              <w:t>水温、溶解氧、总氮、总磷、高锰酸盐指数、叶绿素</w:t>
            </w:r>
            <w:r>
              <w:rPr>
                <w:rFonts w:ascii="Arial" w:cs="Arial"/>
                <w:sz w:val="22"/>
                <w:szCs w:val="22"/>
              </w:rPr>
              <w:t>a</w:t>
            </w:r>
            <w:r>
              <w:rPr>
                <w:rFonts w:hint="eastAsia" w:ascii="Arial" w:cs="Arial"/>
                <w:sz w:val="22"/>
                <w:szCs w:val="22"/>
              </w:rPr>
              <w:t>和透明度等</w:t>
            </w:r>
            <w:r>
              <w:rPr>
                <w:rFonts w:ascii="Arial" w:cs="Arial"/>
                <w:sz w:val="22"/>
                <w:szCs w:val="22"/>
              </w:rPr>
              <w:t>7</w:t>
            </w:r>
            <w:r>
              <w:rPr>
                <w:rFonts w:hint="eastAsia" w:ascii="Arial" w:cs="Arial"/>
                <w:sz w:val="22"/>
                <w:szCs w:val="22"/>
              </w:rPr>
              <w:t>项指标</w:t>
            </w:r>
            <w:r>
              <w:rPr>
                <w:rFonts w:hint="eastAsia" w:ascii="Arial" w:hAnsi="Arial" w:cs="Arial"/>
                <w:sz w:val="22"/>
                <w:szCs w:val="22"/>
              </w:rPr>
              <w:t>满足《地表水环境质标准》（</w:t>
            </w:r>
            <w:r>
              <w:rPr>
                <w:rFonts w:ascii="Arial" w:hAnsi="Arial" w:cs="Arial"/>
                <w:sz w:val="22"/>
                <w:szCs w:val="22"/>
              </w:rPr>
              <w:t>GB3838-2002</w:t>
            </w:r>
            <w:r>
              <w:rPr>
                <w:rFonts w:hint="eastAsia" w:ascii="Arial" w:hAnsi="Arial" w:cs="Arial"/>
                <w:sz w:val="22"/>
                <w:szCs w:val="22"/>
              </w:rPr>
              <w:t>）中</w:t>
            </w:r>
            <w:r>
              <w:rPr>
                <w:rFonts w:hint="eastAsia" w:ascii="宋体" w:hAnsi="宋体" w:eastAsia="宋体" w:cs="宋体"/>
                <w:sz w:val="22"/>
                <w:szCs w:val="22"/>
              </w:rPr>
              <w:t>Ⅲ</w:t>
            </w:r>
            <w:r>
              <w:rPr>
                <w:rFonts w:hint="eastAsia" w:ascii="Arial" w:hAnsi="Arial" w:cs="Arial"/>
                <w:sz w:val="22"/>
                <w:szCs w:val="22"/>
              </w:rPr>
              <w:t>类标准。</w:t>
            </w:r>
          </w:p>
        </w:tc>
      </w:tr>
      <w:tr w14:paraId="6FE47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23E5920D">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环境风险防范</w:t>
            </w:r>
          </w:p>
        </w:tc>
        <w:tc>
          <w:tcPr>
            <w:tcW w:w="1331" w:type="dxa"/>
            <w:noWrap w:val="0"/>
            <w:vAlign w:val="center"/>
          </w:tcPr>
          <w:p w14:paraId="69D4C3DF">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整体工程</w:t>
            </w:r>
          </w:p>
        </w:tc>
        <w:tc>
          <w:tcPr>
            <w:tcW w:w="7087" w:type="dxa"/>
            <w:gridSpan w:val="3"/>
            <w:noWrap w:val="0"/>
            <w:vAlign w:val="center"/>
          </w:tcPr>
          <w:p w14:paraId="1F8CECCA">
            <w:pPr>
              <w:spacing w:line="300" w:lineRule="exact"/>
              <w:jc w:val="center"/>
              <w:rPr>
                <w:rFonts w:hint="eastAsia" w:ascii="Arial" w:hAnsi="Arial" w:cs="Arial"/>
                <w:sz w:val="22"/>
                <w:szCs w:val="22"/>
              </w:rPr>
            </w:pPr>
            <w:r>
              <w:rPr>
                <w:rFonts w:hint="eastAsia" w:ascii="Arial" w:hAnsi="Arial" w:cs="Arial"/>
                <w:color w:val="auto"/>
                <w:sz w:val="22"/>
                <w:szCs w:val="22"/>
                <w:lang w:eastAsia="zh-CN"/>
              </w:rPr>
              <w:t>建立限速、保护水源等警示标识，同时按照</w:t>
            </w:r>
            <w:r>
              <w:rPr>
                <w:rFonts w:hint="default" w:ascii="Arial" w:hAnsi="Arial" w:cs="Arial"/>
                <w:color w:val="auto"/>
                <w:sz w:val="22"/>
                <w:szCs w:val="22"/>
              </w:rPr>
              <w:t>《集中式地表饮用水水源地环境应急管理工作指南（试行）》</w:t>
            </w:r>
            <w:r>
              <w:rPr>
                <w:rFonts w:hint="eastAsia" w:ascii="Arial" w:hAnsi="Arial" w:cs="Arial"/>
                <w:color w:val="auto"/>
                <w:sz w:val="22"/>
                <w:szCs w:val="22"/>
                <w:lang w:eastAsia="zh-CN"/>
              </w:rPr>
              <w:t>（</w:t>
            </w:r>
            <w:r>
              <w:rPr>
                <w:rFonts w:hint="default" w:ascii="Arial" w:hAnsi="Arial" w:cs="Arial"/>
                <w:color w:val="auto"/>
                <w:sz w:val="22"/>
                <w:szCs w:val="22"/>
              </w:rPr>
              <w:t>环办</w:t>
            </w:r>
            <w:r>
              <w:rPr>
                <w:rFonts w:hint="eastAsia" w:ascii="Arial" w:hAnsi="Arial" w:cs="Arial"/>
                <w:color w:val="auto"/>
                <w:sz w:val="22"/>
                <w:szCs w:val="22"/>
              </w:rPr>
              <w:t>〔</w:t>
            </w:r>
            <w:r>
              <w:rPr>
                <w:rFonts w:hint="default" w:ascii="Arial" w:hAnsi="Arial" w:cs="Arial"/>
                <w:color w:val="auto"/>
                <w:sz w:val="22"/>
                <w:szCs w:val="22"/>
              </w:rPr>
              <w:t>2011</w:t>
            </w:r>
            <w:r>
              <w:rPr>
                <w:rFonts w:hint="eastAsia" w:ascii="Arial" w:hAnsi="Arial" w:cs="Arial"/>
                <w:color w:val="auto"/>
                <w:sz w:val="22"/>
                <w:szCs w:val="22"/>
              </w:rPr>
              <w:t>〕</w:t>
            </w:r>
            <w:r>
              <w:rPr>
                <w:rFonts w:hint="default" w:ascii="Arial" w:hAnsi="Arial" w:cs="Arial"/>
                <w:color w:val="auto"/>
                <w:sz w:val="22"/>
                <w:szCs w:val="22"/>
              </w:rPr>
              <w:t>93号</w:t>
            </w:r>
            <w:r>
              <w:rPr>
                <w:rFonts w:hint="eastAsia" w:ascii="Arial" w:hAnsi="Arial" w:cs="Arial"/>
                <w:color w:val="auto"/>
                <w:sz w:val="22"/>
                <w:szCs w:val="22"/>
                <w:lang w:eastAsia="zh-CN"/>
              </w:rPr>
              <w:t>），设置</w:t>
            </w:r>
            <w:r>
              <w:rPr>
                <w:rFonts w:hint="default" w:ascii="Arial" w:hAnsi="Arial" w:cs="Arial"/>
                <w:color w:val="auto"/>
                <w:sz w:val="22"/>
                <w:szCs w:val="22"/>
              </w:rPr>
              <w:t>水源水质保护应急预案</w:t>
            </w:r>
            <w:r>
              <w:rPr>
                <w:rFonts w:hint="eastAsia" w:ascii="Arial" w:hAnsi="Arial" w:cs="Arial"/>
                <w:color w:val="auto"/>
                <w:sz w:val="22"/>
                <w:szCs w:val="22"/>
                <w:lang w:eastAsia="zh-CN"/>
              </w:rPr>
              <w:t>。</w:t>
            </w:r>
          </w:p>
        </w:tc>
      </w:tr>
      <w:tr w14:paraId="15EAD2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restart"/>
            <w:noWrap w:val="0"/>
            <w:vAlign w:val="center"/>
          </w:tcPr>
          <w:p w14:paraId="146E6E88">
            <w:pPr>
              <w:spacing w:line="300" w:lineRule="exact"/>
              <w:jc w:val="center"/>
              <w:rPr>
                <w:rFonts w:hint="eastAsia" w:ascii="Arial" w:hAnsi="Arial" w:cs="Arial"/>
                <w:sz w:val="22"/>
                <w:szCs w:val="22"/>
              </w:rPr>
            </w:pPr>
            <w:r>
              <w:rPr>
                <w:rFonts w:hint="eastAsia" w:ascii="Arial" w:hAnsi="Arial" w:cs="Arial"/>
                <w:sz w:val="22"/>
                <w:szCs w:val="22"/>
              </w:rPr>
              <w:t>生态环境</w:t>
            </w:r>
          </w:p>
        </w:tc>
        <w:tc>
          <w:tcPr>
            <w:tcW w:w="1331" w:type="dxa"/>
            <w:noWrap w:val="0"/>
            <w:vAlign w:val="center"/>
          </w:tcPr>
          <w:p w14:paraId="0C2A9A78">
            <w:pPr>
              <w:spacing w:line="300" w:lineRule="exact"/>
              <w:jc w:val="center"/>
              <w:rPr>
                <w:rFonts w:hint="eastAsia" w:ascii="Arial" w:hAnsi="Arial" w:cs="Arial"/>
                <w:sz w:val="22"/>
                <w:szCs w:val="22"/>
              </w:rPr>
            </w:pPr>
            <w:r>
              <w:rPr>
                <w:rFonts w:hint="eastAsia" w:ascii="Arial" w:hAnsi="Arial" w:cs="Arial"/>
                <w:sz w:val="22"/>
                <w:szCs w:val="22"/>
              </w:rPr>
              <w:t>水库管理区</w:t>
            </w:r>
          </w:p>
        </w:tc>
        <w:tc>
          <w:tcPr>
            <w:tcW w:w="1559" w:type="dxa"/>
            <w:noWrap w:val="0"/>
            <w:vAlign w:val="center"/>
          </w:tcPr>
          <w:p w14:paraId="5EF87E57">
            <w:pPr>
              <w:spacing w:line="300" w:lineRule="exact"/>
              <w:jc w:val="center"/>
              <w:rPr>
                <w:rFonts w:hint="eastAsia" w:ascii="Arial" w:hAnsi="Arial" w:cs="Arial"/>
                <w:sz w:val="22"/>
                <w:szCs w:val="22"/>
              </w:rPr>
            </w:pPr>
            <w:r>
              <w:rPr>
                <w:rFonts w:hint="eastAsia" w:ascii="Arial" w:hAnsi="Arial" w:cs="Arial"/>
                <w:sz w:val="22"/>
                <w:szCs w:val="22"/>
              </w:rPr>
              <w:t>植被绿化</w:t>
            </w:r>
          </w:p>
        </w:tc>
        <w:tc>
          <w:tcPr>
            <w:tcW w:w="5528" w:type="dxa"/>
            <w:gridSpan w:val="2"/>
            <w:noWrap w:val="0"/>
            <w:vAlign w:val="center"/>
          </w:tcPr>
          <w:p w14:paraId="3D1084CE">
            <w:pPr>
              <w:spacing w:line="300" w:lineRule="exact"/>
              <w:jc w:val="center"/>
              <w:rPr>
                <w:rFonts w:hint="eastAsia" w:ascii="Arial" w:hAnsi="Arial" w:cs="Arial"/>
                <w:sz w:val="22"/>
                <w:szCs w:val="22"/>
              </w:rPr>
            </w:pPr>
            <w:r>
              <w:rPr>
                <w:rFonts w:hint="eastAsia" w:ascii="Arial" w:hAnsi="Arial" w:cs="Arial"/>
                <w:sz w:val="22"/>
                <w:szCs w:val="22"/>
              </w:rPr>
              <w:t>对管理区四周进行绿化布置，减缓因工程占地剥离地表植被对区域生态环境造成的破坏</w:t>
            </w:r>
          </w:p>
        </w:tc>
      </w:tr>
      <w:tr w14:paraId="05368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0EF73FCE">
            <w:pPr>
              <w:spacing w:line="300" w:lineRule="exact"/>
              <w:jc w:val="center"/>
              <w:rPr>
                <w:rFonts w:hint="eastAsia" w:ascii="Arial" w:hAnsi="Arial" w:cs="Arial"/>
                <w:sz w:val="22"/>
                <w:szCs w:val="22"/>
              </w:rPr>
            </w:pPr>
          </w:p>
        </w:tc>
        <w:tc>
          <w:tcPr>
            <w:tcW w:w="1331" w:type="dxa"/>
            <w:noWrap w:val="0"/>
            <w:vAlign w:val="center"/>
          </w:tcPr>
          <w:p w14:paraId="681D02D7">
            <w:pPr>
              <w:spacing w:line="300" w:lineRule="exact"/>
              <w:jc w:val="center"/>
              <w:rPr>
                <w:rFonts w:hint="eastAsia" w:ascii="Arial" w:hAnsi="Arial" w:cs="Arial"/>
                <w:sz w:val="22"/>
                <w:szCs w:val="22"/>
              </w:rPr>
            </w:pPr>
            <w:r>
              <w:rPr>
                <w:rFonts w:hint="eastAsia" w:ascii="Arial" w:hAnsi="Arial" w:cs="Arial"/>
                <w:sz w:val="22"/>
                <w:szCs w:val="22"/>
              </w:rPr>
              <w:t>库区及消</w:t>
            </w:r>
          </w:p>
          <w:p w14:paraId="22A31D90">
            <w:pPr>
              <w:spacing w:line="300" w:lineRule="exact"/>
              <w:jc w:val="center"/>
              <w:rPr>
                <w:rFonts w:hint="eastAsia" w:ascii="Arial" w:hAnsi="Arial" w:cs="Arial"/>
                <w:sz w:val="22"/>
                <w:szCs w:val="22"/>
              </w:rPr>
            </w:pPr>
            <w:r>
              <w:rPr>
                <w:rFonts w:hint="eastAsia" w:ascii="Arial" w:hAnsi="Arial" w:cs="Arial"/>
                <w:sz w:val="22"/>
                <w:szCs w:val="22"/>
              </w:rPr>
              <w:t>落带</w:t>
            </w:r>
          </w:p>
        </w:tc>
        <w:tc>
          <w:tcPr>
            <w:tcW w:w="1559" w:type="dxa"/>
            <w:noWrap w:val="0"/>
            <w:vAlign w:val="center"/>
          </w:tcPr>
          <w:p w14:paraId="7A1A19FF">
            <w:pPr>
              <w:spacing w:line="300" w:lineRule="exact"/>
              <w:jc w:val="center"/>
              <w:rPr>
                <w:rFonts w:hint="eastAsia" w:ascii="Arial" w:hAnsi="Arial" w:cs="Arial"/>
                <w:sz w:val="22"/>
                <w:szCs w:val="22"/>
              </w:rPr>
            </w:pPr>
            <w:r>
              <w:rPr>
                <w:rFonts w:hint="eastAsia" w:ascii="Arial" w:hAnsi="Arial" w:cs="Arial"/>
                <w:sz w:val="22"/>
                <w:szCs w:val="22"/>
              </w:rPr>
              <w:t>清库</w:t>
            </w:r>
          </w:p>
        </w:tc>
        <w:tc>
          <w:tcPr>
            <w:tcW w:w="5528" w:type="dxa"/>
            <w:gridSpan w:val="2"/>
            <w:noWrap w:val="0"/>
            <w:vAlign w:val="center"/>
          </w:tcPr>
          <w:p w14:paraId="6FA182C0">
            <w:pPr>
              <w:spacing w:line="300" w:lineRule="exact"/>
              <w:jc w:val="center"/>
              <w:rPr>
                <w:rFonts w:hint="eastAsia" w:ascii="Arial" w:hAnsi="Arial" w:cs="Arial"/>
                <w:sz w:val="22"/>
                <w:szCs w:val="22"/>
              </w:rPr>
            </w:pPr>
            <w:r>
              <w:rPr>
                <w:rFonts w:hint="eastAsia" w:ascii="Arial" w:hAnsi="Arial" w:cs="Arial"/>
                <w:sz w:val="22"/>
                <w:szCs w:val="22"/>
              </w:rPr>
              <w:t>蓄水前对库区进行彻底清理，清库废物分类处置；营运期无肥水养鱼、网箱养鱼等。</w:t>
            </w:r>
          </w:p>
        </w:tc>
      </w:tr>
      <w:tr w14:paraId="52723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77" w:type="dxa"/>
            <w:vMerge w:val="continue"/>
            <w:noWrap w:val="0"/>
            <w:vAlign w:val="center"/>
          </w:tcPr>
          <w:p w14:paraId="75AF7044">
            <w:pPr>
              <w:spacing w:line="300" w:lineRule="exact"/>
              <w:jc w:val="center"/>
              <w:rPr>
                <w:rFonts w:hint="eastAsia" w:ascii="Arial" w:hAnsi="Arial" w:cs="Arial"/>
                <w:sz w:val="22"/>
                <w:szCs w:val="22"/>
              </w:rPr>
            </w:pPr>
          </w:p>
        </w:tc>
        <w:tc>
          <w:tcPr>
            <w:tcW w:w="1331" w:type="dxa"/>
            <w:noWrap w:val="0"/>
            <w:vAlign w:val="center"/>
          </w:tcPr>
          <w:p w14:paraId="70CAC5CB">
            <w:pPr>
              <w:spacing w:line="300" w:lineRule="exact"/>
              <w:jc w:val="center"/>
              <w:rPr>
                <w:rFonts w:hint="eastAsia" w:ascii="Arial" w:hAnsi="Arial" w:cs="Arial"/>
                <w:sz w:val="22"/>
                <w:szCs w:val="22"/>
              </w:rPr>
            </w:pPr>
            <w:r>
              <w:rPr>
                <w:rFonts w:hint="eastAsia" w:ascii="Arial" w:hAnsi="Arial" w:cs="Arial"/>
                <w:sz w:val="22"/>
                <w:szCs w:val="22"/>
              </w:rPr>
              <w:t>施工占地</w:t>
            </w:r>
          </w:p>
          <w:p w14:paraId="26AFDA2A">
            <w:pPr>
              <w:spacing w:line="300" w:lineRule="exact"/>
              <w:jc w:val="center"/>
              <w:rPr>
                <w:rFonts w:hint="eastAsia" w:ascii="Arial" w:hAnsi="Arial" w:cs="Arial"/>
                <w:sz w:val="22"/>
                <w:szCs w:val="22"/>
              </w:rPr>
            </w:pPr>
            <w:r>
              <w:rPr>
                <w:rFonts w:hint="eastAsia" w:ascii="Arial" w:hAnsi="Arial" w:cs="Arial"/>
                <w:sz w:val="22"/>
                <w:szCs w:val="22"/>
              </w:rPr>
              <w:t>区域</w:t>
            </w:r>
          </w:p>
        </w:tc>
        <w:tc>
          <w:tcPr>
            <w:tcW w:w="1559" w:type="dxa"/>
            <w:noWrap w:val="0"/>
            <w:vAlign w:val="center"/>
          </w:tcPr>
          <w:p w14:paraId="1F6A1DE2">
            <w:pPr>
              <w:spacing w:line="300" w:lineRule="exact"/>
              <w:jc w:val="center"/>
              <w:rPr>
                <w:rFonts w:hint="eastAsia" w:ascii="Arial" w:hAnsi="Arial" w:cs="Arial"/>
                <w:sz w:val="22"/>
                <w:szCs w:val="22"/>
              </w:rPr>
            </w:pPr>
            <w:r>
              <w:rPr>
                <w:rFonts w:hint="eastAsia" w:ascii="Arial" w:hAnsi="Arial" w:cs="Arial"/>
                <w:sz w:val="22"/>
                <w:szCs w:val="22"/>
              </w:rPr>
              <w:t>迹地生态恢复</w:t>
            </w:r>
          </w:p>
        </w:tc>
        <w:tc>
          <w:tcPr>
            <w:tcW w:w="5528" w:type="dxa"/>
            <w:gridSpan w:val="2"/>
            <w:noWrap w:val="0"/>
            <w:vAlign w:val="center"/>
          </w:tcPr>
          <w:p w14:paraId="23B7E59A">
            <w:pPr>
              <w:spacing w:line="300" w:lineRule="exact"/>
              <w:jc w:val="center"/>
              <w:rPr>
                <w:rFonts w:ascii="Arial" w:hAnsi="Arial" w:cs="Arial"/>
                <w:sz w:val="22"/>
                <w:szCs w:val="22"/>
              </w:rPr>
            </w:pPr>
            <w:r>
              <w:rPr>
                <w:rFonts w:ascii="Arial" w:hAnsi="Arial" w:cs="Arial"/>
                <w:sz w:val="22"/>
                <w:szCs w:val="22"/>
              </w:rPr>
              <w:t>施工结束后，及时拆除临时设施，</w:t>
            </w:r>
            <w:r>
              <w:rPr>
                <w:rFonts w:hint="eastAsia" w:ascii="Arial" w:hAnsi="Arial" w:cs="Arial"/>
                <w:color w:val="auto"/>
                <w:sz w:val="22"/>
                <w:szCs w:val="22"/>
              </w:rPr>
              <w:t>回填表土，</w:t>
            </w:r>
            <w:r>
              <w:rPr>
                <w:rFonts w:hint="eastAsia" w:ascii="Arial" w:hAnsi="Arial" w:cs="Arial"/>
                <w:color w:val="auto"/>
                <w:sz w:val="22"/>
                <w:szCs w:val="22"/>
                <w:lang w:eastAsia="zh-CN"/>
              </w:rPr>
              <w:t>尽量恢复土地原有使用性质，不能恢复为耕地的，</w:t>
            </w:r>
            <w:r>
              <w:rPr>
                <w:rFonts w:ascii="Arial" w:hAnsi="Arial" w:cs="Arial"/>
                <w:color w:val="auto"/>
                <w:sz w:val="22"/>
                <w:szCs w:val="22"/>
              </w:rPr>
              <w:t>采用区域内常见的</w:t>
            </w:r>
            <w:r>
              <w:rPr>
                <w:rFonts w:hint="eastAsia" w:ascii="Arial" w:hAnsi="Arial" w:cs="Arial"/>
                <w:color w:val="auto"/>
                <w:sz w:val="22"/>
                <w:szCs w:val="22"/>
                <w:lang w:eastAsia="zh-CN"/>
              </w:rPr>
              <w:t>马尾松、麻栎、枫杨、化香等乔木结合糯米团、黑麦草、</w:t>
            </w:r>
            <w:r>
              <w:rPr>
                <w:rFonts w:hint="eastAsia" w:ascii="Arial" w:hAnsi="Arial" w:cs="Arial"/>
                <w:b w:val="0"/>
                <w:color w:val="auto"/>
                <w:kern w:val="2"/>
                <w:sz w:val="22"/>
                <w:szCs w:val="22"/>
                <w:lang w:val="en-US" w:eastAsia="zh-CN" w:bidi="ar-SA"/>
              </w:rPr>
              <w:t>狗牙根等草本植物相结合的方式，</w:t>
            </w:r>
            <w:r>
              <w:rPr>
                <w:rFonts w:ascii="Arial" w:hAnsi="Arial" w:cs="Arial"/>
                <w:sz w:val="22"/>
                <w:szCs w:val="22"/>
              </w:rPr>
              <w:t>对项目建设的弃渣场、</w:t>
            </w:r>
            <w:r>
              <w:rPr>
                <w:rFonts w:hint="eastAsia" w:ascii="Arial" w:hAnsi="Arial" w:cs="Arial"/>
                <w:sz w:val="22"/>
                <w:szCs w:val="22"/>
                <w:lang w:eastAsia="zh-CN"/>
              </w:rPr>
              <w:t>施工便道</w:t>
            </w:r>
            <w:r>
              <w:rPr>
                <w:rFonts w:ascii="Arial" w:hAnsi="Arial" w:cs="Arial"/>
                <w:sz w:val="22"/>
                <w:szCs w:val="22"/>
              </w:rPr>
              <w:t>、施工场地等临时用地进行生态</w:t>
            </w:r>
            <w:r>
              <w:rPr>
                <w:rFonts w:hint="eastAsia" w:ascii="Arial" w:hAnsi="Arial" w:cs="Arial"/>
                <w:sz w:val="22"/>
                <w:szCs w:val="22"/>
                <w:lang w:eastAsia="zh-CN"/>
              </w:rPr>
              <w:t>覆土，不得遗留裸露地表</w:t>
            </w:r>
            <w:r>
              <w:rPr>
                <w:rFonts w:ascii="Arial" w:hAnsi="Arial" w:cs="Arial"/>
                <w:sz w:val="22"/>
                <w:szCs w:val="22"/>
              </w:rPr>
              <w:t>。</w:t>
            </w:r>
            <w:r>
              <w:rPr>
                <w:rFonts w:hint="eastAsia" w:ascii="Arial" w:hAnsi="Arial" w:cs="Arial"/>
                <w:sz w:val="22"/>
                <w:szCs w:val="22"/>
                <w:lang w:eastAsia="zh-CN"/>
              </w:rPr>
              <w:t>输水管线</w:t>
            </w:r>
            <w:r>
              <w:rPr>
                <w:rFonts w:hint="eastAsia" w:ascii="Arial" w:cs="Arial"/>
                <w:sz w:val="22"/>
                <w:szCs w:val="22"/>
                <w:lang w:val="en-US" w:eastAsia="zh-CN"/>
              </w:rPr>
              <w:t>临时占地尽量根据原有土地利用性质进行恢复，但管道顶部两侧5m内不能种植深根性乔灌木</w:t>
            </w:r>
            <w:r>
              <w:rPr>
                <w:rFonts w:ascii="Arial" w:cs="Arial"/>
                <w:sz w:val="22"/>
                <w:szCs w:val="22"/>
              </w:rPr>
              <w:t>。</w:t>
            </w:r>
          </w:p>
        </w:tc>
      </w:tr>
      <w:tr w14:paraId="1B8FBB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7F5B5411">
            <w:pPr>
              <w:spacing w:line="300" w:lineRule="exact"/>
              <w:jc w:val="center"/>
              <w:rPr>
                <w:rFonts w:hint="eastAsia" w:ascii="Arial" w:hAnsi="Arial" w:cs="Arial"/>
                <w:sz w:val="22"/>
                <w:szCs w:val="22"/>
              </w:rPr>
            </w:pPr>
          </w:p>
        </w:tc>
        <w:tc>
          <w:tcPr>
            <w:tcW w:w="1331" w:type="dxa"/>
            <w:noWrap w:val="0"/>
            <w:vAlign w:val="center"/>
          </w:tcPr>
          <w:p w14:paraId="41D6A753">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低温水</w:t>
            </w:r>
          </w:p>
        </w:tc>
        <w:tc>
          <w:tcPr>
            <w:tcW w:w="1559" w:type="dxa"/>
            <w:noWrap w:val="0"/>
            <w:vAlign w:val="center"/>
          </w:tcPr>
          <w:p w14:paraId="7DD17270">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分层取水</w:t>
            </w:r>
          </w:p>
        </w:tc>
        <w:tc>
          <w:tcPr>
            <w:tcW w:w="5528" w:type="dxa"/>
            <w:gridSpan w:val="2"/>
            <w:noWrap w:val="0"/>
            <w:vAlign w:val="center"/>
          </w:tcPr>
          <w:p w14:paraId="0B6B4117">
            <w:pPr>
              <w:spacing w:line="300" w:lineRule="exact"/>
              <w:jc w:val="center"/>
              <w:rPr>
                <w:rFonts w:ascii="Arial" w:hAnsi="Arial" w:cs="Arial"/>
                <w:sz w:val="22"/>
                <w:szCs w:val="22"/>
              </w:rPr>
            </w:pPr>
            <w:r>
              <w:rPr>
                <w:rFonts w:hint="eastAsia" w:ascii="Arial" w:hAnsi="Arial" w:cs="Arial"/>
                <w:color w:val="auto"/>
                <w:sz w:val="22"/>
                <w:szCs w:val="22"/>
                <w:lang w:eastAsia="zh-CN"/>
              </w:rPr>
              <w:t>共设置</w:t>
            </w:r>
            <w:r>
              <w:rPr>
                <w:rFonts w:hint="eastAsia" w:ascii="Arial" w:hAnsi="Arial" w:cs="Arial"/>
                <w:color w:val="auto"/>
                <w:sz w:val="22"/>
                <w:szCs w:val="22"/>
                <w:lang w:val="en-US" w:eastAsia="zh-CN"/>
              </w:rPr>
              <w:t>5层管道取水，</w:t>
            </w:r>
            <w:r>
              <w:rPr>
                <w:rFonts w:hint="eastAsia" w:ascii="Arial" w:hAnsi="Arial" w:cs="Arial"/>
                <w:bCs/>
                <w:color w:val="auto"/>
                <w:sz w:val="22"/>
                <w:szCs w:val="22"/>
                <w:lang w:eastAsia="zh-CN"/>
              </w:rPr>
              <w:t>各层取水口从上到下高程依次为</w:t>
            </w:r>
            <w:r>
              <w:rPr>
                <w:rFonts w:hint="default" w:ascii="Arial" w:hAnsi="Arial" w:cs="Arial"/>
                <w:color w:val="auto"/>
                <w:sz w:val="22"/>
                <w:szCs w:val="22"/>
              </w:rPr>
              <w:t>418.0m、415.0m、412.0m</w:t>
            </w:r>
            <w:r>
              <w:rPr>
                <w:rFonts w:hint="eastAsia" w:ascii="Arial" w:hAnsi="Arial" w:cs="Arial"/>
                <w:color w:val="auto"/>
                <w:sz w:val="22"/>
                <w:szCs w:val="22"/>
              </w:rPr>
              <w:t>、</w:t>
            </w:r>
            <w:r>
              <w:rPr>
                <w:rFonts w:hint="default" w:ascii="Arial" w:hAnsi="Arial" w:cs="Arial"/>
                <w:color w:val="auto"/>
                <w:sz w:val="22"/>
                <w:szCs w:val="22"/>
              </w:rPr>
              <w:t>409.0m</w:t>
            </w:r>
            <w:r>
              <w:rPr>
                <w:rFonts w:hint="eastAsia" w:ascii="Arial" w:hAnsi="Arial" w:cs="Arial"/>
                <w:color w:val="auto"/>
                <w:sz w:val="22"/>
                <w:szCs w:val="22"/>
              </w:rPr>
              <w:t>、</w:t>
            </w:r>
            <w:r>
              <w:rPr>
                <w:rFonts w:hint="default" w:ascii="Arial" w:hAnsi="Arial" w:cs="Arial"/>
                <w:color w:val="auto"/>
                <w:sz w:val="22"/>
                <w:szCs w:val="22"/>
              </w:rPr>
              <w:t>405.5m</w:t>
            </w:r>
            <w:r>
              <w:rPr>
                <w:rFonts w:hint="eastAsia" w:ascii="Arial" w:hAnsi="Arial" w:cs="Arial"/>
                <w:color w:val="auto"/>
                <w:sz w:val="22"/>
                <w:szCs w:val="22"/>
                <w:lang w:eastAsia="zh-CN"/>
              </w:rPr>
              <w:t>，</w:t>
            </w:r>
            <w:r>
              <w:rPr>
                <w:rFonts w:hint="eastAsia" w:ascii="Arial" w:hAnsi="Arial" w:cs="Arial"/>
                <w:color w:val="auto"/>
                <w:sz w:val="22"/>
                <w:szCs w:val="22"/>
                <w:lang w:val="en-US" w:eastAsia="zh-CN"/>
              </w:rPr>
              <w:t>5</w:t>
            </w:r>
            <w:r>
              <w:rPr>
                <w:rFonts w:hint="default" w:ascii="Arial" w:hAnsi="Arial" w:cs="Arial"/>
                <w:color w:val="auto"/>
                <w:sz w:val="22"/>
                <w:szCs w:val="22"/>
              </w:rPr>
              <w:t>层取水管从坝体下游坝坡穿出后汇合成一根引水管，引水管沿大坝下游坝坡左侧坝脚布置，</w:t>
            </w:r>
            <w:r>
              <w:rPr>
                <w:rFonts w:hint="eastAsia" w:ascii="Arial" w:hAnsi="Arial" w:cs="Arial"/>
                <w:color w:val="auto"/>
                <w:sz w:val="22"/>
                <w:szCs w:val="22"/>
                <w:lang w:eastAsia="zh-CN"/>
              </w:rPr>
              <w:t>引入闸阀房内，</w:t>
            </w:r>
            <w:r>
              <w:rPr>
                <w:rFonts w:hint="eastAsia" w:ascii="Arial" w:cs="Arial"/>
                <w:color w:val="auto"/>
                <w:sz w:val="22"/>
                <w:szCs w:val="22"/>
                <w:lang w:eastAsia="zh-CN"/>
              </w:rPr>
              <w:t>充分混合后，根据用水性质分类，室内分设3根管道，分别为农灌、供水、生态放水管。</w:t>
            </w:r>
          </w:p>
        </w:tc>
      </w:tr>
      <w:tr w14:paraId="66BC3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4AFFFEF0">
            <w:pPr>
              <w:spacing w:line="300" w:lineRule="exact"/>
              <w:jc w:val="center"/>
              <w:rPr>
                <w:rFonts w:hint="eastAsia" w:ascii="Arial" w:hAnsi="Arial" w:cs="Arial"/>
                <w:sz w:val="22"/>
                <w:szCs w:val="22"/>
              </w:rPr>
            </w:pPr>
          </w:p>
        </w:tc>
        <w:tc>
          <w:tcPr>
            <w:tcW w:w="1331" w:type="dxa"/>
            <w:noWrap w:val="0"/>
            <w:vAlign w:val="center"/>
          </w:tcPr>
          <w:p w14:paraId="6EE637EC">
            <w:pPr>
              <w:spacing w:line="300" w:lineRule="exact"/>
              <w:jc w:val="center"/>
              <w:rPr>
                <w:rFonts w:hint="eastAsia" w:ascii="Arial" w:hAnsi="Arial" w:cs="Arial"/>
                <w:sz w:val="22"/>
                <w:szCs w:val="22"/>
              </w:rPr>
            </w:pPr>
            <w:r>
              <w:rPr>
                <w:rFonts w:hint="eastAsia" w:ascii="Arial" w:hAnsi="Arial" w:cs="Arial"/>
                <w:sz w:val="22"/>
                <w:szCs w:val="22"/>
              </w:rPr>
              <w:t>坝后减水</w:t>
            </w:r>
          </w:p>
          <w:p w14:paraId="08C741E8">
            <w:pPr>
              <w:spacing w:line="300" w:lineRule="exact"/>
              <w:jc w:val="center"/>
              <w:rPr>
                <w:rFonts w:hint="eastAsia" w:ascii="Arial" w:hAnsi="Arial" w:cs="Arial"/>
                <w:sz w:val="22"/>
                <w:szCs w:val="22"/>
              </w:rPr>
            </w:pPr>
            <w:r>
              <w:rPr>
                <w:rFonts w:hint="eastAsia" w:ascii="Arial" w:hAnsi="Arial" w:cs="Arial"/>
                <w:sz w:val="22"/>
                <w:szCs w:val="22"/>
              </w:rPr>
              <w:t>河段</w:t>
            </w:r>
          </w:p>
        </w:tc>
        <w:tc>
          <w:tcPr>
            <w:tcW w:w="1559" w:type="dxa"/>
            <w:noWrap w:val="0"/>
            <w:vAlign w:val="center"/>
          </w:tcPr>
          <w:p w14:paraId="4703E6B3">
            <w:pPr>
              <w:spacing w:line="300" w:lineRule="exact"/>
              <w:jc w:val="center"/>
              <w:rPr>
                <w:rFonts w:hint="eastAsia" w:ascii="Arial" w:hAnsi="Arial" w:cs="Arial"/>
                <w:sz w:val="22"/>
                <w:szCs w:val="22"/>
              </w:rPr>
            </w:pPr>
            <w:r>
              <w:rPr>
                <w:rFonts w:hint="eastAsia" w:ascii="Arial" w:hAnsi="Arial" w:cs="Arial"/>
                <w:sz w:val="22"/>
                <w:szCs w:val="22"/>
              </w:rPr>
              <w:t>下放生态流量</w:t>
            </w:r>
          </w:p>
        </w:tc>
        <w:tc>
          <w:tcPr>
            <w:tcW w:w="5528" w:type="dxa"/>
            <w:gridSpan w:val="2"/>
            <w:noWrap w:val="0"/>
            <w:vAlign w:val="center"/>
          </w:tcPr>
          <w:p w14:paraId="49C8D72C">
            <w:pPr>
              <w:spacing w:line="300" w:lineRule="exact"/>
              <w:jc w:val="center"/>
              <w:rPr>
                <w:rFonts w:ascii="Arial" w:hAnsi="Arial" w:cs="Arial"/>
                <w:sz w:val="22"/>
                <w:szCs w:val="22"/>
              </w:rPr>
            </w:pPr>
            <w:r>
              <w:rPr>
                <w:rFonts w:hint="eastAsia" w:ascii="Arial" w:hAnsi="Arial" w:cs="Arial"/>
                <w:sz w:val="22"/>
                <w:szCs w:val="22"/>
                <w:lang w:val="en-US" w:eastAsia="zh-CN"/>
              </w:rPr>
              <w:t>采用DN100mm钢管，</w:t>
            </w:r>
            <w:r>
              <w:rPr>
                <w:rFonts w:hint="eastAsia" w:ascii="Arial" w:hAnsi="Arial" w:cs="Arial"/>
                <w:sz w:val="22"/>
                <w:szCs w:val="22"/>
                <w:lang w:val="zh-CN" w:eastAsia="zh-CN"/>
              </w:rPr>
              <w:t>下泄生态流量为混合后的库区蓄水，</w:t>
            </w:r>
            <w:r>
              <w:rPr>
                <w:rFonts w:hint="eastAsia" w:ascii="Arial" w:hAnsi="Arial" w:cs="Arial"/>
                <w:sz w:val="22"/>
                <w:szCs w:val="22"/>
                <w:lang w:val="en-US" w:eastAsia="zh-CN"/>
              </w:rPr>
              <w:t>不得直接下泄最底层水，下泄生态流量为0.005m</w:t>
            </w:r>
            <w:r>
              <w:rPr>
                <w:rFonts w:hint="eastAsia" w:ascii="Arial" w:hAnsi="Arial" w:cs="Arial"/>
                <w:sz w:val="22"/>
                <w:szCs w:val="22"/>
                <w:vertAlign w:val="superscript"/>
                <w:lang w:val="en-US" w:eastAsia="zh-CN"/>
              </w:rPr>
              <w:t>3</w:t>
            </w:r>
            <w:r>
              <w:rPr>
                <w:rFonts w:hint="eastAsia" w:ascii="Arial" w:hAnsi="Arial" w:cs="Arial"/>
                <w:sz w:val="22"/>
                <w:szCs w:val="22"/>
                <w:lang w:val="en-US" w:eastAsia="zh-CN"/>
              </w:rPr>
              <w:t>/s；设置生态流量在线监控装置，与主管部门联网运行。</w:t>
            </w:r>
            <w:r>
              <w:rPr>
                <w:rFonts w:hint="eastAsia" w:ascii="Arial" w:hAnsi="Arial" w:cs="Arial"/>
                <w:sz w:val="22"/>
                <w:szCs w:val="22"/>
                <w:lang w:val="zh-CN" w:eastAsia="zh-CN"/>
              </w:rPr>
              <w:t>在水库初期蓄水阶段，当水位未达到高程</w:t>
            </w:r>
            <w:r>
              <w:rPr>
                <w:rFonts w:hint="eastAsia" w:ascii="Arial" w:hAnsi="Arial" w:cs="Arial"/>
                <w:sz w:val="22"/>
                <w:szCs w:val="22"/>
                <w:lang w:val="en-US" w:eastAsia="zh-CN"/>
              </w:rPr>
              <w:t>407.5</w:t>
            </w:r>
            <w:r>
              <w:rPr>
                <w:rFonts w:hint="eastAsia" w:ascii="Arial" w:hAnsi="Arial" w:cs="Arial"/>
                <w:sz w:val="22"/>
                <w:szCs w:val="22"/>
                <w:lang w:val="zh-CN" w:eastAsia="zh-CN"/>
              </w:rPr>
              <w:t>m</w:t>
            </w:r>
            <w:r>
              <w:rPr>
                <w:rFonts w:hint="eastAsia" w:ascii="Arial" w:hAnsi="Arial" w:cs="Arial"/>
                <w:sz w:val="22"/>
                <w:szCs w:val="22"/>
                <w:lang w:val="en-US" w:eastAsia="zh-CN"/>
              </w:rPr>
              <w:t>时，用水泵等抽水装置将水抽送至生态放水管，向坝后下泄生态流量。</w:t>
            </w:r>
          </w:p>
        </w:tc>
      </w:tr>
      <w:tr w14:paraId="0B023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5CB2D3F4">
            <w:pPr>
              <w:spacing w:line="300" w:lineRule="exact"/>
              <w:jc w:val="center"/>
              <w:rPr>
                <w:rFonts w:hint="eastAsia" w:ascii="Arial" w:hAnsi="Arial" w:cs="Arial"/>
                <w:sz w:val="22"/>
                <w:szCs w:val="22"/>
              </w:rPr>
            </w:pPr>
          </w:p>
        </w:tc>
        <w:tc>
          <w:tcPr>
            <w:tcW w:w="1331" w:type="dxa"/>
            <w:noWrap w:val="0"/>
            <w:vAlign w:val="center"/>
          </w:tcPr>
          <w:p w14:paraId="026DA174">
            <w:pPr>
              <w:spacing w:line="300" w:lineRule="exact"/>
              <w:jc w:val="center"/>
              <w:rPr>
                <w:rFonts w:hint="eastAsia" w:ascii="Arial" w:hAnsi="Arial" w:cs="Arial"/>
                <w:sz w:val="22"/>
                <w:szCs w:val="22"/>
              </w:rPr>
            </w:pPr>
            <w:r>
              <w:rPr>
                <w:rFonts w:hint="eastAsia" w:ascii="Arial" w:hAnsi="Arial" w:cs="Arial"/>
                <w:sz w:val="22"/>
                <w:szCs w:val="22"/>
              </w:rPr>
              <w:t>库区周边</w:t>
            </w:r>
          </w:p>
        </w:tc>
        <w:tc>
          <w:tcPr>
            <w:tcW w:w="1559" w:type="dxa"/>
            <w:noWrap w:val="0"/>
            <w:vAlign w:val="center"/>
          </w:tcPr>
          <w:p w14:paraId="363CA144">
            <w:pPr>
              <w:spacing w:line="300" w:lineRule="exact"/>
              <w:jc w:val="center"/>
              <w:rPr>
                <w:rFonts w:hint="eastAsia" w:ascii="Arial" w:hAnsi="Arial" w:cs="Arial"/>
                <w:sz w:val="22"/>
                <w:szCs w:val="22"/>
              </w:rPr>
            </w:pPr>
            <w:r>
              <w:rPr>
                <w:rFonts w:hint="eastAsia" w:ascii="Arial" w:hAnsi="Arial" w:cs="Arial"/>
                <w:sz w:val="22"/>
                <w:szCs w:val="22"/>
              </w:rPr>
              <w:t>加强生态林地建设</w:t>
            </w:r>
          </w:p>
        </w:tc>
        <w:tc>
          <w:tcPr>
            <w:tcW w:w="5528" w:type="dxa"/>
            <w:gridSpan w:val="2"/>
            <w:noWrap w:val="0"/>
            <w:vAlign w:val="center"/>
          </w:tcPr>
          <w:p w14:paraId="6DEC1349">
            <w:pPr>
              <w:spacing w:line="300" w:lineRule="exact"/>
              <w:jc w:val="center"/>
              <w:rPr>
                <w:rFonts w:ascii="Arial" w:hAnsi="Arial" w:cs="Arial"/>
                <w:sz w:val="22"/>
                <w:szCs w:val="22"/>
              </w:rPr>
            </w:pPr>
            <w:r>
              <w:rPr>
                <w:rFonts w:hint="eastAsia" w:ascii="Arial" w:hAnsi="Arial" w:cs="Arial"/>
                <w:sz w:val="22"/>
                <w:szCs w:val="22"/>
              </w:rPr>
              <w:t>库区周边植树造林，禁止对水库周围植被乱砍乱伐。</w:t>
            </w:r>
          </w:p>
          <w:p w14:paraId="52353847">
            <w:pPr>
              <w:spacing w:line="300" w:lineRule="exact"/>
              <w:jc w:val="center"/>
              <w:rPr>
                <w:rFonts w:hint="eastAsia" w:ascii="Arial" w:hAnsi="Arial" w:cs="Arial"/>
                <w:sz w:val="22"/>
                <w:szCs w:val="22"/>
              </w:rPr>
            </w:pPr>
            <w:r>
              <w:rPr>
                <w:rFonts w:hint="eastAsia" w:ascii="Arial" w:hAnsi="Arial" w:cs="Arial"/>
                <w:sz w:val="22"/>
                <w:szCs w:val="22"/>
              </w:rPr>
              <w:t>在野生动物可能出没的地方设置动物通行标志，并在水库周边采取一定的保护措施如加设围栏等，还可对水库周边设置预告、人工监控、控制交通等措施来有效避免对评价区内野生动物的伤害。</w:t>
            </w:r>
          </w:p>
        </w:tc>
      </w:tr>
      <w:tr w14:paraId="624B1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71345CC8">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环境管理及监测</w:t>
            </w:r>
          </w:p>
        </w:tc>
        <w:tc>
          <w:tcPr>
            <w:tcW w:w="1331" w:type="dxa"/>
            <w:noWrap w:val="0"/>
            <w:vAlign w:val="center"/>
          </w:tcPr>
          <w:p w14:paraId="0992649C">
            <w:pPr>
              <w:spacing w:line="300" w:lineRule="exact"/>
              <w:jc w:val="center"/>
              <w:rPr>
                <w:rFonts w:hint="eastAsia" w:ascii="Arial" w:hAnsi="Arial" w:cs="Arial"/>
                <w:sz w:val="22"/>
                <w:szCs w:val="22"/>
              </w:rPr>
            </w:pPr>
            <w:r>
              <w:rPr>
                <w:rFonts w:hint="eastAsia" w:ascii="Arial" w:hAnsi="Arial" w:cs="Arial"/>
                <w:sz w:val="22"/>
                <w:szCs w:val="22"/>
              </w:rPr>
              <w:t>整体工程</w:t>
            </w:r>
          </w:p>
        </w:tc>
        <w:tc>
          <w:tcPr>
            <w:tcW w:w="7087" w:type="dxa"/>
            <w:gridSpan w:val="3"/>
            <w:noWrap w:val="0"/>
            <w:vAlign w:val="center"/>
          </w:tcPr>
          <w:p w14:paraId="75F22DD7">
            <w:pPr>
              <w:spacing w:line="300" w:lineRule="exact"/>
              <w:jc w:val="center"/>
              <w:rPr>
                <w:rFonts w:hint="eastAsia" w:ascii="Arial" w:hAnsi="Arial" w:eastAsia="宋体" w:cs="Arial"/>
                <w:sz w:val="22"/>
                <w:szCs w:val="22"/>
                <w:lang w:eastAsia="zh-CN"/>
              </w:rPr>
            </w:pPr>
            <w:r>
              <w:rPr>
                <w:rFonts w:hint="eastAsia" w:ascii="Arial" w:hAnsi="Arial" w:cs="Arial"/>
                <w:sz w:val="22"/>
                <w:szCs w:val="22"/>
              </w:rPr>
              <w:t>落实环境影响报告书中的管理要求，配备专职或兼职的环境管理人员，按报告提出的监测方案实施了环境监测</w:t>
            </w:r>
            <w:r>
              <w:rPr>
                <w:rFonts w:hint="eastAsia" w:ascii="Arial" w:hAnsi="Arial" w:cs="Arial"/>
                <w:sz w:val="22"/>
                <w:szCs w:val="22"/>
                <w:lang w:eastAsia="zh-CN"/>
              </w:rPr>
              <w:t>。</w:t>
            </w:r>
          </w:p>
        </w:tc>
      </w:tr>
    </w:tbl>
    <w:p w14:paraId="49AFE16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rPr>
      </w:pPr>
    </w:p>
    <w:p w14:paraId="20110F1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rPr>
      </w:pPr>
    </w:p>
    <w:p w14:paraId="1E09F06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rPr>
      </w:pPr>
    </w:p>
    <w:p w14:paraId="2F45D69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lang w:eastAsia="zh-CN"/>
        </w:rPr>
      </w:pPr>
    </w:p>
    <w:p w14:paraId="7FC5D15D">
      <w:pPr>
        <w:pStyle w:val="1066"/>
        <w:rPr>
          <w:rFonts w:cs="Times New Roman"/>
        </w:rPr>
      </w:pPr>
    </w:p>
    <w:p w14:paraId="448E3736">
      <w:pPr>
        <w:ind w:firstLine="472" w:firstLineChars="196"/>
        <w:jc w:val="center"/>
        <w:rPr>
          <w:b/>
          <w:sz w:val="24"/>
          <w:szCs w:val="24"/>
        </w:rPr>
      </w:pPr>
    </w:p>
    <w:p w14:paraId="32E68C6D">
      <w:pPr>
        <w:widowControl/>
        <w:jc w:val="left"/>
        <w:rPr>
          <w:b/>
          <w:sz w:val="24"/>
          <w:szCs w:val="24"/>
        </w:rPr>
      </w:pPr>
      <w:r>
        <w:rPr>
          <w:b/>
          <w:sz w:val="24"/>
          <w:szCs w:val="24"/>
        </w:rPr>
        <w:br w:type="page"/>
      </w:r>
    </w:p>
    <w:p w14:paraId="1587E780">
      <w:pPr>
        <w:rPr>
          <w:b/>
          <w:sz w:val="24"/>
          <w:szCs w:val="24"/>
        </w:rPr>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286" w:charSpace="0"/>
        </w:sectPr>
      </w:pPr>
    </w:p>
    <w:p w14:paraId="1340BDFA">
      <w:pPr>
        <w:pStyle w:val="583"/>
        <w:keepNext w:val="0"/>
        <w:keepLines w:val="0"/>
        <w:pageBreakBefore w:val="0"/>
        <w:widowControl w:val="0"/>
        <w:kinsoku/>
        <w:wordWrap/>
        <w:overflowPunct/>
        <w:topLinePunct w:val="0"/>
        <w:autoSpaceDE/>
        <w:autoSpaceDN/>
        <w:bidi w:val="0"/>
        <w:adjustRightInd w:val="0"/>
        <w:snapToGrid w:val="0"/>
        <w:spacing w:before="0" w:beforeLines="100" w:after="0" w:afterLines="100" w:line="460" w:lineRule="exact"/>
        <w:ind w:firstLine="0" w:firstLineChars="0"/>
        <w:jc w:val="center"/>
        <w:textAlignment w:val="auto"/>
        <w:outlineLvl w:val="0"/>
        <w:rPr>
          <w:rFonts w:hint="default" w:ascii="Arial" w:hAnsi="Arial" w:eastAsia="宋体" w:cs="Arial"/>
          <w:b/>
          <w:sz w:val="26"/>
          <w:szCs w:val="26"/>
          <w:highlight w:val="none"/>
          <w:lang w:eastAsia="zh-CN"/>
        </w:rPr>
      </w:pPr>
      <w:bookmarkStart w:id="163" w:name="_Toc391112265"/>
      <w:bookmarkStart w:id="164" w:name="_Toc429770274"/>
      <w:bookmarkStart w:id="165" w:name="_Toc329341124"/>
      <w:bookmarkStart w:id="166" w:name="_Toc8802"/>
      <w:r>
        <w:rPr>
          <w:rFonts w:hint="eastAsia" w:ascii="Arial" w:hAnsi="Arial" w:cs="Arial"/>
          <w:b/>
          <w:sz w:val="26"/>
          <w:szCs w:val="26"/>
          <w:highlight w:val="none"/>
          <w:lang w:val="en-US" w:eastAsia="zh-CN"/>
        </w:rPr>
        <w:t>10</w:t>
      </w:r>
      <w:r>
        <w:rPr>
          <w:rFonts w:hint="default" w:ascii="Arial" w:hAnsi="Arial" w:cs="Arial"/>
          <w:b/>
          <w:sz w:val="26"/>
          <w:szCs w:val="26"/>
          <w:highlight w:val="none"/>
        </w:rPr>
        <w:t xml:space="preserve"> 结论与建议</w:t>
      </w:r>
      <w:bookmarkEnd w:id="163"/>
      <w:bookmarkEnd w:id="164"/>
      <w:bookmarkEnd w:id="165"/>
      <w:bookmarkEnd w:id="166"/>
    </w:p>
    <w:p w14:paraId="79EAED4A">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67" w:name="_Toc16190"/>
      <w:bookmarkStart w:id="168" w:name="_Toc429770275"/>
      <w:bookmarkStart w:id="169" w:name="_Toc329341125"/>
      <w:bookmarkStart w:id="170" w:name="_Toc309066919"/>
      <w:bookmarkStart w:id="171" w:name="_Toc391112266"/>
      <w:r>
        <w:rPr>
          <w:rFonts w:hint="eastAsia" w:ascii="Arial" w:hAnsi="Arial" w:eastAsia="宋体" w:cs="Arial"/>
          <w:sz w:val="26"/>
          <w:szCs w:val="26"/>
          <w:highlight w:val="none"/>
          <w:lang w:val="en-US" w:eastAsia="zh-CN"/>
        </w:rPr>
        <w:t>1</w:t>
      </w:r>
      <w:r>
        <w:rPr>
          <w:rFonts w:hint="eastAsia" w:ascii="Arial" w:hAnsi="Arial" w:cs="Arial"/>
          <w:sz w:val="26"/>
          <w:szCs w:val="26"/>
          <w:highlight w:val="none"/>
          <w:lang w:val="en-US" w:eastAsia="zh-CN"/>
        </w:rPr>
        <w:t>0</w:t>
      </w:r>
      <w:r>
        <w:rPr>
          <w:rFonts w:hint="eastAsia" w:ascii="Arial" w:hAnsi="Arial" w:eastAsia="宋体" w:cs="Arial"/>
          <w:sz w:val="26"/>
          <w:szCs w:val="26"/>
          <w:highlight w:val="none"/>
          <w:lang w:val="en-US" w:eastAsia="zh-CN"/>
        </w:rPr>
        <w:t>.1 结论</w:t>
      </w:r>
      <w:bookmarkEnd w:id="167"/>
      <w:bookmarkEnd w:id="168"/>
      <w:bookmarkEnd w:id="169"/>
      <w:bookmarkEnd w:id="170"/>
      <w:bookmarkEnd w:id="171"/>
    </w:p>
    <w:p w14:paraId="64140D61">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bookmarkStart w:id="172" w:name="_Toc37663438"/>
      <w:bookmarkStart w:id="173" w:name="_Toc84687769"/>
      <w:bookmarkStart w:id="174" w:name="_Toc309066920"/>
      <w:bookmarkStart w:id="175" w:name="_Toc82767292"/>
      <w:bookmarkStart w:id="176" w:name="_Toc36041172"/>
      <w:bookmarkStart w:id="177" w:name="_Toc429770276"/>
      <w:bookmarkStart w:id="178" w:name="_Toc391112267"/>
      <w:bookmarkStart w:id="179" w:name="_Toc80865354"/>
      <w:bookmarkStart w:id="180" w:name="_Toc329341126"/>
      <w:bookmarkStart w:id="181" w:name="_Toc34987971"/>
      <w:bookmarkStart w:id="182" w:name="_Toc119592489"/>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 xml:space="preserve">.1.1 </w:t>
      </w:r>
      <w:r>
        <w:rPr>
          <w:rFonts w:hint="eastAsia" w:ascii="Arial" w:hAnsi="Arial" w:cs="Arial"/>
          <w:b/>
          <w:bCs/>
          <w:color w:val="000000"/>
          <w:sz w:val="26"/>
          <w:szCs w:val="26"/>
          <w:lang w:val="en-US" w:eastAsia="zh-CN"/>
        </w:rPr>
        <w:t>工程</w:t>
      </w:r>
      <w:r>
        <w:rPr>
          <w:rFonts w:hint="eastAsia" w:ascii="Arial" w:hAnsi="Arial" w:eastAsia="宋体" w:cs="Arial"/>
          <w:b/>
          <w:bCs/>
          <w:color w:val="000000"/>
          <w:sz w:val="26"/>
          <w:szCs w:val="26"/>
          <w:lang w:val="en-US" w:eastAsia="zh-CN"/>
        </w:rPr>
        <w:t>概况</w:t>
      </w:r>
      <w:bookmarkEnd w:id="172"/>
      <w:bookmarkEnd w:id="173"/>
      <w:bookmarkEnd w:id="174"/>
      <w:bookmarkEnd w:id="175"/>
      <w:bookmarkEnd w:id="176"/>
      <w:bookmarkEnd w:id="177"/>
      <w:bookmarkEnd w:id="178"/>
      <w:bookmarkEnd w:id="179"/>
      <w:bookmarkEnd w:id="180"/>
      <w:bookmarkEnd w:id="181"/>
      <w:bookmarkEnd w:id="182"/>
    </w:p>
    <w:p w14:paraId="6259B363">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auto"/>
          <w:kern w:val="0"/>
          <w:sz w:val="26"/>
          <w:szCs w:val="26"/>
          <w:highlight w:val="none"/>
          <w:lang w:val="en-US" w:eastAsia="zh-CN"/>
        </w:rPr>
      </w:pPr>
      <w:r>
        <w:rPr>
          <w:rFonts w:hint="eastAsia" w:ascii="Arial" w:hAnsi="Arial" w:cs="Arial"/>
          <w:b w:val="0"/>
          <w:color w:val="auto"/>
          <w:kern w:val="2"/>
          <w:sz w:val="26"/>
          <w:szCs w:val="26"/>
          <w:lang w:val="en-US" w:eastAsia="zh-CN" w:bidi="ar-SA"/>
        </w:rPr>
        <w:t>海螺沟水库选址位于丰都县双龙镇田家山村，</w:t>
      </w:r>
      <w:r>
        <w:rPr>
          <w:rFonts w:hint="eastAsia" w:ascii="Arial" w:hAnsi="Arial" w:cs="Arial"/>
          <w:color w:val="auto"/>
          <w:kern w:val="0"/>
          <w:sz w:val="26"/>
          <w:szCs w:val="26"/>
          <w:highlight w:val="none"/>
          <w:lang w:val="en-US" w:eastAsia="zh-CN"/>
        </w:rPr>
        <w:t>坝址</w:t>
      </w:r>
      <w:r>
        <w:rPr>
          <w:rFonts w:hint="eastAsia" w:ascii="Arial" w:hAnsi="Arial" w:eastAsia="宋体" w:cs="Arial"/>
          <w:color w:val="auto"/>
          <w:kern w:val="0"/>
          <w:sz w:val="26"/>
          <w:szCs w:val="26"/>
          <w:highlight w:val="none"/>
          <w:lang w:val="en-US" w:eastAsia="zh-CN"/>
        </w:rPr>
        <w:t>位于渠溪河左岸一级支流双龙河</w:t>
      </w:r>
      <w:r>
        <w:rPr>
          <w:rFonts w:hint="eastAsia" w:ascii="Arial" w:hAnsi="Arial" w:cs="Arial"/>
          <w:color w:val="auto"/>
          <w:kern w:val="0"/>
          <w:sz w:val="26"/>
          <w:szCs w:val="26"/>
          <w:highlight w:val="none"/>
          <w:lang w:val="en-US" w:eastAsia="zh-CN"/>
        </w:rPr>
        <w:t>右岸一级支流高洞桥河左岸一级</w:t>
      </w:r>
      <w:r>
        <w:rPr>
          <w:rFonts w:hint="eastAsia" w:ascii="Arial" w:hAnsi="Arial" w:eastAsia="宋体" w:cs="Arial"/>
          <w:color w:val="auto"/>
          <w:kern w:val="0"/>
          <w:sz w:val="26"/>
          <w:szCs w:val="26"/>
          <w:highlight w:val="none"/>
          <w:lang w:val="en-US" w:eastAsia="zh-CN"/>
        </w:rPr>
        <w:t>支流海螺沟上，</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多年平均总供水量76.28万m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水库坝址以上流域面积为2.04km</w:t>
      </w:r>
      <w:r>
        <w:rPr>
          <w:rFonts w:hint="eastAsia" w:ascii="Arial" w:hAnsi="Arial" w:eastAsia="宋体" w:cs="Arial"/>
          <w:color w:val="auto"/>
          <w:kern w:val="0"/>
          <w:sz w:val="26"/>
          <w:szCs w:val="26"/>
          <w:highlight w:val="none"/>
          <w:vertAlign w:val="superscript"/>
          <w:lang w:val="en-US" w:eastAsia="zh-CN"/>
        </w:rPr>
        <w:t>2</w:t>
      </w:r>
      <w:r>
        <w:rPr>
          <w:rFonts w:hint="eastAsia" w:ascii="Arial" w:hAnsi="Arial" w:eastAsia="宋体" w:cs="Arial"/>
          <w:color w:val="auto"/>
          <w:kern w:val="0"/>
          <w:sz w:val="26"/>
          <w:szCs w:val="26"/>
          <w:highlight w:val="none"/>
          <w:lang w:val="en-US" w:eastAsia="zh-CN"/>
        </w:rPr>
        <w:t>，坝址处多年平均径流量105万m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；正常蓄水位为420.0m，相应库容65.36万m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；死水位407.50m，死库容5.62万m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，调节库容59.74万m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；校核洪水位421.78m，总库容80.51万m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。配套输水管线总长8.9km，其中双龙干管长5.27km，5条支管长3.63km；采取PE管，地埋式敷设，取水流量为0.1124m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/s。配套建设上坝道路长1.76km、环库巡检步道长2.5km，及水库管理房、取水闸阀房等。</w:t>
      </w:r>
    </w:p>
    <w:p w14:paraId="196B3C5B">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hAnsi="Arial" w:cs="Arial"/>
          <w:color w:val="000000" w:themeColor="text1"/>
          <w:sz w:val="26"/>
          <w:szCs w:val="26"/>
          <w14:textFill>
            <w14:solidFill>
              <w14:schemeClr w14:val="tx1"/>
            </w14:solidFill>
          </w14:textFill>
        </w:rPr>
      </w:pPr>
      <w:r>
        <w:rPr>
          <w:rFonts w:hint="eastAsia" w:ascii="Arial" w:cs="Arial"/>
          <w:bCs/>
          <w:color w:val="000000" w:themeColor="text1"/>
          <w:sz w:val="26"/>
          <w:highlight w:val="none"/>
          <w14:textFill>
            <w14:solidFill>
              <w14:schemeClr w14:val="tx1"/>
            </w14:solidFill>
          </w14:textFill>
        </w:rPr>
        <w:t>拟建项目</w:t>
      </w:r>
      <w:r>
        <w:rPr>
          <w:rFonts w:hint="eastAsia" w:ascii="Arial" w:hAnsi="Arial" w:cs="Arial"/>
          <w:color w:val="000000" w:themeColor="text1"/>
          <w:sz w:val="26"/>
          <w:szCs w:val="26"/>
          <w:highlight w:val="none"/>
          <w14:textFill>
            <w14:solidFill>
              <w14:schemeClr w14:val="tx1"/>
            </w14:solidFill>
          </w14:textFill>
        </w:rPr>
        <w:t>总投资为</w:t>
      </w:r>
      <w:r>
        <w:rPr>
          <w:rFonts w:hint="eastAsia" w:ascii="Arial" w:hAnsi="Arial" w:cs="Arial"/>
          <w:color w:val="000000" w:themeColor="text1"/>
          <w:sz w:val="26"/>
          <w:szCs w:val="26"/>
          <w:highlight w:val="none"/>
          <w:lang w:val="en-US" w:eastAsia="zh-CN"/>
          <w14:textFill>
            <w14:solidFill>
              <w14:schemeClr w14:val="tx1"/>
            </w14:solidFill>
          </w14:textFill>
        </w:rPr>
        <w:t>14499.6</w:t>
      </w:r>
      <w:r>
        <w:rPr>
          <w:rFonts w:hint="eastAsia" w:ascii="Arial" w:hAnsi="Arial" w:cs="Arial"/>
          <w:color w:val="000000" w:themeColor="text1"/>
          <w:sz w:val="26"/>
          <w:szCs w:val="26"/>
          <w:highlight w:val="none"/>
          <w14:textFill>
            <w14:solidFill>
              <w14:schemeClr w14:val="tx1"/>
            </w14:solidFill>
          </w14:textFill>
        </w:rPr>
        <w:t>万元</w:t>
      </w:r>
      <w:r>
        <w:rPr>
          <w:rFonts w:hint="eastAsia" w:ascii="Arial" w:hAnsi="Arial" w:cs="Arial"/>
          <w:color w:val="000000" w:themeColor="text1"/>
          <w:sz w:val="26"/>
          <w:szCs w:val="26"/>
          <w14:textFill>
            <w14:solidFill>
              <w14:schemeClr w14:val="tx1"/>
            </w14:solidFill>
          </w14:textFill>
        </w:rPr>
        <w:t>，其中环保投资为</w:t>
      </w:r>
      <w:r>
        <w:rPr>
          <w:rFonts w:hint="eastAsia" w:ascii="Arial" w:hAnsi="Arial" w:cs="Arial"/>
          <w:color w:val="000000" w:themeColor="text1"/>
          <w:sz w:val="26"/>
          <w:szCs w:val="26"/>
          <w:lang w:val="en-US" w:eastAsia="zh-CN"/>
          <w14:textFill>
            <w14:solidFill>
              <w14:schemeClr w14:val="tx1"/>
            </w14:solidFill>
          </w14:textFill>
        </w:rPr>
        <w:t>208</w:t>
      </w:r>
      <w:r>
        <w:rPr>
          <w:rFonts w:hint="eastAsia" w:ascii="Arial" w:hAnsi="Arial" w:cs="Arial"/>
          <w:color w:val="000000" w:themeColor="text1"/>
          <w:sz w:val="26"/>
          <w:szCs w:val="26"/>
          <w14:textFill>
            <w14:solidFill>
              <w14:schemeClr w14:val="tx1"/>
            </w14:solidFill>
          </w14:textFill>
        </w:rPr>
        <w:t>万元，占总投资的</w:t>
      </w:r>
      <w:r>
        <w:rPr>
          <w:rFonts w:hint="eastAsia" w:ascii="Arial" w:hAnsi="Arial" w:cs="Arial"/>
          <w:color w:val="000000" w:themeColor="text1"/>
          <w:sz w:val="26"/>
          <w:szCs w:val="26"/>
          <w:lang w:val="en-US" w:eastAsia="zh-CN"/>
          <w14:textFill>
            <w14:solidFill>
              <w14:schemeClr w14:val="tx1"/>
            </w14:solidFill>
          </w14:textFill>
        </w:rPr>
        <w:t>1.43</w:t>
      </w:r>
      <w:r>
        <w:rPr>
          <w:rFonts w:hint="eastAsia" w:ascii="Arial" w:hAnsi="Arial" w:cs="Arial"/>
          <w:color w:val="000000" w:themeColor="text1"/>
          <w:sz w:val="26"/>
          <w:szCs w:val="26"/>
          <w14:textFill>
            <w14:solidFill>
              <w14:schemeClr w14:val="tx1"/>
            </w14:solidFill>
          </w14:textFill>
        </w:rPr>
        <w:t>%。施工期共计</w:t>
      </w:r>
      <w:r>
        <w:rPr>
          <w:rFonts w:hint="eastAsia" w:ascii="Arial" w:hAnsi="Arial" w:cs="Arial"/>
          <w:color w:val="000000" w:themeColor="text1"/>
          <w:sz w:val="26"/>
          <w:szCs w:val="26"/>
          <w:lang w:val="en-US" w:eastAsia="zh-CN"/>
          <w14:textFill>
            <w14:solidFill>
              <w14:schemeClr w14:val="tx1"/>
            </w14:solidFill>
          </w14:textFill>
        </w:rPr>
        <w:t>24</w:t>
      </w:r>
      <w:r>
        <w:rPr>
          <w:rFonts w:hint="eastAsia" w:ascii="Arial" w:hAnsi="Arial" w:cs="Arial"/>
          <w:color w:val="000000" w:themeColor="text1"/>
          <w:sz w:val="26"/>
          <w:szCs w:val="26"/>
          <w14:textFill>
            <w14:solidFill>
              <w14:schemeClr w14:val="tx1"/>
            </w14:solidFill>
          </w14:textFill>
        </w:rPr>
        <w:t>个月。</w:t>
      </w:r>
    </w:p>
    <w:p w14:paraId="01BD9CE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bookmarkStart w:id="183" w:name="_Toc34987972"/>
      <w:bookmarkStart w:id="184" w:name="_Toc119592490"/>
      <w:bookmarkStart w:id="185" w:name="_Toc80865355"/>
      <w:bookmarkStart w:id="186" w:name="_Toc82767293"/>
      <w:bookmarkStart w:id="187" w:name="_Toc84687770"/>
      <w:bookmarkStart w:id="188" w:name="_Toc36041173"/>
      <w:bookmarkStart w:id="189" w:name="_Toc37663439"/>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.1.2 项目与相关政策、规划的符合性</w:t>
      </w:r>
      <w:bookmarkEnd w:id="183"/>
      <w:bookmarkEnd w:id="184"/>
      <w:bookmarkEnd w:id="185"/>
      <w:bookmarkEnd w:id="186"/>
      <w:bookmarkEnd w:id="187"/>
      <w:bookmarkEnd w:id="188"/>
      <w:bookmarkEnd w:id="189"/>
    </w:p>
    <w:p w14:paraId="70254D30">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（1）产业政策</w:t>
      </w:r>
    </w:p>
    <w:p w14:paraId="46F10E05">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cs="Arial"/>
          <w:b w:val="0"/>
          <w:color w:val="auto"/>
          <w:kern w:val="2"/>
          <w:sz w:val="26"/>
          <w:szCs w:val="26"/>
          <w:lang w:val="fr-FR" w:eastAsia="zh-CN" w:bidi="ar-SA"/>
        </w:rPr>
        <w:t>本项目属于《产业结构调整指导目录（20</w:t>
      </w:r>
      <w:r>
        <w:rPr>
          <w:rFonts w:hint="eastAsia" w:ascii="Arial" w:hAnsi="Arial" w:cs="Arial"/>
          <w:b w:val="0"/>
          <w:color w:val="auto"/>
          <w:kern w:val="2"/>
          <w:sz w:val="26"/>
          <w:szCs w:val="26"/>
          <w:lang w:val="en-US" w:eastAsia="zh-CN" w:bidi="ar-SA"/>
        </w:rPr>
        <w:t>24</w:t>
      </w:r>
      <w:r>
        <w:rPr>
          <w:rFonts w:hint="eastAsia" w:ascii="Arial" w:hAnsi="Arial" w:cs="Arial"/>
          <w:b w:val="0"/>
          <w:color w:val="auto"/>
          <w:kern w:val="2"/>
          <w:sz w:val="26"/>
          <w:szCs w:val="26"/>
          <w:lang w:val="fr-FR" w:eastAsia="zh-CN" w:bidi="ar-SA"/>
        </w:rPr>
        <w:t>年本）》“第一类鼓励类”中“二、水利”中“</w:t>
      </w:r>
      <w:r>
        <w:rPr>
          <w:rFonts w:hint="eastAsia" w:ascii="Arial" w:hAnsi="Arial" w:cs="Arial"/>
          <w:b w:val="0"/>
          <w:color w:val="auto"/>
          <w:kern w:val="2"/>
          <w:sz w:val="26"/>
          <w:szCs w:val="26"/>
          <w:lang w:val="en-US" w:eastAsia="zh-CN" w:bidi="ar-SA"/>
        </w:rPr>
        <w:t>2、节水供水工程”</w:t>
      </w:r>
      <w:r>
        <w:rPr>
          <w:rFonts w:hint="eastAsia" w:ascii="Arial" w:hAnsi="Arial" w:cs="Arial"/>
          <w:b w:val="0"/>
          <w:color w:val="auto"/>
          <w:kern w:val="2"/>
          <w:sz w:val="26"/>
          <w:szCs w:val="26"/>
          <w:lang w:val="fr-FR" w:eastAsia="zh-CN" w:bidi="ar-SA"/>
        </w:rPr>
        <w:t>，为鼓励类建设项目，符合国家产业政策要求。且本项目已取得丰都县发展和改革委员会下发的可研批复，赋予的项目代码为</w:t>
      </w:r>
      <w:r>
        <w:rPr>
          <w:rFonts w:hint="eastAsia" w:ascii="Arial" w:hAnsi="Arial" w:cs="Arial"/>
          <w:b w:val="0"/>
          <w:color w:val="auto"/>
          <w:kern w:val="2"/>
          <w:sz w:val="26"/>
          <w:szCs w:val="26"/>
          <w:lang w:val="en-US" w:eastAsia="zh-CN" w:bidi="ar-SA"/>
        </w:rPr>
        <w:t>2206-500230-04-01-422735。</w:t>
      </w:r>
    </w:p>
    <w:p w14:paraId="37D38D1E">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cs="Arial"/>
          <w:color w:val="000000"/>
          <w:kern w:val="2"/>
          <w:sz w:val="26"/>
          <w:szCs w:val="26"/>
          <w:lang w:val="en-US" w:eastAsia="zh-CN" w:bidi="ar-SA"/>
        </w:rPr>
        <w:t>由此可见，本项目符合</w:t>
      </w:r>
      <w:r>
        <w:rPr>
          <w:rFonts w:hint="eastAsia" w:ascii="Arial" w:hAnsi="Arial" w:cs="Arial"/>
          <w:b w:val="0"/>
          <w:color w:val="auto"/>
          <w:kern w:val="2"/>
          <w:sz w:val="26"/>
          <w:szCs w:val="26"/>
          <w:lang w:val="en-US" w:eastAsia="zh-CN" w:bidi="ar-SA"/>
        </w:rPr>
        <w:t>国家和重庆市现行产业政策要求。</w:t>
      </w:r>
    </w:p>
    <w:p w14:paraId="2C29041B">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2</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流域规划</w:t>
      </w:r>
    </w:p>
    <w:p w14:paraId="56A34029">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cs="Arial"/>
          <w:color w:val="auto"/>
          <w:kern w:val="0"/>
          <w:sz w:val="26"/>
          <w:szCs w:val="26"/>
          <w:highlight w:val="none"/>
          <w:lang w:val="en-US" w:eastAsia="zh-CN"/>
        </w:rPr>
        <w:t>本项目属于《重庆市渠溪河流域综合规划环境影响报告书》中规划拟建水库，且规划中海螺沟水库工程任务、坝址、坝型、特征水位、库容等特性均与本次评价内容一致；本项目设施过程中将根据流域规划、规划环评及审查意见的相关内容，完善项目相关生态环境保护措施。由此可见，本项目与《重庆市渠溪河流域综合规划环境影响报告书》及其审查意见“</w:t>
      </w:r>
      <w:r>
        <w:rPr>
          <w:rFonts w:hint="default" w:ascii="Arial" w:hAnsi="Arial" w:cs="Arial"/>
          <w:color w:val="auto"/>
          <w:kern w:val="0"/>
          <w:sz w:val="26"/>
          <w:szCs w:val="26"/>
          <w:highlight w:val="none"/>
          <w:lang w:val="en-US" w:eastAsia="zh-CN"/>
        </w:rPr>
        <w:t>丰环函</w:t>
      </w:r>
      <w:r>
        <w:rPr>
          <w:rFonts w:hint="default" w:ascii="Arial" w:hAnsi="Arial" w:eastAsia="宋体" w:cs="Arial"/>
          <w:color w:val="auto"/>
          <w:kern w:val="0"/>
          <w:sz w:val="26"/>
          <w:szCs w:val="26"/>
          <w:highlight w:val="none"/>
          <w:lang w:val="en-US" w:eastAsia="zh-CN"/>
        </w:rPr>
        <w:t>〔2025〕2号</w:t>
      </w:r>
      <w:r>
        <w:rPr>
          <w:rFonts w:hint="eastAsia" w:ascii="Arial" w:hAnsi="Arial" w:cs="Arial"/>
          <w:color w:val="auto"/>
          <w:kern w:val="0"/>
          <w:sz w:val="26"/>
          <w:szCs w:val="26"/>
          <w:highlight w:val="none"/>
          <w:lang w:val="en-US" w:eastAsia="zh-CN"/>
        </w:rPr>
        <w:t>”相符。</w:t>
      </w:r>
    </w:p>
    <w:p w14:paraId="2787B166">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3</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其他</w:t>
      </w:r>
    </w:p>
    <w:p w14:paraId="1E7CC6A1">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cs="Arial"/>
          <w:color w:val="000000"/>
          <w:kern w:val="2"/>
          <w:sz w:val="26"/>
          <w:szCs w:val="26"/>
          <w:lang w:val="en-US" w:eastAsia="zh-CN" w:bidi="ar-SA"/>
        </w:rPr>
        <w:t>经叠图对比，</w:t>
      </w:r>
      <w:r>
        <w:rPr>
          <w:rFonts w:hint="eastAsia" w:ascii="Arial" w:hAnsi="Arial" w:cs="Arial"/>
          <w:color w:val="auto"/>
          <w:kern w:val="0"/>
          <w:sz w:val="26"/>
          <w:szCs w:val="26"/>
          <w:highlight w:val="none"/>
          <w:lang w:val="en-US" w:eastAsia="zh-CN"/>
        </w:rPr>
        <w:t>海螺沟水库占地范围内不涉及自然保护区、风景名胜区、森林公园、饮用水水源保护区、生态保护红线、湿地公园、水产种质资源保护区等特殊生态敏感区，与《长江经济带发展负面清单指南（试行）》、《关于印发四川省、重庆市长江经济</w:t>
      </w:r>
      <w:r>
        <w:rPr>
          <w:rFonts w:hint="default" w:ascii="Arial" w:hAnsi="Arial" w:cs="Arial"/>
          <w:color w:val="auto"/>
          <w:kern w:val="0"/>
          <w:sz w:val="26"/>
          <w:szCs w:val="26"/>
          <w:highlight w:val="none"/>
          <w:lang w:val="en-US" w:eastAsia="zh-CN"/>
        </w:rPr>
        <w:t>带发展负面清单实施细则（试行，2022年版）的通知》、《关于印发重庆市产业投资准入工作手册的通知》（渝发改投资</w:t>
      </w:r>
      <w:r>
        <w:rPr>
          <w:rFonts w:hint="default" w:ascii="Arial" w:hAnsi="Arial" w:eastAsia="宋体" w:cs="Arial"/>
          <w:color w:val="auto"/>
          <w:kern w:val="0"/>
          <w:sz w:val="26"/>
          <w:szCs w:val="26"/>
          <w:highlight w:val="none"/>
          <w:lang w:val="en-US" w:eastAsia="zh-CN"/>
        </w:rPr>
        <w:t>〔2022〕1436号）</w:t>
      </w:r>
      <w:r>
        <w:rPr>
          <w:rFonts w:hint="eastAsia" w:ascii="Arial" w:hAnsi="Arial" w:cs="Arial"/>
          <w:color w:val="auto"/>
          <w:kern w:val="0"/>
          <w:sz w:val="26"/>
          <w:szCs w:val="26"/>
          <w:highlight w:val="none"/>
          <w:lang w:val="en-US" w:eastAsia="zh-CN"/>
        </w:rPr>
        <w:t>《重庆市水安全保障“十四五”规划（2021-2025年）》、《丰都县“十四五”水安全保障规划》、丰都县“三线一单”</w:t>
      </w:r>
      <w:r>
        <w:rPr>
          <w:rFonts w:hint="default" w:ascii="Arial" w:hAnsi="Arial" w:cs="Arial"/>
          <w:color w:val="auto"/>
          <w:kern w:val="0"/>
          <w:sz w:val="26"/>
          <w:szCs w:val="26"/>
          <w:highlight w:val="none"/>
          <w:lang w:val="en-US" w:eastAsia="zh-CN"/>
        </w:rPr>
        <w:t>等文件相符</w:t>
      </w:r>
      <w:r>
        <w:rPr>
          <w:rFonts w:hint="eastAsia" w:ascii="Arial" w:hAnsi="Arial" w:cs="Arial"/>
          <w:color w:val="auto"/>
          <w:kern w:val="0"/>
          <w:sz w:val="26"/>
          <w:szCs w:val="26"/>
          <w:highlight w:val="none"/>
          <w:lang w:val="en-US" w:eastAsia="zh-CN"/>
        </w:rPr>
        <w:t>，且项目所办理的前期资料均已取</w:t>
      </w:r>
      <w:r>
        <w:rPr>
          <w:rFonts w:hint="eastAsia" w:ascii="Arial" w:hAnsi="Arial" w:eastAsia="宋体" w:cs="Arial"/>
          <w:color w:val="auto"/>
          <w:kern w:val="0"/>
          <w:sz w:val="26"/>
          <w:szCs w:val="26"/>
          <w:highlight w:val="none"/>
          <w:lang w:val="en-US" w:eastAsia="zh-CN"/>
        </w:rPr>
        <w:t>得相关主管部门的批复。</w:t>
      </w:r>
    </w:p>
    <w:p w14:paraId="7CD7EA5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bookmarkStart w:id="190" w:name="_Toc36041174"/>
      <w:bookmarkStart w:id="191" w:name="_Toc84687771"/>
      <w:bookmarkStart w:id="192" w:name="_Toc82767294"/>
      <w:bookmarkStart w:id="193" w:name="_Toc119592491"/>
      <w:bookmarkStart w:id="194" w:name="_Toc80865356"/>
      <w:bookmarkStart w:id="195" w:name="_Toc37663440"/>
      <w:bookmarkStart w:id="196" w:name="_Toc34987973"/>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.1.3</w:t>
      </w:r>
      <w:bookmarkEnd w:id="190"/>
      <w:bookmarkEnd w:id="191"/>
      <w:bookmarkEnd w:id="192"/>
      <w:bookmarkEnd w:id="193"/>
      <w:bookmarkEnd w:id="194"/>
      <w:bookmarkEnd w:id="195"/>
      <w:bookmarkEnd w:id="196"/>
      <w:r>
        <w:rPr>
          <w:rFonts w:hint="eastAsia" w:ascii="Arial" w:hAnsi="Arial" w:cs="Arial"/>
          <w:b/>
          <w:bCs/>
          <w:color w:val="000000"/>
          <w:sz w:val="26"/>
          <w:szCs w:val="26"/>
          <w:lang w:val="en-US" w:eastAsia="zh-CN"/>
        </w:rPr>
        <w:t>环境概况</w:t>
      </w:r>
    </w:p>
    <w:p w14:paraId="6C0A8F83">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1</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环境质量现状</w:t>
      </w:r>
    </w:p>
    <w:p w14:paraId="1BA02F91">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根据《</w:t>
      </w:r>
      <w:r>
        <w:rPr>
          <w:rFonts w:hint="default" w:ascii="Arial" w:hAnsi="Arial" w:eastAsia="宋体" w:cs="Arial"/>
          <w:color w:val="000000"/>
          <w:kern w:val="2"/>
          <w:sz w:val="26"/>
          <w:szCs w:val="26"/>
          <w:lang w:val="en-US" w:eastAsia="zh-CN" w:bidi="ar-SA"/>
        </w:rPr>
        <w:t>202</w:t>
      </w:r>
      <w:r>
        <w:rPr>
          <w:rFonts w:hint="eastAsia" w:ascii="Arial" w:hAnsi="Arial" w:cs="Arial"/>
          <w:color w:val="000000"/>
          <w:kern w:val="2"/>
          <w:sz w:val="26"/>
          <w:szCs w:val="26"/>
          <w:lang w:val="en-US" w:eastAsia="zh-CN" w:bidi="ar-SA"/>
        </w:rPr>
        <w:t>3</w:t>
      </w:r>
      <w:r>
        <w:rPr>
          <w:rFonts w:hint="eastAsia" w:ascii="Arial" w:hAnsi="Arial" w:eastAsia="宋体" w:cs="Arial"/>
          <w:color w:val="000000"/>
          <w:kern w:val="2"/>
          <w:sz w:val="26"/>
          <w:szCs w:val="26"/>
          <w:lang w:val="en-US" w:eastAsia="zh-CN" w:bidi="ar-SA"/>
        </w:rPr>
        <w:t>年重庆市生态环境状况公报》</w:t>
      </w:r>
      <w:r>
        <w:rPr>
          <w:rFonts w:hint="eastAsia" w:ascii="Arial" w:hAnsi="Arial" w:cs="Arial"/>
          <w:color w:val="000000"/>
          <w:kern w:val="2"/>
          <w:sz w:val="26"/>
          <w:szCs w:val="26"/>
          <w:lang w:val="en-US" w:eastAsia="zh-CN" w:bidi="ar-SA"/>
        </w:rPr>
        <w:t>，丰都县</w:t>
      </w:r>
      <w:r>
        <w:rPr>
          <w:rFonts w:hint="eastAsia" w:ascii="Arial" w:hAnsi="Arial" w:eastAsia="宋体" w:cs="Arial"/>
          <w:color w:val="000000"/>
          <w:kern w:val="2"/>
          <w:sz w:val="26"/>
          <w:szCs w:val="26"/>
          <w:lang w:val="en-US" w:eastAsia="zh-CN" w:bidi="ar-SA"/>
        </w:rPr>
        <w:t>属于环境空气质量达标区</w:t>
      </w:r>
      <w:r>
        <w:rPr>
          <w:rFonts w:hint="eastAsia" w:ascii="Arial" w:hAnsi="Arial" w:cs="Arial"/>
          <w:color w:val="000000"/>
          <w:kern w:val="2"/>
          <w:sz w:val="26"/>
          <w:szCs w:val="26"/>
          <w:lang w:val="en-US" w:eastAsia="zh-CN" w:bidi="ar-SA"/>
        </w:rPr>
        <w:t>。</w:t>
      </w:r>
    </w:p>
    <w:p w14:paraId="13C8BBEC">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cs="Arial"/>
          <w:b w:val="0"/>
          <w:bCs/>
          <w:sz w:val="26"/>
          <w:szCs w:val="26"/>
          <w:lang w:val="en-US" w:eastAsia="zh-CN"/>
        </w:rPr>
      </w:pPr>
      <w:r>
        <w:rPr>
          <w:rFonts w:hint="eastAsia" w:ascii="Arial" w:hAnsi="Arial" w:cs="Arial"/>
          <w:color w:val="000000"/>
          <w:kern w:val="2"/>
          <w:sz w:val="26"/>
          <w:szCs w:val="26"/>
          <w:lang w:val="en-US" w:eastAsia="zh-CN" w:bidi="ar-SA"/>
        </w:rPr>
        <w:t>根据实测及引用的地表水监测数据可知，项目所在流域各地表水监测断面各监测因子浓度均可满足</w:t>
      </w:r>
      <w:r>
        <w:rPr>
          <w:rFonts w:hint="eastAsia" w:ascii="Arial" w:hAnsi="Arial" w:eastAsia="宋体" w:cs="Arial"/>
          <w:color w:val="auto"/>
          <w:sz w:val="26"/>
          <w:szCs w:val="26"/>
          <w:lang w:val="en-US" w:eastAsia="zh-CN"/>
        </w:rPr>
        <w:t>《地表水环境质量标准》（GB3838-2002）中Ⅲ类标准，未出现超标现象</w:t>
      </w:r>
      <w:r>
        <w:rPr>
          <w:rFonts w:hint="eastAsia" w:ascii="Arial" w:hAnsi="Arial" w:cs="Arial"/>
          <w:color w:val="auto"/>
          <w:sz w:val="26"/>
          <w:szCs w:val="26"/>
          <w:lang w:val="en-US" w:eastAsia="zh-CN"/>
        </w:rPr>
        <w:t>，水质现状良好</w:t>
      </w:r>
      <w:r>
        <w:rPr>
          <w:rFonts w:hint="eastAsia" w:ascii="Arial" w:hAnsi="Arial" w:eastAsia="宋体" w:cs="Arial"/>
          <w:color w:val="auto"/>
          <w:sz w:val="26"/>
          <w:szCs w:val="26"/>
          <w:lang w:val="en-US" w:eastAsia="zh-CN"/>
        </w:rPr>
        <w:t>。</w:t>
      </w:r>
      <w:r>
        <w:rPr>
          <w:rFonts w:hint="eastAsia" w:ascii="Arial" w:hAnsi="Arial" w:cs="Arial"/>
          <w:color w:val="auto"/>
          <w:sz w:val="26"/>
          <w:szCs w:val="26"/>
          <w:lang w:val="en-US" w:eastAsia="zh-CN"/>
        </w:rPr>
        <w:t>根据对比分析，</w:t>
      </w:r>
      <w:r>
        <w:rPr>
          <w:rFonts w:hint="eastAsia" w:ascii="Arial" w:hAnsi="Arial" w:cs="Arial"/>
          <w:b w:val="0"/>
          <w:bCs/>
          <w:sz w:val="26"/>
          <w:szCs w:val="26"/>
          <w:lang w:val="en-US" w:eastAsia="zh-CN"/>
        </w:rPr>
        <w:t>渠溪河东风大桥例行监测断面2019~2023年各监测因子均满足《地表水环境质量标准》（GB3838-2002）中</w:t>
      </w:r>
      <w:r>
        <w:rPr>
          <w:rFonts w:hint="eastAsia" w:ascii="Arial" w:hAnsi="Arial" w:cs="Arial"/>
          <w:b w:val="0"/>
          <w:bCs/>
          <w:sz w:val="26"/>
          <w:szCs w:val="26"/>
          <w:lang w:val="en-US" w:eastAsia="zh-CN"/>
        </w:rPr>
        <w:fldChar w:fldCharType="begin"/>
      </w:r>
      <w:r>
        <w:rPr>
          <w:rFonts w:hint="eastAsia" w:ascii="Arial" w:hAnsi="Arial" w:cs="Arial"/>
          <w:b w:val="0"/>
          <w:bCs/>
          <w:sz w:val="26"/>
          <w:szCs w:val="26"/>
          <w:lang w:val="en-US" w:eastAsia="zh-CN"/>
        </w:rPr>
        <w:instrText xml:space="preserve"> = 3 \* ROMAN </w:instrText>
      </w:r>
      <w:r>
        <w:rPr>
          <w:rFonts w:hint="eastAsia" w:ascii="Arial" w:hAnsi="Arial" w:cs="Arial"/>
          <w:b w:val="0"/>
          <w:bCs/>
          <w:sz w:val="26"/>
          <w:szCs w:val="26"/>
          <w:lang w:val="en-US" w:eastAsia="zh-CN"/>
        </w:rPr>
        <w:fldChar w:fldCharType="separate"/>
      </w:r>
      <w:r>
        <w:rPr>
          <w:rFonts w:hint="eastAsia" w:ascii="Arial" w:hAnsi="Arial" w:cs="Arial"/>
          <w:b w:val="0"/>
          <w:bCs/>
          <w:sz w:val="26"/>
          <w:szCs w:val="26"/>
          <w:lang w:val="en-US" w:eastAsia="zh-CN"/>
        </w:rPr>
        <w:t>III</w:t>
      </w:r>
      <w:r>
        <w:rPr>
          <w:rFonts w:hint="eastAsia" w:ascii="Arial" w:hAnsi="Arial" w:cs="Arial"/>
          <w:b w:val="0"/>
          <w:bCs/>
          <w:sz w:val="26"/>
          <w:szCs w:val="26"/>
          <w:lang w:val="en-US" w:eastAsia="zh-CN"/>
        </w:rPr>
        <w:fldChar w:fldCharType="end"/>
      </w:r>
      <w:r>
        <w:rPr>
          <w:rFonts w:hint="eastAsia" w:ascii="Arial" w:hAnsi="Arial" w:cs="Arial"/>
          <w:b w:val="0"/>
          <w:bCs/>
          <w:sz w:val="26"/>
          <w:szCs w:val="26"/>
          <w:lang w:val="en-US" w:eastAsia="zh-CN"/>
        </w:rPr>
        <w:t>类水域标准限值要求，</w:t>
      </w:r>
      <w:r>
        <w:rPr>
          <w:rFonts w:hint="eastAsia" w:ascii="Arial" w:hAnsi="宋体" w:eastAsia="宋体" w:cs="Arial"/>
          <w:bCs/>
          <w:sz w:val="26"/>
          <w:szCs w:val="26"/>
          <w:lang w:eastAsia="zh-CN"/>
        </w:rPr>
        <w:t>化学需氧量年均浓度呈现一定上升趋势，氨氮浓度先升高后降低，溶解氧、高锰酸盐指数、五日生化需氧量、总磷浓度呈现下降趋势。</w:t>
      </w:r>
    </w:p>
    <w:p w14:paraId="6612C742">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default"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根据实测结果，项目所在地设置的3个噪声现状监测点昼、夜监测值均可满足《声环境质量标准》（GB3096-2008）相应的功能区标准要求。</w:t>
      </w:r>
    </w:p>
    <w:p w14:paraId="4CC34D2C">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根据实测及引用的地下水监测数据可知，各监测点</w:t>
      </w:r>
      <w:r>
        <w:rPr>
          <w:rFonts w:hint="eastAsia" w:ascii="Arial" w:cs="Arial"/>
          <w:spacing w:val="-4"/>
          <w:sz w:val="26"/>
          <w:szCs w:val="26"/>
          <w:lang w:val="en-US"/>
        </w:rPr>
        <w:t>各项监测因子均能够达到《地下水质量标准》（</w:t>
      </w:r>
      <w:r>
        <w:rPr>
          <w:rFonts w:ascii="Arial" w:cs="Arial"/>
          <w:spacing w:val="-4"/>
          <w:sz w:val="26"/>
          <w:szCs w:val="26"/>
          <w:lang w:val="en-US"/>
        </w:rPr>
        <w:t>GB/T14848-2017</w:t>
      </w:r>
      <w:r>
        <w:rPr>
          <w:rFonts w:hint="eastAsia" w:ascii="Arial" w:cs="Arial"/>
          <w:spacing w:val="-4"/>
          <w:sz w:val="26"/>
          <w:szCs w:val="26"/>
          <w:lang w:val="en-US"/>
        </w:rPr>
        <w:t>）中</w:t>
      </w:r>
      <w:r>
        <w:rPr>
          <w:rFonts w:ascii="Arial" w:cs="Arial"/>
          <w:spacing w:val="-4"/>
          <w:sz w:val="26"/>
          <w:szCs w:val="26"/>
          <w:lang w:val="en-US"/>
        </w:rPr>
        <w:fldChar w:fldCharType="begin"/>
      </w:r>
      <w:r>
        <w:rPr>
          <w:rFonts w:ascii="Arial" w:cs="Arial"/>
          <w:spacing w:val="-4"/>
          <w:sz w:val="26"/>
          <w:szCs w:val="26"/>
          <w:lang w:val="en-US"/>
        </w:rPr>
        <w:instrText xml:space="preserve"> = 3 \* ROMAN </w:instrText>
      </w:r>
      <w:r>
        <w:rPr>
          <w:rFonts w:ascii="Arial" w:cs="Arial"/>
          <w:spacing w:val="-4"/>
          <w:sz w:val="26"/>
          <w:szCs w:val="26"/>
          <w:lang w:val="en-US"/>
        </w:rPr>
        <w:fldChar w:fldCharType="separate"/>
      </w:r>
      <w:r>
        <w:rPr>
          <w:rFonts w:ascii="Arial" w:cs="Arial"/>
          <w:spacing w:val="-4"/>
          <w:sz w:val="26"/>
          <w:szCs w:val="26"/>
          <w:lang w:val="en-US"/>
        </w:rPr>
        <w:t>III</w:t>
      </w:r>
      <w:r>
        <w:rPr>
          <w:rFonts w:ascii="Arial" w:cs="Arial"/>
          <w:spacing w:val="-4"/>
          <w:sz w:val="26"/>
          <w:szCs w:val="26"/>
          <w:lang w:val="en-US"/>
        </w:rPr>
        <w:fldChar w:fldCharType="end"/>
      </w:r>
      <w:r>
        <w:rPr>
          <w:rFonts w:hint="eastAsia" w:ascii="Arial" w:cs="Arial"/>
          <w:spacing w:val="-4"/>
          <w:sz w:val="26"/>
          <w:szCs w:val="26"/>
          <w:lang w:val="en-US"/>
        </w:rPr>
        <w:t>类水质标准</w:t>
      </w:r>
      <w:r>
        <w:rPr>
          <w:rFonts w:hint="eastAsia" w:ascii="Arial" w:hAnsi="Arial" w:eastAsia="宋体" w:cs="Arial"/>
          <w:color w:val="auto"/>
          <w:sz w:val="26"/>
          <w:szCs w:val="26"/>
          <w:lang w:val="en-US" w:eastAsia="zh-CN"/>
        </w:rPr>
        <w:t>，未出现超标现象</w:t>
      </w:r>
      <w:r>
        <w:rPr>
          <w:rFonts w:hint="eastAsia" w:ascii="Arial" w:cs="Arial"/>
          <w:spacing w:val="-4"/>
          <w:sz w:val="26"/>
          <w:szCs w:val="26"/>
          <w:lang w:val="en-US"/>
        </w:rPr>
        <w:t>。</w:t>
      </w:r>
    </w:p>
    <w:p w14:paraId="1BCD9587">
      <w:pPr>
        <w:pStyle w:val="583"/>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根据引用的监测数据，海螺沟水库拟建大坝处底泥中各监测因子浓度均可满足《土壤环境质量农用地土壤污染风险管控标准（试行）》（GB15618-2018）表1中农用地土壤污染风险筛选值。</w:t>
      </w:r>
    </w:p>
    <w:p w14:paraId="68A65AD2">
      <w:pPr>
        <w:pStyle w:val="583"/>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cs="Arial"/>
          <w:color w:val="000000"/>
          <w:kern w:val="2"/>
          <w:sz w:val="26"/>
          <w:szCs w:val="26"/>
          <w:lang w:val="en-US" w:eastAsia="zh-CN" w:bidi="ar-SA"/>
        </w:rPr>
      </w:pPr>
      <w:r>
        <w:rPr>
          <w:rFonts w:hint="eastAsia" w:ascii="Arial" w:hAnsi="Arial" w:cs="Arial"/>
          <w:color w:val="000000"/>
          <w:kern w:val="2"/>
          <w:sz w:val="26"/>
          <w:szCs w:val="26"/>
          <w:highlight w:val="none"/>
          <w:lang w:val="en-US" w:eastAsia="zh-CN" w:bidi="ar-SA"/>
        </w:rPr>
        <w:t>根据现场勘查，项目评价范围内</w:t>
      </w:r>
      <w:r>
        <w:rPr>
          <w:rFonts w:hint="eastAsia" w:ascii="Arial" w:hAnsi="Arial" w:cs="Arial"/>
          <w:sz w:val="26"/>
          <w:szCs w:val="26"/>
          <w:highlight w:val="none"/>
          <w:lang w:eastAsia="zh-CN"/>
        </w:rPr>
        <w:t>以马尾松、柏树、栎类、桉树等为主，另</w:t>
      </w:r>
      <w:r>
        <w:rPr>
          <w:rFonts w:hint="eastAsia" w:ascii="Arial" w:hAnsi="Arial" w:cs="Arial"/>
          <w:sz w:val="26"/>
          <w:szCs w:val="26"/>
          <w:lang w:eastAsia="zh-CN"/>
        </w:rPr>
        <w:t>外有水稻、玉米等栽培植被，评价范围内无珍稀濒危保护类野生植物及名木古树分布。评价范围内</w:t>
      </w:r>
      <w:r>
        <w:rPr>
          <w:rFonts w:hint="default" w:ascii="Arial" w:hAnsi="Arial" w:eastAsia="宋体" w:cs="Arial"/>
          <w:color w:val="auto"/>
          <w:sz w:val="26"/>
          <w:szCs w:val="26"/>
          <w:highlight w:val="none"/>
          <w:lang w:val="en-US" w:eastAsia="zh-CN"/>
        </w:rPr>
        <w:t>有动物</w:t>
      </w:r>
      <w:r>
        <w:rPr>
          <w:rFonts w:hint="eastAsia" w:ascii="Arial" w:hAnsi="Arial" w:cs="Arial"/>
          <w:color w:val="auto"/>
          <w:sz w:val="26"/>
          <w:szCs w:val="26"/>
          <w:highlight w:val="none"/>
          <w:lang w:val="en-US" w:eastAsia="zh-CN"/>
        </w:rPr>
        <w:t>均为当地常见物种，其中重庆市市级保护动物4种，分别为</w:t>
      </w:r>
      <w:r>
        <w:rPr>
          <w:rFonts w:hint="eastAsia" w:ascii="Arial" w:hAnsi="Arial" w:eastAsia="宋体" w:cs="Arial"/>
          <w:b w:val="0"/>
          <w:color w:val="auto"/>
          <w:kern w:val="2"/>
          <w:sz w:val="26"/>
          <w:szCs w:val="26"/>
          <w:lang w:val="en-US" w:eastAsia="zh-CN" w:bidi="ar-SA"/>
        </w:rPr>
        <w:t>隆肛蛙、棘腹蛙、</w:t>
      </w:r>
      <w:r>
        <w:rPr>
          <w:rFonts w:hint="eastAsia" w:ascii="Arial" w:hAnsi="Arial" w:cs="Arial"/>
          <w:color w:val="auto"/>
          <w:sz w:val="26"/>
          <w:szCs w:val="26"/>
          <w:highlight w:val="none"/>
          <w:lang w:val="en-US" w:eastAsia="zh-CN"/>
        </w:rPr>
        <w:t>乌梢蛇、黑眉锦蛇。项目所涉及海螺沟河道</w:t>
      </w:r>
      <w:r>
        <w:rPr>
          <w:rFonts w:hint="eastAsia" w:ascii="Arial" w:hAnsi="Arial" w:cs="Arial"/>
          <w:b w:val="0"/>
          <w:color w:val="auto"/>
          <w:kern w:val="2"/>
          <w:sz w:val="26"/>
          <w:szCs w:val="26"/>
          <w:lang w:val="en-US" w:eastAsia="zh-CN" w:bidi="ar-SA"/>
        </w:rPr>
        <w:t>内</w:t>
      </w:r>
      <w:r>
        <w:rPr>
          <w:rFonts w:hint="default" w:ascii="Arial" w:hAnsi="Arial" w:cs="Arial"/>
          <w:color w:val="auto"/>
          <w:sz w:val="26"/>
          <w:szCs w:val="26"/>
        </w:rPr>
        <w:t>水生生态</w:t>
      </w:r>
      <w:r>
        <w:rPr>
          <w:rFonts w:hint="eastAsia" w:ascii="Arial" w:hAnsi="Arial" w:cs="Arial"/>
          <w:color w:val="auto"/>
          <w:sz w:val="26"/>
          <w:szCs w:val="26"/>
          <w:lang w:eastAsia="zh-CN"/>
        </w:rPr>
        <w:t>较为简单，</w:t>
      </w:r>
      <w:r>
        <w:rPr>
          <w:rFonts w:hint="eastAsia" w:ascii="Arial" w:hAnsi="Arial" w:cs="Arial"/>
          <w:color w:val="auto"/>
          <w:sz w:val="26"/>
          <w:szCs w:val="26"/>
          <w:lang w:val="en-US" w:eastAsia="zh-CN"/>
        </w:rPr>
        <w:t>无鱼类“三场一通道”分布</w:t>
      </w:r>
      <w:r>
        <w:rPr>
          <w:rFonts w:hint="default" w:ascii="Arial" w:hAnsi="Arial" w:cs="Arial"/>
          <w:color w:val="auto"/>
          <w:sz w:val="26"/>
          <w:szCs w:val="26"/>
        </w:rPr>
        <w:t>。</w:t>
      </w:r>
    </w:p>
    <w:p w14:paraId="183A7A47">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cs="Arial"/>
          <w:b/>
          <w:bCs/>
          <w:color w:val="000000"/>
          <w:kern w:val="2"/>
          <w:sz w:val="26"/>
          <w:szCs w:val="26"/>
          <w:lang w:val="en-US" w:eastAsia="zh-CN" w:bidi="ar-SA"/>
        </w:rPr>
      </w:pPr>
      <w:bookmarkStart w:id="197" w:name="_Toc37663441"/>
      <w:bookmarkStart w:id="198" w:name="_Toc34987974"/>
      <w:bookmarkStart w:id="199" w:name="_Toc82767295"/>
      <w:bookmarkStart w:id="200" w:name="_Toc80865357"/>
      <w:bookmarkStart w:id="201" w:name="_Toc119592492"/>
      <w:bookmarkStart w:id="202" w:name="_Toc84687772"/>
      <w:bookmarkStart w:id="203" w:name="_Toc36041175"/>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2</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环境保护目标</w:t>
      </w:r>
    </w:p>
    <w:p w14:paraId="27F7C40E">
      <w:pPr>
        <w:pStyle w:val="583"/>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项目评价范围内无自然保护区、饮用水水源保护区、森林公园、地质公园、风景名胜区、生态保护红线等特殊生态敏感区；无鱼类“三场”分布，未发现国家及重庆市重点保护鱼类；无珍稀濒危保护型野生植物、名木古树分布；</w:t>
      </w:r>
      <w:r>
        <w:rPr>
          <w:rFonts w:hint="eastAsia" w:ascii="Arial" w:hAnsi="Arial" w:cs="Arial"/>
          <w:b w:val="0"/>
          <w:color w:val="auto"/>
          <w:kern w:val="2"/>
          <w:sz w:val="26"/>
          <w:szCs w:val="26"/>
          <w:lang w:val="en-US" w:eastAsia="zh-CN" w:bidi="ar-SA"/>
        </w:rPr>
        <w:t>分布有重庆市重点保护动</w:t>
      </w:r>
      <w:r>
        <w:rPr>
          <w:rFonts w:hint="eastAsia" w:ascii="Arial" w:hAnsi="Arial" w:eastAsia="宋体" w:cs="Arial"/>
          <w:b w:val="0"/>
          <w:color w:val="auto"/>
          <w:kern w:val="2"/>
          <w:sz w:val="26"/>
          <w:szCs w:val="26"/>
          <w:lang w:val="en-US" w:eastAsia="zh-CN" w:bidi="ar-SA"/>
        </w:rPr>
        <w:t>物</w:t>
      </w:r>
      <w:r>
        <w:rPr>
          <w:rFonts w:hint="eastAsia" w:ascii="Arial" w:hAnsi="Arial" w:cs="Arial"/>
          <w:b w:val="0"/>
          <w:color w:val="auto"/>
          <w:kern w:val="2"/>
          <w:sz w:val="26"/>
          <w:szCs w:val="26"/>
          <w:lang w:val="en-US" w:eastAsia="zh-CN" w:bidi="ar-SA"/>
        </w:rPr>
        <w:t>3</w:t>
      </w:r>
      <w:r>
        <w:rPr>
          <w:rFonts w:hint="eastAsia" w:ascii="Arial" w:hAnsi="Arial" w:eastAsia="宋体" w:cs="Arial"/>
          <w:b w:val="0"/>
          <w:color w:val="auto"/>
          <w:kern w:val="2"/>
          <w:sz w:val="26"/>
          <w:szCs w:val="26"/>
          <w:lang w:val="en-US" w:eastAsia="zh-CN" w:bidi="ar-SA"/>
        </w:rPr>
        <w:t>种，为隆肛蛙、棘腹蛙、黑眉锦蛇、乌梢蛇</w:t>
      </w:r>
      <w:r>
        <w:rPr>
          <w:rFonts w:hint="eastAsia" w:ascii="Arial" w:hAnsi="Arial" w:cs="Arial"/>
          <w:b w:val="0"/>
          <w:color w:val="auto"/>
          <w:kern w:val="2"/>
          <w:sz w:val="26"/>
          <w:szCs w:val="26"/>
          <w:lang w:val="en-US" w:eastAsia="zh-CN" w:bidi="ar-SA"/>
        </w:rPr>
        <w:t>。</w:t>
      </w:r>
    </w:p>
    <w:p w14:paraId="532B14B5">
      <w:pPr>
        <w:pStyle w:val="583"/>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此外，项目枢纽工程、输水工程施工区周边均有散居居民分布，将受施工噪声、粉尘等影响，作为本工程的声环境保护目标和环境空气 保护目标。</w:t>
      </w:r>
    </w:p>
    <w:bookmarkEnd w:id="197"/>
    <w:bookmarkEnd w:id="198"/>
    <w:bookmarkEnd w:id="199"/>
    <w:bookmarkEnd w:id="200"/>
    <w:bookmarkEnd w:id="201"/>
    <w:bookmarkEnd w:id="202"/>
    <w:bookmarkEnd w:id="203"/>
    <w:p w14:paraId="2A49E252">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bookmarkStart w:id="204" w:name="_Toc309066924"/>
      <w:bookmarkStart w:id="205" w:name="_Toc329341130"/>
      <w:bookmarkStart w:id="206" w:name="_Toc84687773"/>
      <w:bookmarkStart w:id="207" w:name="_Toc82767296"/>
      <w:bookmarkStart w:id="208" w:name="_Toc36041176"/>
      <w:bookmarkStart w:id="209" w:name="_Toc119592493"/>
      <w:bookmarkStart w:id="210" w:name="_Toc37663442"/>
      <w:bookmarkStart w:id="211" w:name="_Toc429770280"/>
      <w:bookmarkStart w:id="212" w:name="_Toc80865358"/>
      <w:bookmarkStart w:id="213" w:name="_Toc391112271"/>
      <w:bookmarkStart w:id="214" w:name="_Toc34987975"/>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4</w:t>
      </w:r>
      <w:r>
        <w:rPr>
          <w:rFonts w:hint="eastAsia" w:ascii="Arial" w:hAnsi="Arial" w:eastAsia="宋体" w:cs="Arial"/>
          <w:b/>
          <w:bCs/>
          <w:color w:val="000000"/>
          <w:sz w:val="26"/>
          <w:szCs w:val="26"/>
          <w:lang w:val="en-US" w:eastAsia="zh-CN"/>
        </w:rPr>
        <w:t>环境保护措施及环境影响</w:t>
      </w:r>
      <w:bookmarkEnd w:id="204"/>
      <w:bookmarkEnd w:id="205"/>
      <w:bookmarkEnd w:id="206"/>
      <w:bookmarkEnd w:id="207"/>
      <w:bookmarkEnd w:id="208"/>
      <w:bookmarkEnd w:id="209"/>
      <w:bookmarkEnd w:id="210"/>
      <w:bookmarkEnd w:id="211"/>
      <w:bookmarkEnd w:id="212"/>
      <w:bookmarkEnd w:id="213"/>
      <w:bookmarkEnd w:id="214"/>
    </w:p>
    <w:p w14:paraId="6987D2CE">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（1）施工期</w:t>
      </w:r>
      <w:r>
        <w:rPr>
          <w:rFonts w:hint="eastAsia" w:ascii="Arial" w:hAnsi="Arial" w:cs="Arial"/>
          <w:b/>
          <w:bCs/>
          <w:color w:val="000000"/>
          <w:kern w:val="2"/>
          <w:sz w:val="26"/>
          <w:szCs w:val="26"/>
          <w:lang w:val="en-US" w:eastAsia="zh-CN" w:bidi="ar-SA"/>
        </w:rPr>
        <w:t>对区域环境质量的影响及保护措施</w:t>
      </w:r>
    </w:p>
    <w:p w14:paraId="661B5239">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①</w:t>
      </w:r>
      <w:r>
        <w:rPr>
          <w:rFonts w:hint="eastAsia" w:ascii="Arial" w:hAnsi="Arial" w:eastAsia="宋体" w:cs="Arial"/>
          <w:b/>
          <w:bCs/>
          <w:color w:val="auto"/>
          <w:kern w:val="0"/>
          <w:sz w:val="26"/>
          <w:szCs w:val="26"/>
          <w:highlight w:val="none"/>
          <w:lang w:val="en-US" w:eastAsia="zh-CN" w:bidi="ar-SA"/>
        </w:rPr>
        <w:t xml:space="preserve"> 地表水</w:t>
      </w:r>
    </w:p>
    <w:p w14:paraId="7E33D963">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项目施工废水主要为混凝土拌合系统废水、基坑废水、车辆及施工设备冲洗等产生的含油废水、管道试压废水等生产废水，以及施工场地初期雨水和施工人员产生的生活污水。</w:t>
      </w:r>
    </w:p>
    <w:p w14:paraId="363BF2E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施工人员生活污水经租赁居民房屋内已有的旱厕收集处理后，交附近居民作农肥，不外排。混凝土拌合系统废水仅设置的截排水沟、沉淀池收集处理后，上清液可回用作混凝土拌合、养护等生产用水，或抑尘洒水，不外排地表水体。施工机械、运输车辆清洗产生的含油废水经枢纽工程、输水工程施工场地内设置的隔油池分别收集处理后，循环使用，不外排。</w:t>
      </w:r>
      <w:r>
        <w:rPr>
          <w:rFonts w:hint="eastAsia" w:ascii="Arial" w:hAnsi="Times New Roman" w:eastAsia="宋体" w:cs="Arial"/>
          <w:sz w:val="26"/>
          <w:szCs w:val="26"/>
          <w:lang w:val="en-US" w:eastAsia="zh-CN"/>
        </w:rPr>
        <w:t>在基坑内设立截水沟、集水坑，将基坑废水收集并静置</w:t>
      </w:r>
      <w:r>
        <w:rPr>
          <w:rFonts w:hint="eastAsia" w:ascii="Arial" w:cs="Arial"/>
          <w:sz w:val="26"/>
          <w:szCs w:val="26"/>
          <w:lang w:val="en-US" w:eastAsia="zh-CN"/>
        </w:rPr>
        <w:t>处理</w:t>
      </w:r>
      <w:r>
        <w:rPr>
          <w:rFonts w:hint="eastAsia" w:ascii="Arial" w:hAnsi="Times New Roman" w:eastAsia="宋体" w:cs="Arial"/>
          <w:sz w:val="26"/>
          <w:szCs w:val="26"/>
          <w:lang w:val="en-US" w:eastAsia="zh-CN"/>
        </w:rPr>
        <w:t>后，</w:t>
      </w:r>
      <w:r>
        <w:rPr>
          <w:rFonts w:hint="eastAsia" w:ascii="Arial" w:hAnsi="Arial" w:cs="Arial"/>
          <w:b w:val="0"/>
          <w:bCs/>
          <w:color w:val="auto"/>
          <w:sz w:val="26"/>
          <w:szCs w:val="26"/>
          <w:lang w:val="en-US" w:eastAsia="zh-CN"/>
        </w:rPr>
        <w:t>上清液可用作</w:t>
      </w:r>
      <w:r>
        <w:rPr>
          <w:rFonts w:hint="eastAsia" w:ascii="Arial" w:hAnsi="Arial" w:cs="Arial"/>
          <w:b w:val="0"/>
          <w:bCs w:val="0"/>
          <w:color w:val="auto"/>
          <w:kern w:val="0"/>
          <w:sz w:val="26"/>
          <w:szCs w:val="26"/>
          <w:highlight w:val="none"/>
          <w:lang w:val="en-US" w:eastAsia="zh-CN" w:bidi="ar-SA"/>
        </w:rPr>
        <w:t>施工用水，多余部分泵入下游河道。管道试压排水为水库蓄水，水质较好</w:t>
      </w:r>
      <w:r>
        <w:rPr>
          <w:rFonts w:hint="default" w:ascii="Arial" w:hAnsi="Arial" w:cs="Arial"/>
          <w:b w:val="0"/>
          <w:bCs w:val="0"/>
          <w:color w:val="auto"/>
          <w:kern w:val="0"/>
          <w:sz w:val="26"/>
          <w:szCs w:val="26"/>
          <w:highlight w:val="none"/>
          <w:lang w:val="en-US" w:eastAsia="zh-CN" w:bidi="ar-SA"/>
        </w:rPr>
        <w:t>，直接用于沿线农林灌溉</w:t>
      </w:r>
      <w:r>
        <w:rPr>
          <w:rFonts w:hint="eastAsia" w:ascii="Arial" w:hAnsi="Arial" w:cs="Arial"/>
          <w:b w:val="0"/>
          <w:bCs w:val="0"/>
          <w:color w:val="auto"/>
          <w:kern w:val="0"/>
          <w:sz w:val="26"/>
          <w:szCs w:val="26"/>
          <w:highlight w:val="none"/>
          <w:lang w:val="en-US" w:eastAsia="zh-CN" w:bidi="ar-SA"/>
        </w:rPr>
        <w:t>。</w:t>
      </w:r>
    </w:p>
    <w:p w14:paraId="3E255C7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b w:val="0"/>
          <w:bCs/>
          <w:sz w:val="26"/>
          <w:szCs w:val="26"/>
          <w:lang w:val="en-US" w:eastAsia="zh-CN"/>
        </w:rPr>
      </w:pPr>
      <w:r>
        <w:rPr>
          <w:rFonts w:hint="eastAsia" w:ascii="Arial" w:hAnsi="Arial" w:cs="Arial"/>
          <w:b w:val="0"/>
          <w:bCs/>
          <w:sz w:val="26"/>
          <w:szCs w:val="26"/>
          <w:lang w:val="en-US" w:eastAsia="zh-CN"/>
        </w:rPr>
        <w:t>同时根据施工进度，建设截排水沟、沉砂池等收集、处理设施，暴雨天气采取篷布</w:t>
      </w:r>
      <w:r>
        <w:rPr>
          <w:rFonts w:hint="eastAsia" w:ascii="Arial" w:cs="Arial"/>
          <w:b w:val="0"/>
          <w:bCs/>
          <w:sz w:val="26"/>
          <w:szCs w:val="26"/>
          <w:lang w:eastAsia="zh-CN"/>
        </w:rPr>
        <w:t>等对开挖裸露面</w:t>
      </w:r>
      <w:r>
        <w:rPr>
          <w:rFonts w:hint="eastAsia" w:ascii="Arial" w:hAnsi="Arial" w:cs="Arial"/>
          <w:b w:val="0"/>
          <w:bCs w:val="0"/>
          <w:color w:val="auto"/>
          <w:kern w:val="0"/>
          <w:sz w:val="26"/>
          <w:szCs w:val="26"/>
          <w:highlight w:val="none"/>
          <w:lang w:val="en-US" w:eastAsia="zh-CN" w:bidi="ar-SA"/>
        </w:rPr>
        <w:t>进行遮盖，减轻降雨面源污染，并</w:t>
      </w:r>
      <w:r>
        <w:rPr>
          <w:rFonts w:hint="eastAsia" w:ascii="Arial" w:hAnsi="Arial" w:cs="Arial"/>
          <w:b w:val="0"/>
          <w:bCs/>
          <w:sz w:val="26"/>
          <w:szCs w:val="26"/>
          <w:lang w:val="en-US" w:eastAsia="zh-CN"/>
        </w:rPr>
        <w:t>将初期雨水收集沉淀处理后，回用作施工用水或排入环境。</w:t>
      </w:r>
    </w:p>
    <w:p w14:paraId="2E6FD2B4">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在采取以上污染防治措施后，施工期对</w:t>
      </w:r>
      <w:r>
        <w:rPr>
          <w:rFonts w:hint="eastAsia" w:ascii="Arial" w:hAnsi="Arial" w:cs="Arial"/>
          <w:kern w:val="0"/>
          <w:sz w:val="26"/>
          <w:szCs w:val="26"/>
          <w:lang w:val="en-US" w:eastAsia="zh-CN"/>
        </w:rPr>
        <w:t>地表水环境</w:t>
      </w:r>
      <w:r>
        <w:rPr>
          <w:rFonts w:hint="eastAsia" w:ascii="Arial" w:hAnsi="Arial" w:eastAsia="宋体" w:cs="Arial"/>
          <w:kern w:val="0"/>
          <w:sz w:val="26"/>
          <w:szCs w:val="26"/>
          <w:lang w:val="en-US" w:eastAsia="zh-CN"/>
        </w:rPr>
        <w:t>的影响可降</w:t>
      </w:r>
      <w:r>
        <w:rPr>
          <w:rFonts w:hint="eastAsia" w:ascii="Arial" w:hAnsi="Arial" w:cs="Arial"/>
          <w:kern w:val="0"/>
          <w:sz w:val="26"/>
          <w:szCs w:val="26"/>
          <w:lang w:val="en-US" w:eastAsia="zh-CN"/>
        </w:rPr>
        <w:t>至</w:t>
      </w:r>
      <w:r>
        <w:rPr>
          <w:rFonts w:hint="eastAsia" w:ascii="Arial" w:hAnsi="Arial" w:eastAsia="宋体" w:cs="Arial"/>
          <w:kern w:val="0"/>
          <w:sz w:val="26"/>
          <w:szCs w:val="26"/>
          <w:lang w:val="en-US" w:eastAsia="zh-CN"/>
        </w:rPr>
        <w:t>最小程度。</w:t>
      </w:r>
    </w:p>
    <w:p w14:paraId="52FFA9A7">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②</w:t>
      </w:r>
      <w:r>
        <w:rPr>
          <w:rFonts w:hint="eastAsia" w:ascii="Arial" w:hAnsi="Arial" w:eastAsia="宋体" w:cs="Arial"/>
          <w:b/>
          <w:bCs/>
          <w:color w:val="auto"/>
          <w:kern w:val="0"/>
          <w:sz w:val="26"/>
          <w:szCs w:val="26"/>
          <w:highlight w:val="none"/>
          <w:lang w:val="en-US" w:eastAsia="zh-CN" w:bidi="ar-SA"/>
        </w:rPr>
        <w:t xml:space="preserve"> 地下水</w:t>
      </w:r>
    </w:p>
    <w:p w14:paraId="78C6420E">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eastAsia="宋体" w:cs="Arial"/>
          <w:kern w:val="0"/>
          <w:sz w:val="26"/>
          <w:szCs w:val="26"/>
          <w:lang w:val="en-US" w:eastAsia="zh-CN"/>
        </w:rPr>
        <w:t>本项目</w:t>
      </w:r>
      <w:r>
        <w:rPr>
          <w:rFonts w:hint="eastAsia" w:ascii="Arial" w:hAnsi="Arial" w:cs="Arial"/>
          <w:kern w:val="0"/>
          <w:sz w:val="26"/>
          <w:szCs w:val="26"/>
          <w:lang w:val="en-US" w:eastAsia="zh-CN"/>
        </w:rPr>
        <w:t>不涉及爆破作业，不会引起地下水漏失；各类施工污废水经收集处理后，大部分被再次利用，仅少量经处理后多余的初期雨水、基坑排水外排，对区域地下水水质影响小；枢纽工程、输水工程施工场所内暂存的燃油采取桶装密闭储存，</w:t>
      </w:r>
      <w:r>
        <w:rPr>
          <w:rFonts w:hint="eastAsia" w:ascii="Arial" w:hAnsi="Arial" w:cs="Arial"/>
          <w:color w:val="auto"/>
          <w:sz w:val="26"/>
          <w:szCs w:val="26"/>
          <w:highlight w:val="none"/>
          <w:lang w:val="en-US" w:eastAsia="zh-CN"/>
        </w:rPr>
        <w:t>暂存区</w:t>
      </w:r>
      <w:r>
        <w:rPr>
          <w:rFonts w:hint="eastAsia" w:ascii="Arial" w:hAnsi="Arial" w:cs="Arial"/>
          <w:kern w:val="0"/>
          <w:sz w:val="26"/>
          <w:szCs w:val="26"/>
          <w:lang w:val="en-US" w:eastAsia="zh-CN"/>
        </w:rPr>
        <w:t>四周设置围堰，</w:t>
      </w:r>
      <w:r>
        <w:rPr>
          <w:rFonts w:hint="eastAsia" w:ascii="Arial" w:hAnsi="Arial" w:cs="Arial"/>
          <w:color w:val="auto"/>
          <w:sz w:val="26"/>
          <w:szCs w:val="26"/>
          <w:highlight w:val="none"/>
          <w:lang w:val="en-US" w:eastAsia="zh-CN"/>
        </w:rPr>
        <w:t>围堰和地面均进行重点防渗处置</w:t>
      </w:r>
      <w:r>
        <w:rPr>
          <w:rFonts w:hint="eastAsia" w:ascii="Arial" w:hAnsi="Arial" w:cs="Arial"/>
          <w:kern w:val="0"/>
          <w:sz w:val="26"/>
          <w:szCs w:val="26"/>
          <w:lang w:val="en-US" w:eastAsia="zh-CN"/>
        </w:rPr>
        <w:t>；废油</w:t>
      </w:r>
      <w:r>
        <w:rPr>
          <w:rFonts w:hint="eastAsia" w:ascii="Arial" w:hAnsi="宋体" w:cs="Arial"/>
          <w:b w:val="0"/>
          <w:bCs w:val="0"/>
          <w:sz w:val="26"/>
          <w:szCs w:val="26"/>
          <w:lang w:eastAsia="zh-CN"/>
        </w:rPr>
        <w:t>桶装收集后，暂存于施工场地所设危废贮存间内，危废贮存间按规定进行“六防”处置，储存区下方加设托盘</w:t>
      </w:r>
      <w:r>
        <w:rPr>
          <w:rFonts w:hint="eastAsia" w:ascii="Arial" w:hAnsi="Arial" w:cs="Arial"/>
          <w:kern w:val="0"/>
          <w:sz w:val="26"/>
          <w:szCs w:val="26"/>
          <w:lang w:val="en-US" w:eastAsia="zh-CN"/>
        </w:rPr>
        <w:t>。</w:t>
      </w:r>
    </w:p>
    <w:p w14:paraId="1B30D12F">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cs="Arial"/>
          <w:kern w:val="0"/>
          <w:sz w:val="26"/>
          <w:szCs w:val="26"/>
          <w:lang w:val="en-US" w:eastAsia="zh-CN"/>
        </w:rPr>
        <w:t>在采取上述</w:t>
      </w:r>
      <w:r>
        <w:rPr>
          <w:rFonts w:hint="eastAsia" w:ascii="Arial" w:hAnsi="Arial" w:eastAsia="宋体" w:cs="Arial"/>
          <w:kern w:val="0"/>
          <w:sz w:val="26"/>
          <w:szCs w:val="26"/>
          <w:lang w:val="en-US" w:eastAsia="zh-CN"/>
        </w:rPr>
        <w:t>污染防治</w:t>
      </w:r>
      <w:r>
        <w:rPr>
          <w:rFonts w:hint="eastAsia" w:ascii="Arial" w:hAnsi="Arial" w:cs="Arial"/>
          <w:kern w:val="0"/>
          <w:sz w:val="26"/>
          <w:szCs w:val="26"/>
          <w:lang w:val="en-US" w:eastAsia="zh-CN"/>
        </w:rPr>
        <w:t>措施后，</w:t>
      </w:r>
      <w:r>
        <w:rPr>
          <w:rFonts w:hint="eastAsia" w:ascii="Arial" w:hAnsi="Arial" w:eastAsia="宋体" w:cs="Arial"/>
          <w:kern w:val="0"/>
          <w:sz w:val="26"/>
          <w:szCs w:val="26"/>
          <w:lang w:val="en-US" w:eastAsia="zh-CN"/>
        </w:rPr>
        <w:t>施工期对</w:t>
      </w:r>
      <w:r>
        <w:rPr>
          <w:rFonts w:hint="eastAsia" w:ascii="Arial" w:hAnsi="Arial" w:cs="Arial"/>
          <w:kern w:val="0"/>
          <w:sz w:val="26"/>
          <w:szCs w:val="26"/>
          <w:lang w:val="en-US" w:eastAsia="zh-CN"/>
        </w:rPr>
        <w:t>地下水环境</w:t>
      </w:r>
      <w:r>
        <w:rPr>
          <w:rFonts w:hint="eastAsia" w:ascii="Arial" w:hAnsi="Arial" w:eastAsia="宋体" w:cs="Arial"/>
          <w:kern w:val="0"/>
          <w:sz w:val="26"/>
          <w:szCs w:val="26"/>
          <w:lang w:val="en-US" w:eastAsia="zh-CN"/>
        </w:rPr>
        <w:t>的影响可降</w:t>
      </w:r>
      <w:r>
        <w:rPr>
          <w:rFonts w:hint="eastAsia" w:ascii="Arial" w:hAnsi="Arial" w:cs="Arial"/>
          <w:kern w:val="0"/>
          <w:sz w:val="26"/>
          <w:szCs w:val="26"/>
          <w:lang w:val="en-US" w:eastAsia="zh-CN"/>
        </w:rPr>
        <w:t>至</w:t>
      </w:r>
      <w:r>
        <w:rPr>
          <w:rFonts w:hint="eastAsia" w:ascii="Arial" w:hAnsi="Arial" w:eastAsia="宋体" w:cs="Arial"/>
          <w:kern w:val="0"/>
          <w:sz w:val="26"/>
          <w:szCs w:val="26"/>
          <w:lang w:val="en-US" w:eastAsia="zh-CN"/>
        </w:rPr>
        <w:t>最小程度。</w:t>
      </w:r>
    </w:p>
    <w:p w14:paraId="0EC1DD0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③ 环境空气</w:t>
      </w:r>
    </w:p>
    <w:p w14:paraId="511B31D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b w:val="0"/>
          <w:bCs w:val="0"/>
          <w:sz w:val="26"/>
          <w:szCs w:val="26"/>
        </w:rPr>
      </w:pPr>
      <w:r>
        <w:rPr>
          <w:rFonts w:hint="eastAsia" w:ascii="Arial" w:hAnsi="宋体" w:eastAsia="宋体" w:cs="Arial"/>
          <w:b w:val="0"/>
          <w:bCs w:val="0"/>
          <w:sz w:val="26"/>
          <w:szCs w:val="26"/>
          <w:lang w:eastAsia="zh-CN"/>
        </w:rPr>
        <w:t>本项目</w:t>
      </w:r>
      <w:r>
        <w:rPr>
          <w:rFonts w:hint="eastAsia" w:ascii="Arial" w:hAnsi="宋体" w:eastAsia="宋体" w:cs="Arial"/>
          <w:b w:val="0"/>
          <w:bCs w:val="0"/>
          <w:sz w:val="26"/>
          <w:szCs w:val="26"/>
        </w:rPr>
        <w:t>施工期环境空气污染物主要是土石方开挖、</w:t>
      </w:r>
      <w:r>
        <w:rPr>
          <w:rFonts w:hint="eastAsia" w:ascii="Arial" w:hAnsi="宋体" w:eastAsia="宋体" w:cs="Arial"/>
          <w:b w:val="0"/>
          <w:bCs w:val="0"/>
          <w:sz w:val="26"/>
          <w:szCs w:val="26"/>
          <w:lang w:eastAsia="zh-CN"/>
        </w:rPr>
        <w:t>物料</w:t>
      </w:r>
      <w:r>
        <w:rPr>
          <w:rFonts w:hint="eastAsia" w:ascii="Arial" w:hAnsi="宋体" w:eastAsia="宋体" w:cs="Arial"/>
          <w:b w:val="0"/>
          <w:bCs w:val="0"/>
          <w:sz w:val="26"/>
          <w:szCs w:val="26"/>
        </w:rPr>
        <w:t>运输等施工过程中产生的扬尘、混凝土拌和系统粉尘、施工机械和运输车辆废气。</w:t>
      </w:r>
    </w:p>
    <w:p w14:paraId="53F13DF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auto"/>
          <w:kern w:val="0"/>
          <w:sz w:val="26"/>
          <w:szCs w:val="26"/>
          <w:lang w:val="en-US" w:eastAsia="zh-CN"/>
        </w:rPr>
      </w:pPr>
      <w:r>
        <w:rPr>
          <w:rFonts w:hint="eastAsia" w:ascii="Arial" w:hAnsi="Arial" w:cs="Arial"/>
          <w:kern w:val="0"/>
          <w:sz w:val="26"/>
          <w:szCs w:val="26"/>
          <w:lang w:val="en-US" w:eastAsia="zh-CN"/>
        </w:rPr>
        <w:t>项目采取湿法作业，配置洒水车、雾炮机等装置洒水抑尘；混凝土拌合站水泥、粉煤灰等筒仓储存，</w:t>
      </w:r>
      <w:r>
        <w:rPr>
          <w:rFonts w:hint="eastAsia" w:ascii="Arial" w:hAnsi="Arial" w:eastAsia="宋体" w:cs="Arial"/>
          <w:color w:val="000000"/>
          <w:sz w:val="26"/>
          <w:szCs w:val="26"/>
          <w:lang w:val="en-US" w:eastAsia="zh-CN"/>
        </w:rPr>
        <w:t>筒仓上部安装仓顶除尘器，搅拌罐密闭设置</w:t>
      </w:r>
      <w:r>
        <w:rPr>
          <w:rFonts w:hint="eastAsia" w:ascii="Arial" w:hAnsi="Arial" w:cs="Arial"/>
          <w:color w:val="000000"/>
          <w:sz w:val="26"/>
          <w:szCs w:val="26"/>
          <w:lang w:val="en-US" w:eastAsia="zh-CN"/>
        </w:rPr>
        <w:t>；粉质物料集中堆存，并采取篷布遮盖；及时清运暂不利用的土石方，避免在场地内长时间、大量堆存；</w:t>
      </w:r>
      <w:r>
        <w:rPr>
          <w:rFonts w:hint="eastAsia" w:ascii="Arial" w:hAnsi="Arial" w:cs="Arial"/>
          <w:sz w:val="26"/>
          <w:szCs w:val="26"/>
          <w:highlight w:val="none"/>
          <w:lang w:eastAsia="zh-CN"/>
        </w:rPr>
        <w:t>分段施工，避免大面积开挖形成大面积裸露，引起风力扬尘；各施工场地内设置车辆冲洗装置，对进出场车辆进行冲洗，避免带泥上路引起二次扬尘；施工便道等进行硬化处置，合理规划运输路线，物料、弃土等限速、限载，避免洒落，安排专人清扫。加强对施工机具、车辆的维护和保养，确保其正常运行，并以轻质柴油、汽油为</w:t>
      </w:r>
      <w:r>
        <w:rPr>
          <w:rFonts w:hint="eastAsia" w:ascii="Arial" w:hAnsi="Arial" w:cs="Arial"/>
          <w:color w:val="auto"/>
          <w:sz w:val="26"/>
          <w:szCs w:val="26"/>
          <w:highlight w:val="none"/>
          <w:lang w:eastAsia="zh-CN"/>
        </w:rPr>
        <w:t>燃料，减少燃油尾气的产排量。</w:t>
      </w:r>
      <w:r>
        <w:rPr>
          <w:rFonts w:hint="default" w:ascii="Arial" w:hAnsi="Arial" w:cs="Arial"/>
          <w:sz w:val="26"/>
          <w:szCs w:val="26"/>
        </w:rPr>
        <w:t>采用液化气、电等清洁能源作为生活燃料</w:t>
      </w:r>
      <w:r>
        <w:rPr>
          <w:rFonts w:hint="eastAsia" w:ascii="Arial" w:hAnsi="Arial" w:cs="Arial"/>
          <w:sz w:val="26"/>
          <w:szCs w:val="26"/>
          <w:lang w:eastAsia="zh-CN"/>
        </w:rPr>
        <w:t>，</w:t>
      </w:r>
      <w:r>
        <w:rPr>
          <w:rFonts w:hint="default" w:ascii="Arial" w:hAnsi="Arial" w:cs="Arial"/>
          <w:sz w:val="26"/>
          <w:szCs w:val="26"/>
        </w:rPr>
        <w:t>烹饪油烟通过油烟净化器处理后</w:t>
      </w:r>
      <w:r>
        <w:rPr>
          <w:rFonts w:hint="eastAsia" w:ascii="Arial" w:hAnsi="Arial" w:cs="Arial"/>
          <w:sz w:val="26"/>
          <w:szCs w:val="26"/>
          <w:lang w:eastAsia="zh-CN"/>
        </w:rPr>
        <w:t>，引至超屋顶</w:t>
      </w:r>
      <w:r>
        <w:rPr>
          <w:rFonts w:hint="default" w:ascii="Arial" w:hAnsi="Arial" w:cs="Arial"/>
          <w:sz w:val="26"/>
          <w:szCs w:val="26"/>
        </w:rPr>
        <w:t>排放。</w:t>
      </w:r>
      <w:r>
        <w:rPr>
          <w:rFonts w:hint="eastAsia" w:ascii="Arial" w:hAnsi="Arial" w:cs="Arial"/>
          <w:color w:val="auto"/>
          <w:sz w:val="26"/>
          <w:szCs w:val="26"/>
          <w:highlight w:val="none"/>
          <w:lang w:eastAsia="zh-CN"/>
        </w:rPr>
        <w:t>柴油发电机为备用电源，以轻质柴油为燃料，燃烧废气经其自带排气筒外排。</w:t>
      </w:r>
    </w:p>
    <w:p w14:paraId="1C8F846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在采取以上污染防治措施后，施工期对环境空气的影响可降</w:t>
      </w:r>
      <w:r>
        <w:rPr>
          <w:rFonts w:hint="eastAsia" w:ascii="Arial" w:hAnsi="Arial" w:cs="Arial"/>
          <w:kern w:val="0"/>
          <w:sz w:val="26"/>
          <w:szCs w:val="26"/>
          <w:lang w:val="en-US" w:eastAsia="zh-CN"/>
        </w:rPr>
        <w:t>至</w:t>
      </w:r>
      <w:r>
        <w:rPr>
          <w:rFonts w:hint="eastAsia" w:ascii="Arial" w:hAnsi="Arial" w:eastAsia="宋体" w:cs="Arial"/>
          <w:kern w:val="0"/>
          <w:sz w:val="26"/>
          <w:szCs w:val="26"/>
          <w:lang w:val="en-US" w:eastAsia="zh-CN"/>
        </w:rPr>
        <w:t>最小程度。</w:t>
      </w:r>
    </w:p>
    <w:p w14:paraId="2E3E8413">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④</w:t>
      </w:r>
      <w:r>
        <w:rPr>
          <w:rFonts w:hint="eastAsia" w:ascii="Arial" w:hAnsi="Arial" w:cs="Arial"/>
          <w:b/>
          <w:bCs/>
          <w:color w:val="auto"/>
          <w:kern w:val="0"/>
          <w:sz w:val="26"/>
          <w:szCs w:val="26"/>
          <w:highlight w:val="none"/>
          <w:lang w:val="en-US" w:eastAsia="zh-CN" w:bidi="ar-SA"/>
        </w:rPr>
        <w:t xml:space="preserve"> 声环境</w:t>
      </w:r>
    </w:p>
    <w:p w14:paraId="54A6C12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施工期噪声主要来自于施工机械和运输车辆，</w:t>
      </w:r>
      <w:r>
        <w:rPr>
          <w:rFonts w:hint="eastAsia" w:ascii="Arial" w:hAnsi="Arial" w:cs="Arial"/>
          <w:kern w:val="0"/>
          <w:sz w:val="26"/>
          <w:szCs w:val="26"/>
          <w:lang w:val="en-US" w:eastAsia="zh-CN"/>
        </w:rPr>
        <w:t>建设单位在施工过程中应</w:t>
      </w:r>
      <w:r>
        <w:rPr>
          <w:rFonts w:hint="default" w:ascii="Arial" w:hAnsi="Arial" w:cs="Arial"/>
          <w:sz w:val="26"/>
          <w:szCs w:val="26"/>
        </w:rPr>
        <w:t>《重庆市噪声污染防治办法》的相关要求，优先用低产噪设备，同时加强施工机械的维护保养；合理布置施工机械和施工强度，作好施工组织，将施工区内高产噪区域远离环境敏感点布置，并设置临时设备间、通过墙体隔声，以减缓噪声影响；物料运输尽量安排在白天运输，途径密集居住区时采取缓速、禁鸣等措施；合理安排施工作业时间，尽量避免夜间作业，偶遇混凝土浇筑必须连续作业的工序，需取得当地</w:t>
      </w:r>
      <w:r>
        <w:rPr>
          <w:rFonts w:hint="default" w:ascii="Arial" w:hAnsi="Arial" w:cs="Arial"/>
          <w:sz w:val="26"/>
          <w:szCs w:val="26"/>
          <w:lang w:val="en-US" w:eastAsia="zh-CN"/>
        </w:rPr>
        <w:t>城市管理或者住房城乡建设部门的</w:t>
      </w:r>
      <w:r>
        <w:rPr>
          <w:rFonts w:hint="default" w:ascii="Arial" w:hAnsi="Arial" w:cs="Arial"/>
          <w:sz w:val="26"/>
          <w:szCs w:val="26"/>
        </w:rPr>
        <w:t>批准，并告知附近居民，以取得谅解。</w:t>
      </w:r>
    </w:p>
    <w:p w14:paraId="09647C84">
      <w:pPr>
        <w:keepNext w:val="0"/>
        <w:keepLines w:val="0"/>
        <w:pageBreakBefore w:val="0"/>
        <w:widowControl w:val="0"/>
        <w:kinsoku/>
        <w:wordWrap/>
        <w:overflowPunct/>
        <w:topLinePunct w:val="0"/>
        <w:autoSpaceDE/>
        <w:autoSpaceDN/>
        <w:bidi w:val="0"/>
        <w:spacing w:line="480" w:lineRule="exact"/>
        <w:ind w:firstLine="520" w:firstLineChars="200"/>
        <w:textAlignment w:val="auto"/>
        <w:rPr>
          <w:kern w:val="0"/>
          <w:sz w:val="26"/>
          <w:szCs w:val="26"/>
        </w:rPr>
      </w:pPr>
      <w:r>
        <w:rPr>
          <w:rFonts w:hint="eastAsia" w:ascii="Arial" w:hAnsi="Arial" w:eastAsia="宋体" w:cs="Arial"/>
          <w:kern w:val="0"/>
          <w:sz w:val="26"/>
          <w:szCs w:val="26"/>
          <w:lang w:val="en-US" w:eastAsia="zh-CN"/>
        </w:rPr>
        <w:t>在采取以上污染防治措施后，施工期对周边声环境的影响可</w:t>
      </w:r>
      <w:r>
        <w:rPr>
          <w:rFonts w:hint="eastAsia"/>
          <w:kern w:val="0"/>
          <w:sz w:val="26"/>
          <w:szCs w:val="26"/>
          <w:lang w:eastAsia="zh-CN"/>
        </w:rPr>
        <w:t>降至</w:t>
      </w:r>
      <w:r>
        <w:rPr>
          <w:rFonts w:hint="eastAsia"/>
          <w:kern w:val="0"/>
          <w:sz w:val="26"/>
          <w:szCs w:val="26"/>
        </w:rPr>
        <w:t>最小程度。</w:t>
      </w:r>
    </w:p>
    <w:p w14:paraId="0869BDE8">
      <w:pPr>
        <w:keepNext w:val="0"/>
        <w:keepLines w:val="0"/>
        <w:pageBreakBefore w:val="0"/>
        <w:widowControl w:val="0"/>
        <w:kinsoku/>
        <w:wordWrap/>
        <w:overflowPunct/>
        <w:topLinePunct w:val="0"/>
        <w:autoSpaceDE/>
        <w:autoSpaceDN/>
        <w:bidi w:val="0"/>
        <w:spacing w:line="48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⑤ 固体废物</w:t>
      </w:r>
    </w:p>
    <w:p w14:paraId="5919020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Times New Roman" w:eastAsia="宋体" w:cs="Arial"/>
          <w:b w:val="0"/>
          <w:color w:val="auto"/>
          <w:kern w:val="2"/>
          <w:sz w:val="26"/>
          <w:szCs w:val="26"/>
          <w:lang w:val="en-US" w:eastAsia="zh-CN" w:bidi="ar-SA"/>
        </w:rPr>
      </w:pPr>
      <w:r>
        <w:rPr>
          <w:rFonts w:hint="eastAsia" w:ascii="Arial" w:hAnsi="Times New Roman" w:eastAsia="宋体" w:cs="Arial"/>
          <w:b w:val="0"/>
          <w:color w:val="auto"/>
          <w:kern w:val="2"/>
          <w:sz w:val="26"/>
          <w:szCs w:val="26"/>
          <w:lang w:val="en-US" w:eastAsia="zh-CN" w:bidi="ar-SA"/>
        </w:rPr>
        <w:t>施工期固体废物来自场地清理出的表土、开挖产生的弃渣、施工机械及运输车辆维修废油、施工人员产生的生活垃圾和餐厨垃圾，以及库区清理出的林木。</w:t>
      </w:r>
    </w:p>
    <w:p w14:paraId="03599EB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表土集中收集后，分区暂存于项目所设弃渣场内，后期全部用作绿化覆土，不外排；弃渣采取自卸式汽车清运至项目所设弃渣场内夯实堆存；废油属于</w:t>
      </w:r>
      <w:r>
        <w:rPr>
          <w:rFonts w:hint="eastAsia" w:ascii="Arial" w:hAnsi="Arial" w:cs="Arial"/>
          <w:sz w:val="26"/>
          <w:szCs w:val="26"/>
          <w:lang w:eastAsia="zh-CN"/>
        </w:rPr>
        <w:t>危险废物，桶装收集后，</w:t>
      </w:r>
      <w:r>
        <w:rPr>
          <w:rFonts w:hint="eastAsia" w:ascii="Arial" w:hAnsi="Arial" w:cs="Arial"/>
          <w:sz w:val="26"/>
          <w:szCs w:val="26"/>
        </w:rPr>
        <w:t>暂存于施工</w:t>
      </w:r>
      <w:r>
        <w:rPr>
          <w:rFonts w:hint="eastAsia" w:ascii="Arial" w:hAnsi="Arial" w:cs="Arial"/>
          <w:sz w:val="26"/>
          <w:szCs w:val="26"/>
          <w:lang w:eastAsia="zh-CN"/>
        </w:rPr>
        <w:t>场地</w:t>
      </w:r>
      <w:r>
        <w:rPr>
          <w:rFonts w:hint="eastAsia" w:ascii="Arial" w:hAnsi="Arial" w:cs="Arial"/>
          <w:sz w:val="26"/>
          <w:szCs w:val="26"/>
        </w:rPr>
        <w:t>内独立设置的危废</w:t>
      </w:r>
      <w:r>
        <w:rPr>
          <w:rFonts w:hint="eastAsia" w:ascii="Arial" w:hAnsi="Arial" w:cs="Arial"/>
          <w:sz w:val="26"/>
          <w:szCs w:val="26"/>
          <w:lang w:eastAsia="zh-CN"/>
        </w:rPr>
        <w:t>贮存区内</w:t>
      </w:r>
      <w:r>
        <w:rPr>
          <w:rFonts w:hint="eastAsia" w:ascii="Arial" w:hAnsi="Arial" w:cs="Arial"/>
          <w:sz w:val="26"/>
          <w:szCs w:val="26"/>
        </w:rPr>
        <w:t>，按规定进行“</w:t>
      </w:r>
      <w:r>
        <w:rPr>
          <w:rFonts w:hint="eastAsia" w:ascii="Arial" w:hAnsi="Arial" w:cs="Arial"/>
          <w:sz w:val="26"/>
          <w:szCs w:val="26"/>
          <w:lang w:eastAsia="zh-CN"/>
        </w:rPr>
        <w:t>六</w:t>
      </w:r>
      <w:r>
        <w:rPr>
          <w:rFonts w:hint="eastAsia" w:ascii="Arial" w:hAnsi="Arial" w:cs="Arial"/>
          <w:sz w:val="26"/>
          <w:szCs w:val="26"/>
        </w:rPr>
        <w:t>防”处置，最终交有有资质的单位回收处置</w:t>
      </w:r>
      <w:r>
        <w:rPr>
          <w:rFonts w:hint="eastAsia" w:ascii="Arial" w:hAnsi="Arial" w:cs="Arial"/>
          <w:sz w:val="26"/>
          <w:szCs w:val="26"/>
          <w:lang w:eastAsia="zh-CN"/>
        </w:rPr>
        <w:t>；施工人员生活垃圾</w:t>
      </w:r>
      <w:r>
        <w:rPr>
          <w:rFonts w:hint="default" w:ascii="Arial" w:hAnsi="Arial" w:cs="Arial"/>
          <w:sz w:val="26"/>
          <w:szCs w:val="26"/>
        </w:rPr>
        <w:t>经各施工区所设垃圾桶收集</w:t>
      </w:r>
      <w:r>
        <w:rPr>
          <w:rFonts w:hint="default" w:ascii="Arial" w:hAnsi="Arial" w:cs="Arial"/>
          <w:sz w:val="26"/>
          <w:szCs w:val="26"/>
          <w:lang w:val="en-US" w:eastAsia="zh-CN"/>
        </w:rPr>
        <w:t>后，交</w:t>
      </w:r>
      <w:r>
        <w:rPr>
          <w:rFonts w:hint="eastAsia" w:ascii="Arial" w:hAnsi="Arial" w:cs="Arial"/>
          <w:sz w:val="26"/>
          <w:szCs w:val="26"/>
          <w:lang w:val="en-US" w:eastAsia="zh-CN"/>
        </w:rPr>
        <w:t>当地</w:t>
      </w:r>
      <w:r>
        <w:rPr>
          <w:rFonts w:hint="default" w:ascii="Arial" w:hAnsi="Arial" w:cs="Arial"/>
          <w:sz w:val="26"/>
          <w:szCs w:val="26"/>
          <w:lang w:val="en-US" w:eastAsia="zh-CN"/>
        </w:rPr>
        <w:t>环卫部门统一清运处置</w:t>
      </w:r>
      <w:r>
        <w:rPr>
          <w:rFonts w:hint="eastAsia" w:ascii="Arial" w:hAnsi="Arial" w:cs="Arial"/>
          <w:sz w:val="26"/>
          <w:szCs w:val="26"/>
          <w:lang w:val="en-US" w:eastAsia="zh-CN"/>
        </w:rPr>
        <w:t>；餐厨垃圾</w:t>
      </w:r>
      <w:r>
        <w:rPr>
          <w:rFonts w:hint="default" w:ascii="Arial" w:hAnsi="Arial" w:cs="Arial"/>
          <w:sz w:val="26"/>
          <w:szCs w:val="26"/>
          <w:lang w:val="en-US" w:eastAsia="zh-CN"/>
        </w:rPr>
        <w:t>桶装收集后，交有资质单位清运处置</w:t>
      </w:r>
      <w:r>
        <w:rPr>
          <w:rFonts w:hint="eastAsia" w:ascii="Arial" w:hAnsi="Arial" w:cs="Arial"/>
          <w:sz w:val="26"/>
          <w:szCs w:val="26"/>
          <w:lang w:val="en-US" w:eastAsia="zh-CN"/>
        </w:rPr>
        <w:t>；清库废物</w:t>
      </w:r>
      <w:r>
        <w:rPr>
          <w:rFonts w:hint="default" w:ascii="Arial" w:hAnsi="Arial" w:cs="Arial"/>
          <w:sz w:val="26"/>
          <w:szCs w:val="26"/>
          <w:lang w:val="en-US" w:eastAsia="zh-CN"/>
        </w:rPr>
        <w:t>分类收集，</w:t>
      </w:r>
      <w:r>
        <w:rPr>
          <w:rFonts w:hint="eastAsia" w:ascii="Arial" w:hAnsi="Arial" w:cs="Arial"/>
          <w:sz w:val="26"/>
          <w:szCs w:val="26"/>
          <w:lang w:val="en-US" w:eastAsia="zh-CN"/>
        </w:rPr>
        <w:t>生活垃圾等运至当地垃圾填埋场处置，林木外卖综合利用</w:t>
      </w:r>
      <w:r>
        <w:rPr>
          <w:rFonts w:hint="default" w:ascii="Arial" w:hAnsi="Arial" w:cs="Arial"/>
          <w:sz w:val="26"/>
          <w:szCs w:val="26"/>
          <w:lang w:val="en-US" w:eastAsia="zh-CN"/>
        </w:rPr>
        <w:t>。</w:t>
      </w:r>
    </w:p>
    <w:p w14:paraId="34D6609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由此可见，施工期各类固体废物均可得到合理有效的处置，不会对区域外环境造成二次污染。</w:t>
      </w:r>
    </w:p>
    <w:p w14:paraId="50E508AA">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2</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运营期对区域环境质量的影响及保护措施</w:t>
      </w:r>
    </w:p>
    <w:p w14:paraId="00CA9D4F">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①</w:t>
      </w:r>
      <w:r>
        <w:rPr>
          <w:rFonts w:hint="eastAsia" w:ascii="Arial" w:hAnsi="Arial" w:eastAsia="宋体" w:cs="Arial"/>
          <w:b/>
          <w:bCs/>
          <w:color w:val="auto"/>
          <w:kern w:val="0"/>
          <w:sz w:val="26"/>
          <w:szCs w:val="26"/>
          <w:highlight w:val="none"/>
          <w:lang w:val="en-US" w:eastAsia="zh-CN" w:bidi="ar-SA"/>
        </w:rPr>
        <w:t xml:space="preserve"> 地表水</w:t>
      </w:r>
    </w:p>
    <w:p w14:paraId="0BA730B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en-US" w:eastAsia="zh-CN"/>
        </w:rPr>
        <w:t>本项目运营期仅配置4名管理人员，产生的生活污水</w:t>
      </w:r>
      <w:r>
        <w:rPr>
          <w:rFonts w:hint="default" w:ascii="Arial" w:hAnsi="Arial" w:cs="Arial"/>
          <w:sz w:val="26"/>
          <w:szCs w:val="26"/>
        </w:rPr>
        <w:t>经管理</w:t>
      </w:r>
      <w:r>
        <w:rPr>
          <w:rFonts w:hint="eastAsia" w:ascii="Arial" w:hAnsi="Arial" w:cs="Arial"/>
          <w:sz w:val="26"/>
          <w:szCs w:val="26"/>
          <w:lang w:eastAsia="zh-CN"/>
        </w:rPr>
        <w:t>用房内</w:t>
      </w:r>
      <w:r>
        <w:rPr>
          <w:rFonts w:hint="default" w:ascii="Arial" w:hAnsi="Arial" w:cs="Arial"/>
          <w:sz w:val="26"/>
          <w:szCs w:val="26"/>
        </w:rPr>
        <w:t>所设化粪池收集处理后，交当地居民农灌，不外排。</w:t>
      </w:r>
    </w:p>
    <w:p w14:paraId="6531779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color w:val="auto"/>
          <w:sz w:val="26"/>
          <w:szCs w:val="26"/>
        </w:rPr>
      </w:pPr>
      <w:r>
        <w:rPr>
          <w:rFonts w:hint="eastAsia" w:ascii="Arial" w:hAnsi="Arial" w:cs="Arial"/>
          <w:sz w:val="26"/>
          <w:szCs w:val="26"/>
          <w:lang w:val="en-US" w:eastAsia="zh-CN"/>
        </w:rPr>
        <w:t>灌区退水主要进入高洞桥河、双龙河，</w:t>
      </w:r>
      <w:r>
        <w:rPr>
          <w:rFonts w:hint="default" w:ascii="Arial" w:hAnsi="Arial" w:cs="Arial"/>
          <w:sz w:val="26"/>
          <w:szCs w:val="26"/>
        </w:rPr>
        <w:t>应采取科学的灌溉措施，加强工程管理，减少管道漏水；</w:t>
      </w:r>
      <w:r>
        <w:rPr>
          <w:rFonts w:hint="eastAsia" w:ascii="Arial" w:hAnsi="Arial" w:cs="Arial"/>
          <w:sz w:val="26"/>
          <w:szCs w:val="26"/>
          <w:lang w:eastAsia="zh-CN"/>
        </w:rPr>
        <w:t>与当地主管部门一同</w:t>
      </w:r>
      <w:r>
        <w:rPr>
          <w:rFonts w:hint="default" w:ascii="Arial" w:hAnsi="Arial" w:cs="Arial"/>
          <w:sz w:val="26"/>
          <w:szCs w:val="26"/>
        </w:rPr>
        <w:t>推行计划用水、科学用水、合理进行水量调配；</w:t>
      </w:r>
      <w:r>
        <w:rPr>
          <w:rFonts w:hint="eastAsia" w:ascii="Arial" w:hAnsi="Arial" w:cs="Arial"/>
          <w:sz w:val="26"/>
          <w:szCs w:val="26"/>
          <w:lang w:eastAsia="zh-CN"/>
        </w:rPr>
        <w:t>协同当地农业主管部</w:t>
      </w:r>
      <w:r>
        <w:rPr>
          <w:rFonts w:hint="eastAsia" w:ascii="Arial" w:hAnsi="Arial" w:cs="Arial"/>
          <w:color w:val="auto"/>
          <w:sz w:val="26"/>
          <w:szCs w:val="26"/>
          <w:lang w:eastAsia="zh-CN"/>
        </w:rPr>
        <w:t>门，</w:t>
      </w:r>
      <w:r>
        <w:rPr>
          <w:rFonts w:hint="default" w:ascii="Arial" w:hAnsi="Arial" w:cs="Arial"/>
          <w:bCs/>
          <w:color w:val="auto"/>
          <w:sz w:val="26"/>
          <w:szCs w:val="26"/>
        </w:rPr>
        <w:t>根据《长江保护修复攻坚战行动计划》，落实化肥、农药施用量负增长行动，通过开展化肥、农药减量利用和替代利用，加大测土配方施肥推广力度，引导科学合理施肥施药，</w:t>
      </w:r>
      <w:r>
        <w:rPr>
          <w:rFonts w:hint="default" w:ascii="Arial" w:hAnsi="Arial" w:cs="Arial"/>
          <w:color w:val="auto"/>
          <w:sz w:val="26"/>
          <w:szCs w:val="26"/>
        </w:rPr>
        <w:t>降低N、P流失量。</w:t>
      </w:r>
    </w:p>
    <w:p w14:paraId="02F16EA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按照《饮用水水源保护区划分技术规范》（HJ338-2018）划定饮用水水源保护区，落实库底清理措施，并按照《中华人民共和国水污染防治法》、《饮用水水源保护区污染防治管理规定》（环境保护令第16号）、《关于进一步加强饮用水水源安全保障工作的通知》（环办〔2009〕30号）、《重庆市水资源管理条例》（重庆市人民代表大会常务委员会公告</w:t>
      </w:r>
      <w:r>
        <w:rPr>
          <w:rFonts w:hint="default" w:ascii="Arial" w:hAnsi="Arial" w:cs="Arial"/>
          <w:sz w:val="26"/>
          <w:szCs w:val="26"/>
          <w:lang w:val="en-US" w:eastAsia="zh-CN"/>
        </w:rPr>
        <w:t>〔2015〕第14号</w:t>
      </w:r>
      <w:r>
        <w:rPr>
          <w:rFonts w:hint="eastAsia" w:ascii="Arial" w:hAnsi="Arial" w:cs="Arial"/>
          <w:sz w:val="26"/>
          <w:szCs w:val="26"/>
          <w:lang w:val="en-US" w:eastAsia="zh-CN"/>
        </w:rPr>
        <w:t>）、《重庆市人民政府关于加强集中式饮用水源保护工作的通知》（渝府发〔2012〕79号）、</w:t>
      </w:r>
      <w:r>
        <w:rPr>
          <w:rFonts w:hint="default" w:ascii="Arial" w:hAnsi="Arial" w:cs="Arial"/>
          <w:sz w:val="26"/>
          <w:szCs w:val="26"/>
          <w:lang w:val="en-US" w:eastAsia="zh-CN"/>
        </w:rPr>
        <w:t>《集中式饮用水水源环境保护指南（试行）》（环办〔2012〕50 号）</w:t>
      </w:r>
      <w:r>
        <w:rPr>
          <w:rFonts w:hint="eastAsia" w:ascii="Arial" w:hAnsi="Arial" w:cs="Arial"/>
          <w:sz w:val="26"/>
          <w:szCs w:val="26"/>
          <w:lang w:val="en-US" w:eastAsia="zh-CN"/>
        </w:rPr>
        <w:t>等文件要求，落实水源地水质保护措施。</w:t>
      </w:r>
    </w:p>
    <w:p w14:paraId="0539DAF0">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②</w:t>
      </w:r>
      <w:r>
        <w:rPr>
          <w:rFonts w:hint="eastAsia" w:ascii="Arial" w:hAnsi="Arial" w:eastAsia="宋体" w:cs="Arial"/>
          <w:b/>
          <w:bCs/>
          <w:color w:val="auto"/>
          <w:kern w:val="0"/>
          <w:sz w:val="26"/>
          <w:szCs w:val="26"/>
          <w:highlight w:val="none"/>
          <w:lang w:val="en-US" w:eastAsia="zh-CN" w:bidi="ar-SA"/>
        </w:rPr>
        <w:t xml:space="preserve"> </w:t>
      </w:r>
      <w:r>
        <w:rPr>
          <w:rFonts w:hint="eastAsia" w:ascii="Arial" w:hAnsi="Arial" w:cs="Arial"/>
          <w:b/>
          <w:bCs/>
          <w:color w:val="auto"/>
          <w:kern w:val="0"/>
          <w:sz w:val="26"/>
          <w:szCs w:val="26"/>
          <w:highlight w:val="none"/>
          <w:lang w:val="en-US" w:eastAsia="zh-CN" w:bidi="ar-SA"/>
        </w:rPr>
        <w:t>环境空气</w:t>
      </w:r>
    </w:p>
    <w:p w14:paraId="69689F0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default" w:ascii="Arial" w:hAnsi="Arial" w:cs="Arial"/>
          <w:sz w:val="26"/>
          <w:szCs w:val="26"/>
        </w:rPr>
        <w:t>运行期自身无废气产生，</w:t>
      </w:r>
      <w:r>
        <w:rPr>
          <w:rFonts w:hint="eastAsia" w:ascii="Arial" w:hAnsi="Arial" w:cs="Arial"/>
          <w:sz w:val="26"/>
          <w:szCs w:val="26"/>
          <w:lang w:eastAsia="zh-CN"/>
        </w:rPr>
        <w:t>管理人员</w:t>
      </w:r>
      <w:r>
        <w:rPr>
          <w:rFonts w:hint="default" w:ascii="Arial" w:hAnsi="Arial" w:cs="Arial"/>
          <w:sz w:val="26"/>
          <w:szCs w:val="26"/>
        </w:rPr>
        <w:t>以液化石油气、电为能源，食堂油烟经油烟净化器处理达标后，引至超屋顶外排</w:t>
      </w:r>
      <w:r>
        <w:rPr>
          <w:rFonts w:hint="eastAsia" w:ascii="Arial" w:hAnsi="Arial" w:cs="Arial"/>
          <w:sz w:val="26"/>
          <w:szCs w:val="26"/>
          <w:lang w:eastAsia="zh-CN"/>
        </w:rPr>
        <w:t>。</w:t>
      </w:r>
    </w:p>
    <w:p w14:paraId="663B4B71">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 xml:space="preserve">③ </w:t>
      </w:r>
      <w:r>
        <w:rPr>
          <w:rFonts w:hint="eastAsia" w:ascii="Arial" w:hAnsi="Arial" w:cs="Arial"/>
          <w:b/>
          <w:bCs/>
          <w:color w:val="auto"/>
          <w:kern w:val="0"/>
          <w:sz w:val="26"/>
          <w:szCs w:val="26"/>
          <w:highlight w:val="none"/>
          <w:lang w:val="en-US" w:eastAsia="zh-CN" w:bidi="ar-SA"/>
        </w:rPr>
        <w:t>声环境</w:t>
      </w:r>
    </w:p>
    <w:p w14:paraId="5605A800">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宋体" w:cs="Arial"/>
          <w:color w:val="auto"/>
          <w:sz w:val="26"/>
          <w:szCs w:val="26"/>
          <w:lang w:val="en-US" w:eastAsia="zh-CN"/>
        </w:rPr>
      </w:pPr>
      <w:r>
        <w:rPr>
          <w:rFonts w:hint="eastAsia" w:ascii="Arial" w:hAnsi="Arial" w:cs="Arial"/>
          <w:sz w:val="26"/>
          <w:szCs w:val="26"/>
          <w:lang w:eastAsia="zh-CN"/>
        </w:rPr>
        <w:t>本项目运营期</w:t>
      </w:r>
      <w:r>
        <w:rPr>
          <w:rFonts w:hint="eastAsia" w:ascii="Arial" w:hAnsi="Arial" w:eastAsia="宋体" w:cs="Arial"/>
          <w:color w:val="000000"/>
          <w:sz w:val="26"/>
          <w:szCs w:val="26"/>
          <w:lang w:val="en-US" w:eastAsia="zh-CN"/>
        </w:rPr>
        <w:t>枢纽工程主要噪声源为闸阀房内控制阀、溢洪道启闭设备运行噪声，</w:t>
      </w:r>
      <w:r>
        <w:rPr>
          <w:rFonts w:hint="eastAsia" w:ascii="Arial" w:hAnsi="Arial" w:cs="Arial"/>
          <w:color w:val="000000"/>
          <w:sz w:val="26"/>
          <w:szCs w:val="26"/>
          <w:lang w:val="en-US" w:eastAsia="zh-CN"/>
        </w:rPr>
        <w:t>及上坝道路车行噪声。本项目</w:t>
      </w:r>
      <w:r>
        <w:rPr>
          <w:rFonts w:hint="eastAsia" w:ascii="Arial" w:hAnsi="Arial" w:eastAsia="宋体" w:cs="Arial"/>
          <w:color w:val="000000"/>
          <w:sz w:val="26"/>
          <w:szCs w:val="26"/>
          <w:lang w:val="en-US" w:eastAsia="zh-CN"/>
        </w:rPr>
        <w:t>距离周边居民点较远，</w:t>
      </w:r>
      <w:r>
        <w:rPr>
          <w:rFonts w:hint="eastAsia" w:ascii="Arial" w:hAnsi="Arial" w:cs="Arial"/>
          <w:color w:val="000000"/>
          <w:sz w:val="26"/>
          <w:szCs w:val="26"/>
          <w:lang w:val="en-US" w:eastAsia="zh-CN"/>
        </w:rPr>
        <w:t>运行噪声源强小，</w:t>
      </w:r>
      <w:r>
        <w:rPr>
          <w:rFonts w:hint="eastAsia" w:ascii="Arial" w:hAnsi="Arial" w:eastAsia="宋体" w:cs="Arial"/>
          <w:color w:val="000000"/>
          <w:sz w:val="26"/>
          <w:szCs w:val="26"/>
          <w:lang w:val="en-US" w:eastAsia="zh-CN"/>
        </w:rPr>
        <w:t>对外环境影响小。</w:t>
      </w:r>
    </w:p>
    <w:p w14:paraId="3AB23BE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④</w:t>
      </w:r>
      <w:r>
        <w:rPr>
          <w:rFonts w:hint="eastAsia" w:ascii="Arial" w:hAnsi="Arial" w:cs="Arial"/>
          <w:b/>
          <w:bCs/>
          <w:color w:val="auto"/>
          <w:kern w:val="0"/>
          <w:sz w:val="26"/>
          <w:szCs w:val="26"/>
          <w:highlight w:val="none"/>
          <w:lang w:val="en-US" w:eastAsia="zh-CN" w:bidi="ar-SA"/>
        </w:rPr>
        <w:t xml:space="preserve"> 固体废物</w:t>
      </w:r>
    </w:p>
    <w:p w14:paraId="3C132083">
      <w:pPr>
        <w:spacing w:line="460" w:lineRule="exact"/>
        <w:ind w:firstLine="520" w:firstLineChars="200"/>
        <w:rPr>
          <w:rFonts w:hint="eastAsia" w:ascii="Arial" w:hAnsi="宋体" w:cs="Arial"/>
          <w:sz w:val="26"/>
          <w:szCs w:val="26"/>
        </w:rPr>
      </w:pPr>
      <w:r>
        <w:rPr>
          <w:rFonts w:hint="eastAsia" w:ascii="Arial" w:cs="Arial"/>
          <w:sz w:val="26"/>
          <w:szCs w:val="26"/>
        </w:rPr>
        <w:t>生活垃圾集中收集后，交当地环卫部门统一清运处置；餐厨垃圾桶装收集后，交有资质单位清运处置</w:t>
      </w:r>
      <w:r>
        <w:rPr>
          <w:rFonts w:hint="eastAsia" w:ascii="Arial" w:hAnsi="宋体" w:cs="Arial"/>
          <w:sz w:val="26"/>
          <w:szCs w:val="26"/>
          <w:lang w:eastAsia="zh-CN"/>
        </w:rPr>
        <w:t>；</w:t>
      </w:r>
      <w:r>
        <w:rPr>
          <w:rFonts w:hint="eastAsia" w:ascii="Arial" w:hAnsi="宋体" w:cs="Arial"/>
          <w:sz w:val="26"/>
          <w:szCs w:val="26"/>
        </w:rPr>
        <w:t>库区打捞出的漂浮物</w:t>
      </w:r>
      <w:r>
        <w:rPr>
          <w:rFonts w:hint="eastAsia" w:ascii="Arial" w:hAnsi="宋体" w:cs="Arial"/>
          <w:sz w:val="26"/>
          <w:szCs w:val="26"/>
          <w:lang w:eastAsia="zh-CN"/>
        </w:rPr>
        <w:t>，</w:t>
      </w:r>
      <w:r>
        <w:rPr>
          <w:rFonts w:hint="eastAsia" w:ascii="Arial" w:cs="Arial"/>
          <w:sz w:val="26"/>
          <w:szCs w:val="26"/>
        </w:rPr>
        <w:t>交当地环卫部门统一清运处置</w:t>
      </w:r>
      <w:r>
        <w:rPr>
          <w:rFonts w:hint="eastAsia" w:ascii="Arial" w:hAnsi="宋体" w:cs="Arial"/>
          <w:sz w:val="26"/>
          <w:szCs w:val="26"/>
        </w:rPr>
        <w:t>。</w:t>
      </w:r>
    </w:p>
    <w:p w14:paraId="6F5465AB">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3</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施工期对区域生态环境的影响及保护措施</w:t>
      </w:r>
    </w:p>
    <w:p w14:paraId="663C38A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sz w:val="26"/>
          <w:szCs w:val="26"/>
          <w:lang w:eastAsia="zh-CN"/>
        </w:rPr>
      </w:pPr>
      <w:r>
        <w:rPr>
          <w:rFonts w:hint="eastAsia" w:ascii="Arial" w:hAnsi="Arial" w:cs="Arial"/>
          <w:b/>
          <w:sz w:val="26"/>
          <w:szCs w:val="26"/>
        </w:rPr>
        <w:t xml:space="preserve">① </w:t>
      </w:r>
      <w:r>
        <w:rPr>
          <w:rFonts w:hint="eastAsia" w:ascii="Arial" w:hAnsi="Arial" w:cs="Arial"/>
          <w:b/>
          <w:sz w:val="26"/>
          <w:szCs w:val="26"/>
          <w:lang w:eastAsia="zh-CN"/>
        </w:rPr>
        <w:t>水生生态</w:t>
      </w:r>
    </w:p>
    <w:p w14:paraId="4FD41158">
      <w:pPr>
        <w:spacing w:line="460" w:lineRule="exact"/>
        <w:ind w:firstLine="520" w:firstLineChars="200"/>
        <w:rPr>
          <w:rFonts w:hint="eastAsia" w:ascii="Arial" w:cs="Arial"/>
          <w:color w:val="000000" w:themeColor="text1"/>
          <w:sz w:val="26"/>
          <w:szCs w:val="26"/>
          <w14:textFill>
            <w14:solidFill>
              <w14:schemeClr w14:val="tx1"/>
            </w14:solidFill>
          </w14:textFill>
        </w:rPr>
      </w:pPr>
      <w:r>
        <w:rPr>
          <w:rFonts w:hint="eastAsia" w:ascii="Arial" w:cs="Arial"/>
          <w:color w:val="000000" w:themeColor="text1"/>
          <w:sz w:val="26"/>
          <w:szCs w:val="26"/>
          <w14:textFill>
            <w14:solidFill>
              <w14:schemeClr w14:val="tx1"/>
            </w14:solidFill>
          </w14:textFill>
        </w:rPr>
        <w:t>在枢纽工程施工区严格落实围堰导流工程，确保河道水流正常排泄，避免对鱼类造成阻隔影响。在施工前做好各施工场地、弃渣场、施工区的防护，避免初期雨水直排河流；同时做好各类污废水的收集处理工作，避免直接排放，减水水体污染和防止水体流失。加强对施工人员自然保护教育，同时加强施工期的环境监管。</w:t>
      </w:r>
    </w:p>
    <w:p w14:paraId="1E554651">
      <w:pPr>
        <w:spacing w:line="460" w:lineRule="exact"/>
        <w:ind w:firstLine="504" w:firstLineChars="200"/>
        <w:rPr>
          <w:rFonts w:hint="eastAsia" w:ascii="Arial" w:cs="Arial"/>
          <w:bCs/>
          <w:color w:val="auto"/>
          <w:sz w:val="26"/>
        </w:rPr>
      </w:pPr>
      <w:r>
        <w:rPr>
          <w:rFonts w:hint="eastAsia" w:ascii="Arial" w:hAnsi="宋体" w:cs="Arial"/>
          <w:color w:val="000000" w:themeColor="text1"/>
          <w:spacing w:val="-4"/>
          <w:sz w:val="26"/>
          <w:szCs w:val="26"/>
          <w14:textFill>
            <w14:solidFill>
              <w14:schemeClr w14:val="tx1"/>
            </w14:solidFill>
          </w14:textFill>
        </w:rPr>
        <w:t>输水工程管道有</w:t>
      </w:r>
      <w:r>
        <w:rPr>
          <w:rFonts w:hint="eastAsia" w:ascii="Arial" w:hAnsi="宋体" w:cs="Arial"/>
          <w:color w:val="000000" w:themeColor="text1"/>
          <w:spacing w:val="-4"/>
          <w:sz w:val="26"/>
          <w:szCs w:val="26"/>
          <w:lang w:val="en-US" w:eastAsia="zh-CN"/>
          <w14:textFill>
            <w14:solidFill>
              <w14:schemeClr w14:val="tx1"/>
            </w14:solidFill>
          </w14:textFill>
        </w:rPr>
        <w:t>5</w:t>
      </w:r>
      <w:r>
        <w:rPr>
          <w:rFonts w:hint="eastAsia" w:ascii="Arial" w:hAnsi="宋体" w:cs="Arial"/>
          <w:color w:val="000000" w:themeColor="text1"/>
          <w:spacing w:val="-4"/>
          <w:sz w:val="26"/>
          <w:szCs w:val="26"/>
          <w14:textFill>
            <w14:solidFill>
              <w14:schemeClr w14:val="tx1"/>
            </w14:solidFill>
          </w14:textFill>
        </w:rPr>
        <w:t>处跨河，</w:t>
      </w:r>
      <w:r>
        <w:rPr>
          <w:rFonts w:hint="eastAsia" w:ascii="Arial" w:hAnsi="宋体" w:cs="Arial"/>
          <w:color w:val="auto"/>
          <w:sz w:val="26"/>
          <w:szCs w:val="26"/>
          <w:lang w:val="en-US" w:eastAsia="zh-CN"/>
        </w:rPr>
        <w:t>为避免对河道水生生态环境造成影响，本评价建议建设单位优先选用定向钻、顶管等不涉水施工工艺，无法选用时，需做好施工导流、围堰等工作，</w:t>
      </w:r>
      <w:r>
        <w:rPr>
          <w:rFonts w:hint="eastAsia" w:ascii="Arial" w:hAnsi="宋体" w:cs="Arial"/>
          <w:color w:val="auto"/>
          <w:spacing w:val="-4"/>
          <w:sz w:val="26"/>
          <w:szCs w:val="26"/>
        </w:rPr>
        <w:t>选择枯水期分段作业，严格控制施工开挖面，并尽可能将处理后的基坑废水回用于施工抑尘洒水，</w:t>
      </w:r>
      <w:r>
        <w:rPr>
          <w:rFonts w:hint="eastAsia" w:ascii="Arial" w:hAnsi="宋体" w:cs="Arial"/>
          <w:bCs/>
          <w:color w:val="auto"/>
          <w:sz w:val="26"/>
          <w:szCs w:val="26"/>
        </w:rPr>
        <w:t>多余部分需经沉淀处理</w:t>
      </w:r>
      <w:r>
        <w:rPr>
          <w:rFonts w:hint="eastAsia" w:ascii="Arial" w:hAnsi="宋体" w:cs="Arial"/>
          <w:bCs/>
          <w:color w:val="auto"/>
          <w:sz w:val="26"/>
          <w:szCs w:val="26"/>
          <w:lang w:eastAsia="zh-CN"/>
        </w:rPr>
        <w:t>后引至下游河道排放。</w:t>
      </w:r>
      <w:r>
        <w:rPr>
          <w:rFonts w:hint="eastAsia" w:ascii="Arial" w:cs="Arial"/>
          <w:bCs/>
          <w:color w:val="auto"/>
          <w:sz w:val="26"/>
        </w:rPr>
        <w:t>同时，输水管线施工段应设置临时围挡，严格控制施工活动，做好废弃土石方的暂存、清运工作，严禁向河道内倾倒废渣，减轻对</w:t>
      </w:r>
      <w:r>
        <w:rPr>
          <w:rFonts w:hint="eastAsia" w:ascii="Arial" w:cs="Arial"/>
          <w:bCs/>
          <w:color w:val="auto"/>
          <w:sz w:val="26"/>
          <w:lang w:eastAsia="zh-CN"/>
        </w:rPr>
        <w:t>河道水质、水生生态的</w:t>
      </w:r>
      <w:r>
        <w:rPr>
          <w:rFonts w:hint="eastAsia" w:ascii="Arial" w:cs="Arial"/>
          <w:bCs/>
          <w:color w:val="auto"/>
          <w:sz w:val="26"/>
        </w:rPr>
        <w:t>影响。</w:t>
      </w:r>
    </w:p>
    <w:p w14:paraId="59371B61">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②</w:t>
      </w:r>
      <w:r>
        <w:rPr>
          <w:rFonts w:hint="eastAsia" w:ascii="Arial" w:hAnsi="Arial" w:eastAsia="宋体" w:cs="Arial"/>
          <w:b/>
          <w:bCs/>
          <w:color w:val="auto"/>
          <w:kern w:val="0"/>
          <w:sz w:val="26"/>
          <w:szCs w:val="26"/>
          <w:highlight w:val="none"/>
          <w:lang w:val="en-US" w:eastAsia="zh-CN" w:bidi="ar-SA"/>
        </w:rPr>
        <w:t xml:space="preserve"> </w:t>
      </w:r>
      <w:r>
        <w:rPr>
          <w:rFonts w:hint="eastAsia" w:ascii="Arial" w:hAnsi="Arial" w:cs="Arial"/>
          <w:b/>
          <w:bCs/>
          <w:color w:val="auto"/>
          <w:kern w:val="0"/>
          <w:sz w:val="26"/>
          <w:szCs w:val="26"/>
          <w:highlight w:val="none"/>
          <w:lang w:val="en-US" w:eastAsia="zh-CN" w:bidi="ar-SA"/>
        </w:rPr>
        <w:t>陆生生态</w:t>
      </w:r>
    </w:p>
    <w:p w14:paraId="78FA5D0A">
      <w:pPr>
        <w:spacing w:line="460" w:lineRule="exact"/>
        <w:ind w:firstLine="504" w:firstLineChars="200"/>
        <w:rPr>
          <w:rFonts w:hint="eastAsia" w:ascii="Arial" w:hAnsi="宋体" w:cs="Arial"/>
          <w:color w:val="000000" w:themeColor="text1"/>
          <w:spacing w:val="-4"/>
          <w:sz w:val="26"/>
          <w:szCs w:val="26"/>
          <w:lang w:eastAsia="zh-CN"/>
          <w14:textFill>
            <w14:solidFill>
              <w14:schemeClr w14:val="tx1"/>
            </w14:solidFill>
          </w14:textFill>
        </w:rPr>
      </w:pPr>
      <w:r>
        <w:rPr>
          <w:rFonts w:hint="eastAsia" w:ascii="Arial" w:hAnsi="宋体" w:cs="Arial"/>
          <w:color w:val="000000" w:themeColor="text1"/>
          <w:spacing w:val="-4"/>
          <w:sz w:val="26"/>
          <w:szCs w:val="26"/>
          <w14:textFill>
            <w14:solidFill>
              <w14:schemeClr w14:val="tx1"/>
            </w14:solidFill>
          </w14:textFill>
        </w:rPr>
        <w:t>主要采取的各项保护措施如下：严格按照规定的工程征占地范围进行施工，严格控制施工占地红线，尽量将临时设施布置在项目永久占地范围内，减少表土及植被的破坏，严禁超范围占压植被</w:t>
      </w:r>
      <w:r>
        <w:rPr>
          <w:rFonts w:hint="eastAsia" w:ascii="Arial" w:hAnsi="宋体" w:cs="Arial"/>
          <w:color w:val="000000" w:themeColor="text1"/>
          <w:spacing w:val="-4"/>
          <w:sz w:val="26"/>
          <w:szCs w:val="26"/>
          <w:lang w:eastAsia="zh-CN"/>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施工过程中注意保护好施工区的表层土壤，</w:t>
      </w:r>
      <w:r>
        <w:rPr>
          <w:rFonts w:hint="eastAsia" w:ascii="Arial" w:hAnsi="宋体" w:cs="Arial"/>
          <w:color w:val="000000" w:themeColor="text1"/>
          <w:spacing w:val="-4"/>
          <w:sz w:val="26"/>
          <w:szCs w:val="26"/>
          <w:lang w:eastAsia="zh-CN"/>
          <w14:textFill>
            <w14:solidFill>
              <w14:schemeClr w14:val="tx1"/>
            </w14:solidFill>
          </w14:textFill>
        </w:rPr>
        <w:t>集中收集后，分区暂存于弃渣场内，</w:t>
      </w:r>
      <w:r>
        <w:rPr>
          <w:rFonts w:hint="default" w:ascii="Arial" w:hAnsi="宋体" w:cs="Arial"/>
          <w:color w:val="000000" w:themeColor="text1"/>
          <w:spacing w:val="-4"/>
          <w:sz w:val="26"/>
          <w:szCs w:val="26"/>
          <w14:textFill>
            <w14:solidFill>
              <w14:schemeClr w14:val="tx1"/>
            </w14:solidFill>
          </w14:textFill>
        </w:rPr>
        <w:t>后期</w:t>
      </w:r>
      <w:r>
        <w:rPr>
          <w:rFonts w:hint="eastAsia" w:ascii="Arial" w:hAnsi="宋体" w:cs="Arial"/>
          <w:color w:val="000000" w:themeColor="text1"/>
          <w:spacing w:val="-4"/>
          <w:sz w:val="26"/>
          <w:szCs w:val="26"/>
          <w:lang w:eastAsia="zh-CN"/>
          <w14:textFill>
            <w14:solidFill>
              <w14:schemeClr w14:val="tx1"/>
            </w14:solidFill>
          </w14:textFill>
        </w:rPr>
        <w:t>全部用作生态覆土；</w:t>
      </w:r>
      <w:r>
        <w:rPr>
          <w:rFonts w:hint="default" w:ascii="Arial" w:hAnsi="宋体" w:cs="Arial"/>
          <w:color w:val="000000" w:themeColor="text1"/>
          <w:spacing w:val="-4"/>
          <w:sz w:val="26"/>
          <w:szCs w:val="26"/>
          <w14:textFill>
            <w14:solidFill>
              <w14:schemeClr w14:val="tx1"/>
            </w14:solidFill>
          </w14:textFill>
        </w:rPr>
        <w:t>在建设工程中，加强宣传教育和管理，认真</w:t>
      </w:r>
      <w:r>
        <w:rPr>
          <w:rFonts w:hint="eastAsia" w:ascii="Arial" w:hAnsi="宋体" w:cs="Arial"/>
          <w:color w:val="000000" w:themeColor="text1"/>
          <w:spacing w:val="-4"/>
          <w:sz w:val="26"/>
          <w:szCs w:val="26"/>
          <w14:textFill>
            <w14:solidFill>
              <w14:schemeClr w14:val="tx1"/>
            </w14:solidFill>
          </w14:textFill>
        </w:rPr>
        <w:t>全面贯彻执行《中华人民共和国野生动物保护法》和《重庆市实施&lt;中华人民共和国野生动物保护法&gt;办法》，增强人们的生态保护意识</w:t>
      </w:r>
      <w:r>
        <w:rPr>
          <w:rFonts w:hint="eastAsia" w:ascii="Arial" w:hAnsi="宋体" w:cs="Arial"/>
          <w:color w:val="000000" w:themeColor="text1"/>
          <w:spacing w:val="-4"/>
          <w:sz w:val="26"/>
          <w:szCs w:val="26"/>
          <w:lang w:eastAsia="zh-CN"/>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严禁猎杀捕食野生动物</w:t>
      </w:r>
      <w:r>
        <w:rPr>
          <w:rFonts w:hint="eastAsia" w:ascii="Arial" w:hAnsi="宋体" w:cs="Arial"/>
          <w:color w:val="000000" w:themeColor="text1"/>
          <w:spacing w:val="-4"/>
          <w:sz w:val="26"/>
          <w:szCs w:val="26"/>
          <w:lang w:eastAsia="zh-CN"/>
          <w14:textFill>
            <w14:solidFill>
              <w14:schemeClr w14:val="tx1"/>
            </w14:solidFill>
          </w14:textFill>
        </w:rPr>
        <w:t>；</w:t>
      </w:r>
      <w:r>
        <w:rPr>
          <w:rFonts w:hint="eastAsia" w:ascii="Arial" w:hAnsi="宋体" w:cs="Arial"/>
          <w:color w:val="000000" w:themeColor="text1"/>
          <w:spacing w:val="-4"/>
          <w:sz w:val="26"/>
          <w:szCs w:val="26"/>
          <w14:textFill>
            <w14:solidFill>
              <w14:schemeClr w14:val="tx1"/>
            </w14:solidFill>
          </w14:textFill>
        </w:rPr>
        <w:t>施工结束后，拆除施工临时设施，清理施工区固体废弃物，对施工临时占地进行生态恢复</w:t>
      </w:r>
      <w:r>
        <w:rPr>
          <w:rFonts w:hint="eastAsia" w:ascii="Arial" w:hAnsi="宋体" w:cs="Arial"/>
          <w:color w:val="000000" w:themeColor="text1"/>
          <w:spacing w:val="-4"/>
          <w:sz w:val="26"/>
          <w:szCs w:val="26"/>
          <w:lang w:eastAsia="zh-CN"/>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临时占地应尽量恢复为农田；不能恢复为农田的，在通过平整后，按照</w:t>
      </w:r>
      <w:r>
        <w:rPr>
          <w:rFonts w:hint="eastAsia" w:ascii="Arial" w:hAnsi="宋体" w:cs="Arial"/>
          <w:color w:val="000000" w:themeColor="text1"/>
          <w:spacing w:val="-4"/>
          <w:sz w:val="26"/>
          <w:szCs w:val="26"/>
          <w14:textFill>
            <w14:solidFill>
              <w14:schemeClr w14:val="tx1"/>
            </w14:solidFill>
          </w14:textFill>
        </w:rPr>
        <w:t>“宜林则林、宜草则草”</w:t>
      </w:r>
      <w:r>
        <w:rPr>
          <w:rFonts w:hint="default" w:ascii="Arial" w:hAnsi="宋体" w:cs="Arial"/>
          <w:color w:val="000000" w:themeColor="text1"/>
          <w:spacing w:val="-4"/>
          <w:sz w:val="26"/>
          <w:szCs w:val="26"/>
          <w14:textFill>
            <w14:solidFill>
              <w14:schemeClr w14:val="tx1"/>
            </w14:solidFill>
          </w14:textFill>
        </w:rPr>
        <w:t>的原则，种植适宜的林木和草类，最大限度地提高生态环境质量</w:t>
      </w:r>
      <w:r>
        <w:rPr>
          <w:rFonts w:hint="eastAsia" w:ascii="Arial" w:hAnsi="宋体" w:cs="Arial"/>
          <w:color w:val="000000" w:themeColor="text1"/>
          <w:spacing w:val="-4"/>
          <w:sz w:val="26"/>
          <w:szCs w:val="26"/>
          <w:lang w:eastAsia="zh-CN"/>
          <w14:textFill>
            <w14:solidFill>
              <w14:schemeClr w14:val="tx1"/>
            </w14:solidFill>
          </w14:textFill>
        </w:rPr>
        <w:t>；</w:t>
      </w:r>
      <w:r>
        <w:rPr>
          <w:rFonts w:hint="eastAsia" w:ascii="Arial" w:hAnsi="Arial" w:cs="Arial"/>
          <w:sz w:val="26"/>
          <w:szCs w:val="26"/>
        </w:rPr>
        <w:t>结合当地生态规划与工程水土保持要求，按要求在工程竣工前对施工迹地与裸露开挖面进行绿化和植被恢复。施工完毕后，应该在采取水土保持措施的同时将清除的表土层进行回填覆土，并种植当地乔、灌、萆，进行迹地恢复。</w:t>
      </w:r>
    </w:p>
    <w:p w14:paraId="0C6C72A2">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4</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运营期对区域生态环境的影响及保护措施</w:t>
      </w:r>
    </w:p>
    <w:p w14:paraId="13A0E65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sz w:val="26"/>
          <w:szCs w:val="26"/>
          <w:lang w:eastAsia="zh-CN"/>
        </w:rPr>
      </w:pPr>
      <w:r>
        <w:rPr>
          <w:rFonts w:hint="eastAsia" w:ascii="Arial" w:hAnsi="Arial" w:cs="Arial"/>
          <w:b/>
          <w:sz w:val="26"/>
          <w:szCs w:val="26"/>
        </w:rPr>
        <w:t xml:space="preserve">① </w:t>
      </w:r>
      <w:r>
        <w:rPr>
          <w:rFonts w:hint="eastAsia" w:ascii="Arial" w:hAnsi="Arial" w:cs="Arial"/>
          <w:b/>
          <w:sz w:val="26"/>
          <w:szCs w:val="26"/>
          <w:lang w:eastAsia="zh-CN"/>
        </w:rPr>
        <w:t>水生生态</w:t>
      </w:r>
    </w:p>
    <w:p w14:paraId="722F69E7">
      <w:pPr>
        <w:spacing w:line="460" w:lineRule="exact"/>
        <w:ind w:firstLine="504" w:firstLineChars="200"/>
        <w:rPr>
          <w:rFonts w:hint="eastAsia" w:ascii="Arial" w:hAnsi="宋体" w:cs="Arial"/>
          <w:color w:val="000000" w:themeColor="text1"/>
          <w:spacing w:val="-4"/>
          <w:sz w:val="26"/>
          <w:szCs w:val="26"/>
          <w:lang w:val="en-US" w:eastAsia="zh-CN"/>
          <w14:textFill>
            <w14:solidFill>
              <w14:schemeClr w14:val="tx1"/>
            </w14:solidFill>
          </w14:textFill>
        </w:rPr>
      </w:pPr>
      <w:r>
        <w:rPr>
          <w:rFonts w:hint="eastAsia" w:ascii="Arial" w:hAnsi="宋体" w:cs="Arial"/>
          <w:color w:val="000000" w:themeColor="text1"/>
          <w:spacing w:val="-4"/>
          <w:sz w:val="26"/>
          <w:szCs w:val="26"/>
          <w:lang w:eastAsia="zh-CN"/>
          <w14:textFill>
            <w14:solidFill>
              <w14:schemeClr w14:val="tx1"/>
            </w14:solidFill>
          </w14:textFill>
        </w:rPr>
        <w:t>共设置</w:t>
      </w:r>
      <w:r>
        <w:rPr>
          <w:rFonts w:hint="eastAsia" w:ascii="Arial" w:hAnsi="宋体" w:cs="Arial"/>
          <w:color w:val="000000" w:themeColor="text1"/>
          <w:spacing w:val="-4"/>
          <w:sz w:val="26"/>
          <w:szCs w:val="26"/>
          <w:lang w:val="en-US" w:eastAsia="zh-CN"/>
          <w14:textFill>
            <w14:solidFill>
              <w14:schemeClr w14:val="tx1"/>
            </w14:solidFill>
          </w14:textFill>
        </w:rPr>
        <w:t>5层管道取水，</w:t>
      </w:r>
      <w:r>
        <w:rPr>
          <w:rFonts w:hint="eastAsia" w:ascii="Arial" w:hAnsi="宋体" w:cs="Arial"/>
          <w:color w:val="000000" w:themeColor="text1"/>
          <w:spacing w:val="-4"/>
          <w:sz w:val="26"/>
          <w:szCs w:val="26"/>
          <w:lang w:eastAsia="zh-CN"/>
          <w14:textFill>
            <w14:solidFill>
              <w14:schemeClr w14:val="tx1"/>
            </w14:solidFill>
          </w14:textFill>
        </w:rPr>
        <w:t>各层取水口从上到下高程依次为</w:t>
      </w:r>
      <w:r>
        <w:rPr>
          <w:rFonts w:hint="default" w:ascii="Arial" w:hAnsi="宋体" w:cs="Arial"/>
          <w:color w:val="000000" w:themeColor="text1"/>
          <w:spacing w:val="-4"/>
          <w:sz w:val="26"/>
          <w:szCs w:val="26"/>
          <w14:textFill>
            <w14:solidFill>
              <w14:schemeClr w14:val="tx1"/>
            </w14:solidFill>
          </w14:textFill>
        </w:rPr>
        <w:t>418.0m、415.0m、412.0m</w:t>
      </w:r>
      <w:r>
        <w:rPr>
          <w:rFonts w:hint="eastAsia" w:ascii="Arial" w:hAnsi="宋体" w:cs="Arial"/>
          <w:color w:val="000000" w:themeColor="text1"/>
          <w:spacing w:val="-4"/>
          <w:sz w:val="26"/>
          <w:szCs w:val="26"/>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409.0m</w:t>
      </w:r>
      <w:r>
        <w:rPr>
          <w:rFonts w:hint="eastAsia" w:ascii="Arial" w:hAnsi="宋体" w:cs="Arial"/>
          <w:color w:val="000000" w:themeColor="text1"/>
          <w:spacing w:val="-4"/>
          <w:sz w:val="26"/>
          <w:szCs w:val="26"/>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405.5m</w:t>
      </w:r>
      <w:r>
        <w:rPr>
          <w:rFonts w:hint="eastAsia" w:ascii="Arial" w:hAnsi="宋体" w:cs="Arial"/>
          <w:color w:val="000000" w:themeColor="text1"/>
          <w:spacing w:val="-4"/>
          <w:sz w:val="26"/>
          <w:szCs w:val="26"/>
          <w:lang w:eastAsia="zh-CN"/>
          <w14:textFill>
            <w14:solidFill>
              <w14:schemeClr w14:val="tx1"/>
            </w14:solidFill>
          </w14:textFill>
        </w:rPr>
        <w:t>，</w:t>
      </w:r>
      <w:r>
        <w:rPr>
          <w:rFonts w:hint="eastAsia" w:ascii="Arial" w:hAnsi="宋体" w:cs="Arial"/>
          <w:color w:val="000000" w:themeColor="text1"/>
          <w:spacing w:val="-4"/>
          <w:sz w:val="26"/>
          <w:szCs w:val="26"/>
          <w:lang w:val="en-US" w:eastAsia="zh-CN"/>
          <w14:textFill>
            <w14:solidFill>
              <w14:schemeClr w14:val="tx1"/>
            </w14:solidFill>
          </w14:textFill>
        </w:rPr>
        <w:t>5</w:t>
      </w:r>
      <w:r>
        <w:rPr>
          <w:rFonts w:hint="default" w:ascii="Arial" w:hAnsi="宋体" w:cs="Arial"/>
          <w:color w:val="000000" w:themeColor="text1"/>
          <w:spacing w:val="-4"/>
          <w:sz w:val="26"/>
          <w:szCs w:val="26"/>
          <w14:textFill>
            <w14:solidFill>
              <w14:schemeClr w14:val="tx1"/>
            </w14:solidFill>
          </w14:textFill>
        </w:rPr>
        <w:t>层取水管从坝体下游坝坡穿出后汇合成一根引水管，引水管沿大坝下游坝坡左侧坝脚布置，</w:t>
      </w:r>
      <w:r>
        <w:rPr>
          <w:rFonts w:hint="eastAsia" w:ascii="Arial" w:hAnsi="宋体" w:cs="Arial"/>
          <w:color w:val="000000" w:themeColor="text1"/>
          <w:spacing w:val="-4"/>
          <w:sz w:val="26"/>
          <w:szCs w:val="26"/>
          <w:lang w:eastAsia="zh-CN"/>
          <w14:textFill>
            <w14:solidFill>
              <w14:schemeClr w14:val="tx1"/>
            </w14:solidFill>
          </w14:textFill>
        </w:rPr>
        <w:t>引入闸阀房内，充分混合后，根据用水性质分类，室内分设3根管道，其中一根</w:t>
      </w:r>
      <w:r>
        <w:rPr>
          <w:rFonts w:hint="eastAsia" w:ascii="Arial" w:hAnsi="宋体" w:cs="Arial"/>
          <w:color w:val="000000" w:themeColor="text1"/>
          <w:spacing w:val="-4"/>
          <w:sz w:val="26"/>
          <w:szCs w:val="26"/>
          <w:lang w:val="en-US" w:eastAsia="zh-CN"/>
          <w14:textFill>
            <w14:solidFill>
              <w14:schemeClr w14:val="tx1"/>
            </w14:solidFill>
          </w14:textFill>
        </w:rPr>
        <w:t>DN100为生态放水管，下泄生态流量为0.005</w:t>
      </w:r>
      <w:r>
        <w:rPr>
          <w:rFonts w:hint="default" w:ascii="Arial" w:hAnsi="宋体" w:cs="Arial"/>
          <w:color w:val="000000" w:themeColor="text1"/>
          <w:spacing w:val="-4"/>
          <w:sz w:val="26"/>
          <w:szCs w:val="26"/>
          <w14:textFill>
            <w14:solidFill>
              <w14:schemeClr w14:val="tx1"/>
            </w14:solidFill>
          </w14:textFill>
        </w:rPr>
        <w:t>m</w:t>
      </w:r>
      <w:r>
        <w:rPr>
          <w:rFonts w:hint="default" w:ascii="Arial" w:hAnsi="宋体" w:cs="Arial"/>
          <w:color w:val="000000" w:themeColor="text1"/>
          <w:spacing w:val="-4"/>
          <w:sz w:val="26"/>
          <w:szCs w:val="26"/>
          <w:vertAlign w:val="superscript"/>
          <w14:textFill>
            <w14:solidFill>
              <w14:schemeClr w14:val="tx1"/>
            </w14:solidFill>
          </w14:textFill>
        </w:rPr>
        <w:t>3</w:t>
      </w:r>
      <w:r>
        <w:rPr>
          <w:rFonts w:hint="default" w:ascii="Arial" w:hAnsi="宋体" w:cs="Arial"/>
          <w:color w:val="000000" w:themeColor="text1"/>
          <w:spacing w:val="-4"/>
          <w:sz w:val="26"/>
          <w:szCs w:val="26"/>
          <w14:textFill>
            <w14:solidFill>
              <w14:schemeClr w14:val="tx1"/>
            </w14:solidFill>
          </w14:textFill>
        </w:rPr>
        <w:t>/s</w:t>
      </w:r>
      <w:r>
        <w:rPr>
          <w:rFonts w:hint="eastAsia" w:ascii="Arial" w:hAnsi="宋体" w:cs="Arial"/>
          <w:color w:val="000000" w:themeColor="text1"/>
          <w:spacing w:val="-4"/>
          <w:sz w:val="26"/>
          <w:szCs w:val="26"/>
          <w:lang w:eastAsia="zh-CN"/>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多年平均下放生态水量</w:t>
      </w:r>
      <w:r>
        <w:rPr>
          <w:rFonts w:hint="eastAsia" w:ascii="Arial" w:hAnsi="宋体" w:cs="Arial"/>
          <w:color w:val="000000" w:themeColor="text1"/>
          <w:spacing w:val="-4"/>
          <w:sz w:val="26"/>
          <w:szCs w:val="26"/>
          <w:lang w:val="en-US" w:eastAsia="zh-CN"/>
          <w14:textFill>
            <w14:solidFill>
              <w14:schemeClr w14:val="tx1"/>
            </w14:solidFill>
          </w14:textFill>
        </w:rPr>
        <w:t>15.75</w:t>
      </w:r>
      <w:r>
        <w:rPr>
          <w:rFonts w:hint="default" w:ascii="Arial" w:hAnsi="宋体" w:cs="Arial"/>
          <w:color w:val="000000" w:themeColor="text1"/>
          <w:spacing w:val="-4"/>
          <w:sz w:val="26"/>
          <w:szCs w:val="26"/>
          <w14:textFill>
            <w14:solidFill>
              <w14:schemeClr w14:val="tx1"/>
            </w14:solidFill>
          </w14:textFill>
        </w:rPr>
        <w:t>万m</w:t>
      </w:r>
      <w:r>
        <w:rPr>
          <w:rFonts w:hint="eastAsia" w:ascii="Arial" w:hAnsi="宋体" w:cs="Arial"/>
          <w:color w:val="000000" w:themeColor="text1"/>
          <w:spacing w:val="-4"/>
          <w:sz w:val="26"/>
          <w:szCs w:val="26"/>
          <w:vertAlign w:val="superscript"/>
          <w:lang w:val="en-US" w:eastAsia="zh-CN"/>
          <w14:textFill>
            <w14:solidFill>
              <w14:schemeClr w14:val="tx1"/>
            </w14:solidFill>
          </w14:textFill>
        </w:rPr>
        <w:t>3</w:t>
      </w:r>
      <w:r>
        <w:rPr>
          <w:rFonts w:hint="default" w:ascii="Arial" w:hAnsi="宋体" w:cs="Arial"/>
          <w:color w:val="000000" w:themeColor="text1"/>
          <w:spacing w:val="-4"/>
          <w:sz w:val="26"/>
          <w:szCs w:val="26"/>
          <w14:textFill>
            <w14:solidFill>
              <w14:schemeClr w14:val="tx1"/>
            </w14:solidFill>
          </w14:textFill>
        </w:rPr>
        <w:t>。</w:t>
      </w:r>
      <w:r>
        <w:rPr>
          <w:rFonts w:hint="eastAsia" w:ascii="Arial" w:hAnsi="宋体" w:cs="Arial"/>
          <w:color w:val="000000" w:themeColor="text1"/>
          <w:spacing w:val="-4"/>
          <w:sz w:val="26"/>
          <w:szCs w:val="26"/>
          <w:lang w:val="en-US" w:eastAsia="zh-CN"/>
          <w14:textFill>
            <w14:solidFill>
              <w14:schemeClr w14:val="tx1"/>
            </w14:solidFill>
          </w14:textFill>
        </w:rPr>
        <w:t>生态放水管控制阀处于常年开启状态，并设置在线监控设施，确保生态流量下泄。</w:t>
      </w:r>
    </w:p>
    <w:p w14:paraId="1742D1D6">
      <w:pPr>
        <w:spacing w:line="460" w:lineRule="exact"/>
        <w:ind w:firstLine="504" w:firstLineChars="200"/>
        <w:rPr>
          <w:rFonts w:hint="eastAsia" w:ascii="Arial" w:hAnsi="宋体" w:cs="Arial"/>
          <w:color w:val="000000" w:themeColor="text1"/>
          <w:spacing w:val="-4"/>
          <w:sz w:val="26"/>
          <w:szCs w:val="26"/>
          <w:lang w:val="en-US" w:eastAsia="zh-CN"/>
          <w14:textFill>
            <w14:solidFill>
              <w14:schemeClr w14:val="tx1"/>
            </w14:solidFill>
          </w14:textFill>
        </w:rPr>
      </w:pPr>
      <w:r>
        <w:rPr>
          <w:rFonts w:hint="eastAsia" w:ascii="Arial" w:hAnsi="宋体" w:cs="Arial"/>
          <w:color w:val="000000" w:themeColor="text1"/>
          <w:spacing w:val="-4"/>
          <w:sz w:val="26"/>
          <w:szCs w:val="26"/>
          <w:lang w:eastAsia="zh-CN"/>
          <w14:textFill>
            <w14:solidFill>
              <w14:schemeClr w14:val="tx1"/>
            </w14:solidFill>
          </w14:textFill>
        </w:rPr>
        <w:t>水利工程大坝库区通过对洪水的调蓄，削减了部分洪峰流量，洪水经工程消能措施处理后流速减小，减轻了对河道的冲刷影响，同时将大部分泥沙拦蓄在坝前库区内而减少流域水土流失，出库的少量泥沙多为细颗粒悬沙，不易在坝下河 段产生淤积影响。</w:t>
      </w:r>
    </w:p>
    <w:p w14:paraId="156354CD">
      <w:pPr>
        <w:spacing w:line="460" w:lineRule="exact"/>
        <w:ind w:firstLine="504" w:firstLineChars="200"/>
        <w:rPr>
          <w:rFonts w:hint="eastAsia" w:ascii="Arial" w:hAnsi="宋体" w:cs="Arial"/>
          <w:color w:val="000000" w:themeColor="text1"/>
          <w:spacing w:val="-4"/>
          <w:sz w:val="26"/>
          <w:szCs w:val="26"/>
          <w:lang w:eastAsia="zh-CN"/>
          <w14:textFill>
            <w14:solidFill>
              <w14:schemeClr w14:val="tx1"/>
            </w14:solidFill>
          </w14:textFill>
        </w:rPr>
      </w:pPr>
      <w:r>
        <w:rPr>
          <w:rFonts w:hint="eastAsia" w:ascii="Arial" w:hAnsi="宋体" w:cs="Arial"/>
          <w:color w:val="000000" w:themeColor="text1"/>
          <w:spacing w:val="-4"/>
          <w:sz w:val="26"/>
          <w:szCs w:val="26"/>
          <w:lang w:eastAsia="zh-CN"/>
          <w14:textFill>
            <w14:solidFill>
              <w14:schemeClr w14:val="tx1"/>
            </w14:solidFill>
          </w14:textFill>
        </w:rPr>
        <w:t>按规定进行清库作业，运营期定期清漂，加强库区水质监测，协同当地农业主管部门控制集雨范围内农业面源污染，避免出现富营养化现象。</w:t>
      </w:r>
    </w:p>
    <w:p w14:paraId="3E90596C">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②</w:t>
      </w:r>
      <w:r>
        <w:rPr>
          <w:rFonts w:hint="eastAsia" w:ascii="Arial" w:hAnsi="Arial" w:eastAsia="宋体" w:cs="Arial"/>
          <w:b/>
          <w:bCs/>
          <w:color w:val="auto"/>
          <w:kern w:val="0"/>
          <w:sz w:val="26"/>
          <w:szCs w:val="26"/>
          <w:highlight w:val="none"/>
          <w:lang w:val="en-US" w:eastAsia="zh-CN" w:bidi="ar-SA"/>
        </w:rPr>
        <w:t xml:space="preserve"> </w:t>
      </w:r>
      <w:r>
        <w:rPr>
          <w:rFonts w:hint="eastAsia" w:ascii="Arial" w:hAnsi="Arial" w:cs="Arial"/>
          <w:b/>
          <w:bCs/>
          <w:color w:val="auto"/>
          <w:kern w:val="0"/>
          <w:sz w:val="26"/>
          <w:szCs w:val="26"/>
          <w:highlight w:val="none"/>
          <w:lang w:val="en-US" w:eastAsia="zh-CN" w:bidi="ar-SA"/>
        </w:rPr>
        <w:t>陆生生态</w:t>
      </w:r>
    </w:p>
    <w:p w14:paraId="5CAA4D5E">
      <w:pPr>
        <w:spacing w:line="460" w:lineRule="exact"/>
        <w:ind w:firstLine="504" w:firstLineChars="200"/>
        <w:rPr>
          <w:rFonts w:hint="eastAsia" w:ascii="Arial" w:hAnsi="宋体" w:cs="Arial"/>
          <w:color w:val="000000" w:themeColor="text1"/>
          <w:spacing w:val="-4"/>
          <w:sz w:val="26"/>
          <w:szCs w:val="26"/>
          <w:lang w:eastAsia="zh-CN"/>
          <w14:textFill>
            <w14:solidFill>
              <w14:schemeClr w14:val="tx1"/>
            </w14:solidFill>
          </w14:textFill>
        </w:rPr>
      </w:pPr>
      <w:r>
        <w:rPr>
          <w:rFonts w:hint="eastAsia" w:ascii="Arial" w:hAnsi="宋体" w:cs="Arial"/>
          <w:color w:val="000000" w:themeColor="text1"/>
          <w:spacing w:val="-4"/>
          <w:sz w:val="26"/>
          <w:szCs w:val="26"/>
          <w:lang w:eastAsia="zh-CN"/>
          <w14:textFill>
            <w14:solidFill>
              <w14:schemeClr w14:val="tx1"/>
            </w14:solidFill>
          </w14:textFill>
        </w:rPr>
        <w:t>对管理区四周进行绿化布置，减缓因工程占地剥离地表植被对区域生态环境造成的破坏。库区周边植树造林，禁止对水库周围植被乱砍乱伐。在野生动物可能出没的地方设置动物通行标志，并在水库周边采取一定的保护措施如加设围栏等，还可对水库周边设置预告、人工监控、控制交通等措施来有效避免对评价区内野生动物的伤害。</w:t>
      </w:r>
    </w:p>
    <w:p w14:paraId="6292113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5环境风险</w:t>
      </w:r>
    </w:p>
    <w:p w14:paraId="4E9B8E52">
      <w:pPr>
        <w:pStyle w:val="1219"/>
        <w:spacing w:line="440" w:lineRule="exact"/>
        <w:ind w:firstLine="520"/>
        <w:jc w:val="both"/>
        <w:rPr>
          <w:rFonts w:hint="eastAsia"/>
          <w:color w:val="auto"/>
          <w:sz w:val="26"/>
          <w:szCs w:val="26"/>
        </w:rPr>
      </w:pPr>
      <w:r>
        <w:rPr>
          <w:rFonts w:hint="eastAsia"/>
          <w:color w:val="auto"/>
          <w:sz w:val="26"/>
          <w:szCs w:val="26"/>
        </w:rPr>
        <w:t>水库的环境风险包括农业面源污染和库岸道路车辆事故造成的污染。通过合理引导农民耕种施肥、道路沿线设置限速及醒目的水源保护标识、</w:t>
      </w:r>
      <w:r>
        <w:rPr>
          <w:rFonts w:hint="eastAsia"/>
          <w:bCs/>
          <w:color w:val="auto"/>
          <w:sz w:val="26"/>
          <w:szCs w:val="26"/>
        </w:rPr>
        <w:t>加强水库周边巡查道路和现有道路的防撞等级（如</w:t>
      </w:r>
      <w:r>
        <w:rPr>
          <w:rFonts w:hint="eastAsia"/>
          <w:color w:val="auto"/>
          <w:sz w:val="26"/>
          <w:szCs w:val="26"/>
        </w:rPr>
        <w:t>加装防撞栏等）可有效减缓环境风险发生的几率，同时，水库应制定应急预案，保证风险事故下的饮用水安全。</w:t>
      </w:r>
    </w:p>
    <w:p w14:paraId="428C322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6选址选线合理性</w:t>
      </w:r>
    </w:p>
    <w:p w14:paraId="22AE215F">
      <w:pPr>
        <w:pStyle w:val="1219"/>
        <w:spacing w:line="440" w:lineRule="exact"/>
        <w:ind w:firstLine="520"/>
        <w:jc w:val="both"/>
        <w:rPr>
          <w:rFonts w:hint="eastAsia"/>
          <w:color w:val="auto"/>
          <w:sz w:val="26"/>
          <w:szCs w:val="26"/>
        </w:rPr>
      </w:pPr>
      <w:r>
        <w:rPr>
          <w:rFonts w:hint="eastAsia"/>
          <w:color w:val="auto"/>
          <w:sz w:val="26"/>
          <w:szCs w:val="26"/>
          <w:lang w:eastAsia="zh-CN"/>
        </w:rPr>
        <w:t>海螺沟水库</w:t>
      </w:r>
      <w:r>
        <w:rPr>
          <w:rFonts w:hint="eastAsia"/>
          <w:color w:val="auto"/>
          <w:sz w:val="26"/>
          <w:szCs w:val="26"/>
        </w:rPr>
        <w:t>各场地设施不涉及占用自然保护区、水源保护区等敏感区域，也不处在地质灾害频发区，建设用地条件良好。项目区环境现状较好，有一定的环境承载力，可接纳本项目的正常排污。因此本项目各场地设施的选址合理。</w:t>
      </w:r>
    </w:p>
    <w:p w14:paraId="47F99B5A">
      <w:pPr>
        <w:pStyle w:val="1219"/>
        <w:spacing w:line="440" w:lineRule="exact"/>
        <w:ind w:firstLine="520"/>
        <w:jc w:val="both"/>
        <w:rPr>
          <w:rFonts w:hint="eastAsia"/>
          <w:color w:val="auto"/>
          <w:sz w:val="26"/>
          <w:szCs w:val="26"/>
          <w:lang w:eastAsia="zh-CN"/>
        </w:rPr>
      </w:pPr>
      <w:r>
        <w:rPr>
          <w:rFonts w:hint="eastAsia"/>
          <w:color w:val="auto"/>
          <w:sz w:val="26"/>
          <w:szCs w:val="26"/>
        </w:rPr>
        <w:t>施工期间，各地面设施均有公路相连，便于施工；临时占地面积小，影响范围小。因此整体上说，本项目的施工布置较合理。</w:t>
      </w:r>
    </w:p>
    <w:p w14:paraId="4F41972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7水源保护区的划分</w:t>
      </w:r>
    </w:p>
    <w:p w14:paraId="6275C0B3">
      <w:pPr>
        <w:pStyle w:val="1219"/>
        <w:spacing w:line="440" w:lineRule="exact"/>
        <w:ind w:firstLine="520"/>
        <w:jc w:val="both"/>
        <w:rPr>
          <w:rFonts w:hint="default" w:ascii="Arial" w:hAnsi="Arial" w:cs="Arial"/>
          <w:color w:val="auto"/>
          <w:sz w:val="26"/>
          <w:szCs w:val="26"/>
          <w:lang w:val="en-US" w:eastAsia="zh-CN"/>
        </w:rPr>
      </w:pPr>
      <w:r>
        <w:rPr>
          <w:rFonts w:hint="default" w:ascii="Arial" w:hAnsi="Arial" w:cs="Arial"/>
          <w:color w:val="auto"/>
          <w:sz w:val="26"/>
          <w:szCs w:val="26"/>
          <w:lang w:val="en-US" w:eastAsia="zh-CN"/>
        </w:rPr>
        <w:t>海螺沟水库为小（2）型水库，</w:t>
      </w:r>
      <w:r>
        <w:rPr>
          <w:rFonts w:hint="default" w:ascii="Arial" w:hAnsi="Arial" w:cs="Arial"/>
          <w:color w:val="auto"/>
          <w:sz w:val="26"/>
          <w:szCs w:val="26"/>
          <w:lang w:eastAsia="zh-CN"/>
        </w:rPr>
        <w:t>根据《饮用水水源保护区划分技术规范》</w:t>
      </w:r>
      <w:r>
        <w:rPr>
          <w:rFonts w:hint="eastAsia" w:ascii="Arial" w:hAnsi="Arial" w:cs="Arial"/>
          <w:color w:val="auto"/>
          <w:sz w:val="26"/>
          <w:szCs w:val="26"/>
          <w:lang w:eastAsia="zh-CN"/>
        </w:rPr>
        <w:t>（</w:t>
      </w:r>
      <w:r>
        <w:rPr>
          <w:rFonts w:hint="default" w:ascii="Arial" w:hAnsi="Arial" w:cs="Arial"/>
          <w:color w:val="auto"/>
          <w:sz w:val="26"/>
          <w:szCs w:val="26"/>
          <w:lang w:eastAsia="zh-CN"/>
        </w:rPr>
        <w:t>HJ/T338</w:t>
      </w:r>
      <w:r>
        <w:rPr>
          <w:rFonts w:hint="eastAsia" w:ascii="Arial" w:hAnsi="Arial" w:cs="Arial"/>
          <w:color w:val="auto"/>
          <w:sz w:val="26"/>
          <w:szCs w:val="26"/>
          <w:lang w:val="en-US" w:eastAsia="zh-CN"/>
        </w:rPr>
        <w:t>-</w:t>
      </w:r>
      <w:r>
        <w:rPr>
          <w:rFonts w:hint="default" w:ascii="Arial" w:hAnsi="Arial" w:cs="Arial"/>
          <w:color w:val="auto"/>
          <w:sz w:val="26"/>
          <w:szCs w:val="26"/>
          <w:lang w:eastAsia="zh-CN"/>
        </w:rPr>
        <w:t>2018</w:t>
      </w:r>
      <w:r>
        <w:rPr>
          <w:rFonts w:hint="eastAsia" w:ascii="Arial" w:hAnsi="Arial" w:cs="Arial"/>
          <w:color w:val="auto"/>
          <w:sz w:val="26"/>
          <w:szCs w:val="26"/>
          <w:lang w:eastAsia="zh-CN"/>
        </w:rPr>
        <w:t>）</w:t>
      </w:r>
      <w:r>
        <w:rPr>
          <w:rFonts w:hint="default" w:ascii="Arial" w:hAnsi="Arial" w:cs="Arial"/>
          <w:color w:val="auto"/>
          <w:sz w:val="26"/>
          <w:szCs w:val="26"/>
          <w:lang w:eastAsia="zh-CN"/>
        </w:rPr>
        <w:t>规定，</w:t>
      </w:r>
      <w:r>
        <w:rPr>
          <w:rFonts w:hint="default" w:ascii="Arial" w:hAnsi="Arial" w:cs="Arial"/>
          <w:color w:val="auto"/>
          <w:sz w:val="26"/>
          <w:szCs w:val="26"/>
          <w:lang w:val="en-US" w:eastAsia="zh-CN"/>
        </w:rPr>
        <w:t>本次仅提出建议划分范围，建议水域一级保护区为整个水库水域；陆域一级保护区为水域外200m范围内的陆域，二级保护区为一级保护区以外入库河流流域分水岭范围。最终划分方案以水库建成蓄水后的饮用水水源保护区划分技术报告和主管部门的批复结果为准。</w:t>
      </w:r>
    </w:p>
    <w:p w14:paraId="56E8945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bCs/>
          <w:color w:val="000000"/>
          <w:sz w:val="26"/>
          <w:szCs w:val="26"/>
          <w:lang w:val="en-US" w:eastAsia="zh-CN"/>
        </w:rPr>
      </w:pP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8环境影响经济损益分析</w:t>
      </w:r>
    </w:p>
    <w:p w14:paraId="44C5D879">
      <w:pPr>
        <w:pStyle w:val="1219"/>
        <w:spacing w:line="440" w:lineRule="exact"/>
        <w:ind w:firstLine="520"/>
        <w:jc w:val="both"/>
        <w:rPr>
          <w:rFonts w:hint="eastAsia" w:ascii="Arial" w:hAnsi="Arial" w:cs="Arial"/>
          <w:snapToGrid/>
          <w:sz w:val="26"/>
          <w:szCs w:val="26"/>
        </w:rPr>
      </w:pPr>
      <w:r>
        <w:rPr>
          <w:rFonts w:hint="eastAsia"/>
          <w:sz w:val="26"/>
          <w:szCs w:val="26"/>
        </w:rPr>
        <w:t>施工期和运行期通过采取</w:t>
      </w:r>
      <w:r>
        <w:rPr>
          <w:rFonts w:hint="eastAsia"/>
          <w:sz w:val="26"/>
          <w:szCs w:val="26"/>
          <w:lang w:eastAsia="zh-CN"/>
        </w:rPr>
        <w:t>一系列</w:t>
      </w:r>
      <w:r>
        <w:rPr>
          <w:rFonts w:hint="eastAsia"/>
          <w:sz w:val="26"/>
          <w:szCs w:val="26"/>
        </w:rPr>
        <w:t>环境污染防治措施，可将工程建设对区域环境质量的不利影响降至最低；同时，通过采取坝后下泄生态流量和生态保护措施，可在一定程度上减轻项目运行对水生生态和河道景观的不利影响，促使经济发展和保护环境之协调并重发展。因此，项目环境保护措施有利于保护项目区环境质量，推动当地可持续发展进程。</w:t>
      </w:r>
    </w:p>
    <w:p w14:paraId="4E70FBE9">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cs="Arial"/>
          <w:b/>
          <w:bCs/>
          <w:color w:val="000000"/>
          <w:sz w:val="26"/>
          <w:szCs w:val="26"/>
          <w:lang w:val="en-US" w:eastAsia="zh-CN"/>
        </w:rPr>
        <w:t>10.1.9环境监测与管理</w:t>
      </w:r>
    </w:p>
    <w:p w14:paraId="2F643627">
      <w:pPr>
        <w:pStyle w:val="1219"/>
        <w:widowControl w:val="0"/>
        <w:spacing w:line="440" w:lineRule="exact"/>
        <w:ind w:firstLine="520"/>
        <w:jc w:val="both"/>
        <w:rPr>
          <w:sz w:val="26"/>
          <w:szCs w:val="26"/>
        </w:rPr>
      </w:pPr>
      <w:r>
        <w:rPr>
          <w:rFonts w:hint="eastAsia"/>
          <w:sz w:val="26"/>
          <w:szCs w:val="26"/>
        </w:rPr>
        <w:t>建设单位应配置</w:t>
      </w:r>
      <w:r>
        <w:rPr>
          <w:rFonts w:ascii="Arial" w:hAnsi="Arial" w:cs="Arial"/>
          <w:sz w:val="26"/>
          <w:szCs w:val="26"/>
        </w:rPr>
        <w:t>1</w:t>
      </w:r>
      <w:r>
        <w:rPr>
          <w:rFonts w:hint="eastAsia" w:ascii="Arial" w:cs="Arial"/>
          <w:sz w:val="26"/>
          <w:szCs w:val="26"/>
        </w:rPr>
        <w:t>~</w:t>
      </w:r>
      <w:r>
        <w:rPr>
          <w:rFonts w:ascii="Arial" w:hAnsi="Arial" w:cs="Arial"/>
          <w:sz w:val="26"/>
          <w:szCs w:val="26"/>
        </w:rPr>
        <w:t>2</w:t>
      </w:r>
      <w:r>
        <w:rPr>
          <w:rFonts w:ascii="Arial" w:cs="Arial"/>
          <w:sz w:val="26"/>
          <w:szCs w:val="26"/>
        </w:rPr>
        <w:t>名</w:t>
      </w:r>
      <w:r>
        <w:rPr>
          <w:rFonts w:hint="eastAsia"/>
          <w:sz w:val="26"/>
          <w:szCs w:val="26"/>
        </w:rPr>
        <w:t>环境管理人员，负责工程建设和运行过程中的环境管理工作及监测计划；并根据环境影响报告中提出的环保措施，结合在施工和营运期间实际造成的环境影响，详细制定本工程施工期和营运期环境保护规章制度。</w:t>
      </w:r>
    </w:p>
    <w:p w14:paraId="0D8F3436">
      <w:pPr>
        <w:spacing w:line="440" w:lineRule="exact"/>
        <w:ind w:firstLine="520" w:firstLineChars="200"/>
        <w:rPr>
          <w:rFonts w:hint="eastAsia"/>
          <w:sz w:val="26"/>
          <w:szCs w:val="26"/>
        </w:rPr>
      </w:pPr>
      <w:r>
        <w:rPr>
          <w:rFonts w:hint="eastAsia"/>
          <w:sz w:val="26"/>
          <w:szCs w:val="26"/>
        </w:rPr>
        <w:t>评价分别对工程施工期、营运期提出环境监理和监测计划，重点是保护地表水环境和项目区生态环境。</w:t>
      </w:r>
    </w:p>
    <w:p w14:paraId="556A55F2">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cs="Arial"/>
          <w:b/>
          <w:bCs/>
          <w:color w:val="000000"/>
          <w:sz w:val="26"/>
          <w:szCs w:val="26"/>
          <w:lang w:val="en-US" w:eastAsia="zh-CN"/>
        </w:rPr>
        <w:t>10.1.10公众参与</w:t>
      </w:r>
    </w:p>
    <w:p w14:paraId="68831AD5">
      <w:pPr>
        <w:pStyle w:val="1219"/>
        <w:spacing w:line="440" w:lineRule="exact"/>
        <w:ind w:firstLine="520"/>
        <w:jc w:val="both"/>
        <w:rPr>
          <w:rFonts w:hint="eastAsia"/>
          <w:sz w:val="26"/>
          <w:szCs w:val="26"/>
          <w:highlight w:val="none"/>
        </w:rPr>
      </w:pPr>
      <w:r>
        <w:rPr>
          <w:rFonts w:hint="eastAsia"/>
          <w:sz w:val="26"/>
          <w:szCs w:val="26"/>
          <w:highlight w:val="none"/>
        </w:rPr>
        <w:t>根据《公众参与</w:t>
      </w:r>
      <w:r>
        <w:rPr>
          <w:rFonts w:hint="eastAsia"/>
          <w:sz w:val="26"/>
          <w:szCs w:val="26"/>
          <w:highlight w:val="none"/>
          <w:lang w:eastAsia="zh-CN"/>
        </w:rPr>
        <w:t>说明</w:t>
      </w:r>
      <w:r>
        <w:rPr>
          <w:rFonts w:hint="eastAsia"/>
          <w:sz w:val="26"/>
          <w:szCs w:val="26"/>
          <w:highlight w:val="none"/>
        </w:rPr>
        <w:t>》，本次公众参与调查通过在</w:t>
      </w:r>
      <w:r>
        <w:rPr>
          <w:rFonts w:hint="eastAsia"/>
          <w:sz w:val="26"/>
          <w:szCs w:val="26"/>
          <w:highlight w:val="none"/>
          <w:lang w:eastAsia="zh-CN"/>
        </w:rPr>
        <w:t>丰都县水利局网</w:t>
      </w:r>
      <w:r>
        <w:rPr>
          <w:rFonts w:hint="eastAsia"/>
          <w:sz w:val="26"/>
          <w:szCs w:val="26"/>
          <w:highlight w:val="none"/>
        </w:rPr>
        <w:t>站、</w:t>
      </w:r>
      <w:r>
        <w:rPr>
          <w:rFonts w:hint="eastAsia"/>
          <w:sz w:val="26"/>
          <w:szCs w:val="26"/>
          <w:highlight w:val="none"/>
          <w:lang w:eastAsia="zh-CN"/>
        </w:rPr>
        <w:t>重庆晚报</w:t>
      </w:r>
      <w:r>
        <w:rPr>
          <w:rFonts w:hint="eastAsia"/>
          <w:sz w:val="26"/>
          <w:szCs w:val="26"/>
          <w:highlight w:val="none"/>
        </w:rPr>
        <w:t>、工程现场等形式进行项目环保信息公开和公众意见的征求。公示及征求意见期间未收到任何反馈、反对意见，本评价视为同意本项目建设。</w:t>
      </w:r>
    </w:p>
    <w:p w14:paraId="43096640">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bCs/>
          <w:color w:val="000000"/>
          <w:sz w:val="26"/>
          <w:szCs w:val="26"/>
          <w:lang w:val="en-US" w:eastAsia="zh-CN"/>
        </w:rPr>
      </w:pPr>
      <w:bookmarkStart w:id="215" w:name="_Toc36041181"/>
      <w:bookmarkStart w:id="216" w:name="_Toc119592497"/>
      <w:bookmarkStart w:id="217" w:name="_Toc84687777"/>
      <w:bookmarkStart w:id="218" w:name="_Toc82767300"/>
      <w:bookmarkStart w:id="219" w:name="_Toc80865362"/>
      <w:bookmarkStart w:id="220" w:name="_Toc37663447"/>
      <w:bookmarkStart w:id="221" w:name="_Toc34987980"/>
      <w:r>
        <w:rPr>
          <w:rFonts w:hint="eastAsia" w:ascii="Arial" w:hAnsi="Arial" w:eastAsia="宋体" w:cs="Arial"/>
          <w:b/>
          <w:bCs/>
          <w:color w:val="000000"/>
          <w:sz w:val="26"/>
          <w:szCs w:val="26"/>
          <w:lang w:val="en-US" w:eastAsia="zh-CN"/>
        </w:rPr>
        <w:t>11.1.</w:t>
      </w:r>
      <w:r>
        <w:rPr>
          <w:rFonts w:hint="eastAsia" w:ascii="Arial" w:hAnsi="Arial" w:cs="Arial"/>
          <w:b/>
          <w:bCs/>
          <w:color w:val="000000"/>
          <w:sz w:val="26"/>
          <w:szCs w:val="26"/>
          <w:lang w:val="en-US" w:eastAsia="zh-CN"/>
        </w:rPr>
        <w:t>11</w:t>
      </w:r>
      <w:r>
        <w:rPr>
          <w:rFonts w:hint="eastAsia" w:ascii="Arial" w:hAnsi="Arial" w:eastAsia="宋体" w:cs="Arial"/>
          <w:b/>
          <w:bCs/>
          <w:color w:val="000000"/>
          <w:sz w:val="26"/>
          <w:szCs w:val="26"/>
          <w:lang w:val="en-US" w:eastAsia="zh-CN"/>
        </w:rPr>
        <w:t>综合结论</w:t>
      </w:r>
      <w:bookmarkEnd w:id="215"/>
      <w:bookmarkEnd w:id="216"/>
      <w:bookmarkEnd w:id="217"/>
      <w:bookmarkEnd w:id="218"/>
      <w:bookmarkEnd w:id="219"/>
      <w:bookmarkEnd w:id="220"/>
      <w:bookmarkEnd w:id="221"/>
    </w:p>
    <w:p w14:paraId="3FAF53F3">
      <w:pPr>
        <w:keepNext w:val="0"/>
        <w:keepLines w:val="0"/>
        <w:pageBreakBefore w:val="0"/>
        <w:kinsoku/>
        <w:wordWrap/>
        <w:overflowPunct/>
        <w:topLinePunct w:val="0"/>
        <w:bidi w:val="0"/>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b w:val="0"/>
          <w:color w:val="auto"/>
          <w:kern w:val="2"/>
          <w:sz w:val="26"/>
          <w:szCs w:val="26"/>
          <w:lang w:val="en-US" w:eastAsia="zh-CN" w:bidi="ar-SA"/>
        </w:rPr>
        <w:t>丰都县海螺沟水库工程是《重庆市</w:t>
      </w:r>
      <w:r>
        <w:rPr>
          <w:rFonts w:hint="eastAsia" w:ascii="Arial" w:hAnsi="Arial" w:cs="Arial"/>
          <w:b w:val="0"/>
          <w:bCs/>
          <w:sz w:val="26"/>
          <w:szCs w:val="26"/>
          <w:lang w:val="en-US" w:eastAsia="zh-CN"/>
        </w:rPr>
        <w:t>重庆市渠溪河流域综合规划》中重点项目之一，</w:t>
      </w:r>
      <w:r>
        <w:rPr>
          <w:rFonts w:hint="eastAsia" w:ascii="Arial" w:hAnsi="Arial" w:eastAsia="宋体" w:cs="Arial"/>
          <w:b w:val="0"/>
          <w:color w:val="auto"/>
          <w:kern w:val="2"/>
          <w:sz w:val="26"/>
          <w:szCs w:val="26"/>
          <w:lang w:val="en-US" w:eastAsia="zh-CN" w:bidi="ar-SA"/>
        </w:rPr>
        <w:t>符合国家</w:t>
      </w:r>
      <w:r>
        <w:rPr>
          <w:rFonts w:hint="eastAsia" w:ascii="Arial" w:hAnsi="Arial" w:cs="Arial"/>
          <w:b w:val="0"/>
          <w:color w:val="auto"/>
          <w:kern w:val="2"/>
          <w:sz w:val="26"/>
          <w:szCs w:val="26"/>
          <w:lang w:val="en-US" w:eastAsia="zh-CN" w:bidi="ar-SA"/>
        </w:rPr>
        <w:t>相关法律法规、产业政策及规划要求，符合</w:t>
      </w:r>
      <w:r>
        <w:rPr>
          <w:rFonts w:hint="eastAsia" w:ascii="Arial" w:hAnsi="Arial" w:cs="Arial"/>
          <w:color w:val="auto"/>
          <w:kern w:val="0"/>
          <w:sz w:val="26"/>
          <w:szCs w:val="26"/>
          <w:highlight w:val="none"/>
          <w:lang w:val="en-US" w:eastAsia="zh-CN"/>
        </w:rPr>
        <w:t>《重庆市渠溪河流域综合规划环境影响报告书》及其审查意见“</w:t>
      </w:r>
      <w:r>
        <w:rPr>
          <w:rFonts w:hint="default" w:ascii="Arial" w:hAnsi="Arial" w:cs="Arial"/>
          <w:color w:val="auto"/>
          <w:kern w:val="0"/>
          <w:sz w:val="26"/>
          <w:szCs w:val="26"/>
          <w:highlight w:val="none"/>
          <w:lang w:val="en-US" w:eastAsia="zh-CN"/>
        </w:rPr>
        <w:t>丰环函</w:t>
      </w:r>
      <w:r>
        <w:rPr>
          <w:rFonts w:hint="default" w:ascii="Arial" w:hAnsi="Arial" w:eastAsia="宋体" w:cs="Arial"/>
          <w:color w:val="auto"/>
          <w:kern w:val="0"/>
          <w:sz w:val="26"/>
          <w:szCs w:val="26"/>
          <w:highlight w:val="none"/>
          <w:lang w:val="en-US" w:eastAsia="zh-CN"/>
        </w:rPr>
        <w:t>〔2025〕2</w:t>
      </w:r>
      <w:r>
        <w:rPr>
          <w:rFonts w:hint="eastAsia" w:ascii="宋体" w:hAnsi="宋体" w:eastAsia="宋体" w:cs="宋体"/>
          <w:color w:val="auto"/>
          <w:kern w:val="0"/>
          <w:sz w:val="26"/>
          <w:szCs w:val="26"/>
          <w:highlight w:val="none"/>
          <w:lang w:val="en-US" w:eastAsia="zh-CN"/>
        </w:rPr>
        <w:t>号</w:t>
      </w:r>
      <w:r>
        <w:rPr>
          <w:rFonts w:hint="eastAsia" w:ascii="Arial" w:hAnsi="Arial" w:cs="Arial"/>
          <w:color w:val="auto"/>
          <w:kern w:val="0"/>
          <w:sz w:val="26"/>
          <w:szCs w:val="26"/>
          <w:highlight w:val="none"/>
          <w:lang w:val="en-US" w:eastAsia="zh-CN"/>
        </w:rPr>
        <w:t>”，工程实施后可解决供区缺水问题，有利于保障区域发展所需的水资源，也可提高灌溉保证率。因此，海螺沟水库的建设具有显著的经济效益、社会效益和生态效益。</w:t>
      </w:r>
    </w:p>
    <w:p w14:paraId="39F168EE">
      <w:pPr>
        <w:keepNext w:val="0"/>
        <w:keepLines w:val="0"/>
        <w:pageBreakBefore w:val="0"/>
        <w:kinsoku/>
        <w:wordWrap/>
        <w:overflowPunct/>
        <w:topLinePunct w:val="0"/>
        <w:bidi w:val="0"/>
        <w:spacing w:line="480" w:lineRule="exact"/>
        <w:ind w:firstLine="520" w:firstLineChars="200"/>
        <w:textAlignment w:val="auto"/>
        <w:rPr>
          <w:rFonts w:hint="eastAsia" w:ascii="Arial" w:hAnsi="Arial" w:eastAsia="宋体" w:cs="Arial"/>
          <w:b w:val="0"/>
          <w:color w:val="auto"/>
          <w:kern w:val="2"/>
          <w:sz w:val="26"/>
          <w:szCs w:val="26"/>
          <w:highlight w:val="none"/>
          <w:lang w:val="en-US" w:eastAsia="zh-CN" w:bidi="ar-SA"/>
        </w:rPr>
      </w:pPr>
      <w:r>
        <w:rPr>
          <w:rFonts w:hint="eastAsia" w:ascii="Arial" w:hAnsi="Arial" w:cs="Arial"/>
          <w:color w:val="auto"/>
          <w:kern w:val="0"/>
          <w:sz w:val="26"/>
          <w:szCs w:val="26"/>
          <w:highlight w:val="none"/>
          <w:lang w:val="en-US" w:eastAsia="zh-CN"/>
        </w:rPr>
        <w:t>工程建设和运行过程中会对所在流域水文情势、水环境、水生生态、陆生生态等带来一定的不利影响，排放的污染物也会对区域环境质量带来不利影响。但在采取本报告书中所提生态补偿与修复、污染防治等相关措施后，可有效减缓工程建设对外环境的不利影响。因此，从环境保护的角度分析，本项目建设是可行的。</w:t>
      </w:r>
    </w:p>
    <w:p w14:paraId="55655F0F">
      <w:pPr>
        <w:pStyle w:val="1291"/>
        <w:keepNext w:val="0"/>
        <w:keepLines w:val="0"/>
        <w:pageBreakBefore w:val="0"/>
        <w:widowControl/>
        <w:kinsoku/>
        <w:wordWrap/>
        <w:overflowPunct/>
        <w:topLinePunct w:val="0"/>
        <w:autoSpaceDE/>
        <w:autoSpaceDN/>
        <w:bidi w:val="0"/>
        <w:adjustRightInd w:val="0"/>
        <w:snapToGrid w:val="0"/>
        <w:spacing w:line="480" w:lineRule="exact"/>
        <w:ind w:firstLine="522" w:firstLineChars="200"/>
        <w:jc w:val="both"/>
        <w:textAlignment w:val="auto"/>
        <w:rPr>
          <w:rFonts w:hint="eastAsia" w:ascii="Arial" w:hAnsi="Arial" w:eastAsia="宋体" w:cs="Arial"/>
          <w:sz w:val="26"/>
          <w:szCs w:val="26"/>
          <w:highlight w:val="none"/>
          <w:lang w:val="en-US" w:eastAsia="zh-CN"/>
        </w:rPr>
      </w:pPr>
      <w:bookmarkStart w:id="222" w:name="_Toc16172"/>
      <w:r>
        <w:rPr>
          <w:rFonts w:hint="eastAsia" w:ascii="Arial" w:hAnsi="Arial" w:eastAsia="宋体" w:cs="Arial"/>
          <w:sz w:val="26"/>
          <w:szCs w:val="26"/>
          <w:highlight w:val="none"/>
          <w:lang w:val="en-US" w:eastAsia="zh-CN"/>
        </w:rPr>
        <w:t>1</w:t>
      </w:r>
      <w:r>
        <w:rPr>
          <w:rFonts w:hint="eastAsia" w:ascii="Arial" w:hAnsi="Arial" w:cs="Arial"/>
          <w:sz w:val="26"/>
          <w:szCs w:val="26"/>
          <w:highlight w:val="none"/>
          <w:lang w:val="en-US" w:eastAsia="zh-CN"/>
        </w:rPr>
        <w:t>0</w:t>
      </w:r>
      <w:r>
        <w:rPr>
          <w:rFonts w:hint="eastAsia" w:ascii="Arial" w:hAnsi="Arial" w:eastAsia="宋体" w:cs="Arial"/>
          <w:sz w:val="26"/>
          <w:szCs w:val="26"/>
          <w:highlight w:val="none"/>
          <w:lang w:val="en-US" w:eastAsia="zh-CN"/>
        </w:rPr>
        <w:t>.2 建议</w:t>
      </w:r>
      <w:bookmarkEnd w:id="222"/>
    </w:p>
    <w:p w14:paraId="7A0D360A">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（1）加强落实各项环境保护及生态恢复措施，严格执行“三同时”制度。</w:t>
      </w:r>
    </w:p>
    <w:p w14:paraId="66E3151A">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（2）加强对施工人员的宣传和教育，增强其</w:t>
      </w:r>
      <w:r>
        <w:rPr>
          <w:rFonts w:hint="eastAsia" w:ascii="Arial" w:hAnsi="Arial" w:cs="Arial"/>
          <w:b w:val="0"/>
          <w:color w:val="auto"/>
          <w:kern w:val="2"/>
          <w:sz w:val="26"/>
          <w:szCs w:val="26"/>
          <w:lang w:val="en-US" w:eastAsia="zh-CN" w:bidi="ar-SA"/>
        </w:rPr>
        <w:t>环保意识</w:t>
      </w:r>
      <w:r>
        <w:rPr>
          <w:rFonts w:hint="eastAsia" w:ascii="Arial" w:hAnsi="Arial" w:eastAsia="宋体" w:cs="Arial"/>
          <w:b w:val="0"/>
          <w:color w:val="auto"/>
          <w:kern w:val="2"/>
          <w:sz w:val="26"/>
          <w:szCs w:val="26"/>
          <w:lang w:val="en-US" w:eastAsia="zh-CN" w:bidi="ar-SA"/>
        </w:rPr>
        <w:t>，加强环境管理。</w:t>
      </w:r>
    </w:p>
    <w:p w14:paraId="24038919">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sz w:val="24"/>
          <w:szCs w:val="24"/>
        </w:rPr>
      </w:pPr>
      <w:r>
        <w:rPr>
          <w:rFonts w:hint="eastAsia" w:ascii="Arial" w:hAnsi="Arial" w:eastAsia="宋体" w:cs="Arial"/>
          <w:b w:val="0"/>
          <w:color w:val="auto"/>
          <w:kern w:val="2"/>
          <w:sz w:val="26"/>
          <w:szCs w:val="26"/>
          <w:lang w:val="en-US" w:eastAsia="zh-CN" w:bidi="ar-SA"/>
        </w:rPr>
        <w:t>（3）水库成库后，根据饮用水源保护区范围划分情况及饮用水源保护区的相关规定，</w:t>
      </w:r>
      <w:r>
        <w:rPr>
          <w:rFonts w:hint="eastAsia" w:ascii="Arial" w:hAnsi="Arial" w:cs="Arial"/>
          <w:b w:val="0"/>
          <w:color w:val="auto"/>
          <w:kern w:val="2"/>
          <w:sz w:val="26"/>
          <w:szCs w:val="26"/>
          <w:lang w:val="en-US" w:eastAsia="zh-CN" w:bidi="ar-SA"/>
        </w:rPr>
        <w:t>落实各种水质保护措施</w:t>
      </w:r>
      <w:r>
        <w:rPr>
          <w:rFonts w:hint="eastAsia" w:ascii="Arial" w:hAnsi="Arial" w:eastAsia="宋体" w:cs="Arial"/>
          <w:b w:val="0"/>
          <w:color w:val="auto"/>
          <w:kern w:val="2"/>
          <w:sz w:val="26"/>
          <w:szCs w:val="26"/>
          <w:lang w:val="en-US" w:eastAsia="zh-CN" w:bidi="ar-SA"/>
        </w:rPr>
        <w:t>。</w:t>
      </w:r>
    </w:p>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华文宋体">
    <w:altName w:val="宋体"/>
    <w:panose1 w:val="02010600040101010101"/>
    <w:charset w:val="86"/>
    <w:family w:val="auto"/>
    <w:pitch w:val="default"/>
    <w:sig w:usb0="00000000" w:usb1="0000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G Times (WN)">
    <w:altName w:val="Times New Roman"/>
    <w:panose1 w:val="00000000000000000000"/>
    <w:charset w:val="00"/>
    <w:family w:val="decorative"/>
    <w:pitch w:val="default"/>
    <w:sig w:usb0="00000000" w:usb1="00000000" w:usb2="00000000" w:usb3="00000000" w:csb0="00000001" w:csb1="00000000"/>
  </w:font>
  <w:font w:name="方正仿宋简体">
    <w:panose1 w:val="02010601030101010101"/>
    <w:charset w:val="86"/>
    <w:family w:val="script"/>
    <w:pitch w:val="default"/>
    <w:sig w:usb0="00000001" w:usb1="080E0000" w:usb2="00000000" w:usb3="00000000" w:csb0="00040000" w:csb1="00000000"/>
  </w:font>
  <w:font w:name="L Helvetica Light">
    <w:altName w:val="Times New Roman"/>
    <w:panose1 w:val="00000000000000000000"/>
    <w:charset w:val="00"/>
    <w:family w:val="auto"/>
    <w:pitch w:val="default"/>
    <w:sig w:usb0="00000000" w:usb1="00000000" w:usb2="00000000" w:usb3="00000000" w:csb0="00000001" w:csb1="00000000"/>
  </w:font>
  <w:font w:name="AdobeSongStd-Light">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宋体繁体">
    <w:altName w:val="宋体"/>
    <w:panose1 w:val="00000000000000000000"/>
    <w:charset w:val="86"/>
    <w:family w:val="auto"/>
    <w:pitch w:val="default"/>
    <w:sig w:usb0="00000000" w:usb1="00000000" w:usb2="00000000" w:usb3="00000000" w:csb0="00040000" w:csb1="00000000"/>
  </w:font>
  <w:font w:name="?l?r ｨC?｡ｯ?">
    <w:altName w:val="MS Gothic"/>
    <w:panose1 w:val="00000000000000000000"/>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华文仿宋">
    <w:altName w:val="仿宋"/>
    <w:panose1 w:val="02010600040101010101"/>
    <w:charset w:val="86"/>
    <w:family w:val="auto"/>
    <w:pitch w:val="default"/>
    <w:sig w:usb0="00000000" w:usb1="00000000" w:usb2="00000000" w:usb3="00000000" w:csb0="0004009F" w:csb1="DFD70000"/>
  </w:font>
  <w:font w:name="Technic">
    <w:altName w:val="Segoe Print"/>
    <w:panose1 w:val="00000400000000000000"/>
    <w:charset w:val="02"/>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10" w:usb3="00000000" w:csb0="00040001"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華康粗黑體">
    <w:altName w:val="Microsoft JhengHei"/>
    <w:panose1 w:val="00000000000000000000"/>
    <w:charset w:val="88"/>
    <w:family w:val="roman"/>
    <w:pitch w:val="default"/>
    <w:sig w:usb0="00000000" w:usb1="00000000" w:usb2="00000010" w:usb3="00000000" w:csb0="00100000"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CommercialPi BT">
    <w:altName w:val="Symbol"/>
    <w:panose1 w:val="05020102010206080802"/>
    <w:charset w:val="02"/>
    <w:family w:val="roman"/>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Dutch801 Rm BT">
    <w:altName w:val="Times New Roman"/>
    <w:panose1 w:val="02020603060505020304"/>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System">
    <w:altName w:val="宋体"/>
    <w:panose1 w:val="00000000000000000000"/>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Univers Md">
    <w:altName w:val="Segoe Print"/>
    <w:panose1 w:val="00000000000000000000"/>
    <w:charset w:val="00"/>
    <w:family w:val="swiss"/>
    <w:pitch w:val="default"/>
    <w:sig w:usb0="00000000" w:usb1="00000000" w:usb2="00000000" w:usb3="00000000" w:csb0="00000001" w:csb1="00000000"/>
  </w:font>
  <w:font w:name="CIDFon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F1C31">
    <w:pPr>
      <w:pStyle w:val="50"/>
      <w:pBdr>
        <w:top w:val="single" w:color="auto" w:sz="6" w:space="0"/>
      </w:pBdr>
      <w:jc w:val="center"/>
      <w:rPr>
        <w:rFonts w:hint="default" w:ascii="Arial" w:hAnsi="Arial" w:cs="Arial"/>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66929">
    <w:pPr>
      <w:pStyle w:val="50"/>
      <w:pBdr>
        <w:top w:val="single" w:color="auto" w:sz="6" w:space="0"/>
      </w:pBdr>
      <w:jc w:val="center"/>
      <w:rPr>
        <w:rFonts w:hint="default" w:ascii="Arial" w:hAnsi="Arial" w:cs="Arial"/>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CD2AC">
                          <w:pPr>
                            <w:pStyle w:val="5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453CD2AC">
                    <w:pPr>
                      <w:pStyle w:val="50"/>
                    </w:pPr>
                    <w:r>
                      <w:fldChar w:fldCharType="begin"/>
                    </w:r>
                    <w:r>
                      <w:instrText xml:space="preserve"> PAGE  \* MERGEFORMAT </w:instrText>
                    </w:r>
                    <w:r>
                      <w:fldChar w:fldCharType="separate"/>
                    </w:r>
                    <w:r>
                      <w:t>I</w:t>
                    </w:r>
                    <w:r>
                      <w:fldChar w:fldCharType="end"/>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1B7B6"/>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E61B7B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78940">
    <w:pPr>
      <w:pStyle w:val="5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94DF9">
                          <w:pPr>
                            <w:pStyle w:val="5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594DF9">
                    <w:pPr>
                      <w:pStyle w:val="5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CAD8C">
    <w:pPr>
      <w:pStyle w:val="50"/>
      <w:rPr>
        <w:rFonts w:hint="default"/>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A1E39">
                          <w:pPr>
                            <w:pStyle w:val="5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593A1E39">
                    <w:pPr>
                      <w:pStyle w:val="5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88664">
    <w:pPr>
      <w:pStyle w:val="5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60609">
                          <w:pPr>
                            <w:pStyle w:val="5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9860609">
                    <w:pPr>
                      <w:pStyle w:val="5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35135">
    <w:pPr>
      <w:pStyle w:val="50"/>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012BE">
                          <w:pPr>
                            <w:pStyle w:val="50"/>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2E012BE">
                    <w:pPr>
                      <w:pStyle w:val="50"/>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27E7">
    <w:pPr>
      <w:pStyle w:val="5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E92AC">
                          <w:pPr>
                            <w:pStyle w:val="5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043E92AC">
                    <w:pPr>
                      <w:pStyle w:val="50"/>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0A29B">
    <w:pPr>
      <w:pStyle w:val="50"/>
      <w:pBdr>
        <w:top w:val="single" w:color="auto" w:sz="6" w:space="0"/>
      </w:pBdr>
      <w:jc w:val="both"/>
      <w:rPr>
        <w:rFonts w:hint="default" w:ascii="Arial" w:hAnsi="Arial" w:cs="Arial"/>
        <w:sz w:val="21"/>
        <w:szCs w:val="21"/>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45AEF">
                          <w:pPr>
                            <w:pStyle w:val="5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7945AEF">
                    <w:pPr>
                      <w:pStyle w:val="50"/>
                    </w:pPr>
                    <w:r>
                      <w:fldChar w:fldCharType="begin"/>
                    </w:r>
                    <w:r>
                      <w:instrText xml:space="preserve"> PAGE  \* MERGEFORMAT </w:instrText>
                    </w:r>
                    <w:r>
                      <w:fldChar w:fldCharType="separate"/>
                    </w:r>
                    <w:r>
                      <w:t>I</w:t>
                    </w:r>
                    <w:r>
                      <w:fldChar w:fldCharType="end"/>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F399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45F399F"/>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BA5F6">
    <w:pPr>
      <w:tabs>
        <w:tab w:val="left" w:pos="3731"/>
      </w:tabs>
      <w:spacing w:line="175" w:lineRule="auto"/>
      <w:ind w:left="4189"/>
      <w:rPr>
        <w:rFonts w:ascii="宋体" w:hAnsi="宋体" w:eastAsia="宋体" w:cs="宋体"/>
        <w:sz w:val="25"/>
        <w:szCs w:val="25"/>
      </w:rPr>
    </w:pPr>
    <w:r>
      <w:rPr>
        <w:sz w:val="25"/>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D5040">
                          <w:pPr>
                            <w:pStyle w:val="50"/>
                            <w:keepNext w:val="0"/>
                            <w:keepLines w:val="0"/>
                            <w:pageBreakBefore w:val="0"/>
                            <w:widowControl w:val="0"/>
                            <w:kinsoku/>
                            <w:wordWrap/>
                            <w:overflowPunct/>
                            <w:topLinePunct w:val="0"/>
                            <w:bidi w:val="0"/>
                            <w:adjustRightInd/>
                            <w:snapToGrid w:val="0"/>
                            <w:spacing w:line="240" w:lineRule="exact"/>
                            <w:textAlignment w:val="auto"/>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89D5040">
                    <w:pPr>
                      <w:pStyle w:val="50"/>
                      <w:keepNext w:val="0"/>
                      <w:keepLines w:val="0"/>
                      <w:pageBreakBefore w:val="0"/>
                      <w:widowControl w:val="0"/>
                      <w:kinsoku/>
                      <w:wordWrap/>
                      <w:overflowPunct/>
                      <w:topLinePunct w:val="0"/>
                      <w:bidi w:val="0"/>
                      <w:adjustRightInd/>
                      <w:snapToGrid w:val="0"/>
                      <w:spacing w:line="240" w:lineRule="exact"/>
                      <w:textAlignment w:val="auto"/>
                    </w:pPr>
                    <w:r>
                      <w:fldChar w:fldCharType="begin"/>
                    </w:r>
                    <w:r>
                      <w:instrText xml:space="preserve"> PAGE  \* MERGEFORMAT </w:instrText>
                    </w:r>
                    <w:r>
                      <w:fldChar w:fldCharType="separate"/>
                    </w:r>
                    <w:r>
                      <w:t>44</w:t>
                    </w:r>
                    <w:r>
                      <w:fldChar w:fldCharType="end"/>
                    </w:r>
                  </w:p>
                </w:txbxContent>
              </v:textbox>
            </v:shape>
          </w:pict>
        </mc:Fallback>
      </mc:AlternateContent>
    </w:r>
    <w:r>
      <w:rPr>
        <w:rFonts w:hint="eastAsia" w:ascii="宋体" w:hAnsi="宋体" w:cs="宋体"/>
        <w:sz w:val="25"/>
        <w:szCs w:val="25"/>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47D15">
    <w:pPr>
      <w:pStyle w:val="51"/>
      <w:spacing w:after="120" w:afterLines="50"/>
      <w:jc w:val="center"/>
      <w:rPr>
        <w:rFonts w:hint="default" w:ascii="Arial" w:hAnsi="Arial" w:cs="Arial"/>
        <w:sz w:val="21"/>
        <w:szCs w:val="21"/>
      </w:rPr>
    </w:pPr>
    <w:r>
      <w:rPr>
        <w:rFonts w:hint="default" w:ascii="Arial" w:hAnsi="Arial" w:cs="Arial"/>
        <w:sz w:val="21"/>
        <w:szCs w:val="21"/>
        <w:lang w:val="en-US" w:eastAsia="zh-CN"/>
      </w:rPr>
      <w:t>垫江县G350澄溪至群力村段新改建工程</w:t>
    </w:r>
    <w:r>
      <w:rPr>
        <w:rFonts w:hint="default" w:ascii="Arial" w:hAnsi="Arial" w:cs="Arial"/>
        <w:sz w:val="21"/>
        <w:szCs w:val="21"/>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94386">
    <w:pPr>
      <w:pStyle w:val="51"/>
      <w:spacing w:after="120" w:afterLines="50"/>
      <w:jc w:val="center"/>
      <w:rPr>
        <w:sz w:val="21"/>
        <w:szCs w:val="21"/>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r>
      <w:rPr>
        <w:rFonts w:hint="default" w:ascii="Arial" w:hAnsi="Arial" w:cs="Arial"/>
        <w:sz w:val="22"/>
        <w:szCs w:val="22"/>
      </w:rPr>
      <w:t xml:space="preserve">           </w:t>
    </w:r>
    <w:r>
      <w:rPr>
        <w:sz w:val="21"/>
        <w:szCs w:val="21"/>
      </w:rPr>
      <w:t xml:space="preserve">   </w:t>
    </w:r>
    <w:r>
      <w:rPr>
        <w:rFonts w:hint="eastAsia"/>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6DC7B">
    <w:pPr>
      <w:pStyle w:val="51"/>
      <w:pBdr>
        <w:bottom w:val="none" w:color="auto" w:sz="0" w:space="0"/>
      </w:pBdr>
      <w:ind w:firstLine="360" w:firstLineChars="20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BDC35">
    <w:pPr>
      <w:pStyle w:val="51"/>
      <w:rPr>
        <w:rFonts w:hint="default"/>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000C5">
    <w:pPr>
      <w:pStyle w:val="51"/>
      <w:keepNext w:val="0"/>
      <w:keepLines w:val="0"/>
      <w:pageBreakBefore w:val="0"/>
      <w:widowControl w:val="0"/>
      <w:kinsoku/>
      <w:wordWrap/>
      <w:overflowPunct/>
      <w:topLinePunct w:val="0"/>
      <w:autoSpaceDE/>
      <w:autoSpaceDN/>
      <w:bidi w:val="0"/>
      <w:adjustRightInd/>
      <w:snapToGrid w:val="0"/>
      <w:spacing w:after="120" w:afterLines="50" w:line="300" w:lineRule="exact"/>
      <w:jc w:val="center"/>
      <w:textAlignment w:val="auto"/>
      <w:rPr>
        <w:rFonts w:hint="default" w:ascii="Arial" w:hAnsi="Arial" w:cs="Arial"/>
        <w:sz w:val="21"/>
        <w:szCs w:val="21"/>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p>
  <w:p w14:paraId="402BA4AB">
    <w:pPr>
      <w:pStyle w:val="51"/>
      <w:pBdr>
        <w:bottom w:val="none" w:color="auto" w:sz="0" w:space="0"/>
      </w:pBdr>
      <w:ind w:firstLine="360" w:firstLineChars="20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BF54E">
    <w:pPr>
      <w:pStyle w:val="51"/>
      <w:rPr>
        <w:rFonts w:hint="default"/>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F25AF">
    <w:pPr>
      <w:pStyle w:val="51"/>
      <w:spacing w:after="120" w:afterLines="50"/>
      <w:jc w:val="center"/>
      <w:rPr>
        <w:sz w:val="21"/>
        <w:szCs w:val="21"/>
      </w:rPr>
    </w:pPr>
    <w:r>
      <w:rPr>
        <w:rFonts w:hint="eastAsia" w:ascii="Arial" w:hAnsi="Arial" w:cs="Arial"/>
        <w:sz w:val="21"/>
        <w:szCs w:val="21"/>
        <w:lang w:val="en-US" w:eastAsia="zh-CN"/>
      </w:rPr>
      <w:t>丰都县海螺沟水库</w:t>
    </w:r>
    <w:r>
      <w:rPr>
        <w:rFonts w:hint="default" w:ascii="Arial" w:hAnsi="Arial" w:cs="Arial"/>
        <w:sz w:val="21"/>
        <w:szCs w:val="21"/>
        <w:lang w:val="en-US" w:eastAsia="zh-CN"/>
      </w:rPr>
      <w:t>工程</w:t>
    </w:r>
    <w:r>
      <w:rPr>
        <w:rFonts w:hint="default" w:ascii="Arial" w:hAnsi="Arial" w:cs="Arial"/>
        <w:sz w:val="21"/>
        <w:szCs w:val="21"/>
      </w:rPr>
      <w:t>环境影响报告书</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E6C32">
    <w:pPr>
      <w:pStyle w:val="51"/>
      <w:bidi w:val="0"/>
      <w:rPr>
        <w:rFonts w:hint="default" w:ascii="Arial" w:hAnsi="Arial" w:cs="Arial"/>
      </w:rPr>
    </w:pPr>
    <w:r>
      <w:rPr>
        <w:rFonts w:hint="default" w:ascii="Arial" w:hAnsi="Arial" w:cs="Arial"/>
        <w:lang w:val="en-US" w:eastAsia="zh-CN"/>
      </w:rPr>
      <w:t>垫江县G350澄溪至群力村段新改建工程</w:t>
    </w:r>
    <w:r>
      <w:rPr>
        <w:rFonts w:hint="default" w:ascii="Arial" w:hAnsi="Arial" w:cs="Arial"/>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0AB18">
    <w:pPr>
      <w:pStyle w:val="51"/>
      <w:spacing w:after="120" w:afterLines="50"/>
      <w:jc w:val="center"/>
      <w:rPr>
        <w:sz w:val="21"/>
        <w:szCs w:val="21"/>
      </w:rPr>
    </w:pPr>
    <w:r>
      <w:rPr>
        <w:rFonts w:hint="eastAsia" w:ascii="Arial" w:hAnsi="Arial" w:cs="Arial"/>
        <w:sz w:val="21"/>
        <w:szCs w:val="21"/>
        <w:lang w:val="en-US" w:eastAsia="zh-CN"/>
      </w:rPr>
      <w:t>丰都县海螺沟水库工程</w:t>
    </w:r>
    <w:r>
      <w:rPr>
        <w:rFonts w:hint="default" w:ascii="Arial" w:hAnsi="Arial" w:cs="Arial"/>
        <w:sz w:val="21"/>
        <w:szCs w:val="21"/>
      </w:rPr>
      <w:t xml:space="preserve">环境影响报告书   </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F348B">
    <w:pPr>
      <w:pStyle w:val="51"/>
      <w:spacing w:after="120" w:afterLines="50"/>
      <w:jc w:val="center"/>
      <w:rPr>
        <w:rFonts w:hint="default" w:ascii="Arial" w:hAnsi="Arial" w:cs="Arial"/>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2C5E2"/>
    <w:multiLevelType w:val="singleLevel"/>
    <w:tmpl w:val="9092C5E2"/>
    <w:lvl w:ilvl="0" w:tentative="0">
      <w:start w:val="1"/>
      <w:numFmt w:val="bullet"/>
      <w:pStyle w:val="42"/>
      <w:lvlText w:val=""/>
      <w:lvlJc w:val="left"/>
      <w:pPr>
        <w:tabs>
          <w:tab w:val="left" w:pos="2040"/>
        </w:tabs>
        <w:ind w:left="2040" w:hanging="360"/>
      </w:pPr>
      <w:rPr>
        <w:rFonts w:hint="default" w:ascii="Wingdings" w:hAnsi="Wingdings"/>
      </w:rPr>
    </w:lvl>
  </w:abstractNum>
  <w:abstractNum w:abstractNumId="1">
    <w:nsid w:val="F782A466"/>
    <w:multiLevelType w:val="singleLevel"/>
    <w:tmpl w:val="F782A466"/>
    <w:lvl w:ilvl="0" w:tentative="0">
      <w:start w:val="3"/>
      <w:numFmt w:val="decimal"/>
      <w:suff w:val="nothing"/>
      <w:lvlText w:val="（%1）"/>
      <w:lvlJc w:val="left"/>
    </w:lvl>
  </w:abstractNum>
  <w:abstractNum w:abstractNumId="2">
    <w:nsid w:val="FFFFFF7F"/>
    <w:multiLevelType w:val="singleLevel"/>
    <w:tmpl w:val="FFFFFF7F"/>
    <w:lvl w:ilvl="0" w:tentative="0">
      <w:start w:val="1"/>
      <w:numFmt w:val="decimal"/>
      <w:pStyle w:val="14"/>
      <w:lvlText w:val="%1."/>
      <w:lvlJc w:val="left"/>
      <w:pPr>
        <w:tabs>
          <w:tab w:val="left" w:pos="1390"/>
        </w:tabs>
        <w:ind w:left="1390" w:hanging="360"/>
      </w:pPr>
    </w:lvl>
  </w:abstractNum>
  <w:abstractNum w:abstractNumId="3">
    <w:nsid w:val="11953967"/>
    <w:multiLevelType w:val="multilevel"/>
    <w:tmpl w:val="11953967"/>
    <w:lvl w:ilvl="0" w:tentative="0">
      <w:start w:val="1"/>
      <w:numFmt w:val="decimal"/>
      <w:pStyle w:val="1815"/>
      <w:lvlText w:val="第%1条"/>
      <w:lvlJc w:val="left"/>
      <w:pPr>
        <w:tabs>
          <w:tab w:val="left" w:pos="1021"/>
        </w:tabs>
        <w:ind w:left="1021" w:hanging="1021"/>
      </w:pPr>
      <w:rPr>
        <w:rFonts w:hint="default" w:ascii="Times New Roman" w:hAnsi="Times New Roman" w:eastAsia="宋体" w:cs="Times New Roman"/>
        <w:b/>
        <w:i w:val="0"/>
        <w:strike w:val="0"/>
        <w:dstrike w:val="0"/>
        <w:color w:val="000000"/>
        <w:sz w:val="24"/>
        <w:szCs w:val="24"/>
        <w:u w:val="none"/>
        <w:lang w:val="en-US"/>
      </w:rPr>
    </w:lvl>
    <w:lvl w:ilvl="1" w:tentative="0">
      <w:start w:val="1"/>
      <w:numFmt w:val="decimal"/>
      <w:lvlText w:val="%2．"/>
      <w:lvlJc w:val="left"/>
      <w:pPr>
        <w:tabs>
          <w:tab w:val="left" w:pos="1620"/>
        </w:tabs>
        <w:ind w:left="1620" w:hanging="360"/>
      </w:pPr>
    </w:lvl>
    <w:lvl w:ilvl="2" w:tentative="0">
      <w:start w:val="1"/>
      <w:numFmt w:val="decimal"/>
      <w:lvlText w:val="（%3）"/>
      <w:lvlJc w:val="left"/>
      <w:pPr>
        <w:tabs>
          <w:tab w:val="left" w:pos="2400"/>
        </w:tabs>
        <w:ind w:left="2400" w:hanging="720"/>
      </w:pPr>
      <w:rPr>
        <w:lang w:val="en-US"/>
      </w:rPr>
    </w:lvl>
    <w:lvl w:ilvl="3" w:tentative="0">
      <w:start w:val="1"/>
      <w:numFmt w:val="decimal"/>
      <w:lvlText w:val="(%4)"/>
      <w:lvlJc w:val="left"/>
      <w:pPr>
        <w:tabs>
          <w:tab w:val="left" w:pos="2460"/>
        </w:tabs>
        <w:ind w:left="2460" w:hanging="360"/>
      </w:pPr>
    </w:lvl>
    <w:lvl w:ilvl="4" w:tentative="0">
      <w:start w:val="1"/>
      <w:numFmt w:val="decimal"/>
      <w:lvlText w:val="%5、"/>
      <w:lvlJc w:val="left"/>
      <w:pPr>
        <w:tabs>
          <w:tab w:val="left" w:pos="2880"/>
        </w:tabs>
        <w:ind w:left="2880" w:hanging="36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6880DA8"/>
    <w:multiLevelType w:val="multilevel"/>
    <w:tmpl w:val="16880DA8"/>
    <w:lvl w:ilvl="0" w:tentative="0">
      <w:start w:val="1"/>
      <w:numFmt w:val="decimal"/>
      <w:pStyle w:val="1930"/>
      <w:suff w:val="nothing"/>
      <w:lvlText w:val="表2-%1"/>
      <w:lvlJc w:val="left"/>
      <w:pPr>
        <w:ind w:left="1275" w:firstLine="0"/>
      </w:pPr>
      <w:rPr>
        <w:rFonts w:hint="eastAsia" w:ascii="黑体" w:hAnsi="Century Gothic" w:eastAsia="黑体"/>
        <w:b w:val="0"/>
        <w:i w:val="0"/>
        <w:sz w:val="24"/>
        <w:szCs w:val="24"/>
        <w:lang w:val="en-US"/>
      </w:rPr>
    </w:lvl>
    <w:lvl w:ilvl="1" w:tentative="0">
      <w:start w:val="1"/>
      <w:numFmt w:val="decimal"/>
      <w:suff w:val="nothing"/>
      <w:lvlText w:val="%1.%2  "/>
      <w:lvlJc w:val="left"/>
      <w:pPr>
        <w:ind w:left="1794" w:firstLine="0"/>
      </w:pPr>
      <w:rPr>
        <w:rFonts w:hint="default" w:ascii="Century Gothic" w:hAnsi="Century Gothic" w:eastAsia="黑体"/>
        <w:b w:val="0"/>
        <w:i w:val="0"/>
        <w:sz w:val="26"/>
        <w:szCs w:val="26"/>
      </w:rPr>
    </w:lvl>
    <w:lvl w:ilvl="2" w:tentative="0">
      <w:start w:val="1"/>
      <w:numFmt w:val="decimal"/>
      <w:suff w:val="nothing"/>
      <w:lvlText w:val="%1.%2.%3  "/>
      <w:lvlJc w:val="left"/>
      <w:pPr>
        <w:ind w:left="1794" w:firstLine="0"/>
      </w:pPr>
      <w:rPr>
        <w:rFonts w:hint="default" w:ascii="Century Gothic" w:hAnsi="Century Gothic" w:eastAsia="华文楷体"/>
        <w:b w:val="0"/>
        <w:i w:val="0"/>
        <w:sz w:val="26"/>
        <w:szCs w:val="26"/>
      </w:rPr>
    </w:lvl>
    <w:lvl w:ilvl="3" w:tentative="0">
      <w:start w:val="1"/>
      <w:numFmt w:val="decimal"/>
      <w:suff w:val="nothing"/>
      <w:lvlText w:val="%4.  "/>
      <w:lvlJc w:val="left"/>
      <w:pPr>
        <w:ind w:left="1794" w:firstLine="0"/>
      </w:pPr>
      <w:rPr>
        <w:rFonts w:hint="default" w:ascii="Century Gothic" w:hAnsi="Century Gothic" w:eastAsia="华文仿宋"/>
        <w:b w:val="0"/>
        <w:i w:val="0"/>
        <w:sz w:val="26"/>
        <w:szCs w:val="26"/>
      </w:rPr>
    </w:lvl>
    <w:lvl w:ilvl="4" w:tentative="0">
      <w:start w:val="1"/>
      <w:numFmt w:val="decimal"/>
      <w:suff w:val="nothing"/>
      <w:lvlText w:val=" (%5)  "/>
      <w:lvlJc w:val="left"/>
      <w:pPr>
        <w:ind w:left="1794" w:firstLine="0"/>
      </w:pPr>
      <w:rPr>
        <w:rFonts w:hint="default" w:ascii="Century Gothic" w:hAnsi="Century Gothic"/>
        <w:b w:val="0"/>
        <w:i w:val="0"/>
        <w:sz w:val="26"/>
        <w:szCs w:val="26"/>
      </w:rPr>
    </w:lvl>
    <w:lvl w:ilvl="5" w:tentative="0">
      <w:start w:val="1"/>
      <w:numFmt w:val="decimalEnclosedCircle"/>
      <w:suff w:val="nothing"/>
      <w:lvlText w:val="  %6  "/>
      <w:lvlJc w:val="left"/>
      <w:pPr>
        <w:ind w:left="1794" w:hanging="1758"/>
      </w:pPr>
      <w:rPr>
        <w:rFonts w:hint="default" w:ascii="Century Gothic" w:hAnsi="Century Gothic"/>
        <w:b w:val="0"/>
        <w:i w:val="0"/>
        <w:sz w:val="26"/>
        <w:szCs w:val="26"/>
      </w:rPr>
    </w:lvl>
    <w:lvl w:ilvl="6" w:tentative="0">
      <w:start w:val="1"/>
      <w:numFmt w:val="lowerRoman"/>
      <w:suff w:val="nothing"/>
      <w:lvlText w:val="%7   "/>
      <w:lvlJc w:val="left"/>
      <w:pPr>
        <w:ind w:left="1794" w:firstLine="454"/>
      </w:pPr>
      <w:rPr>
        <w:rFonts w:hint="default" w:ascii="Century Gothic" w:hAnsi="Century Gothic"/>
        <w:b w:val="0"/>
        <w:i w:val="0"/>
        <w:sz w:val="26"/>
        <w:szCs w:val="26"/>
      </w:rPr>
    </w:lvl>
    <w:lvl w:ilvl="7" w:tentative="0">
      <w:start w:val="1"/>
      <w:numFmt w:val="lowerRoman"/>
      <w:suff w:val="nothing"/>
      <w:lvlText w:val="(%8)     "/>
      <w:lvlJc w:val="left"/>
      <w:pPr>
        <w:ind w:left="1794" w:firstLine="567"/>
      </w:pPr>
      <w:rPr>
        <w:rFonts w:hint="default" w:ascii="Century Gothic" w:hAnsi="Century Gothic"/>
        <w:b w:val="0"/>
        <w:i w:val="0"/>
        <w:sz w:val="26"/>
        <w:szCs w:val="26"/>
      </w:rPr>
    </w:lvl>
    <w:lvl w:ilvl="8" w:tentative="0">
      <w:start w:val="1"/>
      <w:numFmt w:val="lowerLetter"/>
      <w:suff w:val="nothing"/>
      <w:lvlText w:val="%9    "/>
      <w:lvlJc w:val="left"/>
      <w:pPr>
        <w:ind w:left="1794" w:firstLine="680"/>
      </w:pPr>
      <w:rPr>
        <w:rFonts w:hint="default" w:ascii="Century Gothic" w:hAnsi="Century Gothic"/>
        <w:b w:val="0"/>
        <w:i w:val="0"/>
        <w:sz w:val="26"/>
        <w:szCs w:val="26"/>
      </w:r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dkYzExZGMwZjFjMjAzZjBlNzg0NmIwMzdiOTFhNjMifQ=="/>
  </w:docVars>
  <w:rsids>
    <w:rsidRoot w:val="00E703C2"/>
    <w:rsid w:val="0000051D"/>
    <w:rsid w:val="00000642"/>
    <w:rsid w:val="0000080F"/>
    <w:rsid w:val="000008A5"/>
    <w:rsid w:val="00000A61"/>
    <w:rsid w:val="00000E89"/>
    <w:rsid w:val="00000FA0"/>
    <w:rsid w:val="0000109F"/>
    <w:rsid w:val="000018C5"/>
    <w:rsid w:val="00001987"/>
    <w:rsid w:val="00001B85"/>
    <w:rsid w:val="00001C31"/>
    <w:rsid w:val="00002064"/>
    <w:rsid w:val="00002240"/>
    <w:rsid w:val="00002B57"/>
    <w:rsid w:val="0000337E"/>
    <w:rsid w:val="00003654"/>
    <w:rsid w:val="00003B66"/>
    <w:rsid w:val="00004A38"/>
    <w:rsid w:val="00004AE2"/>
    <w:rsid w:val="00004EC0"/>
    <w:rsid w:val="000051AA"/>
    <w:rsid w:val="000054E2"/>
    <w:rsid w:val="00005AAA"/>
    <w:rsid w:val="00005FCE"/>
    <w:rsid w:val="000061F6"/>
    <w:rsid w:val="00007588"/>
    <w:rsid w:val="00007970"/>
    <w:rsid w:val="000079A7"/>
    <w:rsid w:val="0001012C"/>
    <w:rsid w:val="0001021E"/>
    <w:rsid w:val="0001028D"/>
    <w:rsid w:val="00010301"/>
    <w:rsid w:val="000106EB"/>
    <w:rsid w:val="00010B50"/>
    <w:rsid w:val="00010CD4"/>
    <w:rsid w:val="00012185"/>
    <w:rsid w:val="000121A9"/>
    <w:rsid w:val="000125E4"/>
    <w:rsid w:val="00012638"/>
    <w:rsid w:val="00012768"/>
    <w:rsid w:val="00012B97"/>
    <w:rsid w:val="00013122"/>
    <w:rsid w:val="0001334A"/>
    <w:rsid w:val="00013740"/>
    <w:rsid w:val="00013CB5"/>
    <w:rsid w:val="00013F39"/>
    <w:rsid w:val="00014545"/>
    <w:rsid w:val="000145A0"/>
    <w:rsid w:val="00014979"/>
    <w:rsid w:val="000151DB"/>
    <w:rsid w:val="00015509"/>
    <w:rsid w:val="00015B3E"/>
    <w:rsid w:val="00015BD1"/>
    <w:rsid w:val="00015CB8"/>
    <w:rsid w:val="00015D40"/>
    <w:rsid w:val="00015D90"/>
    <w:rsid w:val="00017266"/>
    <w:rsid w:val="00017830"/>
    <w:rsid w:val="000178F6"/>
    <w:rsid w:val="00020C6B"/>
    <w:rsid w:val="00021873"/>
    <w:rsid w:val="00021B2C"/>
    <w:rsid w:val="000221DA"/>
    <w:rsid w:val="00022445"/>
    <w:rsid w:val="0002298F"/>
    <w:rsid w:val="00022B22"/>
    <w:rsid w:val="000230AF"/>
    <w:rsid w:val="00023884"/>
    <w:rsid w:val="0002417E"/>
    <w:rsid w:val="00024C8D"/>
    <w:rsid w:val="00025120"/>
    <w:rsid w:val="0002513A"/>
    <w:rsid w:val="00025355"/>
    <w:rsid w:val="000255AE"/>
    <w:rsid w:val="000259E1"/>
    <w:rsid w:val="00025BFF"/>
    <w:rsid w:val="00025FFF"/>
    <w:rsid w:val="00026315"/>
    <w:rsid w:val="00026703"/>
    <w:rsid w:val="00026E6E"/>
    <w:rsid w:val="00027860"/>
    <w:rsid w:val="00027F7F"/>
    <w:rsid w:val="000308DC"/>
    <w:rsid w:val="000309F7"/>
    <w:rsid w:val="00030A27"/>
    <w:rsid w:val="00030A2B"/>
    <w:rsid w:val="0003120D"/>
    <w:rsid w:val="00031891"/>
    <w:rsid w:val="00032194"/>
    <w:rsid w:val="000323EB"/>
    <w:rsid w:val="000325A6"/>
    <w:rsid w:val="00032728"/>
    <w:rsid w:val="00032AE6"/>
    <w:rsid w:val="0003308E"/>
    <w:rsid w:val="0003320D"/>
    <w:rsid w:val="00033555"/>
    <w:rsid w:val="00033636"/>
    <w:rsid w:val="00033E5F"/>
    <w:rsid w:val="000342A8"/>
    <w:rsid w:val="00034EE0"/>
    <w:rsid w:val="00035449"/>
    <w:rsid w:val="00035496"/>
    <w:rsid w:val="00035736"/>
    <w:rsid w:val="000359AE"/>
    <w:rsid w:val="00036176"/>
    <w:rsid w:val="000364E5"/>
    <w:rsid w:val="00036549"/>
    <w:rsid w:val="0003654A"/>
    <w:rsid w:val="000365B4"/>
    <w:rsid w:val="00036644"/>
    <w:rsid w:val="000374DD"/>
    <w:rsid w:val="0003756F"/>
    <w:rsid w:val="00037657"/>
    <w:rsid w:val="00037D19"/>
    <w:rsid w:val="00040359"/>
    <w:rsid w:val="00040A0D"/>
    <w:rsid w:val="00040C2E"/>
    <w:rsid w:val="000418C2"/>
    <w:rsid w:val="000424CE"/>
    <w:rsid w:val="00042CA9"/>
    <w:rsid w:val="00042FFC"/>
    <w:rsid w:val="00043480"/>
    <w:rsid w:val="00043A18"/>
    <w:rsid w:val="00044077"/>
    <w:rsid w:val="00044165"/>
    <w:rsid w:val="000441B5"/>
    <w:rsid w:val="0004474E"/>
    <w:rsid w:val="00045225"/>
    <w:rsid w:val="000454B9"/>
    <w:rsid w:val="00045561"/>
    <w:rsid w:val="000458FF"/>
    <w:rsid w:val="00045F30"/>
    <w:rsid w:val="000460FF"/>
    <w:rsid w:val="00046411"/>
    <w:rsid w:val="000465C6"/>
    <w:rsid w:val="00046716"/>
    <w:rsid w:val="000469FB"/>
    <w:rsid w:val="00046B14"/>
    <w:rsid w:val="00047421"/>
    <w:rsid w:val="00047573"/>
    <w:rsid w:val="00047643"/>
    <w:rsid w:val="00047A21"/>
    <w:rsid w:val="00047B3C"/>
    <w:rsid w:val="00047F36"/>
    <w:rsid w:val="0005044D"/>
    <w:rsid w:val="0005077A"/>
    <w:rsid w:val="000507A1"/>
    <w:rsid w:val="000507A7"/>
    <w:rsid w:val="00050E78"/>
    <w:rsid w:val="00051D6F"/>
    <w:rsid w:val="0005208C"/>
    <w:rsid w:val="000520DB"/>
    <w:rsid w:val="000525FE"/>
    <w:rsid w:val="00052EA3"/>
    <w:rsid w:val="00052ECF"/>
    <w:rsid w:val="000541FE"/>
    <w:rsid w:val="00054683"/>
    <w:rsid w:val="0005480A"/>
    <w:rsid w:val="00054868"/>
    <w:rsid w:val="00054885"/>
    <w:rsid w:val="00054BB3"/>
    <w:rsid w:val="00055EDF"/>
    <w:rsid w:val="00056034"/>
    <w:rsid w:val="00056ADA"/>
    <w:rsid w:val="00056BCC"/>
    <w:rsid w:val="00056C5A"/>
    <w:rsid w:val="00057251"/>
    <w:rsid w:val="00057666"/>
    <w:rsid w:val="000576AA"/>
    <w:rsid w:val="00057A53"/>
    <w:rsid w:val="00060422"/>
    <w:rsid w:val="000604ED"/>
    <w:rsid w:val="00060E34"/>
    <w:rsid w:val="0006159C"/>
    <w:rsid w:val="00061A3F"/>
    <w:rsid w:val="00061AD6"/>
    <w:rsid w:val="000624EC"/>
    <w:rsid w:val="000629B9"/>
    <w:rsid w:val="00062E6C"/>
    <w:rsid w:val="00062F0D"/>
    <w:rsid w:val="00063383"/>
    <w:rsid w:val="000633B4"/>
    <w:rsid w:val="00063533"/>
    <w:rsid w:val="00063C65"/>
    <w:rsid w:val="0006407C"/>
    <w:rsid w:val="0006409F"/>
    <w:rsid w:val="00064107"/>
    <w:rsid w:val="0006470C"/>
    <w:rsid w:val="00064AE4"/>
    <w:rsid w:val="00064FB9"/>
    <w:rsid w:val="000650E9"/>
    <w:rsid w:val="0006517A"/>
    <w:rsid w:val="000654D6"/>
    <w:rsid w:val="000658C9"/>
    <w:rsid w:val="000661B9"/>
    <w:rsid w:val="00066299"/>
    <w:rsid w:val="00066902"/>
    <w:rsid w:val="00066B3D"/>
    <w:rsid w:val="00067652"/>
    <w:rsid w:val="000701CE"/>
    <w:rsid w:val="0007030E"/>
    <w:rsid w:val="00070BA2"/>
    <w:rsid w:val="000715A1"/>
    <w:rsid w:val="00071676"/>
    <w:rsid w:val="00071B1F"/>
    <w:rsid w:val="00071E01"/>
    <w:rsid w:val="00072872"/>
    <w:rsid w:val="000735CF"/>
    <w:rsid w:val="00073823"/>
    <w:rsid w:val="00073DC2"/>
    <w:rsid w:val="00074143"/>
    <w:rsid w:val="00074996"/>
    <w:rsid w:val="00074CC2"/>
    <w:rsid w:val="00075693"/>
    <w:rsid w:val="00075C52"/>
    <w:rsid w:val="00075D7F"/>
    <w:rsid w:val="0007792C"/>
    <w:rsid w:val="00080350"/>
    <w:rsid w:val="000805E7"/>
    <w:rsid w:val="00080A21"/>
    <w:rsid w:val="00080A34"/>
    <w:rsid w:val="00080CD0"/>
    <w:rsid w:val="000812F6"/>
    <w:rsid w:val="00081430"/>
    <w:rsid w:val="00081DFD"/>
    <w:rsid w:val="00081E0D"/>
    <w:rsid w:val="00082131"/>
    <w:rsid w:val="00082484"/>
    <w:rsid w:val="00082843"/>
    <w:rsid w:val="0008292F"/>
    <w:rsid w:val="00082AE5"/>
    <w:rsid w:val="00082B22"/>
    <w:rsid w:val="00082FA0"/>
    <w:rsid w:val="0008315C"/>
    <w:rsid w:val="00083A3D"/>
    <w:rsid w:val="0008409B"/>
    <w:rsid w:val="00084BF1"/>
    <w:rsid w:val="00084D7D"/>
    <w:rsid w:val="00084E09"/>
    <w:rsid w:val="00085AA9"/>
    <w:rsid w:val="000861BD"/>
    <w:rsid w:val="00086651"/>
    <w:rsid w:val="0008669B"/>
    <w:rsid w:val="00086A64"/>
    <w:rsid w:val="00086B06"/>
    <w:rsid w:val="00087245"/>
    <w:rsid w:val="0008768B"/>
    <w:rsid w:val="000878C8"/>
    <w:rsid w:val="00087B2F"/>
    <w:rsid w:val="000901D6"/>
    <w:rsid w:val="0009039F"/>
    <w:rsid w:val="000904AD"/>
    <w:rsid w:val="000907A8"/>
    <w:rsid w:val="00091A91"/>
    <w:rsid w:val="0009206E"/>
    <w:rsid w:val="000922E7"/>
    <w:rsid w:val="000923D6"/>
    <w:rsid w:val="000925E2"/>
    <w:rsid w:val="0009264D"/>
    <w:rsid w:val="00092672"/>
    <w:rsid w:val="000927DC"/>
    <w:rsid w:val="00093292"/>
    <w:rsid w:val="00093478"/>
    <w:rsid w:val="00093841"/>
    <w:rsid w:val="00093899"/>
    <w:rsid w:val="00094219"/>
    <w:rsid w:val="000944B2"/>
    <w:rsid w:val="00094707"/>
    <w:rsid w:val="00094E2A"/>
    <w:rsid w:val="000951CF"/>
    <w:rsid w:val="000955DF"/>
    <w:rsid w:val="00096822"/>
    <w:rsid w:val="00096C9B"/>
    <w:rsid w:val="00096D79"/>
    <w:rsid w:val="00096D81"/>
    <w:rsid w:val="00096DF6"/>
    <w:rsid w:val="00096FA3"/>
    <w:rsid w:val="00096FF0"/>
    <w:rsid w:val="0009711F"/>
    <w:rsid w:val="00097547"/>
    <w:rsid w:val="00097A44"/>
    <w:rsid w:val="00097B85"/>
    <w:rsid w:val="00097E3D"/>
    <w:rsid w:val="000A01A9"/>
    <w:rsid w:val="000A051C"/>
    <w:rsid w:val="000A0AF0"/>
    <w:rsid w:val="000A2176"/>
    <w:rsid w:val="000A22A8"/>
    <w:rsid w:val="000A249D"/>
    <w:rsid w:val="000A24E8"/>
    <w:rsid w:val="000A25AC"/>
    <w:rsid w:val="000A2803"/>
    <w:rsid w:val="000A280C"/>
    <w:rsid w:val="000A2B19"/>
    <w:rsid w:val="000A2B8C"/>
    <w:rsid w:val="000A2FE7"/>
    <w:rsid w:val="000A3000"/>
    <w:rsid w:val="000A3185"/>
    <w:rsid w:val="000A3389"/>
    <w:rsid w:val="000A35A5"/>
    <w:rsid w:val="000A38C8"/>
    <w:rsid w:val="000A413B"/>
    <w:rsid w:val="000A47A0"/>
    <w:rsid w:val="000A48B9"/>
    <w:rsid w:val="000A49B8"/>
    <w:rsid w:val="000A4DD0"/>
    <w:rsid w:val="000A53A3"/>
    <w:rsid w:val="000A5D08"/>
    <w:rsid w:val="000A5D28"/>
    <w:rsid w:val="000A6444"/>
    <w:rsid w:val="000A6490"/>
    <w:rsid w:val="000A66AC"/>
    <w:rsid w:val="000A6E4B"/>
    <w:rsid w:val="000A6EB9"/>
    <w:rsid w:val="000A6ECA"/>
    <w:rsid w:val="000A6F9B"/>
    <w:rsid w:val="000A7070"/>
    <w:rsid w:val="000A70E6"/>
    <w:rsid w:val="000A7396"/>
    <w:rsid w:val="000A781E"/>
    <w:rsid w:val="000A7A1A"/>
    <w:rsid w:val="000A7D30"/>
    <w:rsid w:val="000A7DE0"/>
    <w:rsid w:val="000A7DEC"/>
    <w:rsid w:val="000A7FA4"/>
    <w:rsid w:val="000B0791"/>
    <w:rsid w:val="000B15BB"/>
    <w:rsid w:val="000B231F"/>
    <w:rsid w:val="000B330C"/>
    <w:rsid w:val="000B34FA"/>
    <w:rsid w:val="000B3567"/>
    <w:rsid w:val="000B3693"/>
    <w:rsid w:val="000B3DD9"/>
    <w:rsid w:val="000B42DC"/>
    <w:rsid w:val="000B47C7"/>
    <w:rsid w:val="000B48CE"/>
    <w:rsid w:val="000B5150"/>
    <w:rsid w:val="000B5A3F"/>
    <w:rsid w:val="000B5D7E"/>
    <w:rsid w:val="000B61B7"/>
    <w:rsid w:val="000B65CA"/>
    <w:rsid w:val="000B6820"/>
    <w:rsid w:val="000B6BD7"/>
    <w:rsid w:val="000B718F"/>
    <w:rsid w:val="000B73E0"/>
    <w:rsid w:val="000B76B6"/>
    <w:rsid w:val="000B77F8"/>
    <w:rsid w:val="000B7F70"/>
    <w:rsid w:val="000B7FC7"/>
    <w:rsid w:val="000C0340"/>
    <w:rsid w:val="000C05DF"/>
    <w:rsid w:val="000C12A7"/>
    <w:rsid w:val="000C1398"/>
    <w:rsid w:val="000C1560"/>
    <w:rsid w:val="000C2983"/>
    <w:rsid w:val="000C3055"/>
    <w:rsid w:val="000C378F"/>
    <w:rsid w:val="000C392A"/>
    <w:rsid w:val="000C3C4F"/>
    <w:rsid w:val="000C41E3"/>
    <w:rsid w:val="000C5AB5"/>
    <w:rsid w:val="000C66E5"/>
    <w:rsid w:val="000C6C84"/>
    <w:rsid w:val="000C7357"/>
    <w:rsid w:val="000C747E"/>
    <w:rsid w:val="000C79F2"/>
    <w:rsid w:val="000C7B47"/>
    <w:rsid w:val="000D0306"/>
    <w:rsid w:val="000D04AF"/>
    <w:rsid w:val="000D0FD7"/>
    <w:rsid w:val="000D123F"/>
    <w:rsid w:val="000D162D"/>
    <w:rsid w:val="000D1D5E"/>
    <w:rsid w:val="000D1FC8"/>
    <w:rsid w:val="000D20B4"/>
    <w:rsid w:val="000D2400"/>
    <w:rsid w:val="000D255C"/>
    <w:rsid w:val="000D25DB"/>
    <w:rsid w:val="000D33F2"/>
    <w:rsid w:val="000D377C"/>
    <w:rsid w:val="000D3852"/>
    <w:rsid w:val="000D4A6A"/>
    <w:rsid w:val="000D4A78"/>
    <w:rsid w:val="000D4F4B"/>
    <w:rsid w:val="000D5141"/>
    <w:rsid w:val="000D58D0"/>
    <w:rsid w:val="000D5E34"/>
    <w:rsid w:val="000D5E95"/>
    <w:rsid w:val="000D5F62"/>
    <w:rsid w:val="000D749C"/>
    <w:rsid w:val="000D750E"/>
    <w:rsid w:val="000E0223"/>
    <w:rsid w:val="000E1BA0"/>
    <w:rsid w:val="000E21F5"/>
    <w:rsid w:val="000E2379"/>
    <w:rsid w:val="000E27A8"/>
    <w:rsid w:val="000E2E32"/>
    <w:rsid w:val="000E3B78"/>
    <w:rsid w:val="000E3C2B"/>
    <w:rsid w:val="000E3DFF"/>
    <w:rsid w:val="000E3E48"/>
    <w:rsid w:val="000E497C"/>
    <w:rsid w:val="000E4A04"/>
    <w:rsid w:val="000E4C77"/>
    <w:rsid w:val="000E4CA7"/>
    <w:rsid w:val="000E55CF"/>
    <w:rsid w:val="000E588C"/>
    <w:rsid w:val="000E5BF1"/>
    <w:rsid w:val="000E6925"/>
    <w:rsid w:val="000E70CC"/>
    <w:rsid w:val="000F013C"/>
    <w:rsid w:val="000F0B12"/>
    <w:rsid w:val="000F1825"/>
    <w:rsid w:val="000F1965"/>
    <w:rsid w:val="000F1D16"/>
    <w:rsid w:val="000F213B"/>
    <w:rsid w:val="000F22DF"/>
    <w:rsid w:val="000F2745"/>
    <w:rsid w:val="000F2959"/>
    <w:rsid w:val="000F2969"/>
    <w:rsid w:val="000F2A4B"/>
    <w:rsid w:val="000F2C22"/>
    <w:rsid w:val="000F2EBD"/>
    <w:rsid w:val="000F2FE2"/>
    <w:rsid w:val="000F363A"/>
    <w:rsid w:val="000F36E5"/>
    <w:rsid w:val="000F38DF"/>
    <w:rsid w:val="000F3A78"/>
    <w:rsid w:val="000F3AA4"/>
    <w:rsid w:val="000F4645"/>
    <w:rsid w:val="000F4A3D"/>
    <w:rsid w:val="000F5213"/>
    <w:rsid w:val="000F53FD"/>
    <w:rsid w:val="000F5565"/>
    <w:rsid w:val="000F5923"/>
    <w:rsid w:val="000F5FB9"/>
    <w:rsid w:val="000F61FA"/>
    <w:rsid w:val="000F63BD"/>
    <w:rsid w:val="000F63C0"/>
    <w:rsid w:val="000F6859"/>
    <w:rsid w:val="000F6CE7"/>
    <w:rsid w:val="000F6FCB"/>
    <w:rsid w:val="000F732A"/>
    <w:rsid w:val="000F76FF"/>
    <w:rsid w:val="000F7F55"/>
    <w:rsid w:val="0010021B"/>
    <w:rsid w:val="001002AA"/>
    <w:rsid w:val="00100508"/>
    <w:rsid w:val="001005B1"/>
    <w:rsid w:val="00100992"/>
    <w:rsid w:val="00100FF5"/>
    <w:rsid w:val="0010235C"/>
    <w:rsid w:val="00102539"/>
    <w:rsid w:val="0010272C"/>
    <w:rsid w:val="00103262"/>
    <w:rsid w:val="001042D7"/>
    <w:rsid w:val="001048EA"/>
    <w:rsid w:val="00104D54"/>
    <w:rsid w:val="00104E0B"/>
    <w:rsid w:val="001053ED"/>
    <w:rsid w:val="001057CC"/>
    <w:rsid w:val="001059EA"/>
    <w:rsid w:val="00105F31"/>
    <w:rsid w:val="001066B3"/>
    <w:rsid w:val="0010671F"/>
    <w:rsid w:val="00106E50"/>
    <w:rsid w:val="00107034"/>
    <w:rsid w:val="001072A4"/>
    <w:rsid w:val="00107B89"/>
    <w:rsid w:val="00110B61"/>
    <w:rsid w:val="00110DFE"/>
    <w:rsid w:val="00111082"/>
    <w:rsid w:val="001110EB"/>
    <w:rsid w:val="00111150"/>
    <w:rsid w:val="001113CC"/>
    <w:rsid w:val="00111535"/>
    <w:rsid w:val="001117FA"/>
    <w:rsid w:val="00111DC9"/>
    <w:rsid w:val="0011237C"/>
    <w:rsid w:val="001124D0"/>
    <w:rsid w:val="001128AE"/>
    <w:rsid w:val="00112A62"/>
    <w:rsid w:val="001137C1"/>
    <w:rsid w:val="00113951"/>
    <w:rsid w:val="00113DCA"/>
    <w:rsid w:val="00113E96"/>
    <w:rsid w:val="00113EF3"/>
    <w:rsid w:val="001142B6"/>
    <w:rsid w:val="00114782"/>
    <w:rsid w:val="00114955"/>
    <w:rsid w:val="00114BBC"/>
    <w:rsid w:val="00114DCA"/>
    <w:rsid w:val="00114EE2"/>
    <w:rsid w:val="0011564F"/>
    <w:rsid w:val="0011578A"/>
    <w:rsid w:val="0011586B"/>
    <w:rsid w:val="00115C21"/>
    <w:rsid w:val="0011633D"/>
    <w:rsid w:val="00116CB1"/>
    <w:rsid w:val="00116E04"/>
    <w:rsid w:val="001174C3"/>
    <w:rsid w:val="001175D2"/>
    <w:rsid w:val="001177E3"/>
    <w:rsid w:val="00117B71"/>
    <w:rsid w:val="001200E4"/>
    <w:rsid w:val="00120672"/>
    <w:rsid w:val="00120AED"/>
    <w:rsid w:val="00120CF1"/>
    <w:rsid w:val="00120F48"/>
    <w:rsid w:val="0012101C"/>
    <w:rsid w:val="00121167"/>
    <w:rsid w:val="0012135D"/>
    <w:rsid w:val="00121AE5"/>
    <w:rsid w:val="0012211A"/>
    <w:rsid w:val="00122216"/>
    <w:rsid w:val="001222E1"/>
    <w:rsid w:val="00122408"/>
    <w:rsid w:val="00122551"/>
    <w:rsid w:val="0012288E"/>
    <w:rsid w:val="00122A41"/>
    <w:rsid w:val="00122A9A"/>
    <w:rsid w:val="00122FF0"/>
    <w:rsid w:val="001231D5"/>
    <w:rsid w:val="001235FC"/>
    <w:rsid w:val="001236CE"/>
    <w:rsid w:val="00123D88"/>
    <w:rsid w:val="00123FB5"/>
    <w:rsid w:val="00124005"/>
    <w:rsid w:val="001241F9"/>
    <w:rsid w:val="00124352"/>
    <w:rsid w:val="0012567A"/>
    <w:rsid w:val="00125726"/>
    <w:rsid w:val="00125E71"/>
    <w:rsid w:val="001262EE"/>
    <w:rsid w:val="00126F08"/>
    <w:rsid w:val="001270A3"/>
    <w:rsid w:val="001273D7"/>
    <w:rsid w:val="00127D65"/>
    <w:rsid w:val="00130640"/>
    <w:rsid w:val="00130A2C"/>
    <w:rsid w:val="00131027"/>
    <w:rsid w:val="001317BF"/>
    <w:rsid w:val="0013241C"/>
    <w:rsid w:val="0013283D"/>
    <w:rsid w:val="00132D7F"/>
    <w:rsid w:val="00132FF6"/>
    <w:rsid w:val="001330FB"/>
    <w:rsid w:val="00133110"/>
    <w:rsid w:val="001331B9"/>
    <w:rsid w:val="001333D1"/>
    <w:rsid w:val="0013374A"/>
    <w:rsid w:val="00134EE1"/>
    <w:rsid w:val="0013505C"/>
    <w:rsid w:val="0013506C"/>
    <w:rsid w:val="001350F7"/>
    <w:rsid w:val="00135184"/>
    <w:rsid w:val="0013582E"/>
    <w:rsid w:val="001364DC"/>
    <w:rsid w:val="001366A8"/>
    <w:rsid w:val="001366D9"/>
    <w:rsid w:val="00137198"/>
    <w:rsid w:val="00137E8B"/>
    <w:rsid w:val="001404E6"/>
    <w:rsid w:val="00140C16"/>
    <w:rsid w:val="001412ED"/>
    <w:rsid w:val="001415B2"/>
    <w:rsid w:val="00141AD0"/>
    <w:rsid w:val="001425A0"/>
    <w:rsid w:val="00142C22"/>
    <w:rsid w:val="00142EFA"/>
    <w:rsid w:val="00143274"/>
    <w:rsid w:val="0014351C"/>
    <w:rsid w:val="001435CE"/>
    <w:rsid w:val="00143795"/>
    <w:rsid w:val="00143917"/>
    <w:rsid w:val="00143922"/>
    <w:rsid w:val="00143DC8"/>
    <w:rsid w:val="00143FAD"/>
    <w:rsid w:val="00144455"/>
    <w:rsid w:val="00144A22"/>
    <w:rsid w:val="0014532B"/>
    <w:rsid w:val="00145355"/>
    <w:rsid w:val="00145435"/>
    <w:rsid w:val="0014595F"/>
    <w:rsid w:val="00145D05"/>
    <w:rsid w:val="00145E9E"/>
    <w:rsid w:val="00146345"/>
    <w:rsid w:val="00146A08"/>
    <w:rsid w:val="001470BD"/>
    <w:rsid w:val="001471F3"/>
    <w:rsid w:val="001477C3"/>
    <w:rsid w:val="00147C07"/>
    <w:rsid w:val="00147D14"/>
    <w:rsid w:val="00147FF2"/>
    <w:rsid w:val="00150B03"/>
    <w:rsid w:val="00150FDC"/>
    <w:rsid w:val="00151131"/>
    <w:rsid w:val="0015130F"/>
    <w:rsid w:val="00151566"/>
    <w:rsid w:val="001516AA"/>
    <w:rsid w:val="00151BD6"/>
    <w:rsid w:val="00151F6B"/>
    <w:rsid w:val="00151F91"/>
    <w:rsid w:val="00151FB1"/>
    <w:rsid w:val="001521F1"/>
    <w:rsid w:val="0015283C"/>
    <w:rsid w:val="0015286E"/>
    <w:rsid w:val="001528A9"/>
    <w:rsid w:val="0015299A"/>
    <w:rsid w:val="00153388"/>
    <w:rsid w:val="00153649"/>
    <w:rsid w:val="001536B2"/>
    <w:rsid w:val="001539D1"/>
    <w:rsid w:val="00153EFD"/>
    <w:rsid w:val="00154251"/>
    <w:rsid w:val="001547B8"/>
    <w:rsid w:val="00154CDC"/>
    <w:rsid w:val="00154D9A"/>
    <w:rsid w:val="00154F12"/>
    <w:rsid w:val="00154F6E"/>
    <w:rsid w:val="001553A2"/>
    <w:rsid w:val="001553F7"/>
    <w:rsid w:val="001553F8"/>
    <w:rsid w:val="00155964"/>
    <w:rsid w:val="00155CD4"/>
    <w:rsid w:val="00155EEF"/>
    <w:rsid w:val="001560D3"/>
    <w:rsid w:val="00156136"/>
    <w:rsid w:val="001561D5"/>
    <w:rsid w:val="0015650E"/>
    <w:rsid w:val="00156AD8"/>
    <w:rsid w:val="00156AF1"/>
    <w:rsid w:val="00156C24"/>
    <w:rsid w:val="00156C38"/>
    <w:rsid w:val="0015752B"/>
    <w:rsid w:val="001577C4"/>
    <w:rsid w:val="00157B40"/>
    <w:rsid w:val="00157D69"/>
    <w:rsid w:val="00157E28"/>
    <w:rsid w:val="00160384"/>
    <w:rsid w:val="00160D50"/>
    <w:rsid w:val="0016174F"/>
    <w:rsid w:val="0016193F"/>
    <w:rsid w:val="00161AE4"/>
    <w:rsid w:val="00161E69"/>
    <w:rsid w:val="00162151"/>
    <w:rsid w:val="00162251"/>
    <w:rsid w:val="00162EF4"/>
    <w:rsid w:val="00163116"/>
    <w:rsid w:val="00163576"/>
    <w:rsid w:val="00163CF8"/>
    <w:rsid w:val="00164131"/>
    <w:rsid w:val="001645F3"/>
    <w:rsid w:val="001647D6"/>
    <w:rsid w:val="001648D4"/>
    <w:rsid w:val="00164DA4"/>
    <w:rsid w:val="0016518C"/>
    <w:rsid w:val="00165989"/>
    <w:rsid w:val="00165A4A"/>
    <w:rsid w:val="00165BD8"/>
    <w:rsid w:val="001663A0"/>
    <w:rsid w:val="00166561"/>
    <w:rsid w:val="0016659E"/>
    <w:rsid w:val="001666C5"/>
    <w:rsid w:val="00166821"/>
    <w:rsid w:val="001669FF"/>
    <w:rsid w:val="00166E3B"/>
    <w:rsid w:val="00166F54"/>
    <w:rsid w:val="0016706F"/>
    <w:rsid w:val="00167101"/>
    <w:rsid w:val="0016711D"/>
    <w:rsid w:val="00167123"/>
    <w:rsid w:val="001678BA"/>
    <w:rsid w:val="00170E12"/>
    <w:rsid w:val="001713DE"/>
    <w:rsid w:val="00171C33"/>
    <w:rsid w:val="00171DFB"/>
    <w:rsid w:val="0017248B"/>
    <w:rsid w:val="00172620"/>
    <w:rsid w:val="0017263B"/>
    <w:rsid w:val="0017266D"/>
    <w:rsid w:val="0017295C"/>
    <w:rsid w:val="00172DAA"/>
    <w:rsid w:val="00172F5A"/>
    <w:rsid w:val="00172FBA"/>
    <w:rsid w:val="00173521"/>
    <w:rsid w:val="001739BC"/>
    <w:rsid w:val="00173E1B"/>
    <w:rsid w:val="00173EF2"/>
    <w:rsid w:val="00174374"/>
    <w:rsid w:val="001749F0"/>
    <w:rsid w:val="00174AEE"/>
    <w:rsid w:val="00174CBF"/>
    <w:rsid w:val="0017529E"/>
    <w:rsid w:val="001753F1"/>
    <w:rsid w:val="00175590"/>
    <w:rsid w:val="0017583C"/>
    <w:rsid w:val="001759B8"/>
    <w:rsid w:val="00176214"/>
    <w:rsid w:val="001763A0"/>
    <w:rsid w:val="0017646B"/>
    <w:rsid w:val="001767DC"/>
    <w:rsid w:val="00176819"/>
    <w:rsid w:val="00177951"/>
    <w:rsid w:val="001804A5"/>
    <w:rsid w:val="001804F2"/>
    <w:rsid w:val="0018056D"/>
    <w:rsid w:val="0018066B"/>
    <w:rsid w:val="001808DD"/>
    <w:rsid w:val="0018135E"/>
    <w:rsid w:val="0018149E"/>
    <w:rsid w:val="001824C4"/>
    <w:rsid w:val="0018283A"/>
    <w:rsid w:val="00183064"/>
    <w:rsid w:val="0018326E"/>
    <w:rsid w:val="00183D50"/>
    <w:rsid w:val="00183F28"/>
    <w:rsid w:val="001844C2"/>
    <w:rsid w:val="0018479C"/>
    <w:rsid w:val="00184956"/>
    <w:rsid w:val="00184DC3"/>
    <w:rsid w:val="001851A8"/>
    <w:rsid w:val="001853F8"/>
    <w:rsid w:val="001857AF"/>
    <w:rsid w:val="00185990"/>
    <w:rsid w:val="00185A81"/>
    <w:rsid w:val="00185C31"/>
    <w:rsid w:val="00186127"/>
    <w:rsid w:val="001862C6"/>
    <w:rsid w:val="00186437"/>
    <w:rsid w:val="00186BE3"/>
    <w:rsid w:val="00187053"/>
    <w:rsid w:val="00187133"/>
    <w:rsid w:val="00187D61"/>
    <w:rsid w:val="00187E27"/>
    <w:rsid w:val="00187E8A"/>
    <w:rsid w:val="00187E8D"/>
    <w:rsid w:val="00187E8F"/>
    <w:rsid w:val="0019040A"/>
    <w:rsid w:val="00190CDB"/>
    <w:rsid w:val="00190D2A"/>
    <w:rsid w:val="00191190"/>
    <w:rsid w:val="00191664"/>
    <w:rsid w:val="001916D0"/>
    <w:rsid w:val="00191A70"/>
    <w:rsid w:val="001923BC"/>
    <w:rsid w:val="00192591"/>
    <w:rsid w:val="00192632"/>
    <w:rsid w:val="00192A01"/>
    <w:rsid w:val="00192EDA"/>
    <w:rsid w:val="00193435"/>
    <w:rsid w:val="0019344A"/>
    <w:rsid w:val="001936FA"/>
    <w:rsid w:val="001938CA"/>
    <w:rsid w:val="00194007"/>
    <w:rsid w:val="00194030"/>
    <w:rsid w:val="00194073"/>
    <w:rsid w:val="00194199"/>
    <w:rsid w:val="001945E7"/>
    <w:rsid w:val="00194632"/>
    <w:rsid w:val="00194EEF"/>
    <w:rsid w:val="001951D9"/>
    <w:rsid w:val="00195336"/>
    <w:rsid w:val="001953C3"/>
    <w:rsid w:val="00195503"/>
    <w:rsid w:val="00195599"/>
    <w:rsid w:val="00195AE4"/>
    <w:rsid w:val="00195D59"/>
    <w:rsid w:val="00196213"/>
    <w:rsid w:val="001966BC"/>
    <w:rsid w:val="001966CF"/>
    <w:rsid w:val="0019680F"/>
    <w:rsid w:val="00196D3F"/>
    <w:rsid w:val="001972FB"/>
    <w:rsid w:val="00197403"/>
    <w:rsid w:val="00197798"/>
    <w:rsid w:val="001977E8"/>
    <w:rsid w:val="00197F35"/>
    <w:rsid w:val="001A0099"/>
    <w:rsid w:val="001A0539"/>
    <w:rsid w:val="001A0B19"/>
    <w:rsid w:val="001A0BC5"/>
    <w:rsid w:val="001A1F6F"/>
    <w:rsid w:val="001A1F99"/>
    <w:rsid w:val="001A233E"/>
    <w:rsid w:val="001A26BB"/>
    <w:rsid w:val="001A26C2"/>
    <w:rsid w:val="001A27D2"/>
    <w:rsid w:val="001A2AB8"/>
    <w:rsid w:val="001A3642"/>
    <w:rsid w:val="001A36D7"/>
    <w:rsid w:val="001A384A"/>
    <w:rsid w:val="001A41CC"/>
    <w:rsid w:val="001A4335"/>
    <w:rsid w:val="001A44D8"/>
    <w:rsid w:val="001A47BF"/>
    <w:rsid w:val="001A4BA1"/>
    <w:rsid w:val="001A5B9C"/>
    <w:rsid w:val="001A5B9E"/>
    <w:rsid w:val="001A5BB0"/>
    <w:rsid w:val="001A5BE0"/>
    <w:rsid w:val="001A5CF6"/>
    <w:rsid w:val="001A5FA5"/>
    <w:rsid w:val="001A620D"/>
    <w:rsid w:val="001A6507"/>
    <w:rsid w:val="001A6536"/>
    <w:rsid w:val="001A671D"/>
    <w:rsid w:val="001A683B"/>
    <w:rsid w:val="001A70B5"/>
    <w:rsid w:val="001A72C0"/>
    <w:rsid w:val="001A74F2"/>
    <w:rsid w:val="001A77A6"/>
    <w:rsid w:val="001B0628"/>
    <w:rsid w:val="001B07BF"/>
    <w:rsid w:val="001B0F5A"/>
    <w:rsid w:val="001B0F62"/>
    <w:rsid w:val="001B1872"/>
    <w:rsid w:val="001B1B40"/>
    <w:rsid w:val="001B2186"/>
    <w:rsid w:val="001B219C"/>
    <w:rsid w:val="001B25AC"/>
    <w:rsid w:val="001B3A81"/>
    <w:rsid w:val="001B3C2C"/>
    <w:rsid w:val="001B40BB"/>
    <w:rsid w:val="001B40DC"/>
    <w:rsid w:val="001B42BB"/>
    <w:rsid w:val="001B46D6"/>
    <w:rsid w:val="001B494F"/>
    <w:rsid w:val="001B4C7A"/>
    <w:rsid w:val="001B4D6A"/>
    <w:rsid w:val="001B4E81"/>
    <w:rsid w:val="001B509B"/>
    <w:rsid w:val="001B517D"/>
    <w:rsid w:val="001B5CCB"/>
    <w:rsid w:val="001B5F20"/>
    <w:rsid w:val="001B6068"/>
    <w:rsid w:val="001B6525"/>
    <w:rsid w:val="001B653E"/>
    <w:rsid w:val="001B67D4"/>
    <w:rsid w:val="001B7335"/>
    <w:rsid w:val="001B78AF"/>
    <w:rsid w:val="001B7B25"/>
    <w:rsid w:val="001B7B28"/>
    <w:rsid w:val="001B7CC4"/>
    <w:rsid w:val="001B7F77"/>
    <w:rsid w:val="001C00F2"/>
    <w:rsid w:val="001C01B3"/>
    <w:rsid w:val="001C078F"/>
    <w:rsid w:val="001C08C8"/>
    <w:rsid w:val="001C08D8"/>
    <w:rsid w:val="001C09E8"/>
    <w:rsid w:val="001C0D6E"/>
    <w:rsid w:val="001C0DE0"/>
    <w:rsid w:val="001C0ED7"/>
    <w:rsid w:val="001C1200"/>
    <w:rsid w:val="001C1518"/>
    <w:rsid w:val="001C1E1F"/>
    <w:rsid w:val="001C26B1"/>
    <w:rsid w:val="001C26B7"/>
    <w:rsid w:val="001C2C1B"/>
    <w:rsid w:val="001C2D3F"/>
    <w:rsid w:val="001C3A80"/>
    <w:rsid w:val="001C40CD"/>
    <w:rsid w:val="001C45EA"/>
    <w:rsid w:val="001C488F"/>
    <w:rsid w:val="001C4AE3"/>
    <w:rsid w:val="001C4F87"/>
    <w:rsid w:val="001C517D"/>
    <w:rsid w:val="001C64B0"/>
    <w:rsid w:val="001C6EBB"/>
    <w:rsid w:val="001C7123"/>
    <w:rsid w:val="001C74DA"/>
    <w:rsid w:val="001C7CC8"/>
    <w:rsid w:val="001C7E68"/>
    <w:rsid w:val="001D044B"/>
    <w:rsid w:val="001D0C6A"/>
    <w:rsid w:val="001D0D5E"/>
    <w:rsid w:val="001D0E09"/>
    <w:rsid w:val="001D113E"/>
    <w:rsid w:val="001D1A17"/>
    <w:rsid w:val="001D1A7C"/>
    <w:rsid w:val="001D1C8E"/>
    <w:rsid w:val="001D1CF1"/>
    <w:rsid w:val="001D1D07"/>
    <w:rsid w:val="001D2075"/>
    <w:rsid w:val="001D2613"/>
    <w:rsid w:val="001D3153"/>
    <w:rsid w:val="001D325C"/>
    <w:rsid w:val="001D359E"/>
    <w:rsid w:val="001D36E4"/>
    <w:rsid w:val="001D3E24"/>
    <w:rsid w:val="001D497B"/>
    <w:rsid w:val="001D4F15"/>
    <w:rsid w:val="001D4FB3"/>
    <w:rsid w:val="001D5209"/>
    <w:rsid w:val="001D5400"/>
    <w:rsid w:val="001D5402"/>
    <w:rsid w:val="001D56F4"/>
    <w:rsid w:val="001D605B"/>
    <w:rsid w:val="001D6308"/>
    <w:rsid w:val="001D6447"/>
    <w:rsid w:val="001D6542"/>
    <w:rsid w:val="001D69B0"/>
    <w:rsid w:val="001D6A8F"/>
    <w:rsid w:val="001D6DF5"/>
    <w:rsid w:val="001D7C26"/>
    <w:rsid w:val="001D7CC3"/>
    <w:rsid w:val="001E08AC"/>
    <w:rsid w:val="001E0927"/>
    <w:rsid w:val="001E0A5F"/>
    <w:rsid w:val="001E0B81"/>
    <w:rsid w:val="001E0D4A"/>
    <w:rsid w:val="001E0E27"/>
    <w:rsid w:val="001E1A43"/>
    <w:rsid w:val="001E1B01"/>
    <w:rsid w:val="001E1BD8"/>
    <w:rsid w:val="001E2091"/>
    <w:rsid w:val="001E3387"/>
    <w:rsid w:val="001E348C"/>
    <w:rsid w:val="001E3973"/>
    <w:rsid w:val="001E3AFE"/>
    <w:rsid w:val="001E3B5B"/>
    <w:rsid w:val="001E3FF7"/>
    <w:rsid w:val="001E4421"/>
    <w:rsid w:val="001E4782"/>
    <w:rsid w:val="001E4AC5"/>
    <w:rsid w:val="001E4D02"/>
    <w:rsid w:val="001E5CD0"/>
    <w:rsid w:val="001E61E2"/>
    <w:rsid w:val="001E671B"/>
    <w:rsid w:val="001E6F3A"/>
    <w:rsid w:val="001E77D9"/>
    <w:rsid w:val="001E7BD9"/>
    <w:rsid w:val="001E7F0C"/>
    <w:rsid w:val="001E7FF7"/>
    <w:rsid w:val="001F0A16"/>
    <w:rsid w:val="001F0BCD"/>
    <w:rsid w:val="001F1D00"/>
    <w:rsid w:val="001F248A"/>
    <w:rsid w:val="001F2A21"/>
    <w:rsid w:val="001F2BDA"/>
    <w:rsid w:val="001F3A1E"/>
    <w:rsid w:val="001F3A49"/>
    <w:rsid w:val="001F3AF9"/>
    <w:rsid w:val="001F4591"/>
    <w:rsid w:val="001F5434"/>
    <w:rsid w:val="001F5472"/>
    <w:rsid w:val="001F59F3"/>
    <w:rsid w:val="001F5D06"/>
    <w:rsid w:val="001F6F4C"/>
    <w:rsid w:val="001F74DD"/>
    <w:rsid w:val="001F76FB"/>
    <w:rsid w:val="001F7749"/>
    <w:rsid w:val="001F7B9C"/>
    <w:rsid w:val="002001EA"/>
    <w:rsid w:val="00200233"/>
    <w:rsid w:val="0020113A"/>
    <w:rsid w:val="002011F0"/>
    <w:rsid w:val="00201C8A"/>
    <w:rsid w:val="002026FD"/>
    <w:rsid w:val="00202A5A"/>
    <w:rsid w:val="00202DC5"/>
    <w:rsid w:val="0020308D"/>
    <w:rsid w:val="00203FDE"/>
    <w:rsid w:val="00204006"/>
    <w:rsid w:val="0020465B"/>
    <w:rsid w:val="00204BB5"/>
    <w:rsid w:val="00205094"/>
    <w:rsid w:val="00205418"/>
    <w:rsid w:val="00205BFF"/>
    <w:rsid w:val="00205E15"/>
    <w:rsid w:val="00205F87"/>
    <w:rsid w:val="0020609F"/>
    <w:rsid w:val="002061A4"/>
    <w:rsid w:val="00206394"/>
    <w:rsid w:val="00206519"/>
    <w:rsid w:val="0020699B"/>
    <w:rsid w:val="00206BC9"/>
    <w:rsid w:val="00207098"/>
    <w:rsid w:val="00207134"/>
    <w:rsid w:val="0020714A"/>
    <w:rsid w:val="00210071"/>
    <w:rsid w:val="0021041F"/>
    <w:rsid w:val="00210813"/>
    <w:rsid w:val="00210AC9"/>
    <w:rsid w:val="002113F2"/>
    <w:rsid w:val="002115CB"/>
    <w:rsid w:val="00211B1D"/>
    <w:rsid w:val="00211FA9"/>
    <w:rsid w:val="0021218F"/>
    <w:rsid w:val="00212391"/>
    <w:rsid w:val="00212A3F"/>
    <w:rsid w:val="00212FBD"/>
    <w:rsid w:val="00213B5C"/>
    <w:rsid w:val="00213E5B"/>
    <w:rsid w:val="0021479F"/>
    <w:rsid w:val="00214913"/>
    <w:rsid w:val="00214B67"/>
    <w:rsid w:val="0021513C"/>
    <w:rsid w:val="00215982"/>
    <w:rsid w:val="00215E76"/>
    <w:rsid w:val="00216A4D"/>
    <w:rsid w:val="00216C00"/>
    <w:rsid w:val="0021725C"/>
    <w:rsid w:val="002177E2"/>
    <w:rsid w:val="00217FA0"/>
    <w:rsid w:val="002214E0"/>
    <w:rsid w:val="002218A5"/>
    <w:rsid w:val="00221A91"/>
    <w:rsid w:val="002224CD"/>
    <w:rsid w:val="00223128"/>
    <w:rsid w:val="002237D7"/>
    <w:rsid w:val="00223C92"/>
    <w:rsid w:val="00223E62"/>
    <w:rsid w:val="002240BC"/>
    <w:rsid w:val="00224251"/>
    <w:rsid w:val="00224C07"/>
    <w:rsid w:val="00224C63"/>
    <w:rsid w:val="002250F9"/>
    <w:rsid w:val="002258E1"/>
    <w:rsid w:val="002264B4"/>
    <w:rsid w:val="0022651E"/>
    <w:rsid w:val="00226918"/>
    <w:rsid w:val="00226CAD"/>
    <w:rsid w:val="00226CE7"/>
    <w:rsid w:val="00226FEB"/>
    <w:rsid w:val="002270D6"/>
    <w:rsid w:val="00227F5A"/>
    <w:rsid w:val="00230B69"/>
    <w:rsid w:val="00230E04"/>
    <w:rsid w:val="00230F6E"/>
    <w:rsid w:val="00231239"/>
    <w:rsid w:val="002317A7"/>
    <w:rsid w:val="00231C26"/>
    <w:rsid w:val="00231CCD"/>
    <w:rsid w:val="00231E24"/>
    <w:rsid w:val="00232449"/>
    <w:rsid w:val="002324BC"/>
    <w:rsid w:val="00232794"/>
    <w:rsid w:val="00232934"/>
    <w:rsid w:val="00232A53"/>
    <w:rsid w:val="00232DEF"/>
    <w:rsid w:val="00232E46"/>
    <w:rsid w:val="002332E1"/>
    <w:rsid w:val="002334BC"/>
    <w:rsid w:val="002342CD"/>
    <w:rsid w:val="0023459E"/>
    <w:rsid w:val="002346DC"/>
    <w:rsid w:val="00234B04"/>
    <w:rsid w:val="00234BB8"/>
    <w:rsid w:val="00234ECA"/>
    <w:rsid w:val="00234EF8"/>
    <w:rsid w:val="00234EFE"/>
    <w:rsid w:val="002350D9"/>
    <w:rsid w:val="00235C3A"/>
    <w:rsid w:val="0023609B"/>
    <w:rsid w:val="00237182"/>
    <w:rsid w:val="00240030"/>
    <w:rsid w:val="00240289"/>
    <w:rsid w:val="00240859"/>
    <w:rsid w:val="0024187A"/>
    <w:rsid w:val="00241A6D"/>
    <w:rsid w:val="0024209E"/>
    <w:rsid w:val="00242D1B"/>
    <w:rsid w:val="00243198"/>
    <w:rsid w:val="002435A7"/>
    <w:rsid w:val="002439B2"/>
    <w:rsid w:val="002448AE"/>
    <w:rsid w:val="00245796"/>
    <w:rsid w:val="00245CC8"/>
    <w:rsid w:val="0024663E"/>
    <w:rsid w:val="002469E9"/>
    <w:rsid w:val="00246AE1"/>
    <w:rsid w:val="00246C21"/>
    <w:rsid w:val="00246E79"/>
    <w:rsid w:val="0024703B"/>
    <w:rsid w:val="0024712B"/>
    <w:rsid w:val="00247163"/>
    <w:rsid w:val="002472BA"/>
    <w:rsid w:val="002479AB"/>
    <w:rsid w:val="00247C7C"/>
    <w:rsid w:val="00247DE2"/>
    <w:rsid w:val="0025010F"/>
    <w:rsid w:val="002501AF"/>
    <w:rsid w:val="00250BBF"/>
    <w:rsid w:val="00251208"/>
    <w:rsid w:val="002515C3"/>
    <w:rsid w:val="0025171A"/>
    <w:rsid w:val="00251DE0"/>
    <w:rsid w:val="00252042"/>
    <w:rsid w:val="0025293C"/>
    <w:rsid w:val="00252BF3"/>
    <w:rsid w:val="00254FBF"/>
    <w:rsid w:val="00255013"/>
    <w:rsid w:val="0025547B"/>
    <w:rsid w:val="00255864"/>
    <w:rsid w:val="00255A97"/>
    <w:rsid w:val="00255FE9"/>
    <w:rsid w:val="00256071"/>
    <w:rsid w:val="002567D2"/>
    <w:rsid w:val="00256FB2"/>
    <w:rsid w:val="00257154"/>
    <w:rsid w:val="00257404"/>
    <w:rsid w:val="00257C85"/>
    <w:rsid w:val="00257DDE"/>
    <w:rsid w:val="00257F7F"/>
    <w:rsid w:val="0026053D"/>
    <w:rsid w:val="00260B21"/>
    <w:rsid w:val="002611A8"/>
    <w:rsid w:val="002611AC"/>
    <w:rsid w:val="002617E9"/>
    <w:rsid w:val="00261CEF"/>
    <w:rsid w:val="00261DDB"/>
    <w:rsid w:val="00261DE6"/>
    <w:rsid w:val="0026242B"/>
    <w:rsid w:val="002638EC"/>
    <w:rsid w:val="00263B22"/>
    <w:rsid w:val="00263D7E"/>
    <w:rsid w:val="00264276"/>
    <w:rsid w:val="00264734"/>
    <w:rsid w:val="00264923"/>
    <w:rsid w:val="00264C47"/>
    <w:rsid w:val="002651DE"/>
    <w:rsid w:val="00265626"/>
    <w:rsid w:val="00265844"/>
    <w:rsid w:val="00266210"/>
    <w:rsid w:val="002663C1"/>
    <w:rsid w:val="002664F5"/>
    <w:rsid w:val="0026695C"/>
    <w:rsid w:val="00266A35"/>
    <w:rsid w:val="0026701F"/>
    <w:rsid w:val="00270144"/>
    <w:rsid w:val="00270BFE"/>
    <w:rsid w:val="00270DAD"/>
    <w:rsid w:val="00271405"/>
    <w:rsid w:val="00271838"/>
    <w:rsid w:val="00271A3A"/>
    <w:rsid w:val="0027203E"/>
    <w:rsid w:val="00272265"/>
    <w:rsid w:val="002723C4"/>
    <w:rsid w:val="00272503"/>
    <w:rsid w:val="0027263B"/>
    <w:rsid w:val="0027275A"/>
    <w:rsid w:val="0027297D"/>
    <w:rsid w:val="00272AED"/>
    <w:rsid w:val="00272D96"/>
    <w:rsid w:val="00273021"/>
    <w:rsid w:val="002730A5"/>
    <w:rsid w:val="0027311F"/>
    <w:rsid w:val="00273342"/>
    <w:rsid w:val="00273353"/>
    <w:rsid w:val="002733EB"/>
    <w:rsid w:val="0027340F"/>
    <w:rsid w:val="00273F34"/>
    <w:rsid w:val="0027412B"/>
    <w:rsid w:val="00274488"/>
    <w:rsid w:val="002749F3"/>
    <w:rsid w:val="00274A8E"/>
    <w:rsid w:val="00274A9B"/>
    <w:rsid w:val="00275266"/>
    <w:rsid w:val="00275B30"/>
    <w:rsid w:val="002766D1"/>
    <w:rsid w:val="00276786"/>
    <w:rsid w:val="002769D7"/>
    <w:rsid w:val="00276C3D"/>
    <w:rsid w:val="00280171"/>
    <w:rsid w:val="0028022B"/>
    <w:rsid w:val="002809F7"/>
    <w:rsid w:val="00280BC5"/>
    <w:rsid w:val="00281222"/>
    <w:rsid w:val="0028127F"/>
    <w:rsid w:val="002812EE"/>
    <w:rsid w:val="00281AFC"/>
    <w:rsid w:val="00281B51"/>
    <w:rsid w:val="00281BAA"/>
    <w:rsid w:val="00281E02"/>
    <w:rsid w:val="002820BE"/>
    <w:rsid w:val="00282483"/>
    <w:rsid w:val="00282545"/>
    <w:rsid w:val="0028274C"/>
    <w:rsid w:val="00282858"/>
    <w:rsid w:val="00282CC1"/>
    <w:rsid w:val="00282E6C"/>
    <w:rsid w:val="00283019"/>
    <w:rsid w:val="00283345"/>
    <w:rsid w:val="002836CC"/>
    <w:rsid w:val="002836D4"/>
    <w:rsid w:val="002839AA"/>
    <w:rsid w:val="00283C4B"/>
    <w:rsid w:val="00283DB7"/>
    <w:rsid w:val="002844C0"/>
    <w:rsid w:val="00284606"/>
    <w:rsid w:val="00284B48"/>
    <w:rsid w:val="00284DFE"/>
    <w:rsid w:val="00285245"/>
    <w:rsid w:val="002856F1"/>
    <w:rsid w:val="002858B9"/>
    <w:rsid w:val="00285A0A"/>
    <w:rsid w:val="002863A1"/>
    <w:rsid w:val="002863BB"/>
    <w:rsid w:val="002864DB"/>
    <w:rsid w:val="00287037"/>
    <w:rsid w:val="00290358"/>
    <w:rsid w:val="002905EC"/>
    <w:rsid w:val="002908E2"/>
    <w:rsid w:val="0029095F"/>
    <w:rsid w:val="00290CDD"/>
    <w:rsid w:val="00290CFB"/>
    <w:rsid w:val="00290CFC"/>
    <w:rsid w:val="00291459"/>
    <w:rsid w:val="002920E2"/>
    <w:rsid w:val="00292472"/>
    <w:rsid w:val="002928E0"/>
    <w:rsid w:val="00292C7A"/>
    <w:rsid w:val="002934A1"/>
    <w:rsid w:val="00293773"/>
    <w:rsid w:val="00293B78"/>
    <w:rsid w:val="00294A3A"/>
    <w:rsid w:val="00294CDF"/>
    <w:rsid w:val="002951EF"/>
    <w:rsid w:val="002955DF"/>
    <w:rsid w:val="00295B82"/>
    <w:rsid w:val="00295C41"/>
    <w:rsid w:val="00296087"/>
    <w:rsid w:val="00296383"/>
    <w:rsid w:val="00296F51"/>
    <w:rsid w:val="00297102"/>
    <w:rsid w:val="00297188"/>
    <w:rsid w:val="00297462"/>
    <w:rsid w:val="00297C0B"/>
    <w:rsid w:val="00297E55"/>
    <w:rsid w:val="002A019F"/>
    <w:rsid w:val="002A02AE"/>
    <w:rsid w:val="002A02C2"/>
    <w:rsid w:val="002A0727"/>
    <w:rsid w:val="002A088D"/>
    <w:rsid w:val="002A0A0C"/>
    <w:rsid w:val="002A0D57"/>
    <w:rsid w:val="002A0EEC"/>
    <w:rsid w:val="002A0F53"/>
    <w:rsid w:val="002A22A0"/>
    <w:rsid w:val="002A2FD6"/>
    <w:rsid w:val="002A398A"/>
    <w:rsid w:val="002A3EE3"/>
    <w:rsid w:val="002A431C"/>
    <w:rsid w:val="002A49D4"/>
    <w:rsid w:val="002A4A1F"/>
    <w:rsid w:val="002A4D7D"/>
    <w:rsid w:val="002A4EB8"/>
    <w:rsid w:val="002A5153"/>
    <w:rsid w:val="002A52C2"/>
    <w:rsid w:val="002A5B0F"/>
    <w:rsid w:val="002A5BD1"/>
    <w:rsid w:val="002A5E9F"/>
    <w:rsid w:val="002A5EFF"/>
    <w:rsid w:val="002A64FC"/>
    <w:rsid w:val="002A65D5"/>
    <w:rsid w:val="002A6784"/>
    <w:rsid w:val="002A6BCD"/>
    <w:rsid w:val="002A6E9A"/>
    <w:rsid w:val="002A7001"/>
    <w:rsid w:val="002A738F"/>
    <w:rsid w:val="002A758F"/>
    <w:rsid w:val="002A7E01"/>
    <w:rsid w:val="002B08DA"/>
    <w:rsid w:val="002B0C02"/>
    <w:rsid w:val="002B0E47"/>
    <w:rsid w:val="002B12EC"/>
    <w:rsid w:val="002B14F1"/>
    <w:rsid w:val="002B1C65"/>
    <w:rsid w:val="002B1E2D"/>
    <w:rsid w:val="002B1FE4"/>
    <w:rsid w:val="002B2384"/>
    <w:rsid w:val="002B2517"/>
    <w:rsid w:val="002B29CA"/>
    <w:rsid w:val="002B3539"/>
    <w:rsid w:val="002B39A6"/>
    <w:rsid w:val="002B39AE"/>
    <w:rsid w:val="002B3B8A"/>
    <w:rsid w:val="002B3F5F"/>
    <w:rsid w:val="002B44A8"/>
    <w:rsid w:val="002B47AE"/>
    <w:rsid w:val="002B4CD7"/>
    <w:rsid w:val="002B4EC9"/>
    <w:rsid w:val="002B5ADC"/>
    <w:rsid w:val="002B5CAC"/>
    <w:rsid w:val="002B5D70"/>
    <w:rsid w:val="002B61B8"/>
    <w:rsid w:val="002B6E04"/>
    <w:rsid w:val="002B6EFA"/>
    <w:rsid w:val="002B7895"/>
    <w:rsid w:val="002B7A07"/>
    <w:rsid w:val="002B7AEB"/>
    <w:rsid w:val="002B7D90"/>
    <w:rsid w:val="002C09A6"/>
    <w:rsid w:val="002C0FF1"/>
    <w:rsid w:val="002C1D61"/>
    <w:rsid w:val="002C29E0"/>
    <w:rsid w:val="002C2C66"/>
    <w:rsid w:val="002C2CD6"/>
    <w:rsid w:val="002C2DA0"/>
    <w:rsid w:val="002C31CB"/>
    <w:rsid w:val="002C349D"/>
    <w:rsid w:val="002C3A54"/>
    <w:rsid w:val="002C3E9D"/>
    <w:rsid w:val="002C4C56"/>
    <w:rsid w:val="002C512A"/>
    <w:rsid w:val="002C5274"/>
    <w:rsid w:val="002C5917"/>
    <w:rsid w:val="002C5954"/>
    <w:rsid w:val="002C61E1"/>
    <w:rsid w:val="002C62A5"/>
    <w:rsid w:val="002C678B"/>
    <w:rsid w:val="002C67C9"/>
    <w:rsid w:val="002C7D30"/>
    <w:rsid w:val="002C7D37"/>
    <w:rsid w:val="002C7E0E"/>
    <w:rsid w:val="002C7E7A"/>
    <w:rsid w:val="002C7EFC"/>
    <w:rsid w:val="002D089F"/>
    <w:rsid w:val="002D08F9"/>
    <w:rsid w:val="002D0CC2"/>
    <w:rsid w:val="002D0CEE"/>
    <w:rsid w:val="002D0E5C"/>
    <w:rsid w:val="002D0E69"/>
    <w:rsid w:val="002D10F3"/>
    <w:rsid w:val="002D12D8"/>
    <w:rsid w:val="002D1A7B"/>
    <w:rsid w:val="002D1C2A"/>
    <w:rsid w:val="002D231B"/>
    <w:rsid w:val="002D23D6"/>
    <w:rsid w:val="002D2615"/>
    <w:rsid w:val="002D292A"/>
    <w:rsid w:val="002D306B"/>
    <w:rsid w:val="002D3108"/>
    <w:rsid w:val="002D35EA"/>
    <w:rsid w:val="002D35F1"/>
    <w:rsid w:val="002D4535"/>
    <w:rsid w:val="002D497A"/>
    <w:rsid w:val="002D5001"/>
    <w:rsid w:val="002D535D"/>
    <w:rsid w:val="002D5964"/>
    <w:rsid w:val="002D5C7C"/>
    <w:rsid w:val="002D6203"/>
    <w:rsid w:val="002D67F8"/>
    <w:rsid w:val="002D6CFE"/>
    <w:rsid w:val="002D6E1C"/>
    <w:rsid w:val="002D74B9"/>
    <w:rsid w:val="002D751B"/>
    <w:rsid w:val="002D778D"/>
    <w:rsid w:val="002E09B4"/>
    <w:rsid w:val="002E0C43"/>
    <w:rsid w:val="002E0C96"/>
    <w:rsid w:val="002E0D36"/>
    <w:rsid w:val="002E0F3A"/>
    <w:rsid w:val="002E1B8B"/>
    <w:rsid w:val="002E1DB7"/>
    <w:rsid w:val="002E1E6B"/>
    <w:rsid w:val="002E210C"/>
    <w:rsid w:val="002E2441"/>
    <w:rsid w:val="002E2F85"/>
    <w:rsid w:val="002E30DA"/>
    <w:rsid w:val="002E3199"/>
    <w:rsid w:val="002E3FCE"/>
    <w:rsid w:val="002E41E9"/>
    <w:rsid w:val="002E4A19"/>
    <w:rsid w:val="002E4BE8"/>
    <w:rsid w:val="002E560B"/>
    <w:rsid w:val="002E5772"/>
    <w:rsid w:val="002E57E1"/>
    <w:rsid w:val="002E5C27"/>
    <w:rsid w:val="002E5FF7"/>
    <w:rsid w:val="002E689C"/>
    <w:rsid w:val="002E6959"/>
    <w:rsid w:val="002E705E"/>
    <w:rsid w:val="002E729B"/>
    <w:rsid w:val="002E731F"/>
    <w:rsid w:val="002E76F8"/>
    <w:rsid w:val="002E7869"/>
    <w:rsid w:val="002E7B7D"/>
    <w:rsid w:val="002E7BEE"/>
    <w:rsid w:val="002F04E3"/>
    <w:rsid w:val="002F0680"/>
    <w:rsid w:val="002F0976"/>
    <w:rsid w:val="002F15C9"/>
    <w:rsid w:val="002F168B"/>
    <w:rsid w:val="002F195A"/>
    <w:rsid w:val="002F2DCB"/>
    <w:rsid w:val="002F3068"/>
    <w:rsid w:val="002F351E"/>
    <w:rsid w:val="002F3B06"/>
    <w:rsid w:val="002F3B19"/>
    <w:rsid w:val="002F3CF1"/>
    <w:rsid w:val="002F3E97"/>
    <w:rsid w:val="002F42FD"/>
    <w:rsid w:val="002F442B"/>
    <w:rsid w:val="002F454F"/>
    <w:rsid w:val="002F535E"/>
    <w:rsid w:val="002F552C"/>
    <w:rsid w:val="002F5B04"/>
    <w:rsid w:val="002F66D6"/>
    <w:rsid w:val="002F66EA"/>
    <w:rsid w:val="002F68B4"/>
    <w:rsid w:val="002F6A88"/>
    <w:rsid w:val="002F6C02"/>
    <w:rsid w:val="002F6F65"/>
    <w:rsid w:val="002F7CD5"/>
    <w:rsid w:val="002F7E7C"/>
    <w:rsid w:val="003000DD"/>
    <w:rsid w:val="0030039B"/>
    <w:rsid w:val="00300587"/>
    <w:rsid w:val="0030087A"/>
    <w:rsid w:val="00301662"/>
    <w:rsid w:val="00301A4B"/>
    <w:rsid w:val="00302436"/>
    <w:rsid w:val="00302B7A"/>
    <w:rsid w:val="0030301E"/>
    <w:rsid w:val="00303761"/>
    <w:rsid w:val="00303811"/>
    <w:rsid w:val="003039D5"/>
    <w:rsid w:val="00303A99"/>
    <w:rsid w:val="00303B18"/>
    <w:rsid w:val="00303CFE"/>
    <w:rsid w:val="00303F3A"/>
    <w:rsid w:val="003043BF"/>
    <w:rsid w:val="00304903"/>
    <w:rsid w:val="003052CE"/>
    <w:rsid w:val="00305451"/>
    <w:rsid w:val="00305657"/>
    <w:rsid w:val="003056E3"/>
    <w:rsid w:val="00305D22"/>
    <w:rsid w:val="00305EA0"/>
    <w:rsid w:val="00305EB7"/>
    <w:rsid w:val="00306336"/>
    <w:rsid w:val="00306573"/>
    <w:rsid w:val="00306669"/>
    <w:rsid w:val="00306A79"/>
    <w:rsid w:val="00306C61"/>
    <w:rsid w:val="00306E24"/>
    <w:rsid w:val="00307617"/>
    <w:rsid w:val="00307664"/>
    <w:rsid w:val="00307C5A"/>
    <w:rsid w:val="00310118"/>
    <w:rsid w:val="003102FA"/>
    <w:rsid w:val="00310505"/>
    <w:rsid w:val="00310EEA"/>
    <w:rsid w:val="003113A5"/>
    <w:rsid w:val="00311CD1"/>
    <w:rsid w:val="00311D95"/>
    <w:rsid w:val="0031203C"/>
    <w:rsid w:val="00312105"/>
    <w:rsid w:val="0031212E"/>
    <w:rsid w:val="00312BC8"/>
    <w:rsid w:val="003135E6"/>
    <w:rsid w:val="00313B95"/>
    <w:rsid w:val="00314035"/>
    <w:rsid w:val="00314264"/>
    <w:rsid w:val="00314F1E"/>
    <w:rsid w:val="00315E75"/>
    <w:rsid w:val="003167F7"/>
    <w:rsid w:val="00316923"/>
    <w:rsid w:val="00316F2D"/>
    <w:rsid w:val="003176A4"/>
    <w:rsid w:val="00317736"/>
    <w:rsid w:val="003179DF"/>
    <w:rsid w:val="0032044B"/>
    <w:rsid w:val="0032079A"/>
    <w:rsid w:val="00320858"/>
    <w:rsid w:val="00320FE2"/>
    <w:rsid w:val="00321095"/>
    <w:rsid w:val="003212DF"/>
    <w:rsid w:val="00321802"/>
    <w:rsid w:val="00321CE8"/>
    <w:rsid w:val="00322D93"/>
    <w:rsid w:val="00323238"/>
    <w:rsid w:val="00323B94"/>
    <w:rsid w:val="00323F09"/>
    <w:rsid w:val="00323FB4"/>
    <w:rsid w:val="00324431"/>
    <w:rsid w:val="0032448F"/>
    <w:rsid w:val="00324614"/>
    <w:rsid w:val="00324C6B"/>
    <w:rsid w:val="00325600"/>
    <w:rsid w:val="003258D7"/>
    <w:rsid w:val="00325D77"/>
    <w:rsid w:val="00326184"/>
    <w:rsid w:val="00326415"/>
    <w:rsid w:val="0032700D"/>
    <w:rsid w:val="003270ED"/>
    <w:rsid w:val="003303A0"/>
    <w:rsid w:val="003306C3"/>
    <w:rsid w:val="003310D1"/>
    <w:rsid w:val="00331303"/>
    <w:rsid w:val="0033155A"/>
    <w:rsid w:val="003315F1"/>
    <w:rsid w:val="00331C03"/>
    <w:rsid w:val="00331D8B"/>
    <w:rsid w:val="00331EFB"/>
    <w:rsid w:val="0033224E"/>
    <w:rsid w:val="00332370"/>
    <w:rsid w:val="0033256D"/>
    <w:rsid w:val="00332758"/>
    <w:rsid w:val="00332D31"/>
    <w:rsid w:val="003338DC"/>
    <w:rsid w:val="003342D5"/>
    <w:rsid w:val="0033442C"/>
    <w:rsid w:val="00334702"/>
    <w:rsid w:val="00334A2A"/>
    <w:rsid w:val="00334BEE"/>
    <w:rsid w:val="00334C02"/>
    <w:rsid w:val="00334D2D"/>
    <w:rsid w:val="0033543E"/>
    <w:rsid w:val="003358FC"/>
    <w:rsid w:val="00335F32"/>
    <w:rsid w:val="00335F44"/>
    <w:rsid w:val="003363C1"/>
    <w:rsid w:val="0033648A"/>
    <w:rsid w:val="00336563"/>
    <w:rsid w:val="00336D2C"/>
    <w:rsid w:val="00337383"/>
    <w:rsid w:val="00337630"/>
    <w:rsid w:val="00337681"/>
    <w:rsid w:val="00337963"/>
    <w:rsid w:val="00337C49"/>
    <w:rsid w:val="00337CBD"/>
    <w:rsid w:val="00337F51"/>
    <w:rsid w:val="003401B6"/>
    <w:rsid w:val="00340C22"/>
    <w:rsid w:val="00340E99"/>
    <w:rsid w:val="003410F9"/>
    <w:rsid w:val="00341100"/>
    <w:rsid w:val="003411F9"/>
    <w:rsid w:val="003411FD"/>
    <w:rsid w:val="00341299"/>
    <w:rsid w:val="00341609"/>
    <w:rsid w:val="00341C3D"/>
    <w:rsid w:val="00341C9C"/>
    <w:rsid w:val="003421A7"/>
    <w:rsid w:val="00342441"/>
    <w:rsid w:val="003427AD"/>
    <w:rsid w:val="00342C2A"/>
    <w:rsid w:val="00342C3F"/>
    <w:rsid w:val="003437A2"/>
    <w:rsid w:val="00343863"/>
    <w:rsid w:val="00343BD4"/>
    <w:rsid w:val="00343E3E"/>
    <w:rsid w:val="0034404E"/>
    <w:rsid w:val="003440E0"/>
    <w:rsid w:val="00344E67"/>
    <w:rsid w:val="00345021"/>
    <w:rsid w:val="00345045"/>
    <w:rsid w:val="00345F2C"/>
    <w:rsid w:val="003468AD"/>
    <w:rsid w:val="00346B72"/>
    <w:rsid w:val="00346D2C"/>
    <w:rsid w:val="0034742C"/>
    <w:rsid w:val="003475F8"/>
    <w:rsid w:val="003478C4"/>
    <w:rsid w:val="0034790E"/>
    <w:rsid w:val="00347F37"/>
    <w:rsid w:val="00347F8A"/>
    <w:rsid w:val="003500FE"/>
    <w:rsid w:val="00350120"/>
    <w:rsid w:val="003509F1"/>
    <w:rsid w:val="00350A5C"/>
    <w:rsid w:val="00350C21"/>
    <w:rsid w:val="00350D7E"/>
    <w:rsid w:val="00350E35"/>
    <w:rsid w:val="00350ECA"/>
    <w:rsid w:val="0035107D"/>
    <w:rsid w:val="003510B9"/>
    <w:rsid w:val="0035146C"/>
    <w:rsid w:val="00351B4F"/>
    <w:rsid w:val="00351EE2"/>
    <w:rsid w:val="00351EFB"/>
    <w:rsid w:val="003523AE"/>
    <w:rsid w:val="003524A0"/>
    <w:rsid w:val="00352786"/>
    <w:rsid w:val="003527CF"/>
    <w:rsid w:val="00352894"/>
    <w:rsid w:val="00352C7B"/>
    <w:rsid w:val="00352FFF"/>
    <w:rsid w:val="003536DC"/>
    <w:rsid w:val="00353823"/>
    <w:rsid w:val="0035388F"/>
    <w:rsid w:val="00353B50"/>
    <w:rsid w:val="00354137"/>
    <w:rsid w:val="00354789"/>
    <w:rsid w:val="00354795"/>
    <w:rsid w:val="00354923"/>
    <w:rsid w:val="00354BE6"/>
    <w:rsid w:val="0035510B"/>
    <w:rsid w:val="003553C9"/>
    <w:rsid w:val="003555BF"/>
    <w:rsid w:val="0035561D"/>
    <w:rsid w:val="0035566A"/>
    <w:rsid w:val="00355E68"/>
    <w:rsid w:val="00356F03"/>
    <w:rsid w:val="0035793C"/>
    <w:rsid w:val="00357DBE"/>
    <w:rsid w:val="003603FB"/>
    <w:rsid w:val="00360945"/>
    <w:rsid w:val="00360A7E"/>
    <w:rsid w:val="00360BBC"/>
    <w:rsid w:val="00360F91"/>
    <w:rsid w:val="00361049"/>
    <w:rsid w:val="003611F0"/>
    <w:rsid w:val="003615B2"/>
    <w:rsid w:val="003618C8"/>
    <w:rsid w:val="00361A7F"/>
    <w:rsid w:val="0036209F"/>
    <w:rsid w:val="00362824"/>
    <w:rsid w:val="003628C3"/>
    <w:rsid w:val="00362CB4"/>
    <w:rsid w:val="00362DCF"/>
    <w:rsid w:val="0036318C"/>
    <w:rsid w:val="00363A9E"/>
    <w:rsid w:val="00363C90"/>
    <w:rsid w:val="00363CA7"/>
    <w:rsid w:val="00363FA5"/>
    <w:rsid w:val="00364115"/>
    <w:rsid w:val="003644CA"/>
    <w:rsid w:val="00364918"/>
    <w:rsid w:val="00364B94"/>
    <w:rsid w:val="00364D2B"/>
    <w:rsid w:val="00364F73"/>
    <w:rsid w:val="003651F0"/>
    <w:rsid w:val="00365456"/>
    <w:rsid w:val="003654B6"/>
    <w:rsid w:val="00365618"/>
    <w:rsid w:val="003665B4"/>
    <w:rsid w:val="0036691F"/>
    <w:rsid w:val="003669AB"/>
    <w:rsid w:val="00366AB6"/>
    <w:rsid w:val="003673DA"/>
    <w:rsid w:val="00367B4E"/>
    <w:rsid w:val="00370217"/>
    <w:rsid w:val="00370DAF"/>
    <w:rsid w:val="003719C0"/>
    <w:rsid w:val="00371C73"/>
    <w:rsid w:val="00371CE8"/>
    <w:rsid w:val="00372E25"/>
    <w:rsid w:val="0037301E"/>
    <w:rsid w:val="00373400"/>
    <w:rsid w:val="00373AD7"/>
    <w:rsid w:val="00373AF4"/>
    <w:rsid w:val="00373CC0"/>
    <w:rsid w:val="00373F32"/>
    <w:rsid w:val="003744EE"/>
    <w:rsid w:val="00374B5F"/>
    <w:rsid w:val="00374E2B"/>
    <w:rsid w:val="00374FAF"/>
    <w:rsid w:val="003751F1"/>
    <w:rsid w:val="00375260"/>
    <w:rsid w:val="003752EA"/>
    <w:rsid w:val="003756F7"/>
    <w:rsid w:val="00375822"/>
    <w:rsid w:val="003758DD"/>
    <w:rsid w:val="00375AF1"/>
    <w:rsid w:val="00375CED"/>
    <w:rsid w:val="003760F7"/>
    <w:rsid w:val="003762DB"/>
    <w:rsid w:val="00376ABB"/>
    <w:rsid w:val="00376C1A"/>
    <w:rsid w:val="00376C5A"/>
    <w:rsid w:val="00376E47"/>
    <w:rsid w:val="00376F80"/>
    <w:rsid w:val="003771FE"/>
    <w:rsid w:val="0037721F"/>
    <w:rsid w:val="0037741E"/>
    <w:rsid w:val="00377A02"/>
    <w:rsid w:val="00377AE5"/>
    <w:rsid w:val="00377CC0"/>
    <w:rsid w:val="00377F00"/>
    <w:rsid w:val="00377FF0"/>
    <w:rsid w:val="00377FF4"/>
    <w:rsid w:val="00380AE7"/>
    <w:rsid w:val="00381443"/>
    <w:rsid w:val="00381B1B"/>
    <w:rsid w:val="003821FD"/>
    <w:rsid w:val="00382BD3"/>
    <w:rsid w:val="00382CA0"/>
    <w:rsid w:val="00382F87"/>
    <w:rsid w:val="003833D6"/>
    <w:rsid w:val="0038352D"/>
    <w:rsid w:val="00384454"/>
    <w:rsid w:val="00384D6F"/>
    <w:rsid w:val="00384D99"/>
    <w:rsid w:val="00384FB9"/>
    <w:rsid w:val="00385415"/>
    <w:rsid w:val="0038586E"/>
    <w:rsid w:val="00385B5B"/>
    <w:rsid w:val="003860B3"/>
    <w:rsid w:val="003863BF"/>
    <w:rsid w:val="00386546"/>
    <w:rsid w:val="00387570"/>
    <w:rsid w:val="0038782A"/>
    <w:rsid w:val="00387BAA"/>
    <w:rsid w:val="00387BE1"/>
    <w:rsid w:val="00387FDC"/>
    <w:rsid w:val="00387FDF"/>
    <w:rsid w:val="003905A0"/>
    <w:rsid w:val="00390EC4"/>
    <w:rsid w:val="0039114E"/>
    <w:rsid w:val="0039175A"/>
    <w:rsid w:val="0039185D"/>
    <w:rsid w:val="0039207D"/>
    <w:rsid w:val="0039272F"/>
    <w:rsid w:val="00392981"/>
    <w:rsid w:val="003938CC"/>
    <w:rsid w:val="0039395A"/>
    <w:rsid w:val="0039396F"/>
    <w:rsid w:val="0039549A"/>
    <w:rsid w:val="003959BA"/>
    <w:rsid w:val="003960A9"/>
    <w:rsid w:val="0039634E"/>
    <w:rsid w:val="00396C5E"/>
    <w:rsid w:val="00397071"/>
    <w:rsid w:val="00397130"/>
    <w:rsid w:val="00397470"/>
    <w:rsid w:val="0039795A"/>
    <w:rsid w:val="00397994"/>
    <w:rsid w:val="003979F3"/>
    <w:rsid w:val="00397C3F"/>
    <w:rsid w:val="00397D57"/>
    <w:rsid w:val="00397FF5"/>
    <w:rsid w:val="003A00C1"/>
    <w:rsid w:val="003A00C4"/>
    <w:rsid w:val="003A01B4"/>
    <w:rsid w:val="003A0678"/>
    <w:rsid w:val="003A0C2E"/>
    <w:rsid w:val="003A0C4E"/>
    <w:rsid w:val="003A12FC"/>
    <w:rsid w:val="003A21BB"/>
    <w:rsid w:val="003A29D7"/>
    <w:rsid w:val="003A2CAC"/>
    <w:rsid w:val="003A2D90"/>
    <w:rsid w:val="003A2E5F"/>
    <w:rsid w:val="003A3304"/>
    <w:rsid w:val="003A333B"/>
    <w:rsid w:val="003A33AB"/>
    <w:rsid w:val="003A343B"/>
    <w:rsid w:val="003A3489"/>
    <w:rsid w:val="003A35CC"/>
    <w:rsid w:val="003A3706"/>
    <w:rsid w:val="003A409E"/>
    <w:rsid w:val="003A4B2C"/>
    <w:rsid w:val="003A53FC"/>
    <w:rsid w:val="003A5434"/>
    <w:rsid w:val="003A580E"/>
    <w:rsid w:val="003A6469"/>
    <w:rsid w:val="003A667F"/>
    <w:rsid w:val="003A727F"/>
    <w:rsid w:val="003A72EA"/>
    <w:rsid w:val="003A7FAD"/>
    <w:rsid w:val="003B06D7"/>
    <w:rsid w:val="003B098C"/>
    <w:rsid w:val="003B0F8F"/>
    <w:rsid w:val="003B1DE2"/>
    <w:rsid w:val="003B227F"/>
    <w:rsid w:val="003B2458"/>
    <w:rsid w:val="003B2B13"/>
    <w:rsid w:val="003B2BA0"/>
    <w:rsid w:val="003B2E62"/>
    <w:rsid w:val="003B317D"/>
    <w:rsid w:val="003B34E6"/>
    <w:rsid w:val="003B3C9A"/>
    <w:rsid w:val="003B3DE4"/>
    <w:rsid w:val="003B4038"/>
    <w:rsid w:val="003B4456"/>
    <w:rsid w:val="003B458C"/>
    <w:rsid w:val="003B47DA"/>
    <w:rsid w:val="003B47EE"/>
    <w:rsid w:val="003B4B59"/>
    <w:rsid w:val="003B5045"/>
    <w:rsid w:val="003B50D8"/>
    <w:rsid w:val="003B532C"/>
    <w:rsid w:val="003B6017"/>
    <w:rsid w:val="003B679D"/>
    <w:rsid w:val="003B6BA3"/>
    <w:rsid w:val="003B6C5B"/>
    <w:rsid w:val="003B6DB4"/>
    <w:rsid w:val="003B736E"/>
    <w:rsid w:val="003B73C6"/>
    <w:rsid w:val="003B7775"/>
    <w:rsid w:val="003B7A0C"/>
    <w:rsid w:val="003B7CB8"/>
    <w:rsid w:val="003B7D79"/>
    <w:rsid w:val="003B7EBE"/>
    <w:rsid w:val="003C083E"/>
    <w:rsid w:val="003C0F3F"/>
    <w:rsid w:val="003C18BC"/>
    <w:rsid w:val="003C19D7"/>
    <w:rsid w:val="003C1DC5"/>
    <w:rsid w:val="003C1EFE"/>
    <w:rsid w:val="003C1F67"/>
    <w:rsid w:val="003C1FB0"/>
    <w:rsid w:val="003C245F"/>
    <w:rsid w:val="003C281B"/>
    <w:rsid w:val="003C2EBD"/>
    <w:rsid w:val="003C3132"/>
    <w:rsid w:val="003C36A0"/>
    <w:rsid w:val="003C3E78"/>
    <w:rsid w:val="003C4C84"/>
    <w:rsid w:val="003C50AF"/>
    <w:rsid w:val="003C51A2"/>
    <w:rsid w:val="003C54B4"/>
    <w:rsid w:val="003C572B"/>
    <w:rsid w:val="003C7D07"/>
    <w:rsid w:val="003C7E5A"/>
    <w:rsid w:val="003C7E92"/>
    <w:rsid w:val="003D0113"/>
    <w:rsid w:val="003D02CB"/>
    <w:rsid w:val="003D05BD"/>
    <w:rsid w:val="003D0B22"/>
    <w:rsid w:val="003D10DD"/>
    <w:rsid w:val="003D186F"/>
    <w:rsid w:val="003D18C8"/>
    <w:rsid w:val="003D1BF9"/>
    <w:rsid w:val="003D1E8A"/>
    <w:rsid w:val="003D2424"/>
    <w:rsid w:val="003D2446"/>
    <w:rsid w:val="003D25D1"/>
    <w:rsid w:val="003D29CD"/>
    <w:rsid w:val="003D2E9C"/>
    <w:rsid w:val="003D302C"/>
    <w:rsid w:val="003D35EB"/>
    <w:rsid w:val="003D3E35"/>
    <w:rsid w:val="003D430E"/>
    <w:rsid w:val="003D4574"/>
    <w:rsid w:val="003D48B7"/>
    <w:rsid w:val="003D4CBB"/>
    <w:rsid w:val="003D538A"/>
    <w:rsid w:val="003D5730"/>
    <w:rsid w:val="003D5D1D"/>
    <w:rsid w:val="003D6F00"/>
    <w:rsid w:val="003D6FD7"/>
    <w:rsid w:val="003D755E"/>
    <w:rsid w:val="003D7672"/>
    <w:rsid w:val="003D7749"/>
    <w:rsid w:val="003E0949"/>
    <w:rsid w:val="003E0CDD"/>
    <w:rsid w:val="003E0D88"/>
    <w:rsid w:val="003E0E26"/>
    <w:rsid w:val="003E11A9"/>
    <w:rsid w:val="003E1240"/>
    <w:rsid w:val="003E179A"/>
    <w:rsid w:val="003E1899"/>
    <w:rsid w:val="003E2427"/>
    <w:rsid w:val="003E25C3"/>
    <w:rsid w:val="003E2F28"/>
    <w:rsid w:val="003E2F73"/>
    <w:rsid w:val="003E3089"/>
    <w:rsid w:val="003E316C"/>
    <w:rsid w:val="003E3922"/>
    <w:rsid w:val="003E3AF4"/>
    <w:rsid w:val="003E3D19"/>
    <w:rsid w:val="003E3FD8"/>
    <w:rsid w:val="003E4530"/>
    <w:rsid w:val="003E47BF"/>
    <w:rsid w:val="003E48B5"/>
    <w:rsid w:val="003E4CB3"/>
    <w:rsid w:val="003E5598"/>
    <w:rsid w:val="003E59F4"/>
    <w:rsid w:val="003E5F95"/>
    <w:rsid w:val="003E6388"/>
    <w:rsid w:val="003E6D6D"/>
    <w:rsid w:val="003E6F38"/>
    <w:rsid w:val="003F0078"/>
    <w:rsid w:val="003F03CB"/>
    <w:rsid w:val="003F08B8"/>
    <w:rsid w:val="003F0B5E"/>
    <w:rsid w:val="003F0D59"/>
    <w:rsid w:val="003F0D62"/>
    <w:rsid w:val="003F0D9C"/>
    <w:rsid w:val="003F0F3D"/>
    <w:rsid w:val="003F1313"/>
    <w:rsid w:val="003F1FC6"/>
    <w:rsid w:val="003F3005"/>
    <w:rsid w:val="003F37C4"/>
    <w:rsid w:val="003F3A90"/>
    <w:rsid w:val="003F3C3B"/>
    <w:rsid w:val="003F4498"/>
    <w:rsid w:val="003F4640"/>
    <w:rsid w:val="003F4ED2"/>
    <w:rsid w:val="003F5011"/>
    <w:rsid w:val="003F5030"/>
    <w:rsid w:val="003F5063"/>
    <w:rsid w:val="003F52BF"/>
    <w:rsid w:val="003F5A92"/>
    <w:rsid w:val="003F5CE3"/>
    <w:rsid w:val="003F6099"/>
    <w:rsid w:val="003F6188"/>
    <w:rsid w:val="003F635B"/>
    <w:rsid w:val="003F6E42"/>
    <w:rsid w:val="003F6F9F"/>
    <w:rsid w:val="003F7350"/>
    <w:rsid w:val="003F7637"/>
    <w:rsid w:val="003F7948"/>
    <w:rsid w:val="003F7A04"/>
    <w:rsid w:val="003F7AC0"/>
    <w:rsid w:val="003F7C53"/>
    <w:rsid w:val="0040023A"/>
    <w:rsid w:val="00400495"/>
    <w:rsid w:val="004005B2"/>
    <w:rsid w:val="00400BA8"/>
    <w:rsid w:val="00401137"/>
    <w:rsid w:val="0040179D"/>
    <w:rsid w:val="00402299"/>
    <w:rsid w:val="00402C2A"/>
    <w:rsid w:val="00402EDC"/>
    <w:rsid w:val="00402EF4"/>
    <w:rsid w:val="00404487"/>
    <w:rsid w:val="0040467C"/>
    <w:rsid w:val="004046A6"/>
    <w:rsid w:val="00404B96"/>
    <w:rsid w:val="00404D23"/>
    <w:rsid w:val="004051BD"/>
    <w:rsid w:val="00405BC4"/>
    <w:rsid w:val="00406048"/>
    <w:rsid w:val="00406326"/>
    <w:rsid w:val="00406517"/>
    <w:rsid w:val="00406696"/>
    <w:rsid w:val="0040691A"/>
    <w:rsid w:val="00406AD7"/>
    <w:rsid w:val="00407414"/>
    <w:rsid w:val="00407574"/>
    <w:rsid w:val="00407846"/>
    <w:rsid w:val="00410047"/>
    <w:rsid w:val="004102AB"/>
    <w:rsid w:val="00411036"/>
    <w:rsid w:val="00411610"/>
    <w:rsid w:val="0041174F"/>
    <w:rsid w:val="00411C70"/>
    <w:rsid w:val="00412018"/>
    <w:rsid w:val="00412281"/>
    <w:rsid w:val="00412D5D"/>
    <w:rsid w:val="00412DB3"/>
    <w:rsid w:val="004134B8"/>
    <w:rsid w:val="00413902"/>
    <w:rsid w:val="00413A0B"/>
    <w:rsid w:val="00413C52"/>
    <w:rsid w:val="00414365"/>
    <w:rsid w:val="00414725"/>
    <w:rsid w:val="00414A6A"/>
    <w:rsid w:val="00414B6A"/>
    <w:rsid w:val="00414DDE"/>
    <w:rsid w:val="00415023"/>
    <w:rsid w:val="0041516A"/>
    <w:rsid w:val="004151C2"/>
    <w:rsid w:val="004153D3"/>
    <w:rsid w:val="0041556F"/>
    <w:rsid w:val="004157C8"/>
    <w:rsid w:val="004167E6"/>
    <w:rsid w:val="00416B82"/>
    <w:rsid w:val="00416B9F"/>
    <w:rsid w:val="00416FCE"/>
    <w:rsid w:val="0041727C"/>
    <w:rsid w:val="00417837"/>
    <w:rsid w:val="00417903"/>
    <w:rsid w:val="00420976"/>
    <w:rsid w:val="00421A02"/>
    <w:rsid w:val="00421C0D"/>
    <w:rsid w:val="00422026"/>
    <w:rsid w:val="00422553"/>
    <w:rsid w:val="00422AD8"/>
    <w:rsid w:val="00422BCA"/>
    <w:rsid w:val="00422E74"/>
    <w:rsid w:val="00423146"/>
    <w:rsid w:val="00423311"/>
    <w:rsid w:val="0042368A"/>
    <w:rsid w:val="004239A0"/>
    <w:rsid w:val="00424459"/>
    <w:rsid w:val="0042456E"/>
    <w:rsid w:val="00424735"/>
    <w:rsid w:val="00424DB5"/>
    <w:rsid w:val="004262D1"/>
    <w:rsid w:val="00426F6B"/>
    <w:rsid w:val="00427184"/>
    <w:rsid w:val="00427299"/>
    <w:rsid w:val="00427800"/>
    <w:rsid w:val="00430871"/>
    <w:rsid w:val="00430B47"/>
    <w:rsid w:val="00430EBC"/>
    <w:rsid w:val="00430F58"/>
    <w:rsid w:val="00430F69"/>
    <w:rsid w:val="0043117B"/>
    <w:rsid w:val="004312AD"/>
    <w:rsid w:val="004316ED"/>
    <w:rsid w:val="004319F5"/>
    <w:rsid w:val="00431E3A"/>
    <w:rsid w:val="00432203"/>
    <w:rsid w:val="00432647"/>
    <w:rsid w:val="00432696"/>
    <w:rsid w:val="004327B5"/>
    <w:rsid w:val="0043314E"/>
    <w:rsid w:val="0043321E"/>
    <w:rsid w:val="00433542"/>
    <w:rsid w:val="0043360D"/>
    <w:rsid w:val="00433860"/>
    <w:rsid w:val="00433A85"/>
    <w:rsid w:val="00434C49"/>
    <w:rsid w:val="00435352"/>
    <w:rsid w:val="00435465"/>
    <w:rsid w:val="004354B3"/>
    <w:rsid w:val="00435B25"/>
    <w:rsid w:val="0043625C"/>
    <w:rsid w:val="00436673"/>
    <w:rsid w:val="004366BF"/>
    <w:rsid w:val="00436834"/>
    <w:rsid w:val="004368A0"/>
    <w:rsid w:val="00437464"/>
    <w:rsid w:val="00437476"/>
    <w:rsid w:val="00437E90"/>
    <w:rsid w:val="00440420"/>
    <w:rsid w:val="00440730"/>
    <w:rsid w:val="00440BDB"/>
    <w:rsid w:val="00440CC4"/>
    <w:rsid w:val="00441057"/>
    <w:rsid w:val="0044132C"/>
    <w:rsid w:val="004414BC"/>
    <w:rsid w:val="00441C21"/>
    <w:rsid w:val="00441EA0"/>
    <w:rsid w:val="00442137"/>
    <w:rsid w:val="004427B7"/>
    <w:rsid w:val="00442814"/>
    <w:rsid w:val="0044285D"/>
    <w:rsid w:val="00442923"/>
    <w:rsid w:val="00442BEB"/>
    <w:rsid w:val="00442F3B"/>
    <w:rsid w:val="0044335D"/>
    <w:rsid w:val="00443367"/>
    <w:rsid w:val="00443441"/>
    <w:rsid w:val="004435C3"/>
    <w:rsid w:val="00443B7A"/>
    <w:rsid w:val="00444AA1"/>
    <w:rsid w:val="00444C91"/>
    <w:rsid w:val="00444F70"/>
    <w:rsid w:val="004450CD"/>
    <w:rsid w:val="0044534C"/>
    <w:rsid w:val="0044572D"/>
    <w:rsid w:val="004457D0"/>
    <w:rsid w:val="004458EC"/>
    <w:rsid w:val="00446146"/>
    <w:rsid w:val="0044633D"/>
    <w:rsid w:val="0044634D"/>
    <w:rsid w:val="00446449"/>
    <w:rsid w:val="00446504"/>
    <w:rsid w:val="00446893"/>
    <w:rsid w:val="00446986"/>
    <w:rsid w:val="00447328"/>
    <w:rsid w:val="004474B3"/>
    <w:rsid w:val="00447B09"/>
    <w:rsid w:val="00447C85"/>
    <w:rsid w:val="004502EE"/>
    <w:rsid w:val="0045035A"/>
    <w:rsid w:val="00450475"/>
    <w:rsid w:val="00450744"/>
    <w:rsid w:val="0045078F"/>
    <w:rsid w:val="00451461"/>
    <w:rsid w:val="004517FA"/>
    <w:rsid w:val="00451DB7"/>
    <w:rsid w:val="00451EB0"/>
    <w:rsid w:val="00452404"/>
    <w:rsid w:val="004529A1"/>
    <w:rsid w:val="00452C77"/>
    <w:rsid w:val="00452FDC"/>
    <w:rsid w:val="004533C9"/>
    <w:rsid w:val="00453512"/>
    <w:rsid w:val="0045399C"/>
    <w:rsid w:val="00453EA1"/>
    <w:rsid w:val="004540F7"/>
    <w:rsid w:val="00454B5C"/>
    <w:rsid w:val="00454F9C"/>
    <w:rsid w:val="0045513B"/>
    <w:rsid w:val="00455B5C"/>
    <w:rsid w:val="00455CF4"/>
    <w:rsid w:val="00455D79"/>
    <w:rsid w:val="004566BD"/>
    <w:rsid w:val="00456C38"/>
    <w:rsid w:val="004573B9"/>
    <w:rsid w:val="004574A9"/>
    <w:rsid w:val="00457BA0"/>
    <w:rsid w:val="00460824"/>
    <w:rsid w:val="00460B3E"/>
    <w:rsid w:val="00461554"/>
    <w:rsid w:val="00461EEA"/>
    <w:rsid w:val="004620C8"/>
    <w:rsid w:val="00462370"/>
    <w:rsid w:val="004623FB"/>
    <w:rsid w:val="004627FE"/>
    <w:rsid w:val="00462DF0"/>
    <w:rsid w:val="00462EA5"/>
    <w:rsid w:val="0046338A"/>
    <w:rsid w:val="00463522"/>
    <w:rsid w:val="00464384"/>
    <w:rsid w:val="004643E8"/>
    <w:rsid w:val="0046448E"/>
    <w:rsid w:val="00464B14"/>
    <w:rsid w:val="0046507C"/>
    <w:rsid w:val="004652E5"/>
    <w:rsid w:val="00465555"/>
    <w:rsid w:val="00465561"/>
    <w:rsid w:val="0046581D"/>
    <w:rsid w:val="00465859"/>
    <w:rsid w:val="004658EA"/>
    <w:rsid w:val="00465C39"/>
    <w:rsid w:val="00465E7E"/>
    <w:rsid w:val="00466668"/>
    <w:rsid w:val="004666CB"/>
    <w:rsid w:val="00466939"/>
    <w:rsid w:val="00466DC2"/>
    <w:rsid w:val="00466EC1"/>
    <w:rsid w:val="004673CD"/>
    <w:rsid w:val="004679E8"/>
    <w:rsid w:val="00467D44"/>
    <w:rsid w:val="00467F69"/>
    <w:rsid w:val="00470043"/>
    <w:rsid w:val="0047047F"/>
    <w:rsid w:val="004704A2"/>
    <w:rsid w:val="00470552"/>
    <w:rsid w:val="00471950"/>
    <w:rsid w:val="00472587"/>
    <w:rsid w:val="00473531"/>
    <w:rsid w:val="0047375F"/>
    <w:rsid w:val="0047396A"/>
    <w:rsid w:val="00474241"/>
    <w:rsid w:val="004742BB"/>
    <w:rsid w:val="00474566"/>
    <w:rsid w:val="004747C6"/>
    <w:rsid w:val="00474BB4"/>
    <w:rsid w:val="00474E40"/>
    <w:rsid w:val="00475085"/>
    <w:rsid w:val="0047584D"/>
    <w:rsid w:val="0047588F"/>
    <w:rsid w:val="00475D69"/>
    <w:rsid w:val="004761B4"/>
    <w:rsid w:val="0047692E"/>
    <w:rsid w:val="00476E1C"/>
    <w:rsid w:val="00476E3C"/>
    <w:rsid w:val="00476E81"/>
    <w:rsid w:val="00477B6F"/>
    <w:rsid w:val="00477BCC"/>
    <w:rsid w:val="00477BFC"/>
    <w:rsid w:val="00477E91"/>
    <w:rsid w:val="0048092D"/>
    <w:rsid w:val="00480B7E"/>
    <w:rsid w:val="0048132F"/>
    <w:rsid w:val="00481430"/>
    <w:rsid w:val="00481D24"/>
    <w:rsid w:val="00482F25"/>
    <w:rsid w:val="004830AF"/>
    <w:rsid w:val="004830B4"/>
    <w:rsid w:val="004837FB"/>
    <w:rsid w:val="00483DEF"/>
    <w:rsid w:val="00483F15"/>
    <w:rsid w:val="0048417C"/>
    <w:rsid w:val="0048439C"/>
    <w:rsid w:val="004843F1"/>
    <w:rsid w:val="004844F5"/>
    <w:rsid w:val="00484808"/>
    <w:rsid w:val="0048559D"/>
    <w:rsid w:val="00485691"/>
    <w:rsid w:val="0048585E"/>
    <w:rsid w:val="00485955"/>
    <w:rsid w:val="00486078"/>
    <w:rsid w:val="004863A1"/>
    <w:rsid w:val="00486A0C"/>
    <w:rsid w:val="0048701A"/>
    <w:rsid w:val="004874DE"/>
    <w:rsid w:val="00487582"/>
    <w:rsid w:val="0048775A"/>
    <w:rsid w:val="00487D6F"/>
    <w:rsid w:val="00490031"/>
    <w:rsid w:val="00490194"/>
    <w:rsid w:val="00490DFB"/>
    <w:rsid w:val="00490E22"/>
    <w:rsid w:val="00490E60"/>
    <w:rsid w:val="0049105D"/>
    <w:rsid w:val="0049113A"/>
    <w:rsid w:val="0049138F"/>
    <w:rsid w:val="004914F9"/>
    <w:rsid w:val="0049177E"/>
    <w:rsid w:val="00491873"/>
    <w:rsid w:val="004919CC"/>
    <w:rsid w:val="00491B46"/>
    <w:rsid w:val="00491C33"/>
    <w:rsid w:val="00491CDE"/>
    <w:rsid w:val="00491FC4"/>
    <w:rsid w:val="00492AF5"/>
    <w:rsid w:val="00492EF0"/>
    <w:rsid w:val="00493309"/>
    <w:rsid w:val="00493918"/>
    <w:rsid w:val="00493C4B"/>
    <w:rsid w:val="00494008"/>
    <w:rsid w:val="00494739"/>
    <w:rsid w:val="00494B12"/>
    <w:rsid w:val="00494B8D"/>
    <w:rsid w:val="004959E0"/>
    <w:rsid w:val="00495F19"/>
    <w:rsid w:val="0049615F"/>
    <w:rsid w:val="004961E3"/>
    <w:rsid w:val="0049782C"/>
    <w:rsid w:val="0049789C"/>
    <w:rsid w:val="00497EDA"/>
    <w:rsid w:val="004A0233"/>
    <w:rsid w:val="004A0637"/>
    <w:rsid w:val="004A06AD"/>
    <w:rsid w:val="004A082C"/>
    <w:rsid w:val="004A0ACF"/>
    <w:rsid w:val="004A0D21"/>
    <w:rsid w:val="004A18A7"/>
    <w:rsid w:val="004A1A8A"/>
    <w:rsid w:val="004A1C9F"/>
    <w:rsid w:val="004A1D7C"/>
    <w:rsid w:val="004A1FE5"/>
    <w:rsid w:val="004A2606"/>
    <w:rsid w:val="004A28D0"/>
    <w:rsid w:val="004A2A65"/>
    <w:rsid w:val="004A3070"/>
    <w:rsid w:val="004A3282"/>
    <w:rsid w:val="004A344E"/>
    <w:rsid w:val="004A3BAD"/>
    <w:rsid w:val="004A4303"/>
    <w:rsid w:val="004A4E27"/>
    <w:rsid w:val="004A4EE5"/>
    <w:rsid w:val="004A4FF0"/>
    <w:rsid w:val="004A5300"/>
    <w:rsid w:val="004A53F5"/>
    <w:rsid w:val="004A56BA"/>
    <w:rsid w:val="004A5874"/>
    <w:rsid w:val="004A5E32"/>
    <w:rsid w:val="004A67A6"/>
    <w:rsid w:val="004A67F4"/>
    <w:rsid w:val="004A685F"/>
    <w:rsid w:val="004A6BC6"/>
    <w:rsid w:val="004A6D46"/>
    <w:rsid w:val="004A7688"/>
    <w:rsid w:val="004A7813"/>
    <w:rsid w:val="004A790F"/>
    <w:rsid w:val="004B0337"/>
    <w:rsid w:val="004B0524"/>
    <w:rsid w:val="004B0805"/>
    <w:rsid w:val="004B0999"/>
    <w:rsid w:val="004B0B96"/>
    <w:rsid w:val="004B11FE"/>
    <w:rsid w:val="004B1862"/>
    <w:rsid w:val="004B1C49"/>
    <w:rsid w:val="004B1D9A"/>
    <w:rsid w:val="004B23B8"/>
    <w:rsid w:val="004B23CC"/>
    <w:rsid w:val="004B2E4B"/>
    <w:rsid w:val="004B2FCC"/>
    <w:rsid w:val="004B34CA"/>
    <w:rsid w:val="004B35A1"/>
    <w:rsid w:val="004B36A8"/>
    <w:rsid w:val="004B388B"/>
    <w:rsid w:val="004B3CE7"/>
    <w:rsid w:val="004B3D3E"/>
    <w:rsid w:val="004B3D59"/>
    <w:rsid w:val="004B4518"/>
    <w:rsid w:val="004B456D"/>
    <w:rsid w:val="004B4FBA"/>
    <w:rsid w:val="004B5302"/>
    <w:rsid w:val="004B56BC"/>
    <w:rsid w:val="004B56CB"/>
    <w:rsid w:val="004B5C46"/>
    <w:rsid w:val="004B63DE"/>
    <w:rsid w:val="004B69CF"/>
    <w:rsid w:val="004B6A3F"/>
    <w:rsid w:val="004B6B5F"/>
    <w:rsid w:val="004B6D3E"/>
    <w:rsid w:val="004B6D69"/>
    <w:rsid w:val="004B6E15"/>
    <w:rsid w:val="004B726A"/>
    <w:rsid w:val="004B7421"/>
    <w:rsid w:val="004C0083"/>
    <w:rsid w:val="004C0D5B"/>
    <w:rsid w:val="004C0F45"/>
    <w:rsid w:val="004C1258"/>
    <w:rsid w:val="004C1A9A"/>
    <w:rsid w:val="004C1AD2"/>
    <w:rsid w:val="004C2152"/>
    <w:rsid w:val="004C24D2"/>
    <w:rsid w:val="004C260D"/>
    <w:rsid w:val="004C2CAD"/>
    <w:rsid w:val="004C30BF"/>
    <w:rsid w:val="004C30E8"/>
    <w:rsid w:val="004C425C"/>
    <w:rsid w:val="004C43E4"/>
    <w:rsid w:val="004C4D75"/>
    <w:rsid w:val="004C4F52"/>
    <w:rsid w:val="004C518F"/>
    <w:rsid w:val="004C5722"/>
    <w:rsid w:val="004C5743"/>
    <w:rsid w:val="004C592D"/>
    <w:rsid w:val="004C59B5"/>
    <w:rsid w:val="004C6020"/>
    <w:rsid w:val="004C677B"/>
    <w:rsid w:val="004C6791"/>
    <w:rsid w:val="004C7070"/>
    <w:rsid w:val="004C74AE"/>
    <w:rsid w:val="004C7695"/>
    <w:rsid w:val="004C7725"/>
    <w:rsid w:val="004C7815"/>
    <w:rsid w:val="004C7C29"/>
    <w:rsid w:val="004D0423"/>
    <w:rsid w:val="004D0638"/>
    <w:rsid w:val="004D075A"/>
    <w:rsid w:val="004D0C42"/>
    <w:rsid w:val="004D0D9A"/>
    <w:rsid w:val="004D10F1"/>
    <w:rsid w:val="004D14F6"/>
    <w:rsid w:val="004D1547"/>
    <w:rsid w:val="004D16E9"/>
    <w:rsid w:val="004D186E"/>
    <w:rsid w:val="004D26CC"/>
    <w:rsid w:val="004D30AB"/>
    <w:rsid w:val="004D33FF"/>
    <w:rsid w:val="004D35BB"/>
    <w:rsid w:val="004D3B0D"/>
    <w:rsid w:val="004D4959"/>
    <w:rsid w:val="004D4C7D"/>
    <w:rsid w:val="004D4DB2"/>
    <w:rsid w:val="004D5679"/>
    <w:rsid w:val="004D6831"/>
    <w:rsid w:val="004D6AD8"/>
    <w:rsid w:val="004D6B8A"/>
    <w:rsid w:val="004D709B"/>
    <w:rsid w:val="004D74F9"/>
    <w:rsid w:val="004D7A60"/>
    <w:rsid w:val="004D7B89"/>
    <w:rsid w:val="004D7B9C"/>
    <w:rsid w:val="004D7C12"/>
    <w:rsid w:val="004D7CB9"/>
    <w:rsid w:val="004D7E3D"/>
    <w:rsid w:val="004E0388"/>
    <w:rsid w:val="004E0ADA"/>
    <w:rsid w:val="004E0E15"/>
    <w:rsid w:val="004E100C"/>
    <w:rsid w:val="004E138F"/>
    <w:rsid w:val="004E14CF"/>
    <w:rsid w:val="004E22FB"/>
    <w:rsid w:val="004E234D"/>
    <w:rsid w:val="004E2A98"/>
    <w:rsid w:val="004E2B6B"/>
    <w:rsid w:val="004E2C9A"/>
    <w:rsid w:val="004E31AA"/>
    <w:rsid w:val="004E3DFD"/>
    <w:rsid w:val="004E4603"/>
    <w:rsid w:val="004E46AF"/>
    <w:rsid w:val="004E4897"/>
    <w:rsid w:val="004E48CD"/>
    <w:rsid w:val="004E4933"/>
    <w:rsid w:val="004E4C9B"/>
    <w:rsid w:val="004E52B2"/>
    <w:rsid w:val="004E53BA"/>
    <w:rsid w:val="004E558A"/>
    <w:rsid w:val="004E55DC"/>
    <w:rsid w:val="004E5A35"/>
    <w:rsid w:val="004E5D2A"/>
    <w:rsid w:val="004E6305"/>
    <w:rsid w:val="004E63D6"/>
    <w:rsid w:val="004E6482"/>
    <w:rsid w:val="004E6A8A"/>
    <w:rsid w:val="004E6E35"/>
    <w:rsid w:val="004E6E9B"/>
    <w:rsid w:val="004E6ECE"/>
    <w:rsid w:val="004E7380"/>
    <w:rsid w:val="004E7514"/>
    <w:rsid w:val="004E7BDD"/>
    <w:rsid w:val="004E7CDB"/>
    <w:rsid w:val="004E7DFF"/>
    <w:rsid w:val="004F0330"/>
    <w:rsid w:val="004F076C"/>
    <w:rsid w:val="004F0B06"/>
    <w:rsid w:val="004F0F9F"/>
    <w:rsid w:val="004F21B5"/>
    <w:rsid w:val="004F23B0"/>
    <w:rsid w:val="004F25E5"/>
    <w:rsid w:val="004F2629"/>
    <w:rsid w:val="004F268E"/>
    <w:rsid w:val="004F2734"/>
    <w:rsid w:val="004F2CCC"/>
    <w:rsid w:val="004F334D"/>
    <w:rsid w:val="004F3A3F"/>
    <w:rsid w:val="004F3B9E"/>
    <w:rsid w:val="004F3D4B"/>
    <w:rsid w:val="004F4175"/>
    <w:rsid w:val="004F41E7"/>
    <w:rsid w:val="004F4D26"/>
    <w:rsid w:val="004F5045"/>
    <w:rsid w:val="004F5BD9"/>
    <w:rsid w:val="004F6256"/>
    <w:rsid w:val="004F639B"/>
    <w:rsid w:val="004F69E6"/>
    <w:rsid w:val="004F6FE0"/>
    <w:rsid w:val="004F764A"/>
    <w:rsid w:val="004F78EA"/>
    <w:rsid w:val="005001BE"/>
    <w:rsid w:val="00500273"/>
    <w:rsid w:val="005003D3"/>
    <w:rsid w:val="005006EB"/>
    <w:rsid w:val="00500815"/>
    <w:rsid w:val="00500AB2"/>
    <w:rsid w:val="00500B7D"/>
    <w:rsid w:val="00501135"/>
    <w:rsid w:val="00501B46"/>
    <w:rsid w:val="00501C08"/>
    <w:rsid w:val="00501C7F"/>
    <w:rsid w:val="00501D10"/>
    <w:rsid w:val="005020E3"/>
    <w:rsid w:val="00502B92"/>
    <w:rsid w:val="005035C1"/>
    <w:rsid w:val="0050388B"/>
    <w:rsid w:val="005038E7"/>
    <w:rsid w:val="0050394A"/>
    <w:rsid w:val="00503E4F"/>
    <w:rsid w:val="0050445A"/>
    <w:rsid w:val="00504E48"/>
    <w:rsid w:val="005051E1"/>
    <w:rsid w:val="00506378"/>
    <w:rsid w:val="0050699D"/>
    <w:rsid w:val="0050712C"/>
    <w:rsid w:val="005076F4"/>
    <w:rsid w:val="005077A5"/>
    <w:rsid w:val="005078E1"/>
    <w:rsid w:val="00507E70"/>
    <w:rsid w:val="00507F93"/>
    <w:rsid w:val="00510191"/>
    <w:rsid w:val="00510DF5"/>
    <w:rsid w:val="005116C3"/>
    <w:rsid w:val="005122B7"/>
    <w:rsid w:val="00512671"/>
    <w:rsid w:val="00512A37"/>
    <w:rsid w:val="0051338A"/>
    <w:rsid w:val="00513878"/>
    <w:rsid w:val="00513BE7"/>
    <w:rsid w:val="005144AB"/>
    <w:rsid w:val="00514803"/>
    <w:rsid w:val="00514B48"/>
    <w:rsid w:val="005159C5"/>
    <w:rsid w:val="00515E7A"/>
    <w:rsid w:val="00515FDC"/>
    <w:rsid w:val="00516116"/>
    <w:rsid w:val="00516364"/>
    <w:rsid w:val="005163CC"/>
    <w:rsid w:val="00516491"/>
    <w:rsid w:val="005167D0"/>
    <w:rsid w:val="005169FF"/>
    <w:rsid w:val="00516A80"/>
    <w:rsid w:val="00517287"/>
    <w:rsid w:val="005177F5"/>
    <w:rsid w:val="005178E4"/>
    <w:rsid w:val="00517961"/>
    <w:rsid w:val="00517B15"/>
    <w:rsid w:val="0052030A"/>
    <w:rsid w:val="0052093D"/>
    <w:rsid w:val="00520B91"/>
    <w:rsid w:val="00521163"/>
    <w:rsid w:val="00522078"/>
    <w:rsid w:val="00522320"/>
    <w:rsid w:val="00522379"/>
    <w:rsid w:val="00523272"/>
    <w:rsid w:val="0052345B"/>
    <w:rsid w:val="00523472"/>
    <w:rsid w:val="005236B2"/>
    <w:rsid w:val="0052396A"/>
    <w:rsid w:val="00523A9F"/>
    <w:rsid w:val="00523AAE"/>
    <w:rsid w:val="00523F61"/>
    <w:rsid w:val="005240DD"/>
    <w:rsid w:val="0052420C"/>
    <w:rsid w:val="005244AD"/>
    <w:rsid w:val="00524589"/>
    <w:rsid w:val="00524612"/>
    <w:rsid w:val="00524780"/>
    <w:rsid w:val="005253C9"/>
    <w:rsid w:val="0052580E"/>
    <w:rsid w:val="00525A3C"/>
    <w:rsid w:val="00525ABC"/>
    <w:rsid w:val="0052631D"/>
    <w:rsid w:val="00526865"/>
    <w:rsid w:val="005269A6"/>
    <w:rsid w:val="00526CD3"/>
    <w:rsid w:val="00527629"/>
    <w:rsid w:val="00527CE3"/>
    <w:rsid w:val="00530B64"/>
    <w:rsid w:val="00530BFE"/>
    <w:rsid w:val="00530D06"/>
    <w:rsid w:val="00530FC0"/>
    <w:rsid w:val="00532651"/>
    <w:rsid w:val="00532856"/>
    <w:rsid w:val="00533110"/>
    <w:rsid w:val="0053348C"/>
    <w:rsid w:val="005334EE"/>
    <w:rsid w:val="0053375D"/>
    <w:rsid w:val="00533AED"/>
    <w:rsid w:val="005341D9"/>
    <w:rsid w:val="00534818"/>
    <w:rsid w:val="00534919"/>
    <w:rsid w:val="00535207"/>
    <w:rsid w:val="0053552D"/>
    <w:rsid w:val="00535E93"/>
    <w:rsid w:val="00535EC0"/>
    <w:rsid w:val="00536117"/>
    <w:rsid w:val="0053747E"/>
    <w:rsid w:val="0053793B"/>
    <w:rsid w:val="00540340"/>
    <w:rsid w:val="00540710"/>
    <w:rsid w:val="00540DEB"/>
    <w:rsid w:val="00541149"/>
    <w:rsid w:val="00541210"/>
    <w:rsid w:val="005412EA"/>
    <w:rsid w:val="005413E4"/>
    <w:rsid w:val="005414EE"/>
    <w:rsid w:val="005418CA"/>
    <w:rsid w:val="00541C57"/>
    <w:rsid w:val="00542D1A"/>
    <w:rsid w:val="005430E2"/>
    <w:rsid w:val="0054327D"/>
    <w:rsid w:val="005433F9"/>
    <w:rsid w:val="005436BA"/>
    <w:rsid w:val="005437C5"/>
    <w:rsid w:val="00543923"/>
    <w:rsid w:val="00543D53"/>
    <w:rsid w:val="00543EF8"/>
    <w:rsid w:val="00544A0B"/>
    <w:rsid w:val="00544DA7"/>
    <w:rsid w:val="005452AF"/>
    <w:rsid w:val="00545674"/>
    <w:rsid w:val="00545D5F"/>
    <w:rsid w:val="005463CF"/>
    <w:rsid w:val="005500EB"/>
    <w:rsid w:val="00550156"/>
    <w:rsid w:val="00550443"/>
    <w:rsid w:val="00550977"/>
    <w:rsid w:val="005509DE"/>
    <w:rsid w:val="00550A38"/>
    <w:rsid w:val="00550D54"/>
    <w:rsid w:val="00550DA0"/>
    <w:rsid w:val="0055134C"/>
    <w:rsid w:val="00552BFB"/>
    <w:rsid w:val="00552C57"/>
    <w:rsid w:val="005530C6"/>
    <w:rsid w:val="00553408"/>
    <w:rsid w:val="00553469"/>
    <w:rsid w:val="00553BBB"/>
    <w:rsid w:val="00554469"/>
    <w:rsid w:val="00554E18"/>
    <w:rsid w:val="0055505F"/>
    <w:rsid w:val="0055516A"/>
    <w:rsid w:val="00555660"/>
    <w:rsid w:val="00555703"/>
    <w:rsid w:val="005557E3"/>
    <w:rsid w:val="00555874"/>
    <w:rsid w:val="00555972"/>
    <w:rsid w:val="00555B89"/>
    <w:rsid w:val="00555F70"/>
    <w:rsid w:val="005566DA"/>
    <w:rsid w:val="00556B24"/>
    <w:rsid w:val="00556EB7"/>
    <w:rsid w:val="005571BF"/>
    <w:rsid w:val="00557C5C"/>
    <w:rsid w:val="00560406"/>
    <w:rsid w:val="005604A3"/>
    <w:rsid w:val="00560535"/>
    <w:rsid w:val="005607DD"/>
    <w:rsid w:val="005611F9"/>
    <w:rsid w:val="005612C0"/>
    <w:rsid w:val="0056147B"/>
    <w:rsid w:val="0056152C"/>
    <w:rsid w:val="005625F0"/>
    <w:rsid w:val="0056280A"/>
    <w:rsid w:val="005629E4"/>
    <w:rsid w:val="00562C09"/>
    <w:rsid w:val="00562D1C"/>
    <w:rsid w:val="00562F2F"/>
    <w:rsid w:val="00562FA0"/>
    <w:rsid w:val="0056341C"/>
    <w:rsid w:val="00563AAE"/>
    <w:rsid w:val="00564905"/>
    <w:rsid w:val="00564FD2"/>
    <w:rsid w:val="005650B0"/>
    <w:rsid w:val="00565439"/>
    <w:rsid w:val="0056562A"/>
    <w:rsid w:val="005667AF"/>
    <w:rsid w:val="00566A02"/>
    <w:rsid w:val="00566C9D"/>
    <w:rsid w:val="005672E5"/>
    <w:rsid w:val="005675E4"/>
    <w:rsid w:val="00567621"/>
    <w:rsid w:val="0056798A"/>
    <w:rsid w:val="00567B58"/>
    <w:rsid w:val="00567C52"/>
    <w:rsid w:val="00567F8C"/>
    <w:rsid w:val="00570296"/>
    <w:rsid w:val="005708CB"/>
    <w:rsid w:val="00570F76"/>
    <w:rsid w:val="00571068"/>
    <w:rsid w:val="00571EEC"/>
    <w:rsid w:val="00571F08"/>
    <w:rsid w:val="00572237"/>
    <w:rsid w:val="00572509"/>
    <w:rsid w:val="00572E8F"/>
    <w:rsid w:val="0057339B"/>
    <w:rsid w:val="005734EE"/>
    <w:rsid w:val="00573770"/>
    <w:rsid w:val="00573C4B"/>
    <w:rsid w:val="00573EBD"/>
    <w:rsid w:val="00574590"/>
    <w:rsid w:val="00574971"/>
    <w:rsid w:val="0057506F"/>
    <w:rsid w:val="005751EA"/>
    <w:rsid w:val="0057525A"/>
    <w:rsid w:val="005752F5"/>
    <w:rsid w:val="00575928"/>
    <w:rsid w:val="00575BFB"/>
    <w:rsid w:val="00575EBD"/>
    <w:rsid w:val="00576022"/>
    <w:rsid w:val="00576523"/>
    <w:rsid w:val="005766B5"/>
    <w:rsid w:val="00576FA7"/>
    <w:rsid w:val="00577293"/>
    <w:rsid w:val="0057732F"/>
    <w:rsid w:val="00580199"/>
    <w:rsid w:val="0058022C"/>
    <w:rsid w:val="005802AE"/>
    <w:rsid w:val="0058060D"/>
    <w:rsid w:val="00580A77"/>
    <w:rsid w:val="00581082"/>
    <w:rsid w:val="00581ABC"/>
    <w:rsid w:val="00581C7C"/>
    <w:rsid w:val="005824CF"/>
    <w:rsid w:val="00582819"/>
    <w:rsid w:val="005828DF"/>
    <w:rsid w:val="00583249"/>
    <w:rsid w:val="0058385A"/>
    <w:rsid w:val="005839B3"/>
    <w:rsid w:val="005839EF"/>
    <w:rsid w:val="00583B25"/>
    <w:rsid w:val="00583CC6"/>
    <w:rsid w:val="00584299"/>
    <w:rsid w:val="005843A0"/>
    <w:rsid w:val="005848DA"/>
    <w:rsid w:val="00584928"/>
    <w:rsid w:val="00584943"/>
    <w:rsid w:val="00585130"/>
    <w:rsid w:val="005856FC"/>
    <w:rsid w:val="005858D2"/>
    <w:rsid w:val="00585AF9"/>
    <w:rsid w:val="00585B13"/>
    <w:rsid w:val="00585B60"/>
    <w:rsid w:val="00585BED"/>
    <w:rsid w:val="00585C28"/>
    <w:rsid w:val="00585D0A"/>
    <w:rsid w:val="005861EB"/>
    <w:rsid w:val="005867AE"/>
    <w:rsid w:val="0058681F"/>
    <w:rsid w:val="00586942"/>
    <w:rsid w:val="00586C15"/>
    <w:rsid w:val="00586ED9"/>
    <w:rsid w:val="0058796C"/>
    <w:rsid w:val="005907B7"/>
    <w:rsid w:val="00590C02"/>
    <w:rsid w:val="00591110"/>
    <w:rsid w:val="005913E4"/>
    <w:rsid w:val="00591DCE"/>
    <w:rsid w:val="00591FFA"/>
    <w:rsid w:val="0059222B"/>
    <w:rsid w:val="00592306"/>
    <w:rsid w:val="00592923"/>
    <w:rsid w:val="00592D50"/>
    <w:rsid w:val="00593BA7"/>
    <w:rsid w:val="00593C36"/>
    <w:rsid w:val="0059405C"/>
    <w:rsid w:val="005942C0"/>
    <w:rsid w:val="005948DC"/>
    <w:rsid w:val="005955BB"/>
    <w:rsid w:val="00595743"/>
    <w:rsid w:val="005958E8"/>
    <w:rsid w:val="00595927"/>
    <w:rsid w:val="00595985"/>
    <w:rsid w:val="00596651"/>
    <w:rsid w:val="00596A3B"/>
    <w:rsid w:val="00596A90"/>
    <w:rsid w:val="00596AE4"/>
    <w:rsid w:val="00596D8F"/>
    <w:rsid w:val="0059722B"/>
    <w:rsid w:val="005A02C7"/>
    <w:rsid w:val="005A055B"/>
    <w:rsid w:val="005A063D"/>
    <w:rsid w:val="005A0C72"/>
    <w:rsid w:val="005A0E40"/>
    <w:rsid w:val="005A0E6D"/>
    <w:rsid w:val="005A0EF8"/>
    <w:rsid w:val="005A107E"/>
    <w:rsid w:val="005A1E50"/>
    <w:rsid w:val="005A2068"/>
    <w:rsid w:val="005A2583"/>
    <w:rsid w:val="005A27A1"/>
    <w:rsid w:val="005A28CF"/>
    <w:rsid w:val="005A2A76"/>
    <w:rsid w:val="005A2C9F"/>
    <w:rsid w:val="005A2D0E"/>
    <w:rsid w:val="005A2F30"/>
    <w:rsid w:val="005A33CA"/>
    <w:rsid w:val="005A3C6E"/>
    <w:rsid w:val="005A4E15"/>
    <w:rsid w:val="005A501F"/>
    <w:rsid w:val="005A52DE"/>
    <w:rsid w:val="005A5A13"/>
    <w:rsid w:val="005A5DEC"/>
    <w:rsid w:val="005A6DC2"/>
    <w:rsid w:val="005A707D"/>
    <w:rsid w:val="005A76AD"/>
    <w:rsid w:val="005A7943"/>
    <w:rsid w:val="005B02BF"/>
    <w:rsid w:val="005B034B"/>
    <w:rsid w:val="005B13AD"/>
    <w:rsid w:val="005B1847"/>
    <w:rsid w:val="005B1A77"/>
    <w:rsid w:val="005B1E27"/>
    <w:rsid w:val="005B208B"/>
    <w:rsid w:val="005B2557"/>
    <w:rsid w:val="005B3097"/>
    <w:rsid w:val="005B33E5"/>
    <w:rsid w:val="005B37CA"/>
    <w:rsid w:val="005B384D"/>
    <w:rsid w:val="005B38A8"/>
    <w:rsid w:val="005B39B2"/>
    <w:rsid w:val="005B3A27"/>
    <w:rsid w:val="005B3CA1"/>
    <w:rsid w:val="005B40AC"/>
    <w:rsid w:val="005B4152"/>
    <w:rsid w:val="005B44E3"/>
    <w:rsid w:val="005B4905"/>
    <w:rsid w:val="005B4AB2"/>
    <w:rsid w:val="005B4BC8"/>
    <w:rsid w:val="005B4C7A"/>
    <w:rsid w:val="005B4E86"/>
    <w:rsid w:val="005B5046"/>
    <w:rsid w:val="005B505D"/>
    <w:rsid w:val="005B568A"/>
    <w:rsid w:val="005B5821"/>
    <w:rsid w:val="005B5D48"/>
    <w:rsid w:val="005B5D6B"/>
    <w:rsid w:val="005B61B0"/>
    <w:rsid w:val="005B61E7"/>
    <w:rsid w:val="005B626A"/>
    <w:rsid w:val="005B626B"/>
    <w:rsid w:val="005B6335"/>
    <w:rsid w:val="005B64EC"/>
    <w:rsid w:val="005B6557"/>
    <w:rsid w:val="005B66F4"/>
    <w:rsid w:val="005B6D9C"/>
    <w:rsid w:val="005B6EF8"/>
    <w:rsid w:val="005B75C8"/>
    <w:rsid w:val="005B7864"/>
    <w:rsid w:val="005B7ABF"/>
    <w:rsid w:val="005B7F5E"/>
    <w:rsid w:val="005C0FFD"/>
    <w:rsid w:val="005C103C"/>
    <w:rsid w:val="005C13A7"/>
    <w:rsid w:val="005C2226"/>
    <w:rsid w:val="005C258F"/>
    <w:rsid w:val="005C2C99"/>
    <w:rsid w:val="005C2D76"/>
    <w:rsid w:val="005C3321"/>
    <w:rsid w:val="005C33B9"/>
    <w:rsid w:val="005C37E8"/>
    <w:rsid w:val="005C41D4"/>
    <w:rsid w:val="005C4240"/>
    <w:rsid w:val="005C45D3"/>
    <w:rsid w:val="005C4B67"/>
    <w:rsid w:val="005C4D18"/>
    <w:rsid w:val="005C51A9"/>
    <w:rsid w:val="005C55ED"/>
    <w:rsid w:val="005C5B40"/>
    <w:rsid w:val="005C5BAC"/>
    <w:rsid w:val="005C60D7"/>
    <w:rsid w:val="005C671B"/>
    <w:rsid w:val="005C721C"/>
    <w:rsid w:val="005C74AA"/>
    <w:rsid w:val="005C75A3"/>
    <w:rsid w:val="005C7FF3"/>
    <w:rsid w:val="005D0CE3"/>
    <w:rsid w:val="005D0CEA"/>
    <w:rsid w:val="005D1F3A"/>
    <w:rsid w:val="005D236E"/>
    <w:rsid w:val="005D2457"/>
    <w:rsid w:val="005D2520"/>
    <w:rsid w:val="005D29FB"/>
    <w:rsid w:val="005D2A54"/>
    <w:rsid w:val="005D302D"/>
    <w:rsid w:val="005D39A7"/>
    <w:rsid w:val="005D4B62"/>
    <w:rsid w:val="005D4CCE"/>
    <w:rsid w:val="005D5C52"/>
    <w:rsid w:val="005D5F83"/>
    <w:rsid w:val="005D62DC"/>
    <w:rsid w:val="005D6EE9"/>
    <w:rsid w:val="005D73C5"/>
    <w:rsid w:val="005D73E9"/>
    <w:rsid w:val="005E0C13"/>
    <w:rsid w:val="005E0F8A"/>
    <w:rsid w:val="005E1512"/>
    <w:rsid w:val="005E16CA"/>
    <w:rsid w:val="005E1A1A"/>
    <w:rsid w:val="005E1E8C"/>
    <w:rsid w:val="005E2915"/>
    <w:rsid w:val="005E2B60"/>
    <w:rsid w:val="005E3494"/>
    <w:rsid w:val="005E34E7"/>
    <w:rsid w:val="005E365D"/>
    <w:rsid w:val="005E37A4"/>
    <w:rsid w:val="005E3D7A"/>
    <w:rsid w:val="005E3F1D"/>
    <w:rsid w:val="005E445B"/>
    <w:rsid w:val="005E4AC2"/>
    <w:rsid w:val="005E4BB6"/>
    <w:rsid w:val="005E5113"/>
    <w:rsid w:val="005E5A13"/>
    <w:rsid w:val="005E5F49"/>
    <w:rsid w:val="005E6049"/>
    <w:rsid w:val="005E63C7"/>
    <w:rsid w:val="005E6D7F"/>
    <w:rsid w:val="005E744C"/>
    <w:rsid w:val="005E7534"/>
    <w:rsid w:val="005E7C12"/>
    <w:rsid w:val="005F01BC"/>
    <w:rsid w:val="005F065F"/>
    <w:rsid w:val="005F0728"/>
    <w:rsid w:val="005F0895"/>
    <w:rsid w:val="005F0FC0"/>
    <w:rsid w:val="005F1DCA"/>
    <w:rsid w:val="005F2172"/>
    <w:rsid w:val="005F29B5"/>
    <w:rsid w:val="005F2C7F"/>
    <w:rsid w:val="005F2CE9"/>
    <w:rsid w:val="005F2E6B"/>
    <w:rsid w:val="005F3108"/>
    <w:rsid w:val="005F366B"/>
    <w:rsid w:val="005F36A8"/>
    <w:rsid w:val="005F39CA"/>
    <w:rsid w:val="005F40FD"/>
    <w:rsid w:val="005F448D"/>
    <w:rsid w:val="005F44EF"/>
    <w:rsid w:val="005F45D5"/>
    <w:rsid w:val="005F4842"/>
    <w:rsid w:val="005F49FF"/>
    <w:rsid w:val="005F4A8F"/>
    <w:rsid w:val="005F4AAC"/>
    <w:rsid w:val="005F4F24"/>
    <w:rsid w:val="005F53B0"/>
    <w:rsid w:val="005F5688"/>
    <w:rsid w:val="005F56DF"/>
    <w:rsid w:val="005F57EC"/>
    <w:rsid w:val="005F586B"/>
    <w:rsid w:val="005F5A84"/>
    <w:rsid w:val="005F5C64"/>
    <w:rsid w:val="005F5FF7"/>
    <w:rsid w:val="005F6029"/>
    <w:rsid w:val="005F6E6F"/>
    <w:rsid w:val="005F6FC1"/>
    <w:rsid w:val="005F76A6"/>
    <w:rsid w:val="005F7835"/>
    <w:rsid w:val="005F7A72"/>
    <w:rsid w:val="005F7BE6"/>
    <w:rsid w:val="005F7DFC"/>
    <w:rsid w:val="00600C4D"/>
    <w:rsid w:val="00601276"/>
    <w:rsid w:val="006012AD"/>
    <w:rsid w:val="006019AD"/>
    <w:rsid w:val="00601D95"/>
    <w:rsid w:val="00601E83"/>
    <w:rsid w:val="00602023"/>
    <w:rsid w:val="006027FA"/>
    <w:rsid w:val="00602985"/>
    <w:rsid w:val="00603053"/>
    <w:rsid w:val="0060372D"/>
    <w:rsid w:val="0060393D"/>
    <w:rsid w:val="00603C0C"/>
    <w:rsid w:val="00604A85"/>
    <w:rsid w:val="00605060"/>
    <w:rsid w:val="0060558C"/>
    <w:rsid w:val="00605AB8"/>
    <w:rsid w:val="00605B35"/>
    <w:rsid w:val="00605D10"/>
    <w:rsid w:val="0060655B"/>
    <w:rsid w:val="006068C7"/>
    <w:rsid w:val="00606AC1"/>
    <w:rsid w:val="00606E39"/>
    <w:rsid w:val="006070D8"/>
    <w:rsid w:val="006071AC"/>
    <w:rsid w:val="0060741B"/>
    <w:rsid w:val="00607E36"/>
    <w:rsid w:val="00607FAA"/>
    <w:rsid w:val="00610450"/>
    <w:rsid w:val="0061070D"/>
    <w:rsid w:val="00610BDC"/>
    <w:rsid w:val="00610C19"/>
    <w:rsid w:val="00610CAB"/>
    <w:rsid w:val="0061105D"/>
    <w:rsid w:val="00611217"/>
    <w:rsid w:val="00611B07"/>
    <w:rsid w:val="006129E9"/>
    <w:rsid w:val="00612ABC"/>
    <w:rsid w:val="00612ABF"/>
    <w:rsid w:val="0061333A"/>
    <w:rsid w:val="00613926"/>
    <w:rsid w:val="006140BC"/>
    <w:rsid w:val="006142E6"/>
    <w:rsid w:val="006143D6"/>
    <w:rsid w:val="006146F0"/>
    <w:rsid w:val="00614A8C"/>
    <w:rsid w:val="0061569E"/>
    <w:rsid w:val="00615D55"/>
    <w:rsid w:val="00615FC2"/>
    <w:rsid w:val="00616CD1"/>
    <w:rsid w:val="00616F1C"/>
    <w:rsid w:val="0061725C"/>
    <w:rsid w:val="00617392"/>
    <w:rsid w:val="00617594"/>
    <w:rsid w:val="006177AE"/>
    <w:rsid w:val="006178BE"/>
    <w:rsid w:val="00617912"/>
    <w:rsid w:val="00617AB8"/>
    <w:rsid w:val="00617BDF"/>
    <w:rsid w:val="00620151"/>
    <w:rsid w:val="006208B5"/>
    <w:rsid w:val="00620B4A"/>
    <w:rsid w:val="00621031"/>
    <w:rsid w:val="006210AC"/>
    <w:rsid w:val="0062125D"/>
    <w:rsid w:val="006212DA"/>
    <w:rsid w:val="006214B4"/>
    <w:rsid w:val="00621A2E"/>
    <w:rsid w:val="0062244A"/>
    <w:rsid w:val="0062286A"/>
    <w:rsid w:val="00622964"/>
    <w:rsid w:val="0062339B"/>
    <w:rsid w:val="00623417"/>
    <w:rsid w:val="00623C7E"/>
    <w:rsid w:val="0062423A"/>
    <w:rsid w:val="00624AFE"/>
    <w:rsid w:val="00624E90"/>
    <w:rsid w:val="00624EDA"/>
    <w:rsid w:val="006257E0"/>
    <w:rsid w:val="006258E7"/>
    <w:rsid w:val="0062613E"/>
    <w:rsid w:val="00626184"/>
    <w:rsid w:val="00626621"/>
    <w:rsid w:val="006269F7"/>
    <w:rsid w:val="00626F27"/>
    <w:rsid w:val="00627099"/>
    <w:rsid w:val="006271F2"/>
    <w:rsid w:val="00627D28"/>
    <w:rsid w:val="00627F06"/>
    <w:rsid w:val="006301A9"/>
    <w:rsid w:val="0063060A"/>
    <w:rsid w:val="006317B7"/>
    <w:rsid w:val="006319D7"/>
    <w:rsid w:val="00631DE6"/>
    <w:rsid w:val="00632276"/>
    <w:rsid w:val="00632310"/>
    <w:rsid w:val="00632AC3"/>
    <w:rsid w:val="006330F9"/>
    <w:rsid w:val="00633F52"/>
    <w:rsid w:val="00634324"/>
    <w:rsid w:val="00635EAF"/>
    <w:rsid w:val="00636241"/>
    <w:rsid w:val="00636316"/>
    <w:rsid w:val="006366D0"/>
    <w:rsid w:val="00636A44"/>
    <w:rsid w:val="00637410"/>
    <w:rsid w:val="006378FE"/>
    <w:rsid w:val="00637DAB"/>
    <w:rsid w:val="006403A6"/>
    <w:rsid w:val="0064056E"/>
    <w:rsid w:val="0064081F"/>
    <w:rsid w:val="00640AFA"/>
    <w:rsid w:val="00640E41"/>
    <w:rsid w:val="00640F2E"/>
    <w:rsid w:val="0064170F"/>
    <w:rsid w:val="00641AA2"/>
    <w:rsid w:val="00641D7B"/>
    <w:rsid w:val="006428A6"/>
    <w:rsid w:val="0064296F"/>
    <w:rsid w:val="006435D6"/>
    <w:rsid w:val="0064387F"/>
    <w:rsid w:val="00643F16"/>
    <w:rsid w:val="006444DF"/>
    <w:rsid w:val="006446F4"/>
    <w:rsid w:val="006446FC"/>
    <w:rsid w:val="00644B48"/>
    <w:rsid w:val="00644B7F"/>
    <w:rsid w:val="00645368"/>
    <w:rsid w:val="006455D1"/>
    <w:rsid w:val="006456FF"/>
    <w:rsid w:val="00645A72"/>
    <w:rsid w:val="00645AA6"/>
    <w:rsid w:val="0064667C"/>
    <w:rsid w:val="00647094"/>
    <w:rsid w:val="0064786F"/>
    <w:rsid w:val="00647DDF"/>
    <w:rsid w:val="006501BC"/>
    <w:rsid w:val="0065065C"/>
    <w:rsid w:val="00650E89"/>
    <w:rsid w:val="00650EB9"/>
    <w:rsid w:val="00651160"/>
    <w:rsid w:val="00651863"/>
    <w:rsid w:val="00651AE3"/>
    <w:rsid w:val="0065222D"/>
    <w:rsid w:val="006527DE"/>
    <w:rsid w:val="00652C0D"/>
    <w:rsid w:val="00652EAA"/>
    <w:rsid w:val="00653411"/>
    <w:rsid w:val="00653B3F"/>
    <w:rsid w:val="006547E2"/>
    <w:rsid w:val="006548BC"/>
    <w:rsid w:val="00654D02"/>
    <w:rsid w:val="00654EB7"/>
    <w:rsid w:val="00654EB9"/>
    <w:rsid w:val="0065522A"/>
    <w:rsid w:val="00655309"/>
    <w:rsid w:val="0065540B"/>
    <w:rsid w:val="00655477"/>
    <w:rsid w:val="006558D1"/>
    <w:rsid w:val="00655CE2"/>
    <w:rsid w:val="00655D3E"/>
    <w:rsid w:val="00657192"/>
    <w:rsid w:val="00657450"/>
    <w:rsid w:val="0065777C"/>
    <w:rsid w:val="00657A65"/>
    <w:rsid w:val="00657E66"/>
    <w:rsid w:val="00657E78"/>
    <w:rsid w:val="006603FA"/>
    <w:rsid w:val="00660878"/>
    <w:rsid w:val="00660AD7"/>
    <w:rsid w:val="00660FE5"/>
    <w:rsid w:val="006613A0"/>
    <w:rsid w:val="0066167E"/>
    <w:rsid w:val="00661B36"/>
    <w:rsid w:val="00661DF6"/>
    <w:rsid w:val="0066209B"/>
    <w:rsid w:val="00663134"/>
    <w:rsid w:val="006634BE"/>
    <w:rsid w:val="00663531"/>
    <w:rsid w:val="00663D48"/>
    <w:rsid w:val="0066417D"/>
    <w:rsid w:val="0066425B"/>
    <w:rsid w:val="006650AC"/>
    <w:rsid w:val="006653EA"/>
    <w:rsid w:val="006658D7"/>
    <w:rsid w:val="00665957"/>
    <w:rsid w:val="00665FB3"/>
    <w:rsid w:val="00666551"/>
    <w:rsid w:val="00666884"/>
    <w:rsid w:val="00666996"/>
    <w:rsid w:val="006669E0"/>
    <w:rsid w:val="00666B79"/>
    <w:rsid w:val="00666DD6"/>
    <w:rsid w:val="00667A20"/>
    <w:rsid w:val="00667B45"/>
    <w:rsid w:val="00667FFA"/>
    <w:rsid w:val="00670303"/>
    <w:rsid w:val="006705BF"/>
    <w:rsid w:val="006706B2"/>
    <w:rsid w:val="00670765"/>
    <w:rsid w:val="006707B6"/>
    <w:rsid w:val="00671413"/>
    <w:rsid w:val="00671868"/>
    <w:rsid w:val="00671C1E"/>
    <w:rsid w:val="00671D49"/>
    <w:rsid w:val="0067242A"/>
    <w:rsid w:val="0067268B"/>
    <w:rsid w:val="0067273A"/>
    <w:rsid w:val="00672A7F"/>
    <w:rsid w:val="0067304C"/>
    <w:rsid w:val="00673C4C"/>
    <w:rsid w:val="00674099"/>
    <w:rsid w:val="0067461F"/>
    <w:rsid w:val="00674871"/>
    <w:rsid w:val="00674959"/>
    <w:rsid w:val="00674D67"/>
    <w:rsid w:val="00674F79"/>
    <w:rsid w:val="00675050"/>
    <w:rsid w:val="0067508C"/>
    <w:rsid w:val="0067567C"/>
    <w:rsid w:val="00675BDE"/>
    <w:rsid w:val="00675E4A"/>
    <w:rsid w:val="00675EDC"/>
    <w:rsid w:val="00675EEC"/>
    <w:rsid w:val="006764CA"/>
    <w:rsid w:val="0067665F"/>
    <w:rsid w:val="00676CB1"/>
    <w:rsid w:val="00676D1E"/>
    <w:rsid w:val="00676F0F"/>
    <w:rsid w:val="006775C9"/>
    <w:rsid w:val="006776E7"/>
    <w:rsid w:val="006776FC"/>
    <w:rsid w:val="006779A3"/>
    <w:rsid w:val="00677BE5"/>
    <w:rsid w:val="00677D3B"/>
    <w:rsid w:val="00680345"/>
    <w:rsid w:val="00680590"/>
    <w:rsid w:val="006805BF"/>
    <w:rsid w:val="006806A6"/>
    <w:rsid w:val="006806BD"/>
    <w:rsid w:val="00680C2B"/>
    <w:rsid w:val="00680F5F"/>
    <w:rsid w:val="0068104A"/>
    <w:rsid w:val="00681BD9"/>
    <w:rsid w:val="0068274C"/>
    <w:rsid w:val="006829D0"/>
    <w:rsid w:val="00682C22"/>
    <w:rsid w:val="00683AEE"/>
    <w:rsid w:val="0068400C"/>
    <w:rsid w:val="0068418C"/>
    <w:rsid w:val="00684FE9"/>
    <w:rsid w:val="006854EC"/>
    <w:rsid w:val="00685648"/>
    <w:rsid w:val="006857A7"/>
    <w:rsid w:val="00685832"/>
    <w:rsid w:val="00686179"/>
    <w:rsid w:val="0068661E"/>
    <w:rsid w:val="00686F0B"/>
    <w:rsid w:val="00686FCC"/>
    <w:rsid w:val="006871FD"/>
    <w:rsid w:val="00687A56"/>
    <w:rsid w:val="00687A87"/>
    <w:rsid w:val="00687DC2"/>
    <w:rsid w:val="00687E8B"/>
    <w:rsid w:val="006903FA"/>
    <w:rsid w:val="00690426"/>
    <w:rsid w:val="006906F5"/>
    <w:rsid w:val="006908CC"/>
    <w:rsid w:val="00690F36"/>
    <w:rsid w:val="006927B6"/>
    <w:rsid w:val="00692BC7"/>
    <w:rsid w:val="00693101"/>
    <w:rsid w:val="00693A08"/>
    <w:rsid w:val="00693A48"/>
    <w:rsid w:val="00693C72"/>
    <w:rsid w:val="006945DB"/>
    <w:rsid w:val="006946BC"/>
    <w:rsid w:val="00694A31"/>
    <w:rsid w:val="00694A3C"/>
    <w:rsid w:val="006951B2"/>
    <w:rsid w:val="006967C3"/>
    <w:rsid w:val="006969F3"/>
    <w:rsid w:val="00696DC8"/>
    <w:rsid w:val="006970C5"/>
    <w:rsid w:val="0069790B"/>
    <w:rsid w:val="006979C4"/>
    <w:rsid w:val="006A039E"/>
    <w:rsid w:val="006A0B33"/>
    <w:rsid w:val="006A0BD2"/>
    <w:rsid w:val="006A128F"/>
    <w:rsid w:val="006A1557"/>
    <w:rsid w:val="006A1A67"/>
    <w:rsid w:val="006A1BAC"/>
    <w:rsid w:val="006A1C6D"/>
    <w:rsid w:val="006A2333"/>
    <w:rsid w:val="006A25BA"/>
    <w:rsid w:val="006A27FE"/>
    <w:rsid w:val="006A2B7E"/>
    <w:rsid w:val="006A2D10"/>
    <w:rsid w:val="006A36EB"/>
    <w:rsid w:val="006A3C81"/>
    <w:rsid w:val="006A4B53"/>
    <w:rsid w:val="006A5064"/>
    <w:rsid w:val="006A5614"/>
    <w:rsid w:val="006A59B4"/>
    <w:rsid w:val="006A5B3B"/>
    <w:rsid w:val="006A5F78"/>
    <w:rsid w:val="006A5FA7"/>
    <w:rsid w:val="006A6103"/>
    <w:rsid w:val="006A616E"/>
    <w:rsid w:val="006A6530"/>
    <w:rsid w:val="006A6B4C"/>
    <w:rsid w:val="006A6BA0"/>
    <w:rsid w:val="006A72DE"/>
    <w:rsid w:val="006A75F4"/>
    <w:rsid w:val="006A7894"/>
    <w:rsid w:val="006A7F12"/>
    <w:rsid w:val="006B09B9"/>
    <w:rsid w:val="006B09FD"/>
    <w:rsid w:val="006B0A02"/>
    <w:rsid w:val="006B0DAF"/>
    <w:rsid w:val="006B11C2"/>
    <w:rsid w:val="006B14DC"/>
    <w:rsid w:val="006B1B7D"/>
    <w:rsid w:val="006B336A"/>
    <w:rsid w:val="006B33E6"/>
    <w:rsid w:val="006B3556"/>
    <w:rsid w:val="006B36D0"/>
    <w:rsid w:val="006B4203"/>
    <w:rsid w:val="006B4C55"/>
    <w:rsid w:val="006B4E9C"/>
    <w:rsid w:val="006B5648"/>
    <w:rsid w:val="006B57BF"/>
    <w:rsid w:val="006B5ADE"/>
    <w:rsid w:val="006B667E"/>
    <w:rsid w:val="006B7404"/>
    <w:rsid w:val="006B74EB"/>
    <w:rsid w:val="006C02DA"/>
    <w:rsid w:val="006C06C5"/>
    <w:rsid w:val="006C08C8"/>
    <w:rsid w:val="006C09BB"/>
    <w:rsid w:val="006C0A6A"/>
    <w:rsid w:val="006C12EA"/>
    <w:rsid w:val="006C14D8"/>
    <w:rsid w:val="006C225F"/>
    <w:rsid w:val="006C2386"/>
    <w:rsid w:val="006C31D5"/>
    <w:rsid w:val="006C4332"/>
    <w:rsid w:val="006C451C"/>
    <w:rsid w:val="006C46F1"/>
    <w:rsid w:val="006C48F8"/>
    <w:rsid w:val="006C49AF"/>
    <w:rsid w:val="006C4FE2"/>
    <w:rsid w:val="006C5114"/>
    <w:rsid w:val="006C51BB"/>
    <w:rsid w:val="006C5DA7"/>
    <w:rsid w:val="006C65D6"/>
    <w:rsid w:val="006C675E"/>
    <w:rsid w:val="006C6A8B"/>
    <w:rsid w:val="006C6ED2"/>
    <w:rsid w:val="006C7802"/>
    <w:rsid w:val="006C7C89"/>
    <w:rsid w:val="006D058A"/>
    <w:rsid w:val="006D0627"/>
    <w:rsid w:val="006D07CB"/>
    <w:rsid w:val="006D099B"/>
    <w:rsid w:val="006D1019"/>
    <w:rsid w:val="006D1074"/>
    <w:rsid w:val="006D1267"/>
    <w:rsid w:val="006D1575"/>
    <w:rsid w:val="006D266A"/>
    <w:rsid w:val="006D3278"/>
    <w:rsid w:val="006D328B"/>
    <w:rsid w:val="006D35CE"/>
    <w:rsid w:val="006D3902"/>
    <w:rsid w:val="006D3F9E"/>
    <w:rsid w:val="006D43B7"/>
    <w:rsid w:val="006D49D4"/>
    <w:rsid w:val="006D4ABA"/>
    <w:rsid w:val="006D55E2"/>
    <w:rsid w:val="006D56C3"/>
    <w:rsid w:val="006D5BB9"/>
    <w:rsid w:val="006D5D13"/>
    <w:rsid w:val="006D5E82"/>
    <w:rsid w:val="006D60E0"/>
    <w:rsid w:val="006D6110"/>
    <w:rsid w:val="006D665A"/>
    <w:rsid w:val="006D6E1C"/>
    <w:rsid w:val="006D7A41"/>
    <w:rsid w:val="006D7E3D"/>
    <w:rsid w:val="006E02B6"/>
    <w:rsid w:val="006E05C2"/>
    <w:rsid w:val="006E0715"/>
    <w:rsid w:val="006E08AB"/>
    <w:rsid w:val="006E0A9A"/>
    <w:rsid w:val="006E137A"/>
    <w:rsid w:val="006E19FE"/>
    <w:rsid w:val="006E1A8A"/>
    <w:rsid w:val="006E25C5"/>
    <w:rsid w:val="006E283D"/>
    <w:rsid w:val="006E28E5"/>
    <w:rsid w:val="006E2B62"/>
    <w:rsid w:val="006E2BD5"/>
    <w:rsid w:val="006E3003"/>
    <w:rsid w:val="006E318C"/>
    <w:rsid w:val="006E338E"/>
    <w:rsid w:val="006E3597"/>
    <w:rsid w:val="006E41C5"/>
    <w:rsid w:val="006E457D"/>
    <w:rsid w:val="006E5085"/>
    <w:rsid w:val="006E546F"/>
    <w:rsid w:val="006E5725"/>
    <w:rsid w:val="006E5BF5"/>
    <w:rsid w:val="006E5E4A"/>
    <w:rsid w:val="006E6387"/>
    <w:rsid w:val="006E6B03"/>
    <w:rsid w:val="006E6B6F"/>
    <w:rsid w:val="006E6BBE"/>
    <w:rsid w:val="006E6E14"/>
    <w:rsid w:val="006E73D6"/>
    <w:rsid w:val="006E75FB"/>
    <w:rsid w:val="006E787B"/>
    <w:rsid w:val="006E7973"/>
    <w:rsid w:val="006E7CD7"/>
    <w:rsid w:val="006E7EF8"/>
    <w:rsid w:val="006F00CB"/>
    <w:rsid w:val="006F00FD"/>
    <w:rsid w:val="006F012E"/>
    <w:rsid w:val="006F02D3"/>
    <w:rsid w:val="006F0529"/>
    <w:rsid w:val="006F09B0"/>
    <w:rsid w:val="006F09C1"/>
    <w:rsid w:val="006F09E6"/>
    <w:rsid w:val="006F1BC3"/>
    <w:rsid w:val="006F21B4"/>
    <w:rsid w:val="006F23E0"/>
    <w:rsid w:val="006F251D"/>
    <w:rsid w:val="006F2669"/>
    <w:rsid w:val="006F2823"/>
    <w:rsid w:val="006F2C33"/>
    <w:rsid w:val="006F2F06"/>
    <w:rsid w:val="006F32F3"/>
    <w:rsid w:val="006F3392"/>
    <w:rsid w:val="006F3A3A"/>
    <w:rsid w:val="006F3ADA"/>
    <w:rsid w:val="006F40E7"/>
    <w:rsid w:val="006F54F6"/>
    <w:rsid w:val="006F5534"/>
    <w:rsid w:val="006F57B9"/>
    <w:rsid w:val="006F5C8D"/>
    <w:rsid w:val="006F5CF2"/>
    <w:rsid w:val="006F6A34"/>
    <w:rsid w:val="006F6BE6"/>
    <w:rsid w:val="006F744D"/>
    <w:rsid w:val="006F785E"/>
    <w:rsid w:val="006F7B3D"/>
    <w:rsid w:val="006F7B75"/>
    <w:rsid w:val="006F7D57"/>
    <w:rsid w:val="007000F0"/>
    <w:rsid w:val="007001A7"/>
    <w:rsid w:val="00701225"/>
    <w:rsid w:val="007017B3"/>
    <w:rsid w:val="00701810"/>
    <w:rsid w:val="007023E7"/>
    <w:rsid w:val="007025D7"/>
    <w:rsid w:val="007026BE"/>
    <w:rsid w:val="007034C1"/>
    <w:rsid w:val="007036BB"/>
    <w:rsid w:val="00703E7F"/>
    <w:rsid w:val="00703EAF"/>
    <w:rsid w:val="00703FCF"/>
    <w:rsid w:val="00704171"/>
    <w:rsid w:val="0070435F"/>
    <w:rsid w:val="007046D8"/>
    <w:rsid w:val="007047E9"/>
    <w:rsid w:val="00704942"/>
    <w:rsid w:val="007064E0"/>
    <w:rsid w:val="007073E5"/>
    <w:rsid w:val="00710248"/>
    <w:rsid w:val="0071026B"/>
    <w:rsid w:val="00710372"/>
    <w:rsid w:val="00711CDB"/>
    <w:rsid w:val="00712A53"/>
    <w:rsid w:val="00712C35"/>
    <w:rsid w:val="00712E05"/>
    <w:rsid w:val="00713060"/>
    <w:rsid w:val="00713075"/>
    <w:rsid w:val="007132DF"/>
    <w:rsid w:val="0071368E"/>
    <w:rsid w:val="00713B71"/>
    <w:rsid w:val="00713DAC"/>
    <w:rsid w:val="00714567"/>
    <w:rsid w:val="00715044"/>
    <w:rsid w:val="00715154"/>
    <w:rsid w:val="007151E3"/>
    <w:rsid w:val="00715936"/>
    <w:rsid w:val="00715BB0"/>
    <w:rsid w:val="00715E27"/>
    <w:rsid w:val="0071618D"/>
    <w:rsid w:val="007163EF"/>
    <w:rsid w:val="00716584"/>
    <w:rsid w:val="00716E00"/>
    <w:rsid w:val="0071755F"/>
    <w:rsid w:val="0071757E"/>
    <w:rsid w:val="00717C05"/>
    <w:rsid w:val="00717DD8"/>
    <w:rsid w:val="0072039D"/>
    <w:rsid w:val="0072083A"/>
    <w:rsid w:val="00720DBA"/>
    <w:rsid w:val="00720E60"/>
    <w:rsid w:val="00721CE6"/>
    <w:rsid w:val="00721D7D"/>
    <w:rsid w:val="00721F61"/>
    <w:rsid w:val="007220D5"/>
    <w:rsid w:val="00722151"/>
    <w:rsid w:val="0072229F"/>
    <w:rsid w:val="00722478"/>
    <w:rsid w:val="007228A8"/>
    <w:rsid w:val="00722B50"/>
    <w:rsid w:val="00722CDE"/>
    <w:rsid w:val="007231B2"/>
    <w:rsid w:val="00724B09"/>
    <w:rsid w:val="00724BD6"/>
    <w:rsid w:val="00724CCE"/>
    <w:rsid w:val="00724E70"/>
    <w:rsid w:val="00724EA5"/>
    <w:rsid w:val="00724F77"/>
    <w:rsid w:val="00725016"/>
    <w:rsid w:val="00725588"/>
    <w:rsid w:val="007255FC"/>
    <w:rsid w:val="00725C36"/>
    <w:rsid w:val="00725CF1"/>
    <w:rsid w:val="007260A4"/>
    <w:rsid w:val="007266B3"/>
    <w:rsid w:val="00726AA4"/>
    <w:rsid w:val="00726F56"/>
    <w:rsid w:val="00727140"/>
    <w:rsid w:val="0072767A"/>
    <w:rsid w:val="007277E1"/>
    <w:rsid w:val="00727E2E"/>
    <w:rsid w:val="0073056A"/>
    <w:rsid w:val="00730A29"/>
    <w:rsid w:val="00730D37"/>
    <w:rsid w:val="007312B0"/>
    <w:rsid w:val="00731567"/>
    <w:rsid w:val="00731BF5"/>
    <w:rsid w:val="00731FE3"/>
    <w:rsid w:val="00732035"/>
    <w:rsid w:val="00732162"/>
    <w:rsid w:val="0073240C"/>
    <w:rsid w:val="007326C2"/>
    <w:rsid w:val="00732791"/>
    <w:rsid w:val="007327D9"/>
    <w:rsid w:val="007327F6"/>
    <w:rsid w:val="00732C7F"/>
    <w:rsid w:val="00734DFA"/>
    <w:rsid w:val="0073507B"/>
    <w:rsid w:val="00735612"/>
    <w:rsid w:val="00735FD8"/>
    <w:rsid w:val="0073610A"/>
    <w:rsid w:val="00736A7D"/>
    <w:rsid w:val="00736AB1"/>
    <w:rsid w:val="00736F89"/>
    <w:rsid w:val="00737036"/>
    <w:rsid w:val="007372E7"/>
    <w:rsid w:val="007374A1"/>
    <w:rsid w:val="00737770"/>
    <w:rsid w:val="00740461"/>
    <w:rsid w:val="00740847"/>
    <w:rsid w:val="00740892"/>
    <w:rsid w:val="00740962"/>
    <w:rsid w:val="0074183B"/>
    <w:rsid w:val="00741BE4"/>
    <w:rsid w:val="00741C69"/>
    <w:rsid w:val="00742256"/>
    <w:rsid w:val="00742C1A"/>
    <w:rsid w:val="00742C94"/>
    <w:rsid w:val="00742E6E"/>
    <w:rsid w:val="00742FB6"/>
    <w:rsid w:val="007433BA"/>
    <w:rsid w:val="00743606"/>
    <w:rsid w:val="00743E61"/>
    <w:rsid w:val="007442DE"/>
    <w:rsid w:val="00744EF9"/>
    <w:rsid w:val="0074549F"/>
    <w:rsid w:val="00745503"/>
    <w:rsid w:val="00745546"/>
    <w:rsid w:val="007459A3"/>
    <w:rsid w:val="00745C25"/>
    <w:rsid w:val="00745C75"/>
    <w:rsid w:val="00746590"/>
    <w:rsid w:val="00746656"/>
    <w:rsid w:val="00746AEC"/>
    <w:rsid w:val="00747C35"/>
    <w:rsid w:val="007508CA"/>
    <w:rsid w:val="00751003"/>
    <w:rsid w:val="0075102E"/>
    <w:rsid w:val="00751327"/>
    <w:rsid w:val="007515C8"/>
    <w:rsid w:val="007517A5"/>
    <w:rsid w:val="00752C85"/>
    <w:rsid w:val="00753031"/>
    <w:rsid w:val="007538FB"/>
    <w:rsid w:val="00753DCD"/>
    <w:rsid w:val="0075553D"/>
    <w:rsid w:val="00755E60"/>
    <w:rsid w:val="007560A7"/>
    <w:rsid w:val="00756A31"/>
    <w:rsid w:val="00756A90"/>
    <w:rsid w:val="00756E8E"/>
    <w:rsid w:val="00756FBA"/>
    <w:rsid w:val="007572A8"/>
    <w:rsid w:val="007574EA"/>
    <w:rsid w:val="00757766"/>
    <w:rsid w:val="00757A30"/>
    <w:rsid w:val="00760219"/>
    <w:rsid w:val="00760395"/>
    <w:rsid w:val="00760971"/>
    <w:rsid w:val="00760EC4"/>
    <w:rsid w:val="00761212"/>
    <w:rsid w:val="0076148C"/>
    <w:rsid w:val="00761E2A"/>
    <w:rsid w:val="00762648"/>
    <w:rsid w:val="0076278C"/>
    <w:rsid w:val="00762A70"/>
    <w:rsid w:val="00762A9A"/>
    <w:rsid w:val="00763A3E"/>
    <w:rsid w:val="007643A1"/>
    <w:rsid w:val="00764474"/>
    <w:rsid w:val="0076466D"/>
    <w:rsid w:val="0076498B"/>
    <w:rsid w:val="007655BA"/>
    <w:rsid w:val="00765871"/>
    <w:rsid w:val="00765FF2"/>
    <w:rsid w:val="0076640F"/>
    <w:rsid w:val="007667E4"/>
    <w:rsid w:val="00766854"/>
    <w:rsid w:val="00766874"/>
    <w:rsid w:val="00766999"/>
    <w:rsid w:val="00766D99"/>
    <w:rsid w:val="00766DD5"/>
    <w:rsid w:val="00766E97"/>
    <w:rsid w:val="00767E49"/>
    <w:rsid w:val="00767E7D"/>
    <w:rsid w:val="0077008D"/>
    <w:rsid w:val="007702D1"/>
    <w:rsid w:val="0077051C"/>
    <w:rsid w:val="00770C8F"/>
    <w:rsid w:val="00771234"/>
    <w:rsid w:val="0077169D"/>
    <w:rsid w:val="007719D8"/>
    <w:rsid w:val="00772420"/>
    <w:rsid w:val="0077267B"/>
    <w:rsid w:val="00772A73"/>
    <w:rsid w:val="00772F45"/>
    <w:rsid w:val="00772F46"/>
    <w:rsid w:val="00772FFB"/>
    <w:rsid w:val="00773521"/>
    <w:rsid w:val="0077363B"/>
    <w:rsid w:val="00773E4E"/>
    <w:rsid w:val="0077405D"/>
    <w:rsid w:val="0077420E"/>
    <w:rsid w:val="00774454"/>
    <w:rsid w:val="007747F4"/>
    <w:rsid w:val="00774906"/>
    <w:rsid w:val="007751C4"/>
    <w:rsid w:val="007752D7"/>
    <w:rsid w:val="007752DB"/>
    <w:rsid w:val="0077544C"/>
    <w:rsid w:val="007755F9"/>
    <w:rsid w:val="00775763"/>
    <w:rsid w:val="0077588B"/>
    <w:rsid w:val="00775F10"/>
    <w:rsid w:val="007763DC"/>
    <w:rsid w:val="00776938"/>
    <w:rsid w:val="00776DE1"/>
    <w:rsid w:val="0077766F"/>
    <w:rsid w:val="00777C2D"/>
    <w:rsid w:val="00780043"/>
    <w:rsid w:val="007802E1"/>
    <w:rsid w:val="007804A6"/>
    <w:rsid w:val="00780B4D"/>
    <w:rsid w:val="00780BFA"/>
    <w:rsid w:val="007811D5"/>
    <w:rsid w:val="007815DD"/>
    <w:rsid w:val="00782610"/>
    <w:rsid w:val="007827E7"/>
    <w:rsid w:val="00782F06"/>
    <w:rsid w:val="007832BB"/>
    <w:rsid w:val="007835B2"/>
    <w:rsid w:val="007838CE"/>
    <w:rsid w:val="00783F20"/>
    <w:rsid w:val="00784AE3"/>
    <w:rsid w:val="0078608D"/>
    <w:rsid w:val="0078627D"/>
    <w:rsid w:val="007875EC"/>
    <w:rsid w:val="00787934"/>
    <w:rsid w:val="007879AC"/>
    <w:rsid w:val="007879FC"/>
    <w:rsid w:val="00787ABE"/>
    <w:rsid w:val="00787F8C"/>
    <w:rsid w:val="00787FA2"/>
    <w:rsid w:val="0079062F"/>
    <w:rsid w:val="00790E75"/>
    <w:rsid w:val="00790F30"/>
    <w:rsid w:val="00791355"/>
    <w:rsid w:val="00791BCF"/>
    <w:rsid w:val="00791FA7"/>
    <w:rsid w:val="00792541"/>
    <w:rsid w:val="00792680"/>
    <w:rsid w:val="0079270F"/>
    <w:rsid w:val="007929EC"/>
    <w:rsid w:val="0079316F"/>
    <w:rsid w:val="0079373E"/>
    <w:rsid w:val="00793804"/>
    <w:rsid w:val="0079380E"/>
    <w:rsid w:val="00793A36"/>
    <w:rsid w:val="00793AB8"/>
    <w:rsid w:val="00793D4A"/>
    <w:rsid w:val="00793E81"/>
    <w:rsid w:val="00794074"/>
    <w:rsid w:val="00794185"/>
    <w:rsid w:val="0079455D"/>
    <w:rsid w:val="00794590"/>
    <w:rsid w:val="007945D9"/>
    <w:rsid w:val="00794797"/>
    <w:rsid w:val="007947DA"/>
    <w:rsid w:val="00794975"/>
    <w:rsid w:val="00794B5A"/>
    <w:rsid w:val="007953F1"/>
    <w:rsid w:val="00795EC7"/>
    <w:rsid w:val="007964E9"/>
    <w:rsid w:val="00796F8B"/>
    <w:rsid w:val="0079782F"/>
    <w:rsid w:val="0079790A"/>
    <w:rsid w:val="007A0877"/>
    <w:rsid w:val="007A0C85"/>
    <w:rsid w:val="007A0ECC"/>
    <w:rsid w:val="007A11F5"/>
    <w:rsid w:val="007A1353"/>
    <w:rsid w:val="007A1C01"/>
    <w:rsid w:val="007A1CAC"/>
    <w:rsid w:val="007A1F5F"/>
    <w:rsid w:val="007A239E"/>
    <w:rsid w:val="007A2545"/>
    <w:rsid w:val="007A2724"/>
    <w:rsid w:val="007A3183"/>
    <w:rsid w:val="007A31A5"/>
    <w:rsid w:val="007A32CC"/>
    <w:rsid w:val="007A385B"/>
    <w:rsid w:val="007A39FA"/>
    <w:rsid w:val="007A3FD0"/>
    <w:rsid w:val="007A4973"/>
    <w:rsid w:val="007A4E01"/>
    <w:rsid w:val="007A5554"/>
    <w:rsid w:val="007A5CBE"/>
    <w:rsid w:val="007A60B3"/>
    <w:rsid w:val="007A6167"/>
    <w:rsid w:val="007A6206"/>
    <w:rsid w:val="007A69AF"/>
    <w:rsid w:val="007A6FB7"/>
    <w:rsid w:val="007A7C46"/>
    <w:rsid w:val="007B0446"/>
    <w:rsid w:val="007B0B6E"/>
    <w:rsid w:val="007B0F28"/>
    <w:rsid w:val="007B178E"/>
    <w:rsid w:val="007B18B1"/>
    <w:rsid w:val="007B30A2"/>
    <w:rsid w:val="007B32D7"/>
    <w:rsid w:val="007B392B"/>
    <w:rsid w:val="007B3A1B"/>
    <w:rsid w:val="007B3A9F"/>
    <w:rsid w:val="007B3D74"/>
    <w:rsid w:val="007B3E7D"/>
    <w:rsid w:val="007B3F26"/>
    <w:rsid w:val="007B4640"/>
    <w:rsid w:val="007B52BC"/>
    <w:rsid w:val="007B5526"/>
    <w:rsid w:val="007B631D"/>
    <w:rsid w:val="007B667B"/>
    <w:rsid w:val="007B6930"/>
    <w:rsid w:val="007B70E6"/>
    <w:rsid w:val="007B7180"/>
    <w:rsid w:val="007B7565"/>
    <w:rsid w:val="007C0584"/>
    <w:rsid w:val="007C093B"/>
    <w:rsid w:val="007C0AE2"/>
    <w:rsid w:val="007C1549"/>
    <w:rsid w:val="007C1750"/>
    <w:rsid w:val="007C186D"/>
    <w:rsid w:val="007C28B0"/>
    <w:rsid w:val="007C2D59"/>
    <w:rsid w:val="007C2E42"/>
    <w:rsid w:val="007C377C"/>
    <w:rsid w:val="007C449F"/>
    <w:rsid w:val="007C4672"/>
    <w:rsid w:val="007C46AE"/>
    <w:rsid w:val="007C473E"/>
    <w:rsid w:val="007C4816"/>
    <w:rsid w:val="007C4AFB"/>
    <w:rsid w:val="007C4DB4"/>
    <w:rsid w:val="007C55F8"/>
    <w:rsid w:val="007C56A3"/>
    <w:rsid w:val="007C5BAD"/>
    <w:rsid w:val="007C68FA"/>
    <w:rsid w:val="007C6A62"/>
    <w:rsid w:val="007C6B70"/>
    <w:rsid w:val="007C6D28"/>
    <w:rsid w:val="007C6E60"/>
    <w:rsid w:val="007C7437"/>
    <w:rsid w:val="007C7A9E"/>
    <w:rsid w:val="007C7EB6"/>
    <w:rsid w:val="007D0313"/>
    <w:rsid w:val="007D0C8D"/>
    <w:rsid w:val="007D0FEB"/>
    <w:rsid w:val="007D1918"/>
    <w:rsid w:val="007D1C62"/>
    <w:rsid w:val="007D244E"/>
    <w:rsid w:val="007D2A15"/>
    <w:rsid w:val="007D2F96"/>
    <w:rsid w:val="007D2FC8"/>
    <w:rsid w:val="007D30EE"/>
    <w:rsid w:val="007D337F"/>
    <w:rsid w:val="007D33F6"/>
    <w:rsid w:val="007D357A"/>
    <w:rsid w:val="007D3836"/>
    <w:rsid w:val="007D3BC2"/>
    <w:rsid w:val="007D3D7A"/>
    <w:rsid w:val="007D4074"/>
    <w:rsid w:val="007D46DD"/>
    <w:rsid w:val="007D47D0"/>
    <w:rsid w:val="007D48F0"/>
    <w:rsid w:val="007D4A50"/>
    <w:rsid w:val="007D4C4D"/>
    <w:rsid w:val="007D4F6D"/>
    <w:rsid w:val="007D50FB"/>
    <w:rsid w:val="007D517A"/>
    <w:rsid w:val="007D5A2F"/>
    <w:rsid w:val="007D6233"/>
    <w:rsid w:val="007D66D2"/>
    <w:rsid w:val="007D6C66"/>
    <w:rsid w:val="007D702E"/>
    <w:rsid w:val="007D7AAB"/>
    <w:rsid w:val="007D7D4D"/>
    <w:rsid w:val="007E01CC"/>
    <w:rsid w:val="007E0A95"/>
    <w:rsid w:val="007E1042"/>
    <w:rsid w:val="007E11CC"/>
    <w:rsid w:val="007E1536"/>
    <w:rsid w:val="007E1915"/>
    <w:rsid w:val="007E1944"/>
    <w:rsid w:val="007E1A21"/>
    <w:rsid w:val="007E25B9"/>
    <w:rsid w:val="007E25C9"/>
    <w:rsid w:val="007E2670"/>
    <w:rsid w:val="007E29AC"/>
    <w:rsid w:val="007E2EDD"/>
    <w:rsid w:val="007E2EF6"/>
    <w:rsid w:val="007E3A12"/>
    <w:rsid w:val="007E3AC7"/>
    <w:rsid w:val="007E3C94"/>
    <w:rsid w:val="007E40EE"/>
    <w:rsid w:val="007E5316"/>
    <w:rsid w:val="007E56CD"/>
    <w:rsid w:val="007E589F"/>
    <w:rsid w:val="007E5BA3"/>
    <w:rsid w:val="007E6554"/>
    <w:rsid w:val="007E6848"/>
    <w:rsid w:val="007E79DF"/>
    <w:rsid w:val="007F04D4"/>
    <w:rsid w:val="007F0650"/>
    <w:rsid w:val="007F07BC"/>
    <w:rsid w:val="007F0BF5"/>
    <w:rsid w:val="007F0C8F"/>
    <w:rsid w:val="007F11A9"/>
    <w:rsid w:val="007F17F3"/>
    <w:rsid w:val="007F1BE8"/>
    <w:rsid w:val="007F2357"/>
    <w:rsid w:val="007F241C"/>
    <w:rsid w:val="007F362A"/>
    <w:rsid w:val="007F3752"/>
    <w:rsid w:val="007F3CB9"/>
    <w:rsid w:val="007F4A9D"/>
    <w:rsid w:val="007F5655"/>
    <w:rsid w:val="007F56C4"/>
    <w:rsid w:val="007F5A26"/>
    <w:rsid w:val="007F5A64"/>
    <w:rsid w:val="007F5E1E"/>
    <w:rsid w:val="007F5FAE"/>
    <w:rsid w:val="007F6045"/>
    <w:rsid w:val="007F6357"/>
    <w:rsid w:val="007F667F"/>
    <w:rsid w:val="007F6B85"/>
    <w:rsid w:val="007F6C7C"/>
    <w:rsid w:val="007F7AED"/>
    <w:rsid w:val="007F7E13"/>
    <w:rsid w:val="00800668"/>
    <w:rsid w:val="00800900"/>
    <w:rsid w:val="00800A18"/>
    <w:rsid w:val="00800A3A"/>
    <w:rsid w:val="00800AB5"/>
    <w:rsid w:val="00800BEA"/>
    <w:rsid w:val="00800F93"/>
    <w:rsid w:val="00801407"/>
    <w:rsid w:val="008017F4"/>
    <w:rsid w:val="008022F8"/>
    <w:rsid w:val="0080314B"/>
    <w:rsid w:val="008031D0"/>
    <w:rsid w:val="008037A3"/>
    <w:rsid w:val="008038BC"/>
    <w:rsid w:val="008039EC"/>
    <w:rsid w:val="00803EBF"/>
    <w:rsid w:val="00804118"/>
    <w:rsid w:val="00804442"/>
    <w:rsid w:val="00804790"/>
    <w:rsid w:val="008049DD"/>
    <w:rsid w:val="00805063"/>
    <w:rsid w:val="008062B7"/>
    <w:rsid w:val="00806A76"/>
    <w:rsid w:val="008074C8"/>
    <w:rsid w:val="008075D2"/>
    <w:rsid w:val="00807801"/>
    <w:rsid w:val="008078DE"/>
    <w:rsid w:val="00807965"/>
    <w:rsid w:val="00807B0C"/>
    <w:rsid w:val="00807BF4"/>
    <w:rsid w:val="00807CC4"/>
    <w:rsid w:val="008101F5"/>
    <w:rsid w:val="00810575"/>
    <w:rsid w:val="00811B0D"/>
    <w:rsid w:val="00812DC7"/>
    <w:rsid w:val="00812F2F"/>
    <w:rsid w:val="00813491"/>
    <w:rsid w:val="00814269"/>
    <w:rsid w:val="00814514"/>
    <w:rsid w:val="0081451F"/>
    <w:rsid w:val="008149D7"/>
    <w:rsid w:val="00814EE2"/>
    <w:rsid w:val="00815A89"/>
    <w:rsid w:val="00815A9B"/>
    <w:rsid w:val="00815CA7"/>
    <w:rsid w:val="008165A1"/>
    <w:rsid w:val="00816C76"/>
    <w:rsid w:val="008173EB"/>
    <w:rsid w:val="008179B2"/>
    <w:rsid w:val="00817A49"/>
    <w:rsid w:val="00817B0E"/>
    <w:rsid w:val="00820528"/>
    <w:rsid w:val="008206CB"/>
    <w:rsid w:val="0082077B"/>
    <w:rsid w:val="008207B7"/>
    <w:rsid w:val="00820BD4"/>
    <w:rsid w:val="0082109D"/>
    <w:rsid w:val="0082110C"/>
    <w:rsid w:val="00821398"/>
    <w:rsid w:val="008215B2"/>
    <w:rsid w:val="008216CA"/>
    <w:rsid w:val="00821FA0"/>
    <w:rsid w:val="00822655"/>
    <w:rsid w:val="00822850"/>
    <w:rsid w:val="0082296A"/>
    <w:rsid w:val="00822EC5"/>
    <w:rsid w:val="00823042"/>
    <w:rsid w:val="0082304B"/>
    <w:rsid w:val="00823274"/>
    <w:rsid w:val="00823C6A"/>
    <w:rsid w:val="00823D18"/>
    <w:rsid w:val="00823D41"/>
    <w:rsid w:val="00824115"/>
    <w:rsid w:val="008241C7"/>
    <w:rsid w:val="0082435C"/>
    <w:rsid w:val="008247AE"/>
    <w:rsid w:val="00824B45"/>
    <w:rsid w:val="00825344"/>
    <w:rsid w:val="008255FA"/>
    <w:rsid w:val="00825963"/>
    <w:rsid w:val="00825E09"/>
    <w:rsid w:val="00826091"/>
    <w:rsid w:val="00826631"/>
    <w:rsid w:val="00826D22"/>
    <w:rsid w:val="00826DDE"/>
    <w:rsid w:val="008270B7"/>
    <w:rsid w:val="00827586"/>
    <w:rsid w:val="008300F3"/>
    <w:rsid w:val="0083078B"/>
    <w:rsid w:val="00830B0D"/>
    <w:rsid w:val="00830D08"/>
    <w:rsid w:val="00830EF8"/>
    <w:rsid w:val="008315D9"/>
    <w:rsid w:val="00832018"/>
    <w:rsid w:val="00832038"/>
    <w:rsid w:val="008320AC"/>
    <w:rsid w:val="0083233B"/>
    <w:rsid w:val="00832A3E"/>
    <w:rsid w:val="00833176"/>
    <w:rsid w:val="00833234"/>
    <w:rsid w:val="008332E1"/>
    <w:rsid w:val="00833872"/>
    <w:rsid w:val="008338A8"/>
    <w:rsid w:val="008342F4"/>
    <w:rsid w:val="00834A6B"/>
    <w:rsid w:val="00834C8E"/>
    <w:rsid w:val="00834CC6"/>
    <w:rsid w:val="00835061"/>
    <w:rsid w:val="00835813"/>
    <w:rsid w:val="00835846"/>
    <w:rsid w:val="008362A9"/>
    <w:rsid w:val="00836A46"/>
    <w:rsid w:val="00836D20"/>
    <w:rsid w:val="00836E96"/>
    <w:rsid w:val="00836F3F"/>
    <w:rsid w:val="00837A88"/>
    <w:rsid w:val="00837F4F"/>
    <w:rsid w:val="00837FE2"/>
    <w:rsid w:val="00840905"/>
    <w:rsid w:val="00840CBB"/>
    <w:rsid w:val="00840DB0"/>
    <w:rsid w:val="00841556"/>
    <w:rsid w:val="00841677"/>
    <w:rsid w:val="0084181A"/>
    <w:rsid w:val="0084193F"/>
    <w:rsid w:val="00841940"/>
    <w:rsid w:val="00841DE7"/>
    <w:rsid w:val="00842097"/>
    <w:rsid w:val="008421B1"/>
    <w:rsid w:val="00842220"/>
    <w:rsid w:val="0084270C"/>
    <w:rsid w:val="0084281A"/>
    <w:rsid w:val="00842F55"/>
    <w:rsid w:val="00842FD7"/>
    <w:rsid w:val="0084322C"/>
    <w:rsid w:val="0084346D"/>
    <w:rsid w:val="00843747"/>
    <w:rsid w:val="008438CA"/>
    <w:rsid w:val="00843AF7"/>
    <w:rsid w:val="008440B5"/>
    <w:rsid w:val="00844119"/>
    <w:rsid w:val="00844355"/>
    <w:rsid w:val="00844597"/>
    <w:rsid w:val="0084472E"/>
    <w:rsid w:val="00844C2A"/>
    <w:rsid w:val="00845DB4"/>
    <w:rsid w:val="00845EB7"/>
    <w:rsid w:val="0084611B"/>
    <w:rsid w:val="0084666A"/>
    <w:rsid w:val="00846842"/>
    <w:rsid w:val="00846E2D"/>
    <w:rsid w:val="00847D4F"/>
    <w:rsid w:val="008500C8"/>
    <w:rsid w:val="0085076F"/>
    <w:rsid w:val="00850C64"/>
    <w:rsid w:val="0085160C"/>
    <w:rsid w:val="00851CF7"/>
    <w:rsid w:val="00851E57"/>
    <w:rsid w:val="008527CD"/>
    <w:rsid w:val="00852907"/>
    <w:rsid w:val="00852945"/>
    <w:rsid w:val="008529CD"/>
    <w:rsid w:val="00852A2B"/>
    <w:rsid w:val="00853FD0"/>
    <w:rsid w:val="00854174"/>
    <w:rsid w:val="008543BC"/>
    <w:rsid w:val="0085449C"/>
    <w:rsid w:val="0085458C"/>
    <w:rsid w:val="00854E32"/>
    <w:rsid w:val="00854F92"/>
    <w:rsid w:val="00855833"/>
    <w:rsid w:val="00855ACF"/>
    <w:rsid w:val="00855B75"/>
    <w:rsid w:val="00855CB8"/>
    <w:rsid w:val="0085631E"/>
    <w:rsid w:val="00857023"/>
    <w:rsid w:val="008571A4"/>
    <w:rsid w:val="008573F4"/>
    <w:rsid w:val="008575C2"/>
    <w:rsid w:val="00857E87"/>
    <w:rsid w:val="00857F19"/>
    <w:rsid w:val="008601D0"/>
    <w:rsid w:val="00861269"/>
    <w:rsid w:val="0086149D"/>
    <w:rsid w:val="00861912"/>
    <w:rsid w:val="00861BAB"/>
    <w:rsid w:val="008630B9"/>
    <w:rsid w:val="008630C2"/>
    <w:rsid w:val="008631DF"/>
    <w:rsid w:val="00863469"/>
    <w:rsid w:val="00863C06"/>
    <w:rsid w:val="00863C3F"/>
    <w:rsid w:val="00864242"/>
    <w:rsid w:val="00864344"/>
    <w:rsid w:val="0086482D"/>
    <w:rsid w:val="0086525E"/>
    <w:rsid w:val="0086564A"/>
    <w:rsid w:val="00865706"/>
    <w:rsid w:val="00866266"/>
    <w:rsid w:val="008662CC"/>
    <w:rsid w:val="0086673A"/>
    <w:rsid w:val="00866DBB"/>
    <w:rsid w:val="00866FCB"/>
    <w:rsid w:val="008672EF"/>
    <w:rsid w:val="008673EA"/>
    <w:rsid w:val="0086758A"/>
    <w:rsid w:val="00867B13"/>
    <w:rsid w:val="008703E1"/>
    <w:rsid w:val="008706B2"/>
    <w:rsid w:val="008706D1"/>
    <w:rsid w:val="008708E9"/>
    <w:rsid w:val="00870B93"/>
    <w:rsid w:val="00870DA3"/>
    <w:rsid w:val="0087105D"/>
    <w:rsid w:val="0087139D"/>
    <w:rsid w:val="008719B1"/>
    <w:rsid w:val="00871B00"/>
    <w:rsid w:val="00871B77"/>
    <w:rsid w:val="0087223A"/>
    <w:rsid w:val="00872278"/>
    <w:rsid w:val="0087250A"/>
    <w:rsid w:val="00872A02"/>
    <w:rsid w:val="00872BDE"/>
    <w:rsid w:val="008734C9"/>
    <w:rsid w:val="0087399C"/>
    <w:rsid w:val="00873A2D"/>
    <w:rsid w:val="008746A3"/>
    <w:rsid w:val="00874DD2"/>
    <w:rsid w:val="00875C68"/>
    <w:rsid w:val="00875DBF"/>
    <w:rsid w:val="00875DFD"/>
    <w:rsid w:val="0087616F"/>
    <w:rsid w:val="0087678F"/>
    <w:rsid w:val="00876830"/>
    <w:rsid w:val="0087690D"/>
    <w:rsid w:val="00876E20"/>
    <w:rsid w:val="00876FB6"/>
    <w:rsid w:val="00877948"/>
    <w:rsid w:val="00877CD8"/>
    <w:rsid w:val="008803D5"/>
    <w:rsid w:val="0088047C"/>
    <w:rsid w:val="0088048F"/>
    <w:rsid w:val="00880662"/>
    <w:rsid w:val="00880700"/>
    <w:rsid w:val="008808F2"/>
    <w:rsid w:val="00880901"/>
    <w:rsid w:val="00880C31"/>
    <w:rsid w:val="00880E00"/>
    <w:rsid w:val="00881565"/>
    <w:rsid w:val="00881B0D"/>
    <w:rsid w:val="00881F00"/>
    <w:rsid w:val="008827BE"/>
    <w:rsid w:val="00882BD4"/>
    <w:rsid w:val="008830DC"/>
    <w:rsid w:val="008834E0"/>
    <w:rsid w:val="00883556"/>
    <w:rsid w:val="00883645"/>
    <w:rsid w:val="0088396E"/>
    <w:rsid w:val="00883B59"/>
    <w:rsid w:val="00883C3E"/>
    <w:rsid w:val="008843C4"/>
    <w:rsid w:val="00884498"/>
    <w:rsid w:val="008845AA"/>
    <w:rsid w:val="008857A4"/>
    <w:rsid w:val="00885BFC"/>
    <w:rsid w:val="008862A6"/>
    <w:rsid w:val="00886DDC"/>
    <w:rsid w:val="00886E16"/>
    <w:rsid w:val="008872C2"/>
    <w:rsid w:val="0088751E"/>
    <w:rsid w:val="008905F6"/>
    <w:rsid w:val="008908BC"/>
    <w:rsid w:val="008909BA"/>
    <w:rsid w:val="00890B9B"/>
    <w:rsid w:val="008913E1"/>
    <w:rsid w:val="008913FB"/>
    <w:rsid w:val="00891401"/>
    <w:rsid w:val="00891555"/>
    <w:rsid w:val="0089163E"/>
    <w:rsid w:val="008919DF"/>
    <w:rsid w:val="00892A81"/>
    <w:rsid w:val="00892BAE"/>
    <w:rsid w:val="00892C40"/>
    <w:rsid w:val="008930C2"/>
    <w:rsid w:val="008932F3"/>
    <w:rsid w:val="00893454"/>
    <w:rsid w:val="00893B96"/>
    <w:rsid w:val="00894152"/>
    <w:rsid w:val="00894226"/>
    <w:rsid w:val="008943F8"/>
    <w:rsid w:val="008943FF"/>
    <w:rsid w:val="0089456E"/>
    <w:rsid w:val="00894850"/>
    <w:rsid w:val="00894F37"/>
    <w:rsid w:val="00895040"/>
    <w:rsid w:val="008953E1"/>
    <w:rsid w:val="00895537"/>
    <w:rsid w:val="00895833"/>
    <w:rsid w:val="00896256"/>
    <w:rsid w:val="008963D8"/>
    <w:rsid w:val="008964B1"/>
    <w:rsid w:val="008965BB"/>
    <w:rsid w:val="008966E1"/>
    <w:rsid w:val="0089780C"/>
    <w:rsid w:val="00897B0D"/>
    <w:rsid w:val="00897BD1"/>
    <w:rsid w:val="00897ED5"/>
    <w:rsid w:val="008A03FB"/>
    <w:rsid w:val="008A05B3"/>
    <w:rsid w:val="008A061E"/>
    <w:rsid w:val="008A069C"/>
    <w:rsid w:val="008A07BB"/>
    <w:rsid w:val="008A0903"/>
    <w:rsid w:val="008A0938"/>
    <w:rsid w:val="008A0A2A"/>
    <w:rsid w:val="008A0EE6"/>
    <w:rsid w:val="008A108E"/>
    <w:rsid w:val="008A1159"/>
    <w:rsid w:val="008A1BC2"/>
    <w:rsid w:val="008A205F"/>
    <w:rsid w:val="008A2232"/>
    <w:rsid w:val="008A24F8"/>
    <w:rsid w:val="008A2D47"/>
    <w:rsid w:val="008A307D"/>
    <w:rsid w:val="008A3101"/>
    <w:rsid w:val="008A3261"/>
    <w:rsid w:val="008A329E"/>
    <w:rsid w:val="008A36E2"/>
    <w:rsid w:val="008A383C"/>
    <w:rsid w:val="008A38A6"/>
    <w:rsid w:val="008A3DE3"/>
    <w:rsid w:val="008A402B"/>
    <w:rsid w:val="008A4313"/>
    <w:rsid w:val="008A4E86"/>
    <w:rsid w:val="008A5DC2"/>
    <w:rsid w:val="008A615E"/>
    <w:rsid w:val="008A625D"/>
    <w:rsid w:val="008A626C"/>
    <w:rsid w:val="008A6BB2"/>
    <w:rsid w:val="008A6C97"/>
    <w:rsid w:val="008A6DC0"/>
    <w:rsid w:val="008A7420"/>
    <w:rsid w:val="008A75EF"/>
    <w:rsid w:val="008A7648"/>
    <w:rsid w:val="008B0240"/>
    <w:rsid w:val="008B0305"/>
    <w:rsid w:val="008B073E"/>
    <w:rsid w:val="008B0BA4"/>
    <w:rsid w:val="008B123C"/>
    <w:rsid w:val="008B140A"/>
    <w:rsid w:val="008B181A"/>
    <w:rsid w:val="008B1B20"/>
    <w:rsid w:val="008B1D7E"/>
    <w:rsid w:val="008B1FDF"/>
    <w:rsid w:val="008B2253"/>
    <w:rsid w:val="008B28C0"/>
    <w:rsid w:val="008B3051"/>
    <w:rsid w:val="008B34F6"/>
    <w:rsid w:val="008B3E89"/>
    <w:rsid w:val="008B4197"/>
    <w:rsid w:val="008B455E"/>
    <w:rsid w:val="008B60AB"/>
    <w:rsid w:val="008B629F"/>
    <w:rsid w:val="008B65F4"/>
    <w:rsid w:val="008B678F"/>
    <w:rsid w:val="008B6C7C"/>
    <w:rsid w:val="008B6E1D"/>
    <w:rsid w:val="008B6F3B"/>
    <w:rsid w:val="008B7005"/>
    <w:rsid w:val="008B70B3"/>
    <w:rsid w:val="008B717B"/>
    <w:rsid w:val="008B7343"/>
    <w:rsid w:val="008B78E4"/>
    <w:rsid w:val="008C0011"/>
    <w:rsid w:val="008C00FB"/>
    <w:rsid w:val="008C04B2"/>
    <w:rsid w:val="008C065C"/>
    <w:rsid w:val="008C06C9"/>
    <w:rsid w:val="008C0720"/>
    <w:rsid w:val="008C0A7E"/>
    <w:rsid w:val="008C0C09"/>
    <w:rsid w:val="008C165E"/>
    <w:rsid w:val="008C18D4"/>
    <w:rsid w:val="008C1DA4"/>
    <w:rsid w:val="008C20A7"/>
    <w:rsid w:val="008C2468"/>
    <w:rsid w:val="008C277C"/>
    <w:rsid w:val="008C2A66"/>
    <w:rsid w:val="008C3342"/>
    <w:rsid w:val="008C337A"/>
    <w:rsid w:val="008C3394"/>
    <w:rsid w:val="008C3E3B"/>
    <w:rsid w:val="008C4046"/>
    <w:rsid w:val="008C4369"/>
    <w:rsid w:val="008C4426"/>
    <w:rsid w:val="008C4E2B"/>
    <w:rsid w:val="008C5293"/>
    <w:rsid w:val="008C539F"/>
    <w:rsid w:val="008C5507"/>
    <w:rsid w:val="008C5B67"/>
    <w:rsid w:val="008C5E22"/>
    <w:rsid w:val="008C5FFC"/>
    <w:rsid w:val="008C628F"/>
    <w:rsid w:val="008C64BA"/>
    <w:rsid w:val="008C6542"/>
    <w:rsid w:val="008C684D"/>
    <w:rsid w:val="008C6BCE"/>
    <w:rsid w:val="008C6EA2"/>
    <w:rsid w:val="008C70A6"/>
    <w:rsid w:val="008C748E"/>
    <w:rsid w:val="008C765A"/>
    <w:rsid w:val="008C79E2"/>
    <w:rsid w:val="008C7D09"/>
    <w:rsid w:val="008D01A5"/>
    <w:rsid w:val="008D0461"/>
    <w:rsid w:val="008D07D7"/>
    <w:rsid w:val="008D091A"/>
    <w:rsid w:val="008D0D66"/>
    <w:rsid w:val="008D1564"/>
    <w:rsid w:val="008D18E5"/>
    <w:rsid w:val="008D1AFA"/>
    <w:rsid w:val="008D2032"/>
    <w:rsid w:val="008D2182"/>
    <w:rsid w:val="008D23CB"/>
    <w:rsid w:val="008D2610"/>
    <w:rsid w:val="008D29FB"/>
    <w:rsid w:val="008D3EAB"/>
    <w:rsid w:val="008D41C5"/>
    <w:rsid w:val="008D4215"/>
    <w:rsid w:val="008D434B"/>
    <w:rsid w:val="008D45A6"/>
    <w:rsid w:val="008D4604"/>
    <w:rsid w:val="008D4828"/>
    <w:rsid w:val="008D4FEB"/>
    <w:rsid w:val="008D51A2"/>
    <w:rsid w:val="008D5319"/>
    <w:rsid w:val="008D5417"/>
    <w:rsid w:val="008D571A"/>
    <w:rsid w:val="008D5963"/>
    <w:rsid w:val="008D5B27"/>
    <w:rsid w:val="008D5D54"/>
    <w:rsid w:val="008D5D5B"/>
    <w:rsid w:val="008D62B8"/>
    <w:rsid w:val="008D643A"/>
    <w:rsid w:val="008D6734"/>
    <w:rsid w:val="008D67D4"/>
    <w:rsid w:val="008D7F3A"/>
    <w:rsid w:val="008E011F"/>
    <w:rsid w:val="008E0806"/>
    <w:rsid w:val="008E0A00"/>
    <w:rsid w:val="008E0E00"/>
    <w:rsid w:val="008E16A5"/>
    <w:rsid w:val="008E1946"/>
    <w:rsid w:val="008E1A4A"/>
    <w:rsid w:val="008E2087"/>
    <w:rsid w:val="008E20D9"/>
    <w:rsid w:val="008E2565"/>
    <w:rsid w:val="008E2629"/>
    <w:rsid w:val="008E2942"/>
    <w:rsid w:val="008E2D2A"/>
    <w:rsid w:val="008E2D9E"/>
    <w:rsid w:val="008E2FEE"/>
    <w:rsid w:val="008E2FFA"/>
    <w:rsid w:val="008E3077"/>
    <w:rsid w:val="008E3776"/>
    <w:rsid w:val="008E3B6E"/>
    <w:rsid w:val="008E3BED"/>
    <w:rsid w:val="008E414B"/>
    <w:rsid w:val="008E4484"/>
    <w:rsid w:val="008E467E"/>
    <w:rsid w:val="008E4A5F"/>
    <w:rsid w:val="008E4BEE"/>
    <w:rsid w:val="008E5C15"/>
    <w:rsid w:val="008E6046"/>
    <w:rsid w:val="008E7B25"/>
    <w:rsid w:val="008E7CD0"/>
    <w:rsid w:val="008F002A"/>
    <w:rsid w:val="008F0800"/>
    <w:rsid w:val="008F0C5F"/>
    <w:rsid w:val="008F0F5A"/>
    <w:rsid w:val="008F13AC"/>
    <w:rsid w:val="008F1843"/>
    <w:rsid w:val="008F18D7"/>
    <w:rsid w:val="008F1ACE"/>
    <w:rsid w:val="008F212E"/>
    <w:rsid w:val="008F258A"/>
    <w:rsid w:val="008F2984"/>
    <w:rsid w:val="008F2AF8"/>
    <w:rsid w:val="008F2BF4"/>
    <w:rsid w:val="008F2F19"/>
    <w:rsid w:val="008F3E2E"/>
    <w:rsid w:val="008F3E57"/>
    <w:rsid w:val="008F3EFA"/>
    <w:rsid w:val="008F45AC"/>
    <w:rsid w:val="008F53CC"/>
    <w:rsid w:val="008F55B4"/>
    <w:rsid w:val="008F568E"/>
    <w:rsid w:val="008F5704"/>
    <w:rsid w:val="008F5987"/>
    <w:rsid w:val="008F5EA2"/>
    <w:rsid w:val="008F6D66"/>
    <w:rsid w:val="008F6EB5"/>
    <w:rsid w:val="008F6FF4"/>
    <w:rsid w:val="008F7608"/>
    <w:rsid w:val="008F77E6"/>
    <w:rsid w:val="009002F8"/>
    <w:rsid w:val="00900924"/>
    <w:rsid w:val="009009A7"/>
    <w:rsid w:val="00901904"/>
    <w:rsid w:val="009019ED"/>
    <w:rsid w:val="00901E2D"/>
    <w:rsid w:val="009020FC"/>
    <w:rsid w:val="00902280"/>
    <w:rsid w:val="00902477"/>
    <w:rsid w:val="00902ADC"/>
    <w:rsid w:val="00902B6C"/>
    <w:rsid w:val="00902D62"/>
    <w:rsid w:val="00902E16"/>
    <w:rsid w:val="00903454"/>
    <w:rsid w:val="00903900"/>
    <w:rsid w:val="00903C0A"/>
    <w:rsid w:val="00903F4F"/>
    <w:rsid w:val="0090407C"/>
    <w:rsid w:val="009043E5"/>
    <w:rsid w:val="00904593"/>
    <w:rsid w:val="00904B06"/>
    <w:rsid w:val="009051AF"/>
    <w:rsid w:val="00905744"/>
    <w:rsid w:val="009058DE"/>
    <w:rsid w:val="0090613B"/>
    <w:rsid w:val="0090628E"/>
    <w:rsid w:val="0090638C"/>
    <w:rsid w:val="00906E77"/>
    <w:rsid w:val="00907560"/>
    <w:rsid w:val="00907828"/>
    <w:rsid w:val="00907B93"/>
    <w:rsid w:val="00907C12"/>
    <w:rsid w:val="00907C2F"/>
    <w:rsid w:val="00907CCF"/>
    <w:rsid w:val="00907E55"/>
    <w:rsid w:val="0091044C"/>
    <w:rsid w:val="00910A7A"/>
    <w:rsid w:val="00910CB6"/>
    <w:rsid w:val="00910DBE"/>
    <w:rsid w:val="009110DB"/>
    <w:rsid w:val="0091183B"/>
    <w:rsid w:val="009119D3"/>
    <w:rsid w:val="00911A48"/>
    <w:rsid w:val="00911AD3"/>
    <w:rsid w:val="00911D91"/>
    <w:rsid w:val="0091227F"/>
    <w:rsid w:val="00912773"/>
    <w:rsid w:val="009134B4"/>
    <w:rsid w:val="009134FA"/>
    <w:rsid w:val="00913622"/>
    <w:rsid w:val="00913BD9"/>
    <w:rsid w:val="00914383"/>
    <w:rsid w:val="00914797"/>
    <w:rsid w:val="00914847"/>
    <w:rsid w:val="00915233"/>
    <w:rsid w:val="009157B1"/>
    <w:rsid w:val="0091593B"/>
    <w:rsid w:val="009161C5"/>
    <w:rsid w:val="00916554"/>
    <w:rsid w:val="00916D5C"/>
    <w:rsid w:val="009172DD"/>
    <w:rsid w:val="009173B3"/>
    <w:rsid w:val="0091741A"/>
    <w:rsid w:val="00920186"/>
    <w:rsid w:val="00920194"/>
    <w:rsid w:val="0092021F"/>
    <w:rsid w:val="009203A7"/>
    <w:rsid w:val="009204BE"/>
    <w:rsid w:val="00920D69"/>
    <w:rsid w:val="0092148A"/>
    <w:rsid w:val="00921B5C"/>
    <w:rsid w:val="00922107"/>
    <w:rsid w:val="00922F2A"/>
    <w:rsid w:val="00922FF0"/>
    <w:rsid w:val="00923620"/>
    <w:rsid w:val="00924403"/>
    <w:rsid w:val="00924543"/>
    <w:rsid w:val="0092495A"/>
    <w:rsid w:val="00924ECB"/>
    <w:rsid w:val="00925113"/>
    <w:rsid w:val="0092542D"/>
    <w:rsid w:val="0092558A"/>
    <w:rsid w:val="00925894"/>
    <w:rsid w:val="00925B46"/>
    <w:rsid w:val="00925CB9"/>
    <w:rsid w:val="00925EBD"/>
    <w:rsid w:val="00926674"/>
    <w:rsid w:val="00926A75"/>
    <w:rsid w:val="00926AC2"/>
    <w:rsid w:val="00926DA6"/>
    <w:rsid w:val="009273E3"/>
    <w:rsid w:val="00927AC3"/>
    <w:rsid w:val="00927CDC"/>
    <w:rsid w:val="00927F52"/>
    <w:rsid w:val="00930400"/>
    <w:rsid w:val="009304B1"/>
    <w:rsid w:val="00930AA4"/>
    <w:rsid w:val="009313BC"/>
    <w:rsid w:val="00931813"/>
    <w:rsid w:val="00931A66"/>
    <w:rsid w:val="00931B96"/>
    <w:rsid w:val="00932176"/>
    <w:rsid w:val="00932A7A"/>
    <w:rsid w:val="00932BB5"/>
    <w:rsid w:val="00933190"/>
    <w:rsid w:val="0093323E"/>
    <w:rsid w:val="0093418B"/>
    <w:rsid w:val="009346CB"/>
    <w:rsid w:val="009346D5"/>
    <w:rsid w:val="00934751"/>
    <w:rsid w:val="00934C90"/>
    <w:rsid w:val="00934E7A"/>
    <w:rsid w:val="00934FBB"/>
    <w:rsid w:val="00935270"/>
    <w:rsid w:val="00935D32"/>
    <w:rsid w:val="009360E7"/>
    <w:rsid w:val="00936177"/>
    <w:rsid w:val="0093624D"/>
    <w:rsid w:val="00936501"/>
    <w:rsid w:val="00936DB5"/>
    <w:rsid w:val="00937A19"/>
    <w:rsid w:val="00937F8C"/>
    <w:rsid w:val="0094004D"/>
    <w:rsid w:val="00940153"/>
    <w:rsid w:val="009403F5"/>
    <w:rsid w:val="0094092E"/>
    <w:rsid w:val="00940CDD"/>
    <w:rsid w:val="00940DEE"/>
    <w:rsid w:val="0094136C"/>
    <w:rsid w:val="00941B5E"/>
    <w:rsid w:val="00941C4A"/>
    <w:rsid w:val="00941EDE"/>
    <w:rsid w:val="00942232"/>
    <w:rsid w:val="009425BE"/>
    <w:rsid w:val="00942651"/>
    <w:rsid w:val="00942AE5"/>
    <w:rsid w:val="00942B23"/>
    <w:rsid w:val="00942C81"/>
    <w:rsid w:val="00942EAF"/>
    <w:rsid w:val="0094313E"/>
    <w:rsid w:val="009433E4"/>
    <w:rsid w:val="00944506"/>
    <w:rsid w:val="009447B8"/>
    <w:rsid w:val="0094520B"/>
    <w:rsid w:val="00945C41"/>
    <w:rsid w:val="00945E9E"/>
    <w:rsid w:val="00946082"/>
    <w:rsid w:val="00946739"/>
    <w:rsid w:val="00946A97"/>
    <w:rsid w:val="00946FD1"/>
    <w:rsid w:val="00947E57"/>
    <w:rsid w:val="00947F1B"/>
    <w:rsid w:val="009503DD"/>
    <w:rsid w:val="0095044C"/>
    <w:rsid w:val="009505AC"/>
    <w:rsid w:val="0095093B"/>
    <w:rsid w:val="00950B8E"/>
    <w:rsid w:val="00950FF8"/>
    <w:rsid w:val="00951347"/>
    <w:rsid w:val="0095139A"/>
    <w:rsid w:val="00951453"/>
    <w:rsid w:val="009516C6"/>
    <w:rsid w:val="009519B9"/>
    <w:rsid w:val="009524B0"/>
    <w:rsid w:val="009529BC"/>
    <w:rsid w:val="00952C74"/>
    <w:rsid w:val="00952E30"/>
    <w:rsid w:val="00953A7D"/>
    <w:rsid w:val="00953D3B"/>
    <w:rsid w:val="009541F1"/>
    <w:rsid w:val="0095429A"/>
    <w:rsid w:val="009544A3"/>
    <w:rsid w:val="00954619"/>
    <w:rsid w:val="00954654"/>
    <w:rsid w:val="00954DCD"/>
    <w:rsid w:val="00955339"/>
    <w:rsid w:val="00955633"/>
    <w:rsid w:val="0095563A"/>
    <w:rsid w:val="00955B13"/>
    <w:rsid w:val="00955B65"/>
    <w:rsid w:val="00956083"/>
    <w:rsid w:val="009563EE"/>
    <w:rsid w:val="009566FB"/>
    <w:rsid w:val="00956724"/>
    <w:rsid w:val="009571E3"/>
    <w:rsid w:val="00957824"/>
    <w:rsid w:val="00957C67"/>
    <w:rsid w:val="00957D60"/>
    <w:rsid w:val="00957DE2"/>
    <w:rsid w:val="00957F9E"/>
    <w:rsid w:val="00961770"/>
    <w:rsid w:val="009627B1"/>
    <w:rsid w:val="0096292A"/>
    <w:rsid w:val="00962F9C"/>
    <w:rsid w:val="00963207"/>
    <w:rsid w:val="009632D6"/>
    <w:rsid w:val="00963F61"/>
    <w:rsid w:val="009640E1"/>
    <w:rsid w:val="009641A6"/>
    <w:rsid w:val="00964606"/>
    <w:rsid w:val="00964A5A"/>
    <w:rsid w:val="00964B99"/>
    <w:rsid w:val="00964C10"/>
    <w:rsid w:val="00964CA6"/>
    <w:rsid w:val="009650FE"/>
    <w:rsid w:val="00965159"/>
    <w:rsid w:val="0096519E"/>
    <w:rsid w:val="00965723"/>
    <w:rsid w:val="00965C23"/>
    <w:rsid w:val="00965C75"/>
    <w:rsid w:val="00965D55"/>
    <w:rsid w:val="00965E2F"/>
    <w:rsid w:val="00965E60"/>
    <w:rsid w:val="00966109"/>
    <w:rsid w:val="00966602"/>
    <w:rsid w:val="0096751D"/>
    <w:rsid w:val="009677FD"/>
    <w:rsid w:val="009678A8"/>
    <w:rsid w:val="00967A9B"/>
    <w:rsid w:val="00970110"/>
    <w:rsid w:val="00970487"/>
    <w:rsid w:val="009715CA"/>
    <w:rsid w:val="00971F9C"/>
    <w:rsid w:val="00972373"/>
    <w:rsid w:val="009734B6"/>
    <w:rsid w:val="00973A5B"/>
    <w:rsid w:val="00973C24"/>
    <w:rsid w:val="00974492"/>
    <w:rsid w:val="0097465B"/>
    <w:rsid w:val="00974C4F"/>
    <w:rsid w:val="00974DB5"/>
    <w:rsid w:val="00975365"/>
    <w:rsid w:val="00975429"/>
    <w:rsid w:val="00975E5C"/>
    <w:rsid w:val="00975F9B"/>
    <w:rsid w:val="0097605B"/>
    <w:rsid w:val="00976977"/>
    <w:rsid w:val="00976A50"/>
    <w:rsid w:val="00976C8A"/>
    <w:rsid w:val="00977495"/>
    <w:rsid w:val="00977519"/>
    <w:rsid w:val="00977A9B"/>
    <w:rsid w:val="009805B8"/>
    <w:rsid w:val="00980CFD"/>
    <w:rsid w:val="00981030"/>
    <w:rsid w:val="00981115"/>
    <w:rsid w:val="0098123C"/>
    <w:rsid w:val="009813CF"/>
    <w:rsid w:val="00981433"/>
    <w:rsid w:val="0098171A"/>
    <w:rsid w:val="009817A0"/>
    <w:rsid w:val="009822B6"/>
    <w:rsid w:val="00982477"/>
    <w:rsid w:val="0098265B"/>
    <w:rsid w:val="0098268A"/>
    <w:rsid w:val="00982A15"/>
    <w:rsid w:val="0098336F"/>
    <w:rsid w:val="009835DA"/>
    <w:rsid w:val="00983A31"/>
    <w:rsid w:val="00983A70"/>
    <w:rsid w:val="00984259"/>
    <w:rsid w:val="00985717"/>
    <w:rsid w:val="00985C2B"/>
    <w:rsid w:val="00985D1C"/>
    <w:rsid w:val="009860B7"/>
    <w:rsid w:val="009867A9"/>
    <w:rsid w:val="009871EB"/>
    <w:rsid w:val="009872C5"/>
    <w:rsid w:val="00987AD4"/>
    <w:rsid w:val="00987C08"/>
    <w:rsid w:val="00987F8E"/>
    <w:rsid w:val="0099025A"/>
    <w:rsid w:val="00990298"/>
    <w:rsid w:val="009902CF"/>
    <w:rsid w:val="009904F1"/>
    <w:rsid w:val="00990AA8"/>
    <w:rsid w:val="00990F71"/>
    <w:rsid w:val="0099116B"/>
    <w:rsid w:val="009915C8"/>
    <w:rsid w:val="0099191C"/>
    <w:rsid w:val="0099194F"/>
    <w:rsid w:val="00991AF0"/>
    <w:rsid w:val="00991F03"/>
    <w:rsid w:val="00991F7F"/>
    <w:rsid w:val="00992B12"/>
    <w:rsid w:val="00993686"/>
    <w:rsid w:val="00993B5F"/>
    <w:rsid w:val="00994467"/>
    <w:rsid w:val="009945AF"/>
    <w:rsid w:val="0099476A"/>
    <w:rsid w:val="009947AF"/>
    <w:rsid w:val="00995034"/>
    <w:rsid w:val="00995066"/>
    <w:rsid w:val="009964C8"/>
    <w:rsid w:val="00997872"/>
    <w:rsid w:val="0099792C"/>
    <w:rsid w:val="00997B1D"/>
    <w:rsid w:val="009A022F"/>
    <w:rsid w:val="009A0C54"/>
    <w:rsid w:val="009A0DD5"/>
    <w:rsid w:val="009A0F50"/>
    <w:rsid w:val="009A2622"/>
    <w:rsid w:val="009A283B"/>
    <w:rsid w:val="009A2D04"/>
    <w:rsid w:val="009A2DB1"/>
    <w:rsid w:val="009A313D"/>
    <w:rsid w:val="009A332B"/>
    <w:rsid w:val="009A3330"/>
    <w:rsid w:val="009A36CB"/>
    <w:rsid w:val="009A391B"/>
    <w:rsid w:val="009A4536"/>
    <w:rsid w:val="009A4721"/>
    <w:rsid w:val="009A4EB7"/>
    <w:rsid w:val="009A50DA"/>
    <w:rsid w:val="009A598B"/>
    <w:rsid w:val="009A5F6F"/>
    <w:rsid w:val="009A63D7"/>
    <w:rsid w:val="009A644B"/>
    <w:rsid w:val="009A6501"/>
    <w:rsid w:val="009A6821"/>
    <w:rsid w:val="009A6D48"/>
    <w:rsid w:val="009A7259"/>
    <w:rsid w:val="009A73C2"/>
    <w:rsid w:val="009A760C"/>
    <w:rsid w:val="009A773F"/>
    <w:rsid w:val="009A7ADB"/>
    <w:rsid w:val="009A7C59"/>
    <w:rsid w:val="009B02DA"/>
    <w:rsid w:val="009B1066"/>
    <w:rsid w:val="009B1132"/>
    <w:rsid w:val="009B1D66"/>
    <w:rsid w:val="009B2473"/>
    <w:rsid w:val="009B2769"/>
    <w:rsid w:val="009B27FE"/>
    <w:rsid w:val="009B285C"/>
    <w:rsid w:val="009B2B68"/>
    <w:rsid w:val="009B3362"/>
    <w:rsid w:val="009B3565"/>
    <w:rsid w:val="009B3B0A"/>
    <w:rsid w:val="009B3DFD"/>
    <w:rsid w:val="009B3F3D"/>
    <w:rsid w:val="009B42B0"/>
    <w:rsid w:val="009B438A"/>
    <w:rsid w:val="009B46CA"/>
    <w:rsid w:val="009B481C"/>
    <w:rsid w:val="009B4BDD"/>
    <w:rsid w:val="009B50BD"/>
    <w:rsid w:val="009B5279"/>
    <w:rsid w:val="009B5606"/>
    <w:rsid w:val="009B5AD2"/>
    <w:rsid w:val="009B5F8A"/>
    <w:rsid w:val="009B6024"/>
    <w:rsid w:val="009B6702"/>
    <w:rsid w:val="009B67F3"/>
    <w:rsid w:val="009B6B2C"/>
    <w:rsid w:val="009B6BE3"/>
    <w:rsid w:val="009B6DE4"/>
    <w:rsid w:val="009B78A9"/>
    <w:rsid w:val="009B7DC4"/>
    <w:rsid w:val="009B7E37"/>
    <w:rsid w:val="009C03D5"/>
    <w:rsid w:val="009C0A99"/>
    <w:rsid w:val="009C0F95"/>
    <w:rsid w:val="009C194D"/>
    <w:rsid w:val="009C1A73"/>
    <w:rsid w:val="009C1AD5"/>
    <w:rsid w:val="009C3238"/>
    <w:rsid w:val="009C3AC1"/>
    <w:rsid w:val="009C43D0"/>
    <w:rsid w:val="009C48D3"/>
    <w:rsid w:val="009C5004"/>
    <w:rsid w:val="009C5017"/>
    <w:rsid w:val="009C56B3"/>
    <w:rsid w:val="009C57CC"/>
    <w:rsid w:val="009C5AD2"/>
    <w:rsid w:val="009C5C67"/>
    <w:rsid w:val="009C5CDF"/>
    <w:rsid w:val="009C5F77"/>
    <w:rsid w:val="009C65A6"/>
    <w:rsid w:val="009C6843"/>
    <w:rsid w:val="009C6965"/>
    <w:rsid w:val="009C6DF6"/>
    <w:rsid w:val="009C7D63"/>
    <w:rsid w:val="009D01DE"/>
    <w:rsid w:val="009D0836"/>
    <w:rsid w:val="009D0AC7"/>
    <w:rsid w:val="009D13E6"/>
    <w:rsid w:val="009D141E"/>
    <w:rsid w:val="009D1590"/>
    <w:rsid w:val="009D188D"/>
    <w:rsid w:val="009D1FCF"/>
    <w:rsid w:val="009D222B"/>
    <w:rsid w:val="009D2271"/>
    <w:rsid w:val="009D2539"/>
    <w:rsid w:val="009D26FF"/>
    <w:rsid w:val="009D2813"/>
    <w:rsid w:val="009D2EF1"/>
    <w:rsid w:val="009D321B"/>
    <w:rsid w:val="009D3E40"/>
    <w:rsid w:val="009D3E63"/>
    <w:rsid w:val="009D4023"/>
    <w:rsid w:val="009D45CD"/>
    <w:rsid w:val="009D4C39"/>
    <w:rsid w:val="009D4DDA"/>
    <w:rsid w:val="009D525B"/>
    <w:rsid w:val="009D5288"/>
    <w:rsid w:val="009D5563"/>
    <w:rsid w:val="009D5C37"/>
    <w:rsid w:val="009D6737"/>
    <w:rsid w:val="009D6872"/>
    <w:rsid w:val="009D76C1"/>
    <w:rsid w:val="009D78CC"/>
    <w:rsid w:val="009D7B9D"/>
    <w:rsid w:val="009D7C23"/>
    <w:rsid w:val="009D7CA2"/>
    <w:rsid w:val="009E0A44"/>
    <w:rsid w:val="009E0B06"/>
    <w:rsid w:val="009E128E"/>
    <w:rsid w:val="009E1806"/>
    <w:rsid w:val="009E1948"/>
    <w:rsid w:val="009E2007"/>
    <w:rsid w:val="009E2D2D"/>
    <w:rsid w:val="009E2EFF"/>
    <w:rsid w:val="009E308A"/>
    <w:rsid w:val="009E3387"/>
    <w:rsid w:val="009E3483"/>
    <w:rsid w:val="009E374E"/>
    <w:rsid w:val="009E383B"/>
    <w:rsid w:val="009E489F"/>
    <w:rsid w:val="009E49BE"/>
    <w:rsid w:val="009E4A50"/>
    <w:rsid w:val="009E4AAD"/>
    <w:rsid w:val="009E4B8D"/>
    <w:rsid w:val="009E53DA"/>
    <w:rsid w:val="009E5DA1"/>
    <w:rsid w:val="009E5EA3"/>
    <w:rsid w:val="009E65AA"/>
    <w:rsid w:val="009E6633"/>
    <w:rsid w:val="009E6653"/>
    <w:rsid w:val="009E67DA"/>
    <w:rsid w:val="009E69E2"/>
    <w:rsid w:val="009E71AC"/>
    <w:rsid w:val="009E72A7"/>
    <w:rsid w:val="009E7702"/>
    <w:rsid w:val="009E789F"/>
    <w:rsid w:val="009E79C0"/>
    <w:rsid w:val="009F04B8"/>
    <w:rsid w:val="009F082D"/>
    <w:rsid w:val="009F0D06"/>
    <w:rsid w:val="009F188B"/>
    <w:rsid w:val="009F1BB4"/>
    <w:rsid w:val="009F2584"/>
    <w:rsid w:val="009F2796"/>
    <w:rsid w:val="009F2ABB"/>
    <w:rsid w:val="009F2BBD"/>
    <w:rsid w:val="009F2BFD"/>
    <w:rsid w:val="009F2DCF"/>
    <w:rsid w:val="009F2F75"/>
    <w:rsid w:val="009F3C44"/>
    <w:rsid w:val="009F47B1"/>
    <w:rsid w:val="009F4860"/>
    <w:rsid w:val="009F4969"/>
    <w:rsid w:val="009F50C0"/>
    <w:rsid w:val="009F5111"/>
    <w:rsid w:val="009F540E"/>
    <w:rsid w:val="009F5730"/>
    <w:rsid w:val="009F5B25"/>
    <w:rsid w:val="009F5B2D"/>
    <w:rsid w:val="009F5B32"/>
    <w:rsid w:val="009F5E7C"/>
    <w:rsid w:val="009F6308"/>
    <w:rsid w:val="009F6A1C"/>
    <w:rsid w:val="009F730E"/>
    <w:rsid w:val="00A001DE"/>
    <w:rsid w:val="00A00B33"/>
    <w:rsid w:val="00A00F08"/>
    <w:rsid w:val="00A0142E"/>
    <w:rsid w:val="00A01545"/>
    <w:rsid w:val="00A0174E"/>
    <w:rsid w:val="00A01859"/>
    <w:rsid w:val="00A0193C"/>
    <w:rsid w:val="00A01981"/>
    <w:rsid w:val="00A01E89"/>
    <w:rsid w:val="00A0217F"/>
    <w:rsid w:val="00A02323"/>
    <w:rsid w:val="00A0242A"/>
    <w:rsid w:val="00A02CE8"/>
    <w:rsid w:val="00A03215"/>
    <w:rsid w:val="00A03C42"/>
    <w:rsid w:val="00A04600"/>
    <w:rsid w:val="00A049A3"/>
    <w:rsid w:val="00A050AB"/>
    <w:rsid w:val="00A056A7"/>
    <w:rsid w:val="00A0609B"/>
    <w:rsid w:val="00A06421"/>
    <w:rsid w:val="00A06AEA"/>
    <w:rsid w:val="00A06D91"/>
    <w:rsid w:val="00A06DA9"/>
    <w:rsid w:val="00A06E73"/>
    <w:rsid w:val="00A07381"/>
    <w:rsid w:val="00A073E9"/>
    <w:rsid w:val="00A0775C"/>
    <w:rsid w:val="00A07BD8"/>
    <w:rsid w:val="00A07C5E"/>
    <w:rsid w:val="00A07EF6"/>
    <w:rsid w:val="00A106BE"/>
    <w:rsid w:val="00A10BEF"/>
    <w:rsid w:val="00A11444"/>
    <w:rsid w:val="00A116E3"/>
    <w:rsid w:val="00A1180E"/>
    <w:rsid w:val="00A11B19"/>
    <w:rsid w:val="00A11C34"/>
    <w:rsid w:val="00A11E0D"/>
    <w:rsid w:val="00A120ED"/>
    <w:rsid w:val="00A1231F"/>
    <w:rsid w:val="00A12437"/>
    <w:rsid w:val="00A126F2"/>
    <w:rsid w:val="00A12A82"/>
    <w:rsid w:val="00A12BB7"/>
    <w:rsid w:val="00A13079"/>
    <w:rsid w:val="00A133D6"/>
    <w:rsid w:val="00A139C0"/>
    <w:rsid w:val="00A139DD"/>
    <w:rsid w:val="00A140BE"/>
    <w:rsid w:val="00A14228"/>
    <w:rsid w:val="00A14702"/>
    <w:rsid w:val="00A14891"/>
    <w:rsid w:val="00A148D4"/>
    <w:rsid w:val="00A149A1"/>
    <w:rsid w:val="00A15022"/>
    <w:rsid w:val="00A1514F"/>
    <w:rsid w:val="00A15215"/>
    <w:rsid w:val="00A15360"/>
    <w:rsid w:val="00A1537C"/>
    <w:rsid w:val="00A15504"/>
    <w:rsid w:val="00A155AC"/>
    <w:rsid w:val="00A15852"/>
    <w:rsid w:val="00A15BDB"/>
    <w:rsid w:val="00A162DD"/>
    <w:rsid w:val="00A167D3"/>
    <w:rsid w:val="00A16B0B"/>
    <w:rsid w:val="00A16D18"/>
    <w:rsid w:val="00A17A92"/>
    <w:rsid w:val="00A17B60"/>
    <w:rsid w:val="00A17D29"/>
    <w:rsid w:val="00A2097E"/>
    <w:rsid w:val="00A20B8D"/>
    <w:rsid w:val="00A20E71"/>
    <w:rsid w:val="00A2110F"/>
    <w:rsid w:val="00A21AEB"/>
    <w:rsid w:val="00A21C0F"/>
    <w:rsid w:val="00A21D6A"/>
    <w:rsid w:val="00A21E7E"/>
    <w:rsid w:val="00A2211D"/>
    <w:rsid w:val="00A22339"/>
    <w:rsid w:val="00A22AED"/>
    <w:rsid w:val="00A233A2"/>
    <w:rsid w:val="00A2354B"/>
    <w:rsid w:val="00A237DF"/>
    <w:rsid w:val="00A239AE"/>
    <w:rsid w:val="00A23ABF"/>
    <w:rsid w:val="00A23B55"/>
    <w:rsid w:val="00A246C8"/>
    <w:rsid w:val="00A2494D"/>
    <w:rsid w:val="00A24FD5"/>
    <w:rsid w:val="00A254C4"/>
    <w:rsid w:val="00A25ABB"/>
    <w:rsid w:val="00A25EDD"/>
    <w:rsid w:val="00A26381"/>
    <w:rsid w:val="00A26B24"/>
    <w:rsid w:val="00A26F00"/>
    <w:rsid w:val="00A3023A"/>
    <w:rsid w:val="00A30846"/>
    <w:rsid w:val="00A30881"/>
    <w:rsid w:val="00A30AB0"/>
    <w:rsid w:val="00A30D2A"/>
    <w:rsid w:val="00A30FFA"/>
    <w:rsid w:val="00A3124A"/>
    <w:rsid w:val="00A3195B"/>
    <w:rsid w:val="00A31A38"/>
    <w:rsid w:val="00A31A4D"/>
    <w:rsid w:val="00A322F0"/>
    <w:rsid w:val="00A32687"/>
    <w:rsid w:val="00A3292F"/>
    <w:rsid w:val="00A32B17"/>
    <w:rsid w:val="00A32C7E"/>
    <w:rsid w:val="00A32D9F"/>
    <w:rsid w:val="00A332A8"/>
    <w:rsid w:val="00A3441E"/>
    <w:rsid w:val="00A34887"/>
    <w:rsid w:val="00A34A24"/>
    <w:rsid w:val="00A34EAD"/>
    <w:rsid w:val="00A35365"/>
    <w:rsid w:val="00A360C0"/>
    <w:rsid w:val="00A361BB"/>
    <w:rsid w:val="00A36286"/>
    <w:rsid w:val="00A364DE"/>
    <w:rsid w:val="00A367A1"/>
    <w:rsid w:val="00A376DA"/>
    <w:rsid w:val="00A40035"/>
    <w:rsid w:val="00A401D5"/>
    <w:rsid w:val="00A40277"/>
    <w:rsid w:val="00A404D9"/>
    <w:rsid w:val="00A40868"/>
    <w:rsid w:val="00A408BF"/>
    <w:rsid w:val="00A40D1B"/>
    <w:rsid w:val="00A40E34"/>
    <w:rsid w:val="00A4134E"/>
    <w:rsid w:val="00A41681"/>
    <w:rsid w:val="00A4179F"/>
    <w:rsid w:val="00A41A2C"/>
    <w:rsid w:val="00A42350"/>
    <w:rsid w:val="00A42613"/>
    <w:rsid w:val="00A4276A"/>
    <w:rsid w:val="00A42A2D"/>
    <w:rsid w:val="00A42CA4"/>
    <w:rsid w:val="00A4309A"/>
    <w:rsid w:val="00A43142"/>
    <w:rsid w:val="00A431B7"/>
    <w:rsid w:val="00A43285"/>
    <w:rsid w:val="00A43726"/>
    <w:rsid w:val="00A437C5"/>
    <w:rsid w:val="00A43B72"/>
    <w:rsid w:val="00A440B7"/>
    <w:rsid w:val="00A440C6"/>
    <w:rsid w:val="00A44654"/>
    <w:rsid w:val="00A455D0"/>
    <w:rsid w:val="00A45C05"/>
    <w:rsid w:val="00A45C87"/>
    <w:rsid w:val="00A45D2B"/>
    <w:rsid w:val="00A45E17"/>
    <w:rsid w:val="00A46231"/>
    <w:rsid w:val="00A46405"/>
    <w:rsid w:val="00A46CB8"/>
    <w:rsid w:val="00A46CBB"/>
    <w:rsid w:val="00A46CC8"/>
    <w:rsid w:val="00A46DF4"/>
    <w:rsid w:val="00A46E72"/>
    <w:rsid w:val="00A478B3"/>
    <w:rsid w:val="00A47AD0"/>
    <w:rsid w:val="00A47AFA"/>
    <w:rsid w:val="00A505BE"/>
    <w:rsid w:val="00A50650"/>
    <w:rsid w:val="00A5074D"/>
    <w:rsid w:val="00A50F4D"/>
    <w:rsid w:val="00A51100"/>
    <w:rsid w:val="00A5135E"/>
    <w:rsid w:val="00A51EBB"/>
    <w:rsid w:val="00A5211A"/>
    <w:rsid w:val="00A527A3"/>
    <w:rsid w:val="00A52F6F"/>
    <w:rsid w:val="00A52FBE"/>
    <w:rsid w:val="00A53714"/>
    <w:rsid w:val="00A53D44"/>
    <w:rsid w:val="00A53EBD"/>
    <w:rsid w:val="00A53F45"/>
    <w:rsid w:val="00A54148"/>
    <w:rsid w:val="00A54709"/>
    <w:rsid w:val="00A548B8"/>
    <w:rsid w:val="00A54A12"/>
    <w:rsid w:val="00A5508A"/>
    <w:rsid w:val="00A553D3"/>
    <w:rsid w:val="00A5552A"/>
    <w:rsid w:val="00A55637"/>
    <w:rsid w:val="00A55F0A"/>
    <w:rsid w:val="00A561B4"/>
    <w:rsid w:val="00A562EB"/>
    <w:rsid w:val="00A5640D"/>
    <w:rsid w:val="00A56566"/>
    <w:rsid w:val="00A56826"/>
    <w:rsid w:val="00A5743D"/>
    <w:rsid w:val="00A57881"/>
    <w:rsid w:val="00A601E3"/>
    <w:rsid w:val="00A6035D"/>
    <w:rsid w:val="00A60A27"/>
    <w:rsid w:val="00A60BCB"/>
    <w:rsid w:val="00A61329"/>
    <w:rsid w:val="00A61B66"/>
    <w:rsid w:val="00A61C6E"/>
    <w:rsid w:val="00A62092"/>
    <w:rsid w:val="00A62542"/>
    <w:rsid w:val="00A62C22"/>
    <w:rsid w:val="00A62D1A"/>
    <w:rsid w:val="00A632F1"/>
    <w:rsid w:val="00A63A15"/>
    <w:rsid w:val="00A63F4E"/>
    <w:rsid w:val="00A640E2"/>
    <w:rsid w:val="00A645AB"/>
    <w:rsid w:val="00A6469A"/>
    <w:rsid w:val="00A64CF5"/>
    <w:rsid w:val="00A6594E"/>
    <w:rsid w:val="00A65968"/>
    <w:rsid w:val="00A65DCC"/>
    <w:rsid w:val="00A66242"/>
    <w:rsid w:val="00A66593"/>
    <w:rsid w:val="00A66D30"/>
    <w:rsid w:val="00A671BE"/>
    <w:rsid w:val="00A6729B"/>
    <w:rsid w:val="00A67DDF"/>
    <w:rsid w:val="00A67F2E"/>
    <w:rsid w:val="00A67F7B"/>
    <w:rsid w:val="00A70134"/>
    <w:rsid w:val="00A70271"/>
    <w:rsid w:val="00A707E0"/>
    <w:rsid w:val="00A7103B"/>
    <w:rsid w:val="00A7116D"/>
    <w:rsid w:val="00A71519"/>
    <w:rsid w:val="00A716D5"/>
    <w:rsid w:val="00A71872"/>
    <w:rsid w:val="00A71C4F"/>
    <w:rsid w:val="00A726CD"/>
    <w:rsid w:val="00A73292"/>
    <w:rsid w:val="00A7375D"/>
    <w:rsid w:val="00A737DE"/>
    <w:rsid w:val="00A738F4"/>
    <w:rsid w:val="00A73DEF"/>
    <w:rsid w:val="00A74767"/>
    <w:rsid w:val="00A74B5D"/>
    <w:rsid w:val="00A76F31"/>
    <w:rsid w:val="00A77679"/>
    <w:rsid w:val="00A77C22"/>
    <w:rsid w:val="00A77DC6"/>
    <w:rsid w:val="00A77FF1"/>
    <w:rsid w:val="00A80129"/>
    <w:rsid w:val="00A8016E"/>
    <w:rsid w:val="00A80B64"/>
    <w:rsid w:val="00A80D8A"/>
    <w:rsid w:val="00A8105C"/>
    <w:rsid w:val="00A81A5A"/>
    <w:rsid w:val="00A81F1E"/>
    <w:rsid w:val="00A822CC"/>
    <w:rsid w:val="00A8233D"/>
    <w:rsid w:val="00A825C6"/>
    <w:rsid w:val="00A8292A"/>
    <w:rsid w:val="00A82EC8"/>
    <w:rsid w:val="00A83004"/>
    <w:rsid w:val="00A831AC"/>
    <w:rsid w:val="00A8340D"/>
    <w:rsid w:val="00A837FC"/>
    <w:rsid w:val="00A83A9C"/>
    <w:rsid w:val="00A846E1"/>
    <w:rsid w:val="00A84B6A"/>
    <w:rsid w:val="00A853A6"/>
    <w:rsid w:val="00A85983"/>
    <w:rsid w:val="00A85BD5"/>
    <w:rsid w:val="00A86CF3"/>
    <w:rsid w:val="00A870C5"/>
    <w:rsid w:val="00A87728"/>
    <w:rsid w:val="00A87B32"/>
    <w:rsid w:val="00A90D32"/>
    <w:rsid w:val="00A91B9A"/>
    <w:rsid w:val="00A91BE8"/>
    <w:rsid w:val="00A91EF7"/>
    <w:rsid w:val="00A924A7"/>
    <w:rsid w:val="00A926B1"/>
    <w:rsid w:val="00A92793"/>
    <w:rsid w:val="00A9308E"/>
    <w:rsid w:val="00A9342B"/>
    <w:rsid w:val="00A93BBD"/>
    <w:rsid w:val="00A94630"/>
    <w:rsid w:val="00A94851"/>
    <w:rsid w:val="00A948EA"/>
    <w:rsid w:val="00A94C52"/>
    <w:rsid w:val="00A94ED6"/>
    <w:rsid w:val="00A94F47"/>
    <w:rsid w:val="00A950D0"/>
    <w:rsid w:val="00A95137"/>
    <w:rsid w:val="00A95849"/>
    <w:rsid w:val="00A9596C"/>
    <w:rsid w:val="00A95CB8"/>
    <w:rsid w:val="00A95FC8"/>
    <w:rsid w:val="00A96030"/>
    <w:rsid w:val="00A97656"/>
    <w:rsid w:val="00A97A8B"/>
    <w:rsid w:val="00A97F62"/>
    <w:rsid w:val="00AA00E6"/>
    <w:rsid w:val="00AA0DCD"/>
    <w:rsid w:val="00AA0EFA"/>
    <w:rsid w:val="00AA1392"/>
    <w:rsid w:val="00AA164D"/>
    <w:rsid w:val="00AA1BF1"/>
    <w:rsid w:val="00AA200E"/>
    <w:rsid w:val="00AA213A"/>
    <w:rsid w:val="00AA2841"/>
    <w:rsid w:val="00AA2AF9"/>
    <w:rsid w:val="00AA329E"/>
    <w:rsid w:val="00AA3673"/>
    <w:rsid w:val="00AA37C1"/>
    <w:rsid w:val="00AA37D1"/>
    <w:rsid w:val="00AA3C3C"/>
    <w:rsid w:val="00AA3CF7"/>
    <w:rsid w:val="00AA3E3F"/>
    <w:rsid w:val="00AA4210"/>
    <w:rsid w:val="00AA4967"/>
    <w:rsid w:val="00AA4C9D"/>
    <w:rsid w:val="00AA4F51"/>
    <w:rsid w:val="00AA52CF"/>
    <w:rsid w:val="00AA54CD"/>
    <w:rsid w:val="00AA57E9"/>
    <w:rsid w:val="00AA5CFC"/>
    <w:rsid w:val="00AA63DC"/>
    <w:rsid w:val="00AA6511"/>
    <w:rsid w:val="00AA67AB"/>
    <w:rsid w:val="00AA7057"/>
    <w:rsid w:val="00AA705C"/>
    <w:rsid w:val="00AA75B6"/>
    <w:rsid w:val="00AA75F7"/>
    <w:rsid w:val="00AA79B6"/>
    <w:rsid w:val="00AA7D07"/>
    <w:rsid w:val="00AA7D8F"/>
    <w:rsid w:val="00AB05BD"/>
    <w:rsid w:val="00AB0AB5"/>
    <w:rsid w:val="00AB0C52"/>
    <w:rsid w:val="00AB15CA"/>
    <w:rsid w:val="00AB16B4"/>
    <w:rsid w:val="00AB1CEA"/>
    <w:rsid w:val="00AB2040"/>
    <w:rsid w:val="00AB22D5"/>
    <w:rsid w:val="00AB2BDE"/>
    <w:rsid w:val="00AB2C2E"/>
    <w:rsid w:val="00AB38E6"/>
    <w:rsid w:val="00AB41D7"/>
    <w:rsid w:val="00AB422F"/>
    <w:rsid w:val="00AB458F"/>
    <w:rsid w:val="00AB49A6"/>
    <w:rsid w:val="00AB4BA3"/>
    <w:rsid w:val="00AB4CD0"/>
    <w:rsid w:val="00AB600D"/>
    <w:rsid w:val="00AB6710"/>
    <w:rsid w:val="00AB6F6E"/>
    <w:rsid w:val="00AB732D"/>
    <w:rsid w:val="00AB7630"/>
    <w:rsid w:val="00AC0277"/>
    <w:rsid w:val="00AC0A5D"/>
    <w:rsid w:val="00AC0B2F"/>
    <w:rsid w:val="00AC0D06"/>
    <w:rsid w:val="00AC0E92"/>
    <w:rsid w:val="00AC131C"/>
    <w:rsid w:val="00AC182A"/>
    <w:rsid w:val="00AC1E59"/>
    <w:rsid w:val="00AC1F4B"/>
    <w:rsid w:val="00AC2971"/>
    <w:rsid w:val="00AC2D9F"/>
    <w:rsid w:val="00AC2FA6"/>
    <w:rsid w:val="00AC3082"/>
    <w:rsid w:val="00AC39C6"/>
    <w:rsid w:val="00AC3F39"/>
    <w:rsid w:val="00AC42F0"/>
    <w:rsid w:val="00AC4465"/>
    <w:rsid w:val="00AC4BDF"/>
    <w:rsid w:val="00AC50CB"/>
    <w:rsid w:val="00AC54F2"/>
    <w:rsid w:val="00AC59F5"/>
    <w:rsid w:val="00AC5BF9"/>
    <w:rsid w:val="00AC6654"/>
    <w:rsid w:val="00AC69DF"/>
    <w:rsid w:val="00AC7070"/>
    <w:rsid w:val="00AC72B6"/>
    <w:rsid w:val="00AC768C"/>
    <w:rsid w:val="00AC7C97"/>
    <w:rsid w:val="00AC7D15"/>
    <w:rsid w:val="00AC7E18"/>
    <w:rsid w:val="00AC7FF2"/>
    <w:rsid w:val="00AD0343"/>
    <w:rsid w:val="00AD0A90"/>
    <w:rsid w:val="00AD0AA9"/>
    <w:rsid w:val="00AD0BB5"/>
    <w:rsid w:val="00AD12BB"/>
    <w:rsid w:val="00AD1C2B"/>
    <w:rsid w:val="00AD1D4F"/>
    <w:rsid w:val="00AD1D83"/>
    <w:rsid w:val="00AD1F83"/>
    <w:rsid w:val="00AD2140"/>
    <w:rsid w:val="00AD22F4"/>
    <w:rsid w:val="00AD24D2"/>
    <w:rsid w:val="00AD2500"/>
    <w:rsid w:val="00AD28AE"/>
    <w:rsid w:val="00AD346F"/>
    <w:rsid w:val="00AD35E7"/>
    <w:rsid w:val="00AD40F7"/>
    <w:rsid w:val="00AD4117"/>
    <w:rsid w:val="00AD4843"/>
    <w:rsid w:val="00AD4A0B"/>
    <w:rsid w:val="00AD5381"/>
    <w:rsid w:val="00AD5602"/>
    <w:rsid w:val="00AD57C3"/>
    <w:rsid w:val="00AD6DE4"/>
    <w:rsid w:val="00AD6E80"/>
    <w:rsid w:val="00AD779D"/>
    <w:rsid w:val="00AD7C47"/>
    <w:rsid w:val="00AD7EF5"/>
    <w:rsid w:val="00AE0AD1"/>
    <w:rsid w:val="00AE0BC8"/>
    <w:rsid w:val="00AE1341"/>
    <w:rsid w:val="00AE256A"/>
    <w:rsid w:val="00AE26D6"/>
    <w:rsid w:val="00AE28E3"/>
    <w:rsid w:val="00AE2AF3"/>
    <w:rsid w:val="00AE2DBA"/>
    <w:rsid w:val="00AE2FD1"/>
    <w:rsid w:val="00AE3049"/>
    <w:rsid w:val="00AE30F2"/>
    <w:rsid w:val="00AE391F"/>
    <w:rsid w:val="00AE3FBD"/>
    <w:rsid w:val="00AE40E6"/>
    <w:rsid w:val="00AE49D2"/>
    <w:rsid w:val="00AE4BAC"/>
    <w:rsid w:val="00AE50B7"/>
    <w:rsid w:val="00AE53CD"/>
    <w:rsid w:val="00AE5783"/>
    <w:rsid w:val="00AE5D19"/>
    <w:rsid w:val="00AE6249"/>
    <w:rsid w:val="00AE6402"/>
    <w:rsid w:val="00AE72AD"/>
    <w:rsid w:val="00AE7509"/>
    <w:rsid w:val="00AE7936"/>
    <w:rsid w:val="00AE7E0C"/>
    <w:rsid w:val="00AE7E22"/>
    <w:rsid w:val="00AE7E61"/>
    <w:rsid w:val="00AF0374"/>
    <w:rsid w:val="00AF0736"/>
    <w:rsid w:val="00AF08C4"/>
    <w:rsid w:val="00AF1145"/>
    <w:rsid w:val="00AF1213"/>
    <w:rsid w:val="00AF137A"/>
    <w:rsid w:val="00AF1446"/>
    <w:rsid w:val="00AF146E"/>
    <w:rsid w:val="00AF177E"/>
    <w:rsid w:val="00AF17F0"/>
    <w:rsid w:val="00AF18B7"/>
    <w:rsid w:val="00AF19CB"/>
    <w:rsid w:val="00AF1A81"/>
    <w:rsid w:val="00AF1C4C"/>
    <w:rsid w:val="00AF2106"/>
    <w:rsid w:val="00AF2BD1"/>
    <w:rsid w:val="00AF3010"/>
    <w:rsid w:val="00AF3ACA"/>
    <w:rsid w:val="00AF3CFE"/>
    <w:rsid w:val="00AF3D33"/>
    <w:rsid w:val="00AF443A"/>
    <w:rsid w:val="00AF48F9"/>
    <w:rsid w:val="00AF4B59"/>
    <w:rsid w:val="00AF4FF8"/>
    <w:rsid w:val="00AF53D9"/>
    <w:rsid w:val="00AF5611"/>
    <w:rsid w:val="00AF5898"/>
    <w:rsid w:val="00AF5A0D"/>
    <w:rsid w:val="00AF6109"/>
    <w:rsid w:val="00AF6427"/>
    <w:rsid w:val="00AF65A0"/>
    <w:rsid w:val="00AF6601"/>
    <w:rsid w:val="00AF6ECE"/>
    <w:rsid w:val="00AF6FD0"/>
    <w:rsid w:val="00AF7687"/>
    <w:rsid w:val="00AF77B1"/>
    <w:rsid w:val="00AF7899"/>
    <w:rsid w:val="00B00240"/>
    <w:rsid w:val="00B002AA"/>
    <w:rsid w:val="00B0095A"/>
    <w:rsid w:val="00B00D1A"/>
    <w:rsid w:val="00B00F22"/>
    <w:rsid w:val="00B0192F"/>
    <w:rsid w:val="00B01965"/>
    <w:rsid w:val="00B01B15"/>
    <w:rsid w:val="00B02283"/>
    <w:rsid w:val="00B023BD"/>
    <w:rsid w:val="00B0241D"/>
    <w:rsid w:val="00B0250D"/>
    <w:rsid w:val="00B02AEC"/>
    <w:rsid w:val="00B0317C"/>
    <w:rsid w:val="00B04693"/>
    <w:rsid w:val="00B04EB3"/>
    <w:rsid w:val="00B04F64"/>
    <w:rsid w:val="00B0521E"/>
    <w:rsid w:val="00B05839"/>
    <w:rsid w:val="00B05894"/>
    <w:rsid w:val="00B05E6D"/>
    <w:rsid w:val="00B05EDF"/>
    <w:rsid w:val="00B06185"/>
    <w:rsid w:val="00B06651"/>
    <w:rsid w:val="00B068A1"/>
    <w:rsid w:val="00B06BF1"/>
    <w:rsid w:val="00B06ECB"/>
    <w:rsid w:val="00B07211"/>
    <w:rsid w:val="00B07EBE"/>
    <w:rsid w:val="00B1050C"/>
    <w:rsid w:val="00B107CB"/>
    <w:rsid w:val="00B10EC5"/>
    <w:rsid w:val="00B1100A"/>
    <w:rsid w:val="00B112A9"/>
    <w:rsid w:val="00B117B3"/>
    <w:rsid w:val="00B11BED"/>
    <w:rsid w:val="00B12381"/>
    <w:rsid w:val="00B12564"/>
    <w:rsid w:val="00B125BD"/>
    <w:rsid w:val="00B12718"/>
    <w:rsid w:val="00B1273F"/>
    <w:rsid w:val="00B12BC0"/>
    <w:rsid w:val="00B1342C"/>
    <w:rsid w:val="00B136FD"/>
    <w:rsid w:val="00B13998"/>
    <w:rsid w:val="00B14144"/>
    <w:rsid w:val="00B142AB"/>
    <w:rsid w:val="00B14436"/>
    <w:rsid w:val="00B14B44"/>
    <w:rsid w:val="00B14D65"/>
    <w:rsid w:val="00B153DD"/>
    <w:rsid w:val="00B16D78"/>
    <w:rsid w:val="00B17444"/>
    <w:rsid w:val="00B176EB"/>
    <w:rsid w:val="00B17757"/>
    <w:rsid w:val="00B2018B"/>
    <w:rsid w:val="00B20BD5"/>
    <w:rsid w:val="00B20DB3"/>
    <w:rsid w:val="00B21289"/>
    <w:rsid w:val="00B21D93"/>
    <w:rsid w:val="00B21EED"/>
    <w:rsid w:val="00B22488"/>
    <w:rsid w:val="00B225FF"/>
    <w:rsid w:val="00B226B5"/>
    <w:rsid w:val="00B228A3"/>
    <w:rsid w:val="00B22911"/>
    <w:rsid w:val="00B22D85"/>
    <w:rsid w:val="00B234DD"/>
    <w:rsid w:val="00B2418E"/>
    <w:rsid w:val="00B2427E"/>
    <w:rsid w:val="00B2443D"/>
    <w:rsid w:val="00B246C2"/>
    <w:rsid w:val="00B24932"/>
    <w:rsid w:val="00B24C9D"/>
    <w:rsid w:val="00B25205"/>
    <w:rsid w:val="00B25337"/>
    <w:rsid w:val="00B2558B"/>
    <w:rsid w:val="00B257DB"/>
    <w:rsid w:val="00B25883"/>
    <w:rsid w:val="00B25D89"/>
    <w:rsid w:val="00B25FD7"/>
    <w:rsid w:val="00B2674C"/>
    <w:rsid w:val="00B26B39"/>
    <w:rsid w:val="00B26D98"/>
    <w:rsid w:val="00B26DB1"/>
    <w:rsid w:val="00B26F2F"/>
    <w:rsid w:val="00B2786B"/>
    <w:rsid w:val="00B278B6"/>
    <w:rsid w:val="00B27C00"/>
    <w:rsid w:val="00B27C24"/>
    <w:rsid w:val="00B27E57"/>
    <w:rsid w:val="00B307AE"/>
    <w:rsid w:val="00B30805"/>
    <w:rsid w:val="00B309E8"/>
    <w:rsid w:val="00B30AF3"/>
    <w:rsid w:val="00B30B60"/>
    <w:rsid w:val="00B30DC5"/>
    <w:rsid w:val="00B31074"/>
    <w:rsid w:val="00B3239A"/>
    <w:rsid w:val="00B3241E"/>
    <w:rsid w:val="00B32870"/>
    <w:rsid w:val="00B32D89"/>
    <w:rsid w:val="00B33266"/>
    <w:rsid w:val="00B3378B"/>
    <w:rsid w:val="00B33882"/>
    <w:rsid w:val="00B33907"/>
    <w:rsid w:val="00B33946"/>
    <w:rsid w:val="00B33BC2"/>
    <w:rsid w:val="00B34062"/>
    <w:rsid w:val="00B3515A"/>
    <w:rsid w:val="00B354CC"/>
    <w:rsid w:val="00B35763"/>
    <w:rsid w:val="00B360ED"/>
    <w:rsid w:val="00B3612E"/>
    <w:rsid w:val="00B3616E"/>
    <w:rsid w:val="00B3629C"/>
    <w:rsid w:val="00B36348"/>
    <w:rsid w:val="00B36658"/>
    <w:rsid w:val="00B36A87"/>
    <w:rsid w:val="00B36CD9"/>
    <w:rsid w:val="00B36E43"/>
    <w:rsid w:val="00B36F60"/>
    <w:rsid w:val="00B371AE"/>
    <w:rsid w:val="00B37230"/>
    <w:rsid w:val="00B37AAD"/>
    <w:rsid w:val="00B37E09"/>
    <w:rsid w:val="00B405C7"/>
    <w:rsid w:val="00B41049"/>
    <w:rsid w:val="00B412BA"/>
    <w:rsid w:val="00B4131A"/>
    <w:rsid w:val="00B417C8"/>
    <w:rsid w:val="00B41A76"/>
    <w:rsid w:val="00B4209E"/>
    <w:rsid w:val="00B4235D"/>
    <w:rsid w:val="00B4275D"/>
    <w:rsid w:val="00B4284B"/>
    <w:rsid w:val="00B4293D"/>
    <w:rsid w:val="00B42B44"/>
    <w:rsid w:val="00B42CE1"/>
    <w:rsid w:val="00B43087"/>
    <w:rsid w:val="00B43831"/>
    <w:rsid w:val="00B43D9B"/>
    <w:rsid w:val="00B4402D"/>
    <w:rsid w:val="00B44879"/>
    <w:rsid w:val="00B45074"/>
    <w:rsid w:val="00B4529C"/>
    <w:rsid w:val="00B45589"/>
    <w:rsid w:val="00B45769"/>
    <w:rsid w:val="00B45C25"/>
    <w:rsid w:val="00B45DDD"/>
    <w:rsid w:val="00B45E49"/>
    <w:rsid w:val="00B462E5"/>
    <w:rsid w:val="00B465AE"/>
    <w:rsid w:val="00B46F97"/>
    <w:rsid w:val="00B50720"/>
    <w:rsid w:val="00B513D6"/>
    <w:rsid w:val="00B51929"/>
    <w:rsid w:val="00B51BCA"/>
    <w:rsid w:val="00B51EBF"/>
    <w:rsid w:val="00B51FAF"/>
    <w:rsid w:val="00B525B9"/>
    <w:rsid w:val="00B52B7D"/>
    <w:rsid w:val="00B52D97"/>
    <w:rsid w:val="00B52E39"/>
    <w:rsid w:val="00B52E7E"/>
    <w:rsid w:val="00B53133"/>
    <w:rsid w:val="00B532C2"/>
    <w:rsid w:val="00B53449"/>
    <w:rsid w:val="00B537E2"/>
    <w:rsid w:val="00B538C4"/>
    <w:rsid w:val="00B53A23"/>
    <w:rsid w:val="00B53C27"/>
    <w:rsid w:val="00B53EAE"/>
    <w:rsid w:val="00B54A04"/>
    <w:rsid w:val="00B54A6F"/>
    <w:rsid w:val="00B557CF"/>
    <w:rsid w:val="00B5581C"/>
    <w:rsid w:val="00B55E55"/>
    <w:rsid w:val="00B55EE5"/>
    <w:rsid w:val="00B565A7"/>
    <w:rsid w:val="00B5688B"/>
    <w:rsid w:val="00B5702B"/>
    <w:rsid w:val="00B570FD"/>
    <w:rsid w:val="00B5759B"/>
    <w:rsid w:val="00B57C29"/>
    <w:rsid w:val="00B57E2C"/>
    <w:rsid w:val="00B600E8"/>
    <w:rsid w:val="00B60322"/>
    <w:rsid w:val="00B60D67"/>
    <w:rsid w:val="00B60F49"/>
    <w:rsid w:val="00B60F72"/>
    <w:rsid w:val="00B61254"/>
    <w:rsid w:val="00B61375"/>
    <w:rsid w:val="00B61F2E"/>
    <w:rsid w:val="00B61F5D"/>
    <w:rsid w:val="00B62738"/>
    <w:rsid w:val="00B62C3F"/>
    <w:rsid w:val="00B62D8E"/>
    <w:rsid w:val="00B631DC"/>
    <w:rsid w:val="00B6433B"/>
    <w:rsid w:val="00B644C9"/>
    <w:rsid w:val="00B64CAB"/>
    <w:rsid w:val="00B64DC5"/>
    <w:rsid w:val="00B64E99"/>
    <w:rsid w:val="00B6509C"/>
    <w:rsid w:val="00B65516"/>
    <w:rsid w:val="00B6576F"/>
    <w:rsid w:val="00B65AF4"/>
    <w:rsid w:val="00B65CCE"/>
    <w:rsid w:val="00B65E0E"/>
    <w:rsid w:val="00B67AC8"/>
    <w:rsid w:val="00B67B2D"/>
    <w:rsid w:val="00B67C58"/>
    <w:rsid w:val="00B67C64"/>
    <w:rsid w:val="00B67D94"/>
    <w:rsid w:val="00B70232"/>
    <w:rsid w:val="00B70700"/>
    <w:rsid w:val="00B707D2"/>
    <w:rsid w:val="00B70FF2"/>
    <w:rsid w:val="00B7132A"/>
    <w:rsid w:val="00B713DF"/>
    <w:rsid w:val="00B71623"/>
    <w:rsid w:val="00B71746"/>
    <w:rsid w:val="00B71CFA"/>
    <w:rsid w:val="00B71EF2"/>
    <w:rsid w:val="00B72314"/>
    <w:rsid w:val="00B724F3"/>
    <w:rsid w:val="00B72A8A"/>
    <w:rsid w:val="00B72CE3"/>
    <w:rsid w:val="00B72DB2"/>
    <w:rsid w:val="00B73319"/>
    <w:rsid w:val="00B733C2"/>
    <w:rsid w:val="00B73D1C"/>
    <w:rsid w:val="00B7441E"/>
    <w:rsid w:val="00B74695"/>
    <w:rsid w:val="00B74713"/>
    <w:rsid w:val="00B74CD9"/>
    <w:rsid w:val="00B74CDE"/>
    <w:rsid w:val="00B75AD0"/>
    <w:rsid w:val="00B75C76"/>
    <w:rsid w:val="00B761A1"/>
    <w:rsid w:val="00B76687"/>
    <w:rsid w:val="00B76718"/>
    <w:rsid w:val="00B767E5"/>
    <w:rsid w:val="00B76EB8"/>
    <w:rsid w:val="00B802B0"/>
    <w:rsid w:val="00B81161"/>
    <w:rsid w:val="00B8116F"/>
    <w:rsid w:val="00B8150F"/>
    <w:rsid w:val="00B81928"/>
    <w:rsid w:val="00B81AC7"/>
    <w:rsid w:val="00B81DCB"/>
    <w:rsid w:val="00B821AA"/>
    <w:rsid w:val="00B82666"/>
    <w:rsid w:val="00B8295E"/>
    <w:rsid w:val="00B82B15"/>
    <w:rsid w:val="00B8305C"/>
    <w:rsid w:val="00B83094"/>
    <w:rsid w:val="00B83CA6"/>
    <w:rsid w:val="00B84341"/>
    <w:rsid w:val="00B84588"/>
    <w:rsid w:val="00B84692"/>
    <w:rsid w:val="00B84AA9"/>
    <w:rsid w:val="00B84C17"/>
    <w:rsid w:val="00B84DB6"/>
    <w:rsid w:val="00B850EB"/>
    <w:rsid w:val="00B852D5"/>
    <w:rsid w:val="00B8575A"/>
    <w:rsid w:val="00B8646B"/>
    <w:rsid w:val="00B86610"/>
    <w:rsid w:val="00B866EF"/>
    <w:rsid w:val="00B868DC"/>
    <w:rsid w:val="00B87180"/>
    <w:rsid w:val="00B87188"/>
    <w:rsid w:val="00B9015E"/>
    <w:rsid w:val="00B90529"/>
    <w:rsid w:val="00B9066E"/>
    <w:rsid w:val="00B909FA"/>
    <w:rsid w:val="00B90DD5"/>
    <w:rsid w:val="00B90ED8"/>
    <w:rsid w:val="00B91604"/>
    <w:rsid w:val="00B923B1"/>
    <w:rsid w:val="00B92496"/>
    <w:rsid w:val="00B925B0"/>
    <w:rsid w:val="00B939E9"/>
    <w:rsid w:val="00B9448C"/>
    <w:rsid w:val="00B947B2"/>
    <w:rsid w:val="00B957F3"/>
    <w:rsid w:val="00B95851"/>
    <w:rsid w:val="00B960DF"/>
    <w:rsid w:val="00B96304"/>
    <w:rsid w:val="00B97A48"/>
    <w:rsid w:val="00B97D1D"/>
    <w:rsid w:val="00BA03C7"/>
    <w:rsid w:val="00BA087C"/>
    <w:rsid w:val="00BA10C8"/>
    <w:rsid w:val="00BA24BF"/>
    <w:rsid w:val="00BA2E6F"/>
    <w:rsid w:val="00BA320E"/>
    <w:rsid w:val="00BA38EE"/>
    <w:rsid w:val="00BA40BC"/>
    <w:rsid w:val="00BA4A4C"/>
    <w:rsid w:val="00BA4BA2"/>
    <w:rsid w:val="00BA4BD5"/>
    <w:rsid w:val="00BA5BB2"/>
    <w:rsid w:val="00BA60E5"/>
    <w:rsid w:val="00BA61A3"/>
    <w:rsid w:val="00BA62D8"/>
    <w:rsid w:val="00BA695B"/>
    <w:rsid w:val="00BA69E1"/>
    <w:rsid w:val="00BA70EA"/>
    <w:rsid w:val="00BA7211"/>
    <w:rsid w:val="00BA74D6"/>
    <w:rsid w:val="00BA7BD3"/>
    <w:rsid w:val="00BB00BA"/>
    <w:rsid w:val="00BB02CE"/>
    <w:rsid w:val="00BB0336"/>
    <w:rsid w:val="00BB036D"/>
    <w:rsid w:val="00BB0389"/>
    <w:rsid w:val="00BB0E1A"/>
    <w:rsid w:val="00BB13AF"/>
    <w:rsid w:val="00BB1890"/>
    <w:rsid w:val="00BB1A3F"/>
    <w:rsid w:val="00BB1C95"/>
    <w:rsid w:val="00BB1CA3"/>
    <w:rsid w:val="00BB22D7"/>
    <w:rsid w:val="00BB2994"/>
    <w:rsid w:val="00BB32FD"/>
    <w:rsid w:val="00BB3539"/>
    <w:rsid w:val="00BB36DC"/>
    <w:rsid w:val="00BB3B12"/>
    <w:rsid w:val="00BB3BCC"/>
    <w:rsid w:val="00BB4A15"/>
    <w:rsid w:val="00BB4A63"/>
    <w:rsid w:val="00BB4B95"/>
    <w:rsid w:val="00BB4E17"/>
    <w:rsid w:val="00BB5660"/>
    <w:rsid w:val="00BB586B"/>
    <w:rsid w:val="00BB5ACE"/>
    <w:rsid w:val="00BB5B35"/>
    <w:rsid w:val="00BB5D51"/>
    <w:rsid w:val="00BB5DD6"/>
    <w:rsid w:val="00BB6426"/>
    <w:rsid w:val="00BB6DD3"/>
    <w:rsid w:val="00BB6F2C"/>
    <w:rsid w:val="00BB70AD"/>
    <w:rsid w:val="00BB77F5"/>
    <w:rsid w:val="00BB7BAF"/>
    <w:rsid w:val="00BB7BCF"/>
    <w:rsid w:val="00BB7CFF"/>
    <w:rsid w:val="00BC1006"/>
    <w:rsid w:val="00BC12C4"/>
    <w:rsid w:val="00BC1B72"/>
    <w:rsid w:val="00BC2230"/>
    <w:rsid w:val="00BC22D2"/>
    <w:rsid w:val="00BC240D"/>
    <w:rsid w:val="00BC2DA2"/>
    <w:rsid w:val="00BC2EBB"/>
    <w:rsid w:val="00BC3238"/>
    <w:rsid w:val="00BC3303"/>
    <w:rsid w:val="00BC3328"/>
    <w:rsid w:val="00BC374D"/>
    <w:rsid w:val="00BC3F87"/>
    <w:rsid w:val="00BC42FD"/>
    <w:rsid w:val="00BC4573"/>
    <w:rsid w:val="00BC506A"/>
    <w:rsid w:val="00BC50C0"/>
    <w:rsid w:val="00BC52E2"/>
    <w:rsid w:val="00BC530A"/>
    <w:rsid w:val="00BC53F4"/>
    <w:rsid w:val="00BC58F8"/>
    <w:rsid w:val="00BC5D88"/>
    <w:rsid w:val="00BC5EB5"/>
    <w:rsid w:val="00BC602D"/>
    <w:rsid w:val="00BC62E9"/>
    <w:rsid w:val="00BC66FC"/>
    <w:rsid w:val="00BC705A"/>
    <w:rsid w:val="00BC7608"/>
    <w:rsid w:val="00BC78AB"/>
    <w:rsid w:val="00BC7944"/>
    <w:rsid w:val="00BD087B"/>
    <w:rsid w:val="00BD08F9"/>
    <w:rsid w:val="00BD097C"/>
    <w:rsid w:val="00BD0AE8"/>
    <w:rsid w:val="00BD0C01"/>
    <w:rsid w:val="00BD0EB3"/>
    <w:rsid w:val="00BD1262"/>
    <w:rsid w:val="00BD12C7"/>
    <w:rsid w:val="00BD12F4"/>
    <w:rsid w:val="00BD202A"/>
    <w:rsid w:val="00BD2033"/>
    <w:rsid w:val="00BD247B"/>
    <w:rsid w:val="00BD2B2A"/>
    <w:rsid w:val="00BD2EC7"/>
    <w:rsid w:val="00BD3472"/>
    <w:rsid w:val="00BD35B9"/>
    <w:rsid w:val="00BD3CBD"/>
    <w:rsid w:val="00BD3EAC"/>
    <w:rsid w:val="00BD3F40"/>
    <w:rsid w:val="00BD460E"/>
    <w:rsid w:val="00BD518F"/>
    <w:rsid w:val="00BD5490"/>
    <w:rsid w:val="00BD57A1"/>
    <w:rsid w:val="00BD5C1B"/>
    <w:rsid w:val="00BD5E50"/>
    <w:rsid w:val="00BD64D3"/>
    <w:rsid w:val="00BD671C"/>
    <w:rsid w:val="00BD6834"/>
    <w:rsid w:val="00BD7045"/>
    <w:rsid w:val="00BD76D2"/>
    <w:rsid w:val="00BD77F3"/>
    <w:rsid w:val="00BE02B6"/>
    <w:rsid w:val="00BE0405"/>
    <w:rsid w:val="00BE1DDC"/>
    <w:rsid w:val="00BE1FCF"/>
    <w:rsid w:val="00BE245C"/>
    <w:rsid w:val="00BE2E89"/>
    <w:rsid w:val="00BE2EEF"/>
    <w:rsid w:val="00BE2FD5"/>
    <w:rsid w:val="00BE32E1"/>
    <w:rsid w:val="00BE3DBA"/>
    <w:rsid w:val="00BE4249"/>
    <w:rsid w:val="00BE4502"/>
    <w:rsid w:val="00BE4B4F"/>
    <w:rsid w:val="00BE510C"/>
    <w:rsid w:val="00BE5361"/>
    <w:rsid w:val="00BE5C08"/>
    <w:rsid w:val="00BE642A"/>
    <w:rsid w:val="00BE6474"/>
    <w:rsid w:val="00BE702D"/>
    <w:rsid w:val="00BE7711"/>
    <w:rsid w:val="00BE7EA4"/>
    <w:rsid w:val="00BF0201"/>
    <w:rsid w:val="00BF02CD"/>
    <w:rsid w:val="00BF0FBB"/>
    <w:rsid w:val="00BF12AB"/>
    <w:rsid w:val="00BF1A21"/>
    <w:rsid w:val="00BF2AB1"/>
    <w:rsid w:val="00BF2B37"/>
    <w:rsid w:val="00BF3111"/>
    <w:rsid w:val="00BF37B6"/>
    <w:rsid w:val="00BF40FC"/>
    <w:rsid w:val="00BF42CE"/>
    <w:rsid w:val="00BF44A8"/>
    <w:rsid w:val="00BF46B0"/>
    <w:rsid w:val="00BF49E9"/>
    <w:rsid w:val="00BF50FB"/>
    <w:rsid w:val="00BF5583"/>
    <w:rsid w:val="00BF55B7"/>
    <w:rsid w:val="00BF5757"/>
    <w:rsid w:val="00BF57FD"/>
    <w:rsid w:val="00BF5F82"/>
    <w:rsid w:val="00BF6163"/>
    <w:rsid w:val="00BF6728"/>
    <w:rsid w:val="00BF6C42"/>
    <w:rsid w:val="00BF6FDC"/>
    <w:rsid w:val="00BF770C"/>
    <w:rsid w:val="00BF7767"/>
    <w:rsid w:val="00C00603"/>
    <w:rsid w:val="00C006A3"/>
    <w:rsid w:val="00C00BF8"/>
    <w:rsid w:val="00C0120A"/>
    <w:rsid w:val="00C01235"/>
    <w:rsid w:val="00C019E8"/>
    <w:rsid w:val="00C02112"/>
    <w:rsid w:val="00C02254"/>
    <w:rsid w:val="00C02256"/>
    <w:rsid w:val="00C02659"/>
    <w:rsid w:val="00C02917"/>
    <w:rsid w:val="00C030CF"/>
    <w:rsid w:val="00C0367E"/>
    <w:rsid w:val="00C039E3"/>
    <w:rsid w:val="00C039FB"/>
    <w:rsid w:val="00C03BA3"/>
    <w:rsid w:val="00C03D75"/>
    <w:rsid w:val="00C03E92"/>
    <w:rsid w:val="00C04384"/>
    <w:rsid w:val="00C04531"/>
    <w:rsid w:val="00C0461E"/>
    <w:rsid w:val="00C0479A"/>
    <w:rsid w:val="00C05063"/>
    <w:rsid w:val="00C05952"/>
    <w:rsid w:val="00C05CC0"/>
    <w:rsid w:val="00C05D2F"/>
    <w:rsid w:val="00C05DA7"/>
    <w:rsid w:val="00C05DB8"/>
    <w:rsid w:val="00C05DEB"/>
    <w:rsid w:val="00C0614C"/>
    <w:rsid w:val="00C064C2"/>
    <w:rsid w:val="00C06F14"/>
    <w:rsid w:val="00C07127"/>
    <w:rsid w:val="00C103DE"/>
    <w:rsid w:val="00C10CAE"/>
    <w:rsid w:val="00C10E4B"/>
    <w:rsid w:val="00C1153D"/>
    <w:rsid w:val="00C119F2"/>
    <w:rsid w:val="00C11EC2"/>
    <w:rsid w:val="00C1216F"/>
    <w:rsid w:val="00C12193"/>
    <w:rsid w:val="00C121A4"/>
    <w:rsid w:val="00C127DB"/>
    <w:rsid w:val="00C12850"/>
    <w:rsid w:val="00C1310B"/>
    <w:rsid w:val="00C1366D"/>
    <w:rsid w:val="00C13943"/>
    <w:rsid w:val="00C13F8A"/>
    <w:rsid w:val="00C1413C"/>
    <w:rsid w:val="00C143B7"/>
    <w:rsid w:val="00C1440F"/>
    <w:rsid w:val="00C145F5"/>
    <w:rsid w:val="00C1485E"/>
    <w:rsid w:val="00C1489E"/>
    <w:rsid w:val="00C14BD6"/>
    <w:rsid w:val="00C150DE"/>
    <w:rsid w:val="00C1524B"/>
    <w:rsid w:val="00C15356"/>
    <w:rsid w:val="00C159D4"/>
    <w:rsid w:val="00C15C6C"/>
    <w:rsid w:val="00C15FE3"/>
    <w:rsid w:val="00C16609"/>
    <w:rsid w:val="00C16C5F"/>
    <w:rsid w:val="00C17B0D"/>
    <w:rsid w:val="00C20769"/>
    <w:rsid w:val="00C20B1A"/>
    <w:rsid w:val="00C20C6D"/>
    <w:rsid w:val="00C21586"/>
    <w:rsid w:val="00C21621"/>
    <w:rsid w:val="00C21A10"/>
    <w:rsid w:val="00C21D8C"/>
    <w:rsid w:val="00C21EB7"/>
    <w:rsid w:val="00C222D5"/>
    <w:rsid w:val="00C22768"/>
    <w:rsid w:val="00C227D5"/>
    <w:rsid w:val="00C22842"/>
    <w:rsid w:val="00C2295D"/>
    <w:rsid w:val="00C233D4"/>
    <w:rsid w:val="00C234AE"/>
    <w:rsid w:val="00C23548"/>
    <w:rsid w:val="00C2355A"/>
    <w:rsid w:val="00C23722"/>
    <w:rsid w:val="00C24CFE"/>
    <w:rsid w:val="00C24EA2"/>
    <w:rsid w:val="00C2538F"/>
    <w:rsid w:val="00C253B0"/>
    <w:rsid w:val="00C257CE"/>
    <w:rsid w:val="00C259BC"/>
    <w:rsid w:val="00C25C33"/>
    <w:rsid w:val="00C25EAD"/>
    <w:rsid w:val="00C26387"/>
    <w:rsid w:val="00C26C97"/>
    <w:rsid w:val="00C27AC1"/>
    <w:rsid w:val="00C30469"/>
    <w:rsid w:val="00C304F5"/>
    <w:rsid w:val="00C31589"/>
    <w:rsid w:val="00C319DD"/>
    <w:rsid w:val="00C31AC0"/>
    <w:rsid w:val="00C31BA2"/>
    <w:rsid w:val="00C31DD9"/>
    <w:rsid w:val="00C3217D"/>
    <w:rsid w:val="00C328FE"/>
    <w:rsid w:val="00C3331F"/>
    <w:rsid w:val="00C334EC"/>
    <w:rsid w:val="00C33A91"/>
    <w:rsid w:val="00C33D49"/>
    <w:rsid w:val="00C33F72"/>
    <w:rsid w:val="00C34B82"/>
    <w:rsid w:val="00C34CDB"/>
    <w:rsid w:val="00C34E66"/>
    <w:rsid w:val="00C3551B"/>
    <w:rsid w:val="00C35617"/>
    <w:rsid w:val="00C35958"/>
    <w:rsid w:val="00C35E7F"/>
    <w:rsid w:val="00C36156"/>
    <w:rsid w:val="00C3622D"/>
    <w:rsid w:val="00C36DDC"/>
    <w:rsid w:val="00C37CC3"/>
    <w:rsid w:val="00C37E29"/>
    <w:rsid w:val="00C37F18"/>
    <w:rsid w:val="00C37FA8"/>
    <w:rsid w:val="00C40471"/>
    <w:rsid w:val="00C408AF"/>
    <w:rsid w:val="00C4159B"/>
    <w:rsid w:val="00C4210D"/>
    <w:rsid w:val="00C4213F"/>
    <w:rsid w:val="00C425FE"/>
    <w:rsid w:val="00C4273D"/>
    <w:rsid w:val="00C428B8"/>
    <w:rsid w:val="00C42CD7"/>
    <w:rsid w:val="00C43698"/>
    <w:rsid w:val="00C43B55"/>
    <w:rsid w:val="00C44322"/>
    <w:rsid w:val="00C443E6"/>
    <w:rsid w:val="00C44449"/>
    <w:rsid w:val="00C4460F"/>
    <w:rsid w:val="00C44DD9"/>
    <w:rsid w:val="00C451F0"/>
    <w:rsid w:val="00C451F8"/>
    <w:rsid w:val="00C457ED"/>
    <w:rsid w:val="00C45822"/>
    <w:rsid w:val="00C45E35"/>
    <w:rsid w:val="00C462FE"/>
    <w:rsid w:val="00C4630A"/>
    <w:rsid w:val="00C4639C"/>
    <w:rsid w:val="00C463C0"/>
    <w:rsid w:val="00C465E7"/>
    <w:rsid w:val="00C467CE"/>
    <w:rsid w:val="00C46A11"/>
    <w:rsid w:val="00C46B4C"/>
    <w:rsid w:val="00C46FBF"/>
    <w:rsid w:val="00C4709D"/>
    <w:rsid w:val="00C473EF"/>
    <w:rsid w:val="00C47B6C"/>
    <w:rsid w:val="00C5004A"/>
    <w:rsid w:val="00C50438"/>
    <w:rsid w:val="00C50661"/>
    <w:rsid w:val="00C50918"/>
    <w:rsid w:val="00C51557"/>
    <w:rsid w:val="00C51783"/>
    <w:rsid w:val="00C51F35"/>
    <w:rsid w:val="00C522C1"/>
    <w:rsid w:val="00C52619"/>
    <w:rsid w:val="00C526BE"/>
    <w:rsid w:val="00C53419"/>
    <w:rsid w:val="00C53792"/>
    <w:rsid w:val="00C539DE"/>
    <w:rsid w:val="00C53ED8"/>
    <w:rsid w:val="00C53F83"/>
    <w:rsid w:val="00C53FEB"/>
    <w:rsid w:val="00C54913"/>
    <w:rsid w:val="00C54950"/>
    <w:rsid w:val="00C54A21"/>
    <w:rsid w:val="00C54C21"/>
    <w:rsid w:val="00C54C5D"/>
    <w:rsid w:val="00C555D3"/>
    <w:rsid w:val="00C55652"/>
    <w:rsid w:val="00C558C3"/>
    <w:rsid w:val="00C559CA"/>
    <w:rsid w:val="00C55C33"/>
    <w:rsid w:val="00C5675F"/>
    <w:rsid w:val="00C577A2"/>
    <w:rsid w:val="00C57A1E"/>
    <w:rsid w:val="00C605E7"/>
    <w:rsid w:val="00C62265"/>
    <w:rsid w:val="00C62C22"/>
    <w:rsid w:val="00C631F0"/>
    <w:rsid w:val="00C633B6"/>
    <w:rsid w:val="00C63A44"/>
    <w:rsid w:val="00C645DA"/>
    <w:rsid w:val="00C647AC"/>
    <w:rsid w:val="00C6495D"/>
    <w:rsid w:val="00C64BDB"/>
    <w:rsid w:val="00C657BD"/>
    <w:rsid w:val="00C657D0"/>
    <w:rsid w:val="00C65AA2"/>
    <w:rsid w:val="00C6600B"/>
    <w:rsid w:val="00C664DD"/>
    <w:rsid w:val="00C6656E"/>
    <w:rsid w:val="00C666E1"/>
    <w:rsid w:val="00C66B5E"/>
    <w:rsid w:val="00C66C9E"/>
    <w:rsid w:val="00C670B2"/>
    <w:rsid w:val="00C675FD"/>
    <w:rsid w:val="00C67D8D"/>
    <w:rsid w:val="00C700BA"/>
    <w:rsid w:val="00C70360"/>
    <w:rsid w:val="00C70835"/>
    <w:rsid w:val="00C70B41"/>
    <w:rsid w:val="00C70CDD"/>
    <w:rsid w:val="00C71714"/>
    <w:rsid w:val="00C71A59"/>
    <w:rsid w:val="00C71D03"/>
    <w:rsid w:val="00C725DC"/>
    <w:rsid w:val="00C72A43"/>
    <w:rsid w:val="00C72AFB"/>
    <w:rsid w:val="00C72C29"/>
    <w:rsid w:val="00C73086"/>
    <w:rsid w:val="00C73200"/>
    <w:rsid w:val="00C7373A"/>
    <w:rsid w:val="00C7379E"/>
    <w:rsid w:val="00C743C0"/>
    <w:rsid w:val="00C74613"/>
    <w:rsid w:val="00C7464F"/>
    <w:rsid w:val="00C75907"/>
    <w:rsid w:val="00C7614D"/>
    <w:rsid w:val="00C768BE"/>
    <w:rsid w:val="00C76EB6"/>
    <w:rsid w:val="00C77212"/>
    <w:rsid w:val="00C77D67"/>
    <w:rsid w:val="00C80214"/>
    <w:rsid w:val="00C80454"/>
    <w:rsid w:val="00C80477"/>
    <w:rsid w:val="00C80484"/>
    <w:rsid w:val="00C80594"/>
    <w:rsid w:val="00C809BE"/>
    <w:rsid w:val="00C80BE6"/>
    <w:rsid w:val="00C81767"/>
    <w:rsid w:val="00C81B37"/>
    <w:rsid w:val="00C81B92"/>
    <w:rsid w:val="00C8219F"/>
    <w:rsid w:val="00C82452"/>
    <w:rsid w:val="00C827BC"/>
    <w:rsid w:val="00C83265"/>
    <w:rsid w:val="00C835E1"/>
    <w:rsid w:val="00C83763"/>
    <w:rsid w:val="00C83960"/>
    <w:rsid w:val="00C83C5B"/>
    <w:rsid w:val="00C83C9B"/>
    <w:rsid w:val="00C83D8A"/>
    <w:rsid w:val="00C844F1"/>
    <w:rsid w:val="00C84609"/>
    <w:rsid w:val="00C8477E"/>
    <w:rsid w:val="00C84789"/>
    <w:rsid w:val="00C848E0"/>
    <w:rsid w:val="00C84DDA"/>
    <w:rsid w:val="00C84E2F"/>
    <w:rsid w:val="00C851CB"/>
    <w:rsid w:val="00C8683D"/>
    <w:rsid w:val="00C869A5"/>
    <w:rsid w:val="00C869A8"/>
    <w:rsid w:val="00C87DFA"/>
    <w:rsid w:val="00C87F74"/>
    <w:rsid w:val="00C9020D"/>
    <w:rsid w:val="00C906D9"/>
    <w:rsid w:val="00C90E71"/>
    <w:rsid w:val="00C90F68"/>
    <w:rsid w:val="00C910BF"/>
    <w:rsid w:val="00C91355"/>
    <w:rsid w:val="00C9158C"/>
    <w:rsid w:val="00C915DC"/>
    <w:rsid w:val="00C91786"/>
    <w:rsid w:val="00C917AC"/>
    <w:rsid w:val="00C91D09"/>
    <w:rsid w:val="00C92AE1"/>
    <w:rsid w:val="00C92E07"/>
    <w:rsid w:val="00C92F73"/>
    <w:rsid w:val="00C93617"/>
    <w:rsid w:val="00C9370C"/>
    <w:rsid w:val="00C93980"/>
    <w:rsid w:val="00C93F89"/>
    <w:rsid w:val="00C940B8"/>
    <w:rsid w:val="00C9430E"/>
    <w:rsid w:val="00C94449"/>
    <w:rsid w:val="00C949CC"/>
    <w:rsid w:val="00C9563E"/>
    <w:rsid w:val="00C95779"/>
    <w:rsid w:val="00C95D00"/>
    <w:rsid w:val="00C96223"/>
    <w:rsid w:val="00C96C6D"/>
    <w:rsid w:val="00C97114"/>
    <w:rsid w:val="00C972AE"/>
    <w:rsid w:val="00C9792E"/>
    <w:rsid w:val="00CA06DE"/>
    <w:rsid w:val="00CA0ACB"/>
    <w:rsid w:val="00CA0FC1"/>
    <w:rsid w:val="00CA18FE"/>
    <w:rsid w:val="00CA19B3"/>
    <w:rsid w:val="00CA1B8D"/>
    <w:rsid w:val="00CA212F"/>
    <w:rsid w:val="00CA25FF"/>
    <w:rsid w:val="00CA26B2"/>
    <w:rsid w:val="00CA286F"/>
    <w:rsid w:val="00CA287C"/>
    <w:rsid w:val="00CA2AA8"/>
    <w:rsid w:val="00CA2CA1"/>
    <w:rsid w:val="00CA2D82"/>
    <w:rsid w:val="00CA2E49"/>
    <w:rsid w:val="00CA3014"/>
    <w:rsid w:val="00CA3643"/>
    <w:rsid w:val="00CA3A28"/>
    <w:rsid w:val="00CA3C62"/>
    <w:rsid w:val="00CA3F12"/>
    <w:rsid w:val="00CA478A"/>
    <w:rsid w:val="00CA48F1"/>
    <w:rsid w:val="00CA4BEC"/>
    <w:rsid w:val="00CA50E5"/>
    <w:rsid w:val="00CA5165"/>
    <w:rsid w:val="00CA55F1"/>
    <w:rsid w:val="00CA5760"/>
    <w:rsid w:val="00CA67AD"/>
    <w:rsid w:val="00CA6AA7"/>
    <w:rsid w:val="00CA6BC2"/>
    <w:rsid w:val="00CA77B2"/>
    <w:rsid w:val="00CA7C99"/>
    <w:rsid w:val="00CB01F3"/>
    <w:rsid w:val="00CB01F7"/>
    <w:rsid w:val="00CB07FE"/>
    <w:rsid w:val="00CB10B6"/>
    <w:rsid w:val="00CB1352"/>
    <w:rsid w:val="00CB13B9"/>
    <w:rsid w:val="00CB143A"/>
    <w:rsid w:val="00CB1460"/>
    <w:rsid w:val="00CB1706"/>
    <w:rsid w:val="00CB1771"/>
    <w:rsid w:val="00CB1ED0"/>
    <w:rsid w:val="00CB2416"/>
    <w:rsid w:val="00CB25E8"/>
    <w:rsid w:val="00CB2A2F"/>
    <w:rsid w:val="00CB2B09"/>
    <w:rsid w:val="00CB3788"/>
    <w:rsid w:val="00CB3DFC"/>
    <w:rsid w:val="00CB414D"/>
    <w:rsid w:val="00CB5200"/>
    <w:rsid w:val="00CB5902"/>
    <w:rsid w:val="00CB5D7A"/>
    <w:rsid w:val="00CB5E22"/>
    <w:rsid w:val="00CB6250"/>
    <w:rsid w:val="00CB67B1"/>
    <w:rsid w:val="00CB6E75"/>
    <w:rsid w:val="00CB73A3"/>
    <w:rsid w:val="00CB7709"/>
    <w:rsid w:val="00CB7F35"/>
    <w:rsid w:val="00CC0019"/>
    <w:rsid w:val="00CC03F0"/>
    <w:rsid w:val="00CC0749"/>
    <w:rsid w:val="00CC07F5"/>
    <w:rsid w:val="00CC0D67"/>
    <w:rsid w:val="00CC199C"/>
    <w:rsid w:val="00CC1ECA"/>
    <w:rsid w:val="00CC25F0"/>
    <w:rsid w:val="00CC27E6"/>
    <w:rsid w:val="00CC28B3"/>
    <w:rsid w:val="00CC3531"/>
    <w:rsid w:val="00CC3871"/>
    <w:rsid w:val="00CC412E"/>
    <w:rsid w:val="00CC436D"/>
    <w:rsid w:val="00CC4403"/>
    <w:rsid w:val="00CC4589"/>
    <w:rsid w:val="00CC46F1"/>
    <w:rsid w:val="00CC5047"/>
    <w:rsid w:val="00CC5863"/>
    <w:rsid w:val="00CC58C6"/>
    <w:rsid w:val="00CC597D"/>
    <w:rsid w:val="00CC59B2"/>
    <w:rsid w:val="00CC5F82"/>
    <w:rsid w:val="00CC6427"/>
    <w:rsid w:val="00CC656E"/>
    <w:rsid w:val="00CC657F"/>
    <w:rsid w:val="00CC6602"/>
    <w:rsid w:val="00CC6A16"/>
    <w:rsid w:val="00CC6EA9"/>
    <w:rsid w:val="00CC712C"/>
    <w:rsid w:val="00CC7DCB"/>
    <w:rsid w:val="00CC7FD3"/>
    <w:rsid w:val="00CD0050"/>
    <w:rsid w:val="00CD1160"/>
    <w:rsid w:val="00CD16E9"/>
    <w:rsid w:val="00CD1843"/>
    <w:rsid w:val="00CD1932"/>
    <w:rsid w:val="00CD2B87"/>
    <w:rsid w:val="00CD2EB6"/>
    <w:rsid w:val="00CD31F5"/>
    <w:rsid w:val="00CD3C47"/>
    <w:rsid w:val="00CD3E0E"/>
    <w:rsid w:val="00CD42EE"/>
    <w:rsid w:val="00CD443E"/>
    <w:rsid w:val="00CD459C"/>
    <w:rsid w:val="00CD475F"/>
    <w:rsid w:val="00CD47D8"/>
    <w:rsid w:val="00CD496C"/>
    <w:rsid w:val="00CD4AC8"/>
    <w:rsid w:val="00CD4C85"/>
    <w:rsid w:val="00CD4E4D"/>
    <w:rsid w:val="00CD4F42"/>
    <w:rsid w:val="00CD504C"/>
    <w:rsid w:val="00CD5315"/>
    <w:rsid w:val="00CD5627"/>
    <w:rsid w:val="00CD577D"/>
    <w:rsid w:val="00CD679A"/>
    <w:rsid w:val="00CD67BF"/>
    <w:rsid w:val="00CD7130"/>
    <w:rsid w:val="00CD745B"/>
    <w:rsid w:val="00CD756D"/>
    <w:rsid w:val="00CD76AB"/>
    <w:rsid w:val="00CD76C9"/>
    <w:rsid w:val="00CE0882"/>
    <w:rsid w:val="00CE0E05"/>
    <w:rsid w:val="00CE0E45"/>
    <w:rsid w:val="00CE1C1E"/>
    <w:rsid w:val="00CE25D7"/>
    <w:rsid w:val="00CE2910"/>
    <w:rsid w:val="00CE2B64"/>
    <w:rsid w:val="00CE2F9E"/>
    <w:rsid w:val="00CE31E6"/>
    <w:rsid w:val="00CE3236"/>
    <w:rsid w:val="00CE3314"/>
    <w:rsid w:val="00CE3448"/>
    <w:rsid w:val="00CE382B"/>
    <w:rsid w:val="00CE405D"/>
    <w:rsid w:val="00CE489E"/>
    <w:rsid w:val="00CE4F13"/>
    <w:rsid w:val="00CE50FE"/>
    <w:rsid w:val="00CE5342"/>
    <w:rsid w:val="00CE5DF4"/>
    <w:rsid w:val="00CE630B"/>
    <w:rsid w:val="00CE6332"/>
    <w:rsid w:val="00CE66AB"/>
    <w:rsid w:val="00CE6748"/>
    <w:rsid w:val="00CE727C"/>
    <w:rsid w:val="00CE7B9B"/>
    <w:rsid w:val="00CE7C76"/>
    <w:rsid w:val="00CE7E27"/>
    <w:rsid w:val="00CE7E90"/>
    <w:rsid w:val="00CF0428"/>
    <w:rsid w:val="00CF06D5"/>
    <w:rsid w:val="00CF16A3"/>
    <w:rsid w:val="00CF2004"/>
    <w:rsid w:val="00CF214B"/>
    <w:rsid w:val="00CF24D6"/>
    <w:rsid w:val="00CF33EB"/>
    <w:rsid w:val="00CF355A"/>
    <w:rsid w:val="00CF36CF"/>
    <w:rsid w:val="00CF3D56"/>
    <w:rsid w:val="00CF3DBC"/>
    <w:rsid w:val="00CF40BC"/>
    <w:rsid w:val="00CF546E"/>
    <w:rsid w:val="00CF5521"/>
    <w:rsid w:val="00CF56C9"/>
    <w:rsid w:val="00CF5B36"/>
    <w:rsid w:val="00CF5CB5"/>
    <w:rsid w:val="00CF5D6D"/>
    <w:rsid w:val="00CF5E73"/>
    <w:rsid w:val="00CF5FBF"/>
    <w:rsid w:val="00CF634E"/>
    <w:rsid w:val="00CF644F"/>
    <w:rsid w:val="00CF67BB"/>
    <w:rsid w:val="00CF6E74"/>
    <w:rsid w:val="00CF6F7F"/>
    <w:rsid w:val="00CF763E"/>
    <w:rsid w:val="00CF7BB4"/>
    <w:rsid w:val="00D002A2"/>
    <w:rsid w:val="00D00531"/>
    <w:rsid w:val="00D0094A"/>
    <w:rsid w:val="00D00E45"/>
    <w:rsid w:val="00D0124A"/>
    <w:rsid w:val="00D01362"/>
    <w:rsid w:val="00D01394"/>
    <w:rsid w:val="00D01DD3"/>
    <w:rsid w:val="00D0291D"/>
    <w:rsid w:val="00D032D1"/>
    <w:rsid w:val="00D042E7"/>
    <w:rsid w:val="00D044CC"/>
    <w:rsid w:val="00D0457B"/>
    <w:rsid w:val="00D04E1A"/>
    <w:rsid w:val="00D051B7"/>
    <w:rsid w:val="00D055F3"/>
    <w:rsid w:val="00D0593A"/>
    <w:rsid w:val="00D05CF1"/>
    <w:rsid w:val="00D0661F"/>
    <w:rsid w:val="00D067D6"/>
    <w:rsid w:val="00D0685D"/>
    <w:rsid w:val="00D0691D"/>
    <w:rsid w:val="00D07017"/>
    <w:rsid w:val="00D07E39"/>
    <w:rsid w:val="00D07EA1"/>
    <w:rsid w:val="00D103E8"/>
    <w:rsid w:val="00D107EE"/>
    <w:rsid w:val="00D1113C"/>
    <w:rsid w:val="00D118DB"/>
    <w:rsid w:val="00D11A12"/>
    <w:rsid w:val="00D120A7"/>
    <w:rsid w:val="00D12197"/>
    <w:rsid w:val="00D121B1"/>
    <w:rsid w:val="00D12501"/>
    <w:rsid w:val="00D12CA8"/>
    <w:rsid w:val="00D12CC6"/>
    <w:rsid w:val="00D13405"/>
    <w:rsid w:val="00D1383D"/>
    <w:rsid w:val="00D13C06"/>
    <w:rsid w:val="00D13CA6"/>
    <w:rsid w:val="00D13EC9"/>
    <w:rsid w:val="00D14244"/>
    <w:rsid w:val="00D1513F"/>
    <w:rsid w:val="00D153D5"/>
    <w:rsid w:val="00D1565B"/>
    <w:rsid w:val="00D158B6"/>
    <w:rsid w:val="00D15CED"/>
    <w:rsid w:val="00D15E9F"/>
    <w:rsid w:val="00D15F85"/>
    <w:rsid w:val="00D164E4"/>
    <w:rsid w:val="00D166F6"/>
    <w:rsid w:val="00D17032"/>
    <w:rsid w:val="00D17056"/>
    <w:rsid w:val="00D1775A"/>
    <w:rsid w:val="00D177D6"/>
    <w:rsid w:val="00D17930"/>
    <w:rsid w:val="00D17ABE"/>
    <w:rsid w:val="00D2099B"/>
    <w:rsid w:val="00D20CF6"/>
    <w:rsid w:val="00D20EFB"/>
    <w:rsid w:val="00D211E6"/>
    <w:rsid w:val="00D21291"/>
    <w:rsid w:val="00D2192E"/>
    <w:rsid w:val="00D21A6F"/>
    <w:rsid w:val="00D21A83"/>
    <w:rsid w:val="00D21D04"/>
    <w:rsid w:val="00D2200B"/>
    <w:rsid w:val="00D223A8"/>
    <w:rsid w:val="00D228E8"/>
    <w:rsid w:val="00D2332A"/>
    <w:rsid w:val="00D235A6"/>
    <w:rsid w:val="00D2384A"/>
    <w:rsid w:val="00D23D67"/>
    <w:rsid w:val="00D243D4"/>
    <w:rsid w:val="00D245E6"/>
    <w:rsid w:val="00D24904"/>
    <w:rsid w:val="00D24FA5"/>
    <w:rsid w:val="00D24FF3"/>
    <w:rsid w:val="00D252A3"/>
    <w:rsid w:val="00D25395"/>
    <w:rsid w:val="00D2552A"/>
    <w:rsid w:val="00D2586B"/>
    <w:rsid w:val="00D25971"/>
    <w:rsid w:val="00D25B84"/>
    <w:rsid w:val="00D25C31"/>
    <w:rsid w:val="00D25DCD"/>
    <w:rsid w:val="00D2651A"/>
    <w:rsid w:val="00D26FB9"/>
    <w:rsid w:val="00D270D6"/>
    <w:rsid w:val="00D2730F"/>
    <w:rsid w:val="00D276C6"/>
    <w:rsid w:val="00D27884"/>
    <w:rsid w:val="00D30084"/>
    <w:rsid w:val="00D307F8"/>
    <w:rsid w:val="00D31000"/>
    <w:rsid w:val="00D31076"/>
    <w:rsid w:val="00D31313"/>
    <w:rsid w:val="00D313FD"/>
    <w:rsid w:val="00D319D6"/>
    <w:rsid w:val="00D31A2E"/>
    <w:rsid w:val="00D32177"/>
    <w:rsid w:val="00D321AA"/>
    <w:rsid w:val="00D32486"/>
    <w:rsid w:val="00D32700"/>
    <w:rsid w:val="00D3295A"/>
    <w:rsid w:val="00D32C14"/>
    <w:rsid w:val="00D331BF"/>
    <w:rsid w:val="00D33232"/>
    <w:rsid w:val="00D333E0"/>
    <w:rsid w:val="00D33507"/>
    <w:rsid w:val="00D33622"/>
    <w:rsid w:val="00D339F7"/>
    <w:rsid w:val="00D33FE1"/>
    <w:rsid w:val="00D3431B"/>
    <w:rsid w:val="00D34CE0"/>
    <w:rsid w:val="00D34F55"/>
    <w:rsid w:val="00D353E6"/>
    <w:rsid w:val="00D3559A"/>
    <w:rsid w:val="00D3599A"/>
    <w:rsid w:val="00D35DAC"/>
    <w:rsid w:val="00D363F4"/>
    <w:rsid w:val="00D366C8"/>
    <w:rsid w:val="00D371B2"/>
    <w:rsid w:val="00D3765E"/>
    <w:rsid w:val="00D37B93"/>
    <w:rsid w:val="00D37DB8"/>
    <w:rsid w:val="00D40624"/>
    <w:rsid w:val="00D40A89"/>
    <w:rsid w:val="00D412DF"/>
    <w:rsid w:val="00D4195D"/>
    <w:rsid w:val="00D41D33"/>
    <w:rsid w:val="00D429BC"/>
    <w:rsid w:val="00D43063"/>
    <w:rsid w:val="00D4314B"/>
    <w:rsid w:val="00D44087"/>
    <w:rsid w:val="00D441B6"/>
    <w:rsid w:val="00D442A7"/>
    <w:rsid w:val="00D44B5F"/>
    <w:rsid w:val="00D44CF1"/>
    <w:rsid w:val="00D44EBE"/>
    <w:rsid w:val="00D44F64"/>
    <w:rsid w:val="00D44F8D"/>
    <w:rsid w:val="00D451D0"/>
    <w:rsid w:val="00D452CE"/>
    <w:rsid w:val="00D45416"/>
    <w:rsid w:val="00D4544F"/>
    <w:rsid w:val="00D45476"/>
    <w:rsid w:val="00D45849"/>
    <w:rsid w:val="00D45A77"/>
    <w:rsid w:val="00D45B1F"/>
    <w:rsid w:val="00D47390"/>
    <w:rsid w:val="00D508FA"/>
    <w:rsid w:val="00D50DF9"/>
    <w:rsid w:val="00D514B5"/>
    <w:rsid w:val="00D514DD"/>
    <w:rsid w:val="00D515EA"/>
    <w:rsid w:val="00D51F38"/>
    <w:rsid w:val="00D51FA4"/>
    <w:rsid w:val="00D5222E"/>
    <w:rsid w:val="00D523D4"/>
    <w:rsid w:val="00D52D5C"/>
    <w:rsid w:val="00D52DED"/>
    <w:rsid w:val="00D53122"/>
    <w:rsid w:val="00D53669"/>
    <w:rsid w:val="00D53F40"/>
    <w:rsid w:val="00D541F3"/>
    <w:rsid w:val="00D54FA1"/>
    <w:rsid w:val="00D55177"/>
    <w:rsid w:val="00D5536C"/>
    <w:rsid w:val="00D55712"/>
    <w:rsid w:val="00D55DE5"/>
    <w:rsid w:val="00D55F64"/>
    <w:rsid w:val="00D56006"/>
    <w:rsid w:val="00D56130"/>
    <w:rsid w:val="00D56283"/>
    <w:rsid w:val="00D563B8"/>
    <w:rsid w:val="00D563BD"/>
    <w:rsid w:val="00D565A2"/>
    <w:rsid w:val="00D569CA"/>
    <w:rsid w:val="00D573EA"/>
    <w:rsid w:val="00D57793"/>
    <w:rsid w:val="00D57813"/>
    <w:rsid w:val="00D57AD1"/>
    <w:rsid w:val="00D57CEF"/>
    <w:rsid w:val="00D57DF1"/>
    <w:rsid w:val="00D6021C"/>
    <w:rsid w:val="00D60496"/>
    <w:rsid w:val="00D60B88"/>
    <w:rsid w:val="00D60B8C"/>
    <w:rsid w:val="00D60BF8"/>
    <w:rsid w:val="00D610E0"/>
    <w:rsid w:val="00D6151D"/>
    <w:rsid w:val="00D6224C"/>
    <w:rsid w:val="00D626B6"/>
    <w:rsid w:val="00D62B2B"/>
    <w:rsid w:val="00D62DF5"/>
    <w:rsid w:val="00D6373F"/>
    <w:rsid w:val="00D63E61"/>
    <w:rsid w:val="00D64B1B"/>
    <w:rsid w:val="00D64F93"/>
    <w:rsid w:val="00D650CC"/>
    <w:rsid w:val="00D66937"/>
    <w:rsid w:val="00D66CB7"/>
    <w:rsid w:val="00D66CC3"/>
    <w:rsid w:val="00D67327"/>
    <w:rsid w:val="00D6744F"/>
    <w:rsid w:val="00D678F2"/>
    <w:rsid w:val="00D67B2F"/>
    <w:rsid w:val="00D67C9D"/>
    <w:rsid w:val="00D704C3"/>
    <w:rsid w:val="00D705F9"/>
    <w:rsid w:val="00D70686"/>
    <w:rsid w:val="00D708B9"/>
    <w:rsid w:val="00D70FF2"/>
    <w:rsid w:val="00D717E8"/>
    <w:rsid w:val="00D721BC"/>
    <w:rsid w:val="00D7282E"/>
    <w:rsid w:val="00D72D21"/>
    <w:rsid w:val="00D7302B"/>
    <w:rsid w:val="00D730F3"/>
    <w:rsid w:val="00D735E8"/>
    <w:rsid w:val="00D739AA"/>
    <w:rsid w:val="00D73FF7"/>
    <w:rsid w:val="00D74104"/>
    <w:rsid w:val="00D74145"/>
    <w:rsid w:val="00D7417C"/>
    <w:rsid w:val="00D744F4"/>
    <w:rsid w:val="00D74600"/>
    <w:rsid w:val="00D74875"/>
    <w:rsid w:val="00D7503D"/>
    <w:rsid w:val="00D75205"/>
    <w:rsid w:val="00D752E5"/>
    <w:rsid w:val="00D765B8"/>
    <w:rsid w:val="00D769E3"/>
    <w:rsid w:val="00D76ACF"/>
    <w:rsid w:val="00D76B8D"/>
    <w:rsid w:val="00D77470"/>
    <w:rsid w:val="00D77D4F"/>
    <w:rsid w:val="00D77E4D"/>
    <w:rsid w:val="00D80135"/>
    <w:rsid w:val="00D804FA"/>
    <w:rsid w:val="00D806B0"/>
    <w:rsid w:val="00D8125A"/>
    <w:rsid w:val="00D81368"/>
    <w:rsid w:val="00D81728"/>
    <w:rsid w:val="00D81BEE"/>
    <w:rsid w:val="00D81E2B"/>
    <w:rsid w:val="00D8258B"/>
    <w:rsid w:val="00D8357C"/>
    <w:rsid w:val="00D8382E"/>
    <w:rsid w:val="00D84754"/>
    <w:rsid w:val="00D84865"/>
    <w:rsid w:val="00D84F6F"/>
    <w:rsid w:val="00D85136"/>
    <w:rsid w:val="00D854BA"/>
    <w:rsid w:val="00D8568F"/>
    <w:rsid w:val="00D85AA2"/>
    <w:rsid w:val="00D86388"/>
    <w:rsid w:val="00D8642F"/>
    <w:rsid w:val="00D86B59"/>
    <w:rsid w:val="00D86C97"/>
    <w:rsid w:val="00D86D70"/>
    <w:rsid w:val="00D8716C"/>
    <w:rsid w:val="00D871D7"/>
    <w:rsid w:val="00D874F6"/>
    <w:rsid w:val="00D8777C"/>
    <w:rsid w:val="00D87BA0"/>
    <w:rsid w:val="00D87CBB"/>
    <w:rsid w:val="00D90005"/>
    <w:rsid w:val="00D9003D"/>
    <w:rsid w:val="00D90302"/>
    <w:rsid w:val="00D90BFD"/>
    <w:rsid w:val="00D90DDC"/>
    <w:rsid w:val="00D91223"/>
    <w:rsid w:val="00D91260"/>
    <w:rsid w:val="00D91368"/>
    <w:rsid w:val="00D91478"/>
    <w:rsid w:val="00D92094"/>
    <w:rsid w:val="00D920B7"/>
    <w:rsid w:val="00D92219"/>
    <w:rsid w:val="00D9253E"/>
    <w:rsid w:val="00D93282"/>
    <w:rsid w:val="00D9345E"/>
    <w:rsid w:val="00D93DB0"/>
    <w:rsid w:val="00D93E23"/>
    <w:rsid w:val="00D93FA0"/>
    <w:rsid w:val="00D9418F"/>
    <w:rsid w:val="00D9419F"/>
    <w:rsid w:val="00D94B32"/>
    <w:rsid w:val="00D94E5D"/>
    <w:rsid w:val="00D94F2C"/>
    <w:rsid w:val="00D955CD"/>
    <w:rsid w:val="00D95CC0"/>
    <w:rsid w:val="00D95E24"/>
    <w:rsid w:val="00D96882"/>
    <w:rsid w:val="00D96A0F"/>
    <w:rsid w:val="00D96A42"/>
    <w:rsid w:val="00D96C4F"/>
    <w:rsid w:val="00D96FEC"/>
    <w:rsid w:val="00D974E1"/>
    <w:rsid w:val="00D977EE"/>
    <w:rsid w:val="00D97BFF"/>
    <w:rsid w:val="00DA0489"/>
    <w:rsid w:val="00DA06D1"/>
    <w:rsid w:val="00DA12D8"/>
    <w:rsid w:val="00DA1302"/>
    <w:rsid w:val="00DA1E32"/>
    <w:rsid w:val="00DA2108"/>
    <w:rsid w:val="00DA23FD"/>
    <w:rsid w:val="00DA2908"/>
    <w:rsid w:val="00DA29B7"/>
    <w:rsid w:val="00DA32ED"/>
    <w:rsid w:val="00DA33CF"/>
    <w:rsid w:val="00DA37B5"/>
    <w:rsid w:val="00DA38C7"/>
    <w:rsid w:val="00DA3936"/>
    <w:rsid w:val="00DA3C3E"/>
    <w:rsid w:val="00DA407F"/>
    <w:rsid w:val="00DA40D3"/>
    <w:rsid w:val="00DA41B6"/>
    <w:rsid w:val="00DA4DED"/>
    <w:rsid w:val="00DA4FA7"/>
    <w:rsid w:val="00DA53E3"/>
    <w:rsid w:val="00DA56C0"/>
    <w:rsid w:val="00DA5722"/>
    <w:rsid w:val="00DA5778"/>
    <w:rsid w:val="00DA59C9"/>
    <w:rsid w:val="00DA5CCE"/>
    <w:rsid w:val="00DA612E"/>
    <w:rsid w:val="00DA6150"/>
    <w:rsid w:val="00DA64E0"/>
    <w:rsid w:val="00DA6512"/>
    <w:rsid w:val="00DA677E"/>
    <w:rsid w:val="00DA68F5"/>
    <w:rsid w:val="00DA6BCC"/>
    <w:rsid w:val="00DA6C09"/>
    <w:rsid w:val="00DA6CCF"/>
    <w:rsid w:val="00DA6E8F"/>
    <w:rsid w:val="00DA79D9"/>
    <w:rsid w:val="00DA7B90"/>
    <w:rsid w:val="00DA7D4E"/>
    <w:rsid w:val="00DA7DF7"/>
    <w:rsid w:val="00DB11AC"/>
    <w:rsid w:val="00DB16EF"/>
    <w:rsid w:val="00DB1A09"/>
    <w:rsid w:val="00DB1F8C"/>
    <w:rsid w:val="00DB3736"/>
    <w:rsid w:val="00DB3872"/>
    <w:rsid w:val="00DB3D0A"/>
    <w:rsid w:val="00DB47D6"/>
    <w:rsid w:val="00DB52F5"/>
    <w:rsid w:val="00DB542C"/>
    <w:rsid w:val="00DB5E4F"/>
    <w:rsid w:val="00DB656A"/>
    <w:rsid w:val="00DB65D6"/>
    <w:rsid w:val="00DB7339"/>
    <w:rsid w:val="00DB7416"/>
    <w:rsid w:val="00DB7521"/>
    <w:rsid w:val="00DB75B7"/>
    <w:rsid w:val="00DC082D"/>
    <w:rsid w:val="00DC0BDF"/>
    <w:rsid w:val="00DC11DB"/>
    <w:rsid w:val="00DC1C82"/>
    <w:rsid w:val="00DC1D72"/>
    <w:rsid w:val="00DC1D9A"/>
    <w:rsid w:val="00DC1DF5"/>
    <w:rsid w:val="00DC246F"/>
    <w:rsid w:val="00DC27FE"/>
    <w:rsid w:val="00DC302E"/>
    <w:rsid w:val="00DC335B"/>
    <w:rsid w:val="00DC3684"/>
    <w:rsid w:val="00DC3F35"/>
    <w:rsid w:val="00DC3F85"/>
    <w:rsid w:val="00DC4064"/>
    <w:rsid w:val="00DC42B8"/>
    <w:rsid w:val="00DC4C72"/>
    <w:rsid w:val="00DC53CA"/>
    <w:rsid w:val="00DC58F4"/>
    <w:rsid w:val="00DC5B54"/>
    <w:rsid w:val="00DC5BAF"/>
    <w:rsid w:val="00DC5D32"/>
    <w:rsid w:val="00DC5E5C"/>
    <w:rsid w:val="00DC690C"/>
    <w:rsid w:val="00DC6A2A"/>
    <w:rsid w:val="00DC6A5C"/>
    <w:rsid w:val="00DC6C4D"/>
    <w:rsid w:val="00DC6C85"/>
    <w:rsid w:val="00DC71B2"/>
    <w:rsid w:val="00DC73D1"/>
    <w:rsid w:val="00DC745D"/>
    <w:rsid w:val="00DC79C6"/>
    <w:rsid w:val="00DC7D35"/>
    <w:rsid w:val="00DD025D"/>
    <w:rsid w:val="00DD03C8"/>
    <w:rsid w:val="00DD044E"/>
    <w:rsid w:val="00DD0BD3"/>
    <w:rsid w:val="00DD0BD5"/>
    <w:rsid w:val="00DD0C68"/>
    <w:rsid w:val="00DD0E64"/>
    <w:rsid w:val="00DD1023"/>
    <w:rsid w:val="00DD1D2F"/>
    <w:rsid w:val="00DD1EBF"/>
    <w:rsid w:val="00DD24A4"/>
    <w:rsid w:val="00DD2C46"/>
    <w:rsid w:val="00DD3852"/>
    <w:rsid w:val="00DD38C2"/>
    <w:rsid w:val="00DD4E17"/>
    <w:rsid w:val="00DD539D"/>
    <w:rsid w:val="00DD62EF"/>
    <w:rsid w:val="00DD6704"/>
    <w:rsid w:val="00DD6A32"/>
    <w:rsid w:val="00DD6C35"/>
    <w:rsid w:val="00DD6E54"/>
    <w:rsid w:val="00DD7010"/>
    <w:rsid w:val="00DD71EC"/>
    <w:rsid w:val="00DD753B"/>
    <w:rsid w:val="00DD76EA"/>
    <w:rsid w:val="00DD7FE6"/>
    <w:rsid w:val="00DE01E3"/>
    <w:rsid w:val="00DE071C"/>
    <w:rsid w:val="00DE0B94"/>
    <w:rsid w:val="00DE1026"/>
    <w:rsid w:val="00DE10F4"/>
    <w:rsid w:val="00DE17F1"/>
    <w:rsid w:val="00DE1BC1"/>
    <w:rsid w:val="00DE1D9F"/>
    <w:rsid w:val="00DE284E"/>
    <w:rsid w:val="00DE3001"/>
    <w:rsid w:val="00DE32B9"/>
    <w:rsid w:val="00DE3466"/>
    <w:rsid w:val="00DE3AC3"/>
    <w:rsid w:val="00DE3D14"/>
    <w:rsid w:val="00DE3E4E"/>
    <w:rsid w:val="00DE4040"/>
    <w:rsid w:val="00DE4112"/>
    <w:rsid w:val="00DE4280"/>
    <w:rsid w:val="00DE47F5"/>
    <w:rsid w:val="00DE4B2F"/>
    <w:rsid w:val="00DE5434"/>
    <w:rsid w:val="00DE57D7"/>
    <w:rsid w:val="00DE59CF"/>
    <w:rsid w:val="00DE5FFE"/>
    <w:rsid w:val="00DE69FF"/>
    <w:rsid w:val="00DE7096"/>
    <w:rsid w:val="00DE70E2"/>
    <w:rsid w:val="00DF005F"/>
    <w:rsid w:val="00DF0442"/>
    <w:rsid w:val="00DF0562"/>
    <w:rsid w:val="00DF06BB"/>
    <w:rsid w:val="00DF0FB1"/>
    <w:rsid w:val="00DF12E9"/>
    <w:rsid w:val="00DF14DC"/>
    <w:rsid w:val="00DF1676"/>
    <w:rsid w:val="00DF1BF4"/>
    <w:rsid w:val="00DF1DC3"/>
    <w:rsid w:val="00DF1FB4"/>
    <w:rsid w:val="00DF202E"/>
    <w:rsid w:val="00DF347B"/>
    <w:rsid w:val="00DF3519"/>
    <w:rsid w:val="00DF3AC9"/>
    <w:rsid w:val="00DF3BF4"/>
    <w:rsid w:val="00DF3FBA"/>
    <w:rsid w:val="00DF4226"/>
    <w:rsid w:val="00DF4A0E"/>
    <w:rsid w:val="00DF4B51"/>
    <w:rsid w:val="00DF4D06"/>
    <w:rsid w:val="00DF4D83"/>
    <w:rsid w:val="00DF4D9D"/>
    <w:rsid w:val="00DF51E7"/>
    <w:rsid w:val="00DF5268"/>
    <w:rsid w:val="00DF53B8"/>
    <w:rsid w:val="00DF56E2"/>
    <w:rsid w:val="00DF5D2A"/>
    <w:rsid w:val="00DF648A"/>
    <w:rsid w:val="00DF67B2"/>
    <w:rsid w:val="00DF6B9C"/>
    <w:rsid w:val="00DF6E9E"/>
    <w:rsid w:val="00DF7153"/>
    <w:rsid w:val="00DF746A"/>
    <w:rsid w:val="00DF791E"/>
    <w:rsid w:val="00DF7C38"/>
    <w:rsid w:val="00DF7D7D"/>
    <w:rsid w:val="00DF7FEF"/>
    <w:rsid w:val="00E00047"/>
    <w:rsid w:val="00E0050F"/>
    <w:rsid w:val="00E005C5"/>
    <w:rsid w:val="00E0070D"/>
    <w:rsid w:val="00E00B32"/>
    <w:rsid w:val="00E00E8E"/>
    <w:rsid w:val="00E0189B"/>
    <w:rsid w:val="00E01BA3"/>
    <w:rsid w:val="00E02101"/>
    <w:rsid w:val="00E0225C"/>
    <w:rsid w:val="00E02986"/>
    <w:rsid w:val="00E029E6"/>
    <w:rsid w:val="00E03100"/>
    <w:rsid w:val="00E03511"/>
    <w:rsid w:val="00E03814"/>
    <w:rsid w:val="00E03870"/>
    <w:rsid w:val="00E03A5B"/>
    <w:rsid w:val="00E03B3C"/>
    <w:rsid w:val="00E03C33"/>
    <w:rsid w:val="00E0405C"/>
    <w:rsid w:val="00E041C5"/>
    <w:rsid w:val="00E046C8"/>
    <w:rsid w:val="00E0484D"/>
    <w:rsid w:val="00E04FE0"/>
    <w:rsid w:val="00E063D1"/>
    <w:rsid w:val="00E0642B"/>
    <w:rsid w:val="00E067A3"/>
    <w:rsid w:val="00E06A65"/>
    <w:rsid w:val="00E06D52"/>
    <w:rsid w:val="00E074F6"/>
    <w:rsid w:val="00E079A6"/>
    <w:rsid w:val="00E07A67"/>
    <w:rsid w:val="00E07EF5"/>
    <w:rsid w:val="00E107F4"/>
    <w:rsid w:val="00E1082B"/>
    <w:rsid w:val="00E11519"/>
    <w:rsid w:val="00E11B27"/>
    <w:rsid w:val="00E11D0A"/>
    <w:rsid w:val="00E124CE"/>
    <w:rsid w:val="00E1281C"/>
    <w:rsid w:val="00E12A4A"/>
    <w:rsid w:val="00E12E1B"/>
    <w:rsid w:val="00E12FCD"/>
    <w:rsid w:val="00E13678"/>
    <w:rsid w:val="00E13798"/>
    <w:rsid w:val="00E138CD"/>
    <w:rsid w:val="00E13AA7"/>
    <w:rsid w:val="00E13DD5"/>
    <w:rsid w:val="00E1493B"/>
    <w:rsid w:val="00E149AB"/>
    <w:rsid w:val="00E14E2C"/>
    <w:rsid w:val="00E15C5A"/>
    <w:rsid w:val="00E17063"/>
    <w:rsid w:val="00E17642"/>
    <w:rsid w:val="00E176CA"/>
    <w:rsid w:val="00E17793"/>
    <w:rsid w:val="00E17F5C"/>
    <w:rsid w:val="00E202B9"/>
    <w:rsid w:val="00E203E1"/>
    <w:rsid w:val="00E204EC"/>
    <w:rsid w:val="00E20759"/>
    <w:rsid w:val="00E2098A"/>
    <w:rsid w:val="00E20C7C"/>
    <w:rsid w:val="00E20FFE"/>
    <w:rsid w:val="00E21099"/>
    <w:rsid w:val="00E21657"/>
    <w:rsid w:val="00E216D3"/>
    <w:rsid w:val="00E21D8F"/>
    <w:rsid w:val="00E21F1D"/>
    <w:rsid w:val="00E22322"/>
    <w:rsid w:val="00E22BCB"/>
    <w:rsid w:val="00E22CA5"/>
    <w:rsid w:val="00E23460"/>
    <w:rsid w:val="00E2385F"/>
    <w:rsid w:val="00E24C45"/>
    <w:rsid w:val="00E24E3C"/>
    <w:rsid w:val="00E25091"/>
    <w:rsid w:val="00E258A1"/>
    <w:rsid w:val="00E25E8E"/>
    <w:rsid w:val="00E26930"/>
    <w:rsid w:val="00E26CA6"/>
    <w:rsid w:val="00E26FC5"/>
    <w:rsid w:val="00E27447"/>
    <w:rsid w:val="00E27929"/>
    <w:rsid w:val="00E27936"/>
    <w:rsid w:val="00E27A76"/>
    <w:rsid w:val="00E27F88"/>
    <w:rsid w:val="00E3014C"/>
    <w:rsid w:val="00E304B0"/>
    <w:rsid w:val="00E308AB"/>
    <w:rsid w:val="00E30A55"/>
    <w:rsid w:val="00E30BF0"/>
    <w:rsid w:val="00E3178E"/>
    <w:rsid w:val="00E317A6"/>
    <w:rsid w:val="00E319F8"/>
    <w:rsid w:val="00E31B0A"/>
    <w:rsid w:val="00E32022"/>
    <w:rsid w:val="00E3268A"/>
    <w:rsid w:val="00E32BCC"/>
    <w:rsid w:val="00E3340F"/>
    <w:rsid w:val="00E336B1"/>
    <w:rsid w:val="00E34539"/>
    <w:rsid w:val="00E348B8"/>
    <w:rsid w:val="00E349FC"/>
    <w:rsid w:val="00E35141"/>
    <w:rsid w:val="00E35656"/>
    <w:rsid w:val="00E35D06"/>
    <w:rsid w:val="00E35D0C"/>
    <w:rsid w:val="00E36303"/>
    <w:rsid w:val="00E363C9"/>
    <w:rsid w:val="00E363F8"/>
    <w:rsid w:val="00E367F0"/>
    <w:rsid w:val="00E3689E"/>
    <w:rsid w:val="00E36BB2"/>
    <w:rsid w:val="00E36F28"/>
    <w:rsid w:val="00E37045"/>
    <w:rsid w:val="00E372DE"/>
    <w:rsid w:val="00E37481"/>
    <w:rsid w:val="00E374A7"/>
    <w:rsid w:val="00E402DA"/>
    <w:rsid w:val="00E406E3"/>
    <w:rsid w:val="00E40C70"/>
    <w:rsid w:val="00E41191"/>
    <w:rsid w:val="00E41371"/>
    <w:rsid w:val="00E413D6"/>
    <w:rsid w:val="00E41407"/>
    <w:rsid w:val="00E41D8A"/>
    <w:rsid w:val="00E4215A"/>
    <w:rsid w:val="00E42282"/>
    <w:rsid w:val="00E4261E"/>
    <w:rsid w:val="00E42784"/>
    <w:rsid w:val="00E42E4F"/>
    <w:rsid w:val="00E4302B"/>
    <w:rsid w:val="00E432CA"/>
    <w:rsid w:val="00E434B1"/>
    <w:rsid w:val="00E437EE"/>
    <w:rsid w:val="00E4387A"/>
    <w:rsid w:val="00E43EDD"/>
    <w:rsid w:val="00E440A7"/>
    <w:rsid w:val="00E44185"/>
    <w:rsid w:val="00E444B3"/>
    <w:rsid w:val="00E44505"/>
    <w:rsid w:val="00E44DD2"/>
    <w:rsid w:val="00E4506E"/>
    <w:rsid w:val="00E452DE"/>
    <w:rsid w:val="00E454C2"/>
    <w:rsid w:val="00E45567"/>
    <w:rsid w:val="00E46C01"/>
    <w:rsid w:val="00E46FFA"/>
    <w:rsid w:val="00E47400"/>
    <w:rsid w:val="00E4764D"/>
    <w:rsid w:val="00E50564"/>
    <w:rsid w:val="00E5087E"/>
    <w:rsid w:val="00E50CB6"/>
    <w:rsid w:val="00E50F6E"/>
    <w:rsid w:val="00E51B31"/>
    <w:rsid w:val="00E52013"/>
    <w:rsid w:val="00E52045"/>
    <w:rsid w:val="00E52382"/>
    <w:rsid w:val="00E52456"/>
    <w:rsid w:val="00E52489"/>
    <w:rsid w:val="00E52493"/>
    <w:rsid w:val="00E527A6"/>
    <w:rsid w:val="00E52FC5"/>
    <w:rsid w:val="00E5306F"/>
    <w:rsid w:val="00E53416"/>
    <w:rsid w:val="00E53840"/>
    <w:rsid w:val="00E53979"/>
    <w:rsid w:val="00E53A37"/>
    <w:rsid w:val="00E53F57"/>
    <w:rsid w:val="00E543AA"/>
    <w:rsid w:val="00E54656"/>
    <w:rsid w:val="00E547F7"/>
    <w:rsid w:val="00E549EE"/>
    <w:rsid w:val="00E54B91"/>
    <w:rsid w:val="00E54CC1"/>
    <w:rsid w:val="00E54CE6"/>
    <w:rsid w:val="00E55073"/>
    <w:rsid w:val="00E556CB"/>
    <w:rsid w:val="00E556FB"/>
    <w:rsid w:val="00E55810"/>
    <w:rsid w:val="00E558AE"/>
    <w:rsid w:val="00E55AF6"/>
    <w:rsid w:val="00E55C22"/>
    <w:rsid w:val="00E55D25"/>
    <w:rsid w:val="00E55D7D"/>
    <w:rsid w:val="00E569A3"/>
    <w:rsid w:val="00E57A35"/>
    <w:rsid w:val="00E57CE3"/>
    <w:rsid w:val="00E57D3E"/>
    <w:rsid w:val="00E57EA8"/>
    <w:rsid w:val="00E605EB"/>
    <w:rsid w:val="00E60BCB"/>
    <w:rsid w:val="00E60F2D"/>
    <w:rsid w:val="00E61A8E"/>
    <w:rsid w:val="00E623F1"/>
    <w:rsid w:val="00E6298B"/>
    <w:rsid w:val="00E62D46"/>
    <w:rsid w:val="00E6337B"/>
    <w:rsid w:val="00E634F5"/>
    <w:rsid w:val="00E642A3"/>
    <w:rsid w:val="00E648F7"/>
    <w:rsid w:val="00E6498E"/>
    <w:rsid w:val="00E655A1"/>
    <w:rsid w:val="00E65AB6"/>
    <w:rsid w:val="00E660EF"/>
    <w:rsid w:val="00E664E9"/>
    <w:rsid w:val="00E664FC"/>
    <w:rsid w:val="00E6660B"/>
    <w:rsid w:val="00E66643"/>
    <w:rsid w:val="00E66905"/>
    <w:rsid w:val="00E66BB8"/>
    <w:rsid w:val="00E6700E"/>
    <w:rsid w:val="00E67252"/>
    <w:rsid w:val="00E6729F"/>
    <w:rsid w:val="00E672A4"/>
    <w:rsid w:val="00E67554"/>
    <w:rsid w:val="00E678CC"/>
    <w:rsid w:val="00E678F1"/>
    <w:rsid w:val="00E703C2"/>
    <w:rsid w:val="00E7063D"/>
    <w:rsid w:val="00E706AA"/>
    <w:rsid w:val="00E70991"/>
    <w:rsid w:val="00E70FC7"/>
    <w:rsid w:val="00E70FF7"/>
    <w:rsid w:val="00E719D3"/>
    <w:rsid w:val="00E71CEC"/>
    <w:rsid w:val="00E71CF0"/>
    <w:rsid w:val="00E727D9"/>
    <w:rsid w:val="00E72B0D"/>
    <w:rsid w:val="00E7337F"/>
    <w:rsid w:val="00E734C2"/>
    <w:rsid w:val="00E73841"/>
    <w:rsid w:val="00E73DCF"/>
    <w:rsid w:val="00E74170"/>
    <w:rsid w:val="00E741F8"/>
    <w:rsid w:val="00E743A4"/>
    <w:rsid w:val="00E74A5A"/>
    <w:rsid w:val="00E76033"/>
    <w:rsid w:val="00E76660"/>
    <w:rsid w:val="00E76686"/>
    <w:rsid w:val="00E76F3E"/>
    <w:rsid w:val="00E77723"/>
    <w:rsid w:val="00E778B3"/>
    <w:rsid w:val="00E77C53"/>
    <w:rsid w:val="00E81C71"/>
    <w:rsid w:val="00E81F0C"/>
    <w:rsid w:val="00E825BB"/>
    <w:rsid w:val="00E840DF"/>
    <w:rsid w:val="00E84288"/>
    <w:rsid w:val="00E843E1"/>
    <w:rsid w:val="00E84CCB"/>
    <w:rsid w:val="00E84E52"/>
    <w:rsid w:val="00E84F49"/>
    <w:rsid w:val="00E8518A"/>
    <w:rsid w:val="00E8546A"/>
    <w:rsid w:val="00E8552D"/>
    <w:rsid w:val="00E859DE"/>
    <w:rsid w:val="00E85F39"/>
    <w:rsid w:val="00E8649B"/>
    <w:rsid w:val="00E8674A"/>
    <w:rsid w:val="00E86925"/>
    <w:rsid w:val="00E86963"/>
    <w:rsid w:val="00E86DED"/>
    <w:rsid w:val="00E870D4"/>
    <w:rsid w:val="00E87300"/>
    <w:rsid w:val="00E873FA"/>
    <w:rsid w:val="00E87589"/>
    <w:rsid w:val="00E87734"/>
    <w:rsid w:val="00E87BE9"/>
    <w:rsid w:val="00E90610"/>
    <w:rsid w:val="00E90641"/>
    <w:rsid w:val="00E906A8"/>
    <w:rsid w:val="00E90C25"/>
    <w:rsid w:val="00E90E7B"/>
    <w:rsid w:val="00E911EE"/>
    <w:rsid w:val="00E91249"/>
    <w:rsid w:val="00E912C2"/>
    <w:rsid w:val="00E918F5"/>
    <w:rsid w:val="00E91A61"/>
    <w:rsid w:val="00E922E3"/>
    <w:rsid w:val="00E92398"/>
    <w:rsid w:val="00E92422"/>
    <w:rsid w:val="00E92CAA"/>
    <w:rsid w:val="00E93442"/>
    <w:rsid w:val="00E935CB"/>
    <w:rsid w:val="00E938CF"/>
    <w:rsid w:val="00E93B22"/>
    <w:rsid w:val="00E940E7"/>
    <w:rsid w:val="00E94350"/>
    <w:rsid w:val="00E9461E"/>
    <w:rsid w:val="00E947C1"/>
    <w:rsid w:val="00E95526"/>
    <w:rsid w:val="00E9594A"/>
    <w:rsid w:val="00E95B28"/>
    <w:rsid w:val="00E95BC8"/>
    <w:rsid w:val="00E95E88"/>
    <w:rsid w:val="00E96224"/>
    <w:rsid w:val="00E968E6"/>
    <w:rsid w:val="00E96D47"/>
    <w:rsid w:val="00E97210"/>
    <w:rsid w:val="00E974C2"/>
    <w:rsid w:val="00E9774F"/>
    <w:rsid w:val="00E97E1E"/>
    <w:rsid w:val="00E97FE9"/>
    <w:rsid w:val="00EA0DFD"/>
    <w:rsid w:val="00EA100C"/>
    <w:rsid w:val="00EA11C0"/>
    <w:rsid w:val="00EA1552"/>
    <w:rsid w:val="00EA16A2"/>
    <w:rsid w:val="00EA1E70"/>
    <w:rsid w:val="00EA1FA9"/>
    <w:rsid w:val="00EA25D4"/>
    <w:rsid w:val="00EA273F"/>
    <w:rsid w:val="00EA27FB"/>
    <w:rsid w:val="00EA27FE"/>
    <w:rsid w:val="00EA2949"/>
    <w:rsid w:val="00EA2A1E"/>
    <w:rsid w:val="00EA2F87"/>
    <w:rsid w:val="00EA415C"/>
    <w:rsid w:val="00EA4686"/>
    <w:rsid w:val="00EA472E"/>
    <w:rsid w:val="00EA4797"/>
    <w:rsid w:val="00EA4810"/>
    <w:rsid w:val="00EA5021"/>
    <w:rsid w:val="00EA5B23"/>
    <w:rsid w:val="00EA5B64"/>
    <w:rsid w:val="00EA5CB9"/>
    <w:rsid w:val="00EA61C3"/>
    <w:rsid w:val="00EA6415"/>
    <w:rsid w:val="00EA6CE5"/>
    <w:rsid w:val="00EA747A"/>
    <w:rsid w:val="00EA7EB9"/>
    <w:rsid w:val="00EB040D"/>
    <w:rsid w:val="00EB0495"/>
    <w:rsid w:val="00EB0500"/>
    <w:rsid w:val="00EB0B40"/>
    <w:rsid w:val="00EB0C8F"/>
    <w:rsid w:val="00EB1A4E"/>
    <w:rsid w:val="00EB1B68"/>
    <w:rsid w:val="00EB1C0E"/>
    <w:rsid w:val="00EB1E9D"/>
    <w:rsid w:val="00EB32CD"/>
    <w:rsid w:val="00EB44AA"/>
    <w:rsid w:val="00EB4BA2"/>
    <w:rsid w:val="00EB4EBE"/>
    <w:rsid w:val="00EB57BC"/>
    <w:rsid w:val="00EB596A"/>
    <w:rsid w:val="00EB5B4A"/>
    <w:rsid w:val="00EB5DD3"/>
    <w:rsid w:val="00EB5DFF"/>
    <w:rsid w:val="00EB600E"/>
    <w:rsid w:val="00EB6A59"/>
    <w:rsid w:val="00EB6ACF"/>
    <w:rsid w:val="00EB6D48"/>
    <w:rsid w:val="00EB74CD"/>
    <w:rsid w:val="00EB7AC8"/>
    <w:rsid w:val="00EC09C1"/>
    <w:rsid w:val="00EC09DE"/>
    <w:rsid w:val="00EC0E74"/>
    <w:rsid w:val="00EC1538"/>
    <w:rsid w:val="00EC15A7"/>
    <w:rsid w:val="00EC16A5"/>
    <w:rsid w:val="00EC1A90"/>
    <w:rsid w:val="00EC24DE"/>
    <w:rsid w:val="00EC261B"/>
    <w:rsid w:val="00EC27A7"/>
    <w:rsid w:val="00EC3031"/>
    <w:rsid w:val="00EC3BC0"/>
    <w:rsid w:val="00EC4479"/>
    <w:rsid w:val="00EC4482"/>
    <w:rsid w:val="00EC4EB5"/>
    <w:rsid w:val="00EC5121"/>
    <w:rsid w:val="00EC5152"/>
    <w:rsid w:val="00EC55DC"/>
    <w:rsid w:val="00EC5B58"/>
    <w:rsid w:val="00EC6319"/>
    <w:rsid w:val="00EC68F9"/>
    <w:rsid w:val="00EC71C8"/>
    <w:rsid w:val="00EC76DD"/>
    <w:rsid w:val="00EC7882"/>
    <w:rsid w:val="00EC7C2D"/>
    <w:rsid w:val="00EC7D23"/>
    <w:rsid w:val="00EC7D63"/>
    <w:rsid w:val="00EC7DEF"/>
    <w:rsid w:val="00EC7ECE"/>
    <w:rsid w:val="00ED0CA9"/>
    <w:rsid w:val="00ED1027"/>
    <w:rsid w:val="00ED12EF"/>
    <w:rsid w:val="00ED15EC"/>
    <w:rsid w:val="00ED17CB"/>
    <w:rsid w:val="00ED1E8C"/>
    <w:rsid w:val="00ED2388"/>
    <w:rsid w:val="00ED25BC"/>
    <w:rsid w:val="00ED32E8"/>
    <w:rsid w:val="00ED3430"/>
    <w:rsid w:val="00ED38F3"/>
    <w:rsid w:val="00ED3AF4"/>
    <w:rsid w:val="00ED3EB0"/>
    <w:rsid w:val="00ED3F3F"/>
    <w:rsid w:val="00ED413E"/>
    <w:rsid w:val="00ED43CB"/>
    <w:rsid w:val="00ED4736"/>
    <w:rsid w:val="00ED4FD6"/>
    <w:rsid w:val="00ED50EE"/>
    <w:rsid w:val="00ED57E0"/>
    <w:rsid w:val="00ED5A0E"/>
    <w:rsid w:val="00ED5B6D"/>
    <w:rsid w:val="00ED6461"/>
    <w:rsid w:val="00ED6567"/>
    <w:rsid w:val="00ED6618"/>
    <w:rsid w:val="00ED6CF9"/>
    <w:rsid w:val="00ED77B4"/>
    <w:rsid w:val="00ED7F1C"/>
    <w:rsid w:val="00ED7F9C"/>
    <w:rsid w:val="00EE0159"/>
    <w:rsid w:val="00EE033F"/>
    <w:rsid w:val="00EE06D6"/>
    <w:rsid w:val="00EE070E"/>
    <w:rsid w:val="00EE07E5"/>
    <w:rsid w:val="00EE09AF"/>
    <w:rsid w:val="00EE12A2"/>
    <w:rsid w:val="00EE1620"/>
    <w:rsid w:val="00EE1A5E"/>
    <w:rsid w:val="00EE245F"/>
    <w:rsid w:val="00EE2843"/>
    <w:rsid w:val="00EE2A45"/>
    <w:rsid w:val="00EE2CCE"/>
    <w:rsid w:val="00EE2DFE"/>
    <w:rsid w:val="00EE3106"/>
    <w:rsid w:val="00EE3E3F"/>
    <w:rsid w:val="00EE42E3"/>
    <w:rsid w:val="00EE439D"/>
    <w:rsid w:val="00EE4645"/>
    <w:rsid w:val="00EE4992"/>
    <w:rsid w:val="00EE4E19"/>
    <w:rsid w:val="00EE4FBB"/>
    <w:rsid w:val="00EE5840"/>
    <w:rsid w:val="00EE585A"/>
    <w:rsid w:val="00EE5DF9"/>
    <w:rsid w:val="00EE5FFB"/>
    <w:rsid w:val="00EE61A7"/>
    <w:rsid w:val="00EE6FFE"/>
    <w:rsid w:val="00EF04C0"/>
    <w:rsid w:val="00EF08DF"/>
    <w:rsid w:val="00EF08EB"/>
    <w:rsid w:val="00EF0B40"/>
    <w:rsid w:val="00EF10DE"/>
    <w:rsid w:val="00EF1E57"/>
    <w:rsid w:val="00EF290F"/>
    <w:rsid w:val="00EF30D2"/>
    <w:rsid w:val="00EF4138"/>
    <w:rsid w:val="00EF50C9"/>
    <w:rsid w:val="00EF592B"/>
    <w:rsid w:val="00EF5C9B"/>
    <w:rsid w:val="00EF6493"/>
    <w:rsid w:val="00EF68A1"/>
    <w:rsid w:val="00EF6FA4"/>
    <w:rsid w:val="00EF75E7"/>
    <w:rsid w:val="00EF7C95"/>
    <w:rsid w:val="00EF7CF7"/>
    <w:rsid w:val="00F00AAE"/>
    <w:rsid w:val="00F00D27"/>
    <w:rsid w:val="00F01209"/>
    <w:rsid w:val="00F0192C"/>
    <w:rsid w:val="00F01D5A"/>
    <w:rsid w:val="00F023E8"/>
    <w:rsid w:val="00F02A07"/>
    <w:rsid w:val="00F0311C"/>
    <w:rsid w:val="00F031EF"/>
    <w:rsid w:val="00F03463"/>
    <w:rsid w:val="00F03704"/>
    <w:rsid w:val="00F041F6"/>
    <w:rsid w:val="00F04432"/>
    <w:rsid w:val="00F0464C"/>
    <w:rsid w:val="00F04AA7"/>
    <w:rsid w:val="00F051E1"/>
    <w:rsid w:val="00F05566"/>
    <w:rsid w:val="00F05C6A"/>
    <w:rsid w:val="00F05E50"/>
    <w:rsid w:val="00F07A08"/>
    <w:rsid w:val="00F07F54"/>
    <w:rsid w:val="00F10410"/>
    <w:rsid w:val="00F105F7"/>
    <w:rsid w:val="00F10627"/>
    <w:rsid w:val="00F10B62"/>
    <w:rsid w:val="00F10EEB"/>
    <w:rsid w:val="00F1100F"/>
    <w:rsid w:val="00F11066"/>
    <w:rsid w:val="00F111C2"/>
    <w:rsid w:val="00F1180F"/>
    <w:rsid w:val="00F11AAF"/>
    <w:rsid w:val="00F11B0D"/>
    <w:rsid w:val="00F11C38"/>
    <w:rsid w:val="00F11F02"/>
    <w:rsid w:val="00F11FA6"/>
    <w:rsid w:val="00F1232D"/>
    <w:rsid w:val="00F12C5A"/>
    <w:rsid w:val="00F12CB8"/>
    <w:rsid w:val="00F12E4A"/>
    <w:rsid w:val="00F13743"/>
    <w:rsid w:val="00F138C8"/>
    <w:rsid w:val="00F13B86"/>
    <w:rsid w:val="00F1420F"/>
    <w:rsid w:val="00F146D4"/>
    <w:rsid w:val="00F1478F"/>
    <w:rsid w:val="00F14CE0"/>
    <w:rsid w:val="00F150D5"/>
    <w:rsid w:val="00F1513E"/>
    <w:rsid w:val="00F15824"/>
    <w:rsid w:val="00F15983"/>
    <w:rsid w:val="00F15DB3"/>
    <w:rsid w:val="00F15E50"/>
    <w:rsid w:val="00F160BC"/>
    <w:rsid w:val="00F16516"/>
    <w:rsid w:val="00F16604"/>
    <w:rsid w:val="00F166A3"/>
    <w:rsid w:val="00F16E9C"/>
    <w:rsid w:val="00F177E4"/>
    <w:rsid w:val="00F17948"/>
    <w:rsid w:val="00F17E7D"/>
    <w:rsid w:val="00F20460"/>
    <w:rsid w:val="00F2050F"/>
    <w:rsid w:val="00F2094E"/>
    <w:rsid w:val="00F20BDB"/>
    <w:rsid w:val="00F214CB"/>
    <w:rsid w:val="00F21689"/>
    <w:rsid w:val="00F216A7"/>
    <w:rsid w:val="00F22468"/>
    <w:rsid w:val="00F224EC"/>
    <w:rsid w:val="00F226B9"/>
    <w:rsid w:val="00F22ADC"/>
    <w:rsid w:val="00F2319F"/>
    <w:rsid w:val="00F23BD6"/>
    <w:rsid w:val="00F24234"/>
    <w:rsid w:val="00F243C6"/>
    <w:rsid w:val="00F24596"/>
    <w:rsid w:val="00F24A66"/>
    <w:rsid w:val="00F24DC8"/>
    <w:rsid w:val="00F24F1C"/>
    <w:rsid w:val="00F257AF"/>
    <w:rsid w:val="00F264FA"/>
    <w:rsid w:val="00F269EA"/>
    <w:rsid w:val="00F26BF8"/>
    <w:rsid w:val="00F26D15"/>
    <w:rsid w:val="00F270F8"/>
    <w:rsid w:val="00F27A5A"/>
    <w:rsid w:val="00F30630"/>
    <w:rsid w:val="00F30B0F"/>
    <w:rsid w:val="00F31090"/>
    <w:rsid w:val="00F3131D"/>
    <w:rsid w:val="00F313DC"/>
    <w:rsid w:val="00F31760"/>
    <w:rsid w:val="00F31B79"/>
    <w:rsid w:val="00F31C47"/>
    <w:rsid w:val="00F331C6"/>
    <w:rsid w:val="00F336BC"/>
    <w:rsid w:val="00F342F6"/>
    <w:rsid w:val="00F34430"/>
    <w:rsid w:val="00F349F9"/>
    <w:rsid w:val="00F35A74"/>
    <w:rsid w:val="00F35EE2"/>
    <w:rsid w:val="00F36191"/>
    <w:rsid w:val="00F362FC"/>
    <w:rsid w:val="00F375A1"/>
    <w:rsid w:val="00F37819"/>
    <w:rsid w:val="00F37937"/>
    <w:rsid w:val="00F379E9"/>
    <w:rsid w:val="00F37B2B"/>
    <w:rsid w:val="00F37EC6"/>
    <w:rsid w:val="00F37FF0"/>
    <w:rsid w:val="00F40108"/>
    <w:rsid w:val="00F40339"/>
    <w:rsid w:val="00F403BB"/>
    <w:rsid w:val="00F408E7"/>
    <w:rsid w:val="00F40EC6"/>
    <w:rsid w:val="00F41000"/>
    <w:rsid w:val="00F41833"/>
    <w:rsid w:val="00F41903"/>
    <w:rsid w:val="00F41E55"/>
    <w:rsid w:val="00F4215B"/>
    <w:rsid w:val="00F42623"/>
    <w:rsid w:val="00F43BE5"/>
    <w:rsid w:val="00F43C14"/>
    <w:rsid w:val="00F43C53"/>
    <w:rsid w:val="00F43FA6"/>
    <w:rsid w:val="00F44404"/>
    <w:rsid w:val="00F4441B"/>
    <w:rsid w:val="00F4481C"/>
    <w:rsid w:val="00F44C58"/>
    <w:rsid w:val="00F44CDF"/>
    <w:rsid w:val="00F450AC"/>
    <w:rsid w:val="00F4517E"/>
    <w:rsid w:val="00F45ADE"/>
    <w:rsid w:val="00F45CC2"/>
    <w:rsid w:val="00F45E77"/>
    <w:rsid w:val="00F46C2E"/>
    <w:rsid w:val="00F46E4E"/>
    <w:rsid w:val="00F46F51"/>
    <w:rsid w:val="00F47399"/>
    <w:rsid w:val="00F475DB"/>
    <w:rsid w:val="00F47850"/>
    <w:rsid w:val="00F47DC1"/>
    <w:rsid w:val="00F50480"/>
    <w:rsid w:val="00F5124E"/>
    <w:rsid w:val="00F5211C"/>
    <w:rsid w:val="00F521A6"/>
    <w:rsid w:val="00F52388"/>
    <w:rsid w:val="00F52A31"/>
    <w:rsid w:val="00F52C85"/>
    <w:rsid w:val="00F53958"/>
    <w:rsid w:val="00F53F38"/>
    <w:rsid w:val="00F54417"/>
    <w:rsid w:val="00F546B9"/>
    <w:rsid w:val="00F54EC4"/>
    <w:rsid w:val="00F5533C"/>
    <w:rsid w:val="00F55556"/>
    <w:rsid w:val="00F55586"/>
    <w:rsid w:val="00F555EF"/>
    <w:rsid w:val="00F55610"/>
    <w:rsid w:val="00F5563F"/>
    <w:rsid w:val="00F55B23"/>
    <w:rsid w:val="00F56D1E"/>
    <w:rsid w:val="00F56DA8"/>
    <w:rsid w:val="00F5701C"/>
    <w:rsid w:val="00F57B85"/>
    <w:rsid w:val="00F57DA0"/>
    <w:rsid w:val="00F57E0A"/>
    <w:rsid w:val="00F602F6"/>
    <w:rsid w:val="00F6030E"/>
    <w:rsid w:val="00F60313"/>
    <w:rsid w:val="00F6071D"/>
    <w:rsid w:val="00F60890"/>
    <w:rsid w:val="00F61624"/>
    <w:rsid w:val="00F61B80"/>
    <w:rsid w:val="00F620CD"/>
    <w:rsid w:val="00F6236B"/>
    <w:rsid w:val="00F62935"/>
    <w:rsid w:val="00F632FA"/>
    <w:rsid w:val="00F639FC"/>
    <w:rsid w:val="00F63CDE"/>
    <w:rsid w:val="00F646D7"/>
    <w:rsid w:val="00F64E79"/>
    <w:rsid w:val="00F64EFB"/>
    <w:rsid w:val="00F652C1"/>
    <w:rsid w:val="00F655DE"/>
    <w:rsid w:val="00F65D14"/>
    <w:rsid w:val="00F65F08"/>
    <w:rsid w:val="00F670DF"/>
    <w:rsid w:val="00F70365"/>
    <w:rsid w:val="00F7053A"/>
    <w:rsid w:val="00F70CEE"/>
    <w:rsid w:val="00F7123C"/>
    <w:rsid w:val="00F71620"/>
    <w:rsid w:val="00F718DC"/>
    <w:rsid w:val="00F72088"/>
    <w:rsid w:val="00F72788"/>
    <w:rsid w:val="00F7294E"/>
    <w:rsid w:val="00F72B62"/>
    <w:rsid w:val="00F72BC3"/>
    <w:rsid w:val="00F72BE2"/>
    <w:rsid w:val="00F732FB"/>
    <w:rsid w:val="00F737FA"/>
    <w:rsid w:val="00F73A4B"/>
    <w:rsid w:val="00F73E68"/>
    <w:rsid w:val="00F743E2"/>
    <w:rsid w:val="00F74518"/>
    <w:rsid w:val="00F75057"/>
    <w:rsid w:val="00F75B2F"/>
    <w:rsid w:val="00F76034"/>
    <w:rsid w:val="00F76265"/>
    <w:rsid w:val="00F763E6"/>
    <w:rsid w:val="00F76775"/>
    <w:rsid w:val="00F76DB1"/>
    <w:rsid w:val="00F76F0A"/>
    <w:rsid w:val="00F76FC9"/>
    <w:rsid w:val="00F7710A"/>
    <w:rsid w:val="00F7771F"/>
    <w:rsid w:val="00F7796B"/>
    <w:rsid w:val="00F77CDE"/>
    <w:rsid w:val="00F77D3F"/>
    <w:rsid w:val="00F77EE0"/>
    <w:rsid w:val="00F80243"/>
    <w:rsid w:val="00F80667"/>
    <w:rsid w:val="00F80E05"/>
    <w:rsid w:val="00F81075"/>
    <w:rsid w:val="00F814E1"/>
    <w:rsid w:val="00F81AF9"/>
    <w:rsid w:val="00F81DA0"/>
    <w:rsid w:val="00F82B6C"/>
    <w:rsid w:val="00F82C41"/>
    <w:rsid w:val="00F82DDF"/>
    <w:rsid w:val="00F831D9"/>
    <w:rsid w:val="00F83822"/>
    <w:rsid w:val="00F83D9A"/>
    <w:rsid w:val="00F84C85"/>
    <w:rsid w:val="00F84FE8"/>
    <w:rsid w:val="00F850AF"/>
    <w:rsid w:val="00F85A1C"/>
    <w:rsid w:val="00F85D12"/>
    <w:rsid w:val="00F86821"/>
    <w:rsid w:val="00F86F0F"/>
    <w:rsid w:val="00F872F2"/>
    <w:rsid w:val="00F873B8"/>
    <w:rsid w:val="00F87539"/>
    <w:rsid w:val="00F87568"/>
    <w:rsid w:val="00F876F4"/>
    <w:rsid w:val="00F877D0"/>
    <w:rsid w:val="00F87A43"/>
    <w:rsid w:val="00F9094C"/>
    <w:rsid w:val="00F90C25"/>
    <w:rsid w:val="00F90DA4"/>
    <w:rsid w:val="00F90E32"/>
    <w:rsid w:val="00F90E5D"/>
    <w:rsid w:val="00F90F6A"/>
    <w:rsid w:val="00F910CE"/>
    <w:rsid w:val="00F914F9"/>
    <w:rsid w:val="00F9165B"/>
    <w:rsid w:val="00F91698"/>
    <w:rsid w:val="00F919DB"/>
    <w:rsid w:val="00F92581"/>
    <w:rsid w:val="00F928E9"/>
    <w:rsid w:val="00F92F8D"/>
    <w:rsid w:val="00F939E8"/>
    <w:rsid w:val="00F93D2E"/>
    <w:rsid w:val="00F94022"/>
    <w:rsid w:val="00F9426E"/>
    <w:rsid w:val="00F945B2"/>
    <w:rsid w:val="00F94A88"/>
    <w:rsid w:val="00F94D4C"/>
    <w:rsid w:val="00F95386"/>
    <w:rsid w:val="00F95A63"/>
    <w:rsid w:val="00F9626E"/>
    <w:rsid w:val="00F96297"/>
    <w:rsid w:val="00F96327"/>
    <w:rsid w:val="00F964D1"/>
    <w:rsid w:val="00F967A7"/>
    <w:rsid w:val="00F967EB"/>
    <w:rsid w:val="00F96CC4"/>
    <w:rsid w:val="00F9736B"/>
    <w:rsid w:val="00F9737B"/>
    <w:rsid w:val="00F97C40"/>
    <w:rsid w:val="00F97CFF"/>
    <w:rsid w:val="00FA0A37"/>
    <w:rsid w:val="00FA0BB0"/>
    <w:rsid w:val="00FA1418"/>
    <w:rsid w:val="00FA1475"/>
    <w:rsid w:val="00FA14E7"/>
    <w:rsid w:val="00FA15AB"/>
    <w:rsid w:val="00FA16D0"/>
    <w:rsid w:val="00FA1807"/>
    <w:rsid w:val="00FA3064"/>
    <w:rsid w:val="00FA4442"/>
    <w:rsid w:val="00FA581D"/>
    <w:rsid w:val="00FA5AAC"/>
    <w:rsid w:val="00FA60BE"/>
    <w:rsid w:val="00FA67A9"/>
    <w:rsid w:val="00FA67FB"/>
    <w:rsid w:val="00FA7439"/>
    <w:rsid w:val="00FA7DEE"/>
    <w:rsid w:val="00FA7FDC"/>
    <w:rsid w:val="00FB0233"/>
    <w:rsid w:val="00FB05B3"/>
    <w:rsid w:val="00FB0A21"/>
    <w:rsid w:val="00FB0A3D"/>
    <w:rsid w:val="00FB0AC5"/>
    <w:rsid w:val="00FB0B0A"/>
    <w:rsid w:val="00FB1243"/>
    <w:rsid w:val="00FB166C"/>
    <w:rsid w:val="00FB17B6"/>
    <w:rsid w:val="00FB1C2D"/>
    <w:rsid w:val="00FB1E67"/>
    <w:rsid w:val="00FB215F"/>
    <w:rsid w:val="00FB23E7"/>
    <w:rsid w:val="00FB2B1E"/>
    <w:rsid w:val="00FB2F2C"/>
    <w:rsid w:val="00FB3192"/>
    <w:rsid w:val="00FB3402"/>
    <w:rsid w:val="00FB389C"/>
    <w:rsid w:val="00FB3BAF"/>
    <w:rsid w:val="00FB3E7A"/>
    <w:rsid w:val="00FB4090"/>
    <w:rsid w:val="00FB4415"/>
    <w:rsid w:val="00FB453B"/>
    <w:rsid w:val="00FB4FD3"/>
    <w:rsid w:val="00FB503D"/>
    <w:rsid w:val="00FB562A"/>
    <w:rsid w:val="00FB5683"/>
    <w:rsid w:val="00FB5811"/>
    <w:rsid w:val="00FB5A99"/>
    <w:rsid w:val="00FB5FC0"/>
    <w:rsid w:val="00FB6682"/>
    <w:rsid w:val="00FB6696"/>
    <w:rsid w:val="00FB6854"/>
    <w:rsid w:val="00FB68B0"/>
    <w:rsid w:val="00FB7279"/>
    <w:rsid w:val="00FB7C3A"/>
    <w:rsid w:val="00FB7C89"/>
    <w:rsid w:val="00FC00D0"/>
    <w:rsid w:val="00FC0376"/>
    <w:rsid w:val="00FC06B4"/>
    <w:rsid w:val="00FC06CC"/>
    <w:rsid w:val="00FC0733"/>
    <w:rsid w:val="00FC0A5D"/>
    <w:rsid w:val="00FC0A73"/>
    <w:rsid w:val="00FC0A8F"/>
    <w:rsid w:val="00FC0DB9"/>
    <w:rsid w:val="00FC0FD1"/>
    <w:rsid w:val="00FC163A"/>
    <w:rsid w:val="00FC1953"/>
    <w:rsid w:val="00FC1B66"/>
    <w:rsid w:val="00FC1CD0"/>
    <w:rsid w:val="00FC1DF0"/>
    <w:rsid w:val="00FC1E20"/>
    <w:rsid w:val="00FC29E9"/>
    <w:rsid w:val="00FC31E0"/>
    <w:rsid w:val="00FC35CF"/>
    <w:rsid w:val="00FC362D"/>
    <w:rsid w:val="00FC3E26"/>
    <w:rsid w:val="00FC3ED7"/>
    <w:rsid w:val="00FC415E"/>
    <w:rsid w:val="00FC4468"/>
    <w:rsid w:val="00FC4779"/>
    <w:rsid w:val="00FC4AAC"/>
    <w:rsid w:val="00FC4BDF"/>
    <w:rsid w:val="00FC4FE6"/>
    <w:rsid w:val="00FC503E"/>
    <w:rsid w:val="00FC54A5"/>
    <w:rsid w:val="00FC5517"/>
    <w:rsid w:val="00FC64E2"/>
    <w:rsid w:val="00FC660C"/>
    <w:rsid w:val="00FC680C"/>
    <w:rsid w:val="00FC6B19"/>
    <w:rsid w:val="00FC6B76"/>
    <w:rsid w:val="00FC6C76"/>
    <w:rsid w:val="00FC6E9A"/>
    <w:rsid w:val="00FC6F2D"/>
    <w:rsid w:val="00FC7450"/>
    <w:rsid w:val="00FC7F5B"/>
    <w:rsid w:val="00FD016F"/>
    <w:rsid w:val="00FD04B2"/>
    <w:rsid w:val="00FD0E05"/>
    <w:rsid w:val="00FD0F3D"/>
    <w:rsid w:val="00FD197F"/>
    <w:rsid w:val="00FD1A7A"/>
    <w:rsid w:val="00FD1AAD"/>
    <w:rsid w:val="00FD1D3F"/>
    <w:rsid w:val="00FD22EC"/>
    <w:rsid w:val="00FD276D"/>
    <w:rsid w:val="00FD2CC9"/>
    <w:rsid w:val="00FD3525"/>
    <w:rsid w:val="00FD396B"/>
    <w:rsid w:val="00FD3FC5"/>
    <w:rsid w:val="00FD45FD"/>
    <w:rsid w:val="00FD4B34"/>
    <w:rsid w:val="00FD4F14"/>
    <w:rsid w:val="00FD51ED"/>
    <w:rsid w:val="00FD600E"/>
    <w:rsid w:val="00FD6558"/>
    <w:rsid w:val="00FD6B5E"/>
    <w:rsid w:val="00FD6CD3"/>
    <w:rsid w:val="00FD70EA"/>
    <w:rsid w:val="00FD7F38"/>
    <w:rsid w:val="00FE0648"/>
    <w:rsid w:val="00FE06D3"/>
    <w:rsid w:val="00FE0848"/>
    <w:rsid w:val="00FE09EC"/>
    <w:rsid w:val="00FE0DF1"/>
    <w:rsid w:val="00FE14CA"/>
    <w:rsid w:val="00FE1876"/>
    <w:rsid w:val="00FE1C32"/>
    <w:rsid w:val="00FE1DC1"/>
    <w:rsid w:val="00FE1F1C"/>
    <w:rsid w:val="00FE2693"/>
    <w:rsid w:val="00FE34D2"/>
    <w:rsid w:val="00FE398B"/>
    <w:rsid w:val="00FE4012"/>
    <w:rsid w:val="00FE494A"/>
    <w:rsid w:val="00FE4C8E"/>
    <w:rsid w:val="00FE5573"/>
    <w:rsid w:val="00FE678D"/>
    <w:rsid w:val="00FE6920"/>
    <w:rsid w:val="00FE6C39"/>
    <w:rsid w:val="00FE7A8B"/>
    <w:rsid w:val="00FF1094"/>
    <w:rsid w:val="00FF1296"/>
    <w:rsid w:val="00FF1419"/>
    <w:rsid w:val="00FF18C0"/>
    <w:rsid w:val="00FF1E51"/>
    <w:rsid w:val="00FF1EA5"/>
    <w:rsid w:val="00FF27A4"/>
    <w:rsid w:val="00FF32B4"/>
    <w:rsid w:val="00FF38AA"/>
    <w:rsid w:val="00FF3E4F"/>
    <w:rsid w:val="00FF4066"/>
    <w:rsid w:val="00FF48CD"/>
    <w:rsid w:val="00FF4963"/>
    <w:rsid w:val="00FF61CD"/>
    <w:rsid w:val="00FF6251"/>
    <w:rsid w:val="00FF650B"/>
    <w:rsid w:val="00FF660F"/>
    <w:rsid w:val="00FF7462"/>
    <w:rsid w:val="00FF751D"/>
    <w:rsid w:val="00FF7732"/>
    <w:rsid w:val="00FF77DD"/>
    <w:rsid w:val="00FF7BA6"/>
    <w:rsid w:val="010A29DC"/>
    <w:rsid w:val="012D6BF7"/>
    <w:rsid w:val="013E2686"/>
    <w:rsid w:val="015B1207"/>
    <w:rsid w:val="016043AA"/>
    <w:rsid w:val="01785B98"/>
    <w:rsid w:val="01D22B07"/>
    <w:rsid w:val="0204245E"/>
    <w:rsid w:val="026F71B4"/>
    <w:rsid w:val="027030CC"/>
    <w:rsid w:val="02711490"/>
    <w:rsid w:val="02D8351D"/>
    <w:rsid w:val="030516AD"/>
    <w:rsid w:val="030B538B"/>
    <w:rsid w:val="038424F6"/>
    <w:rsid w:val="038F0F77"/>
    <w:rsid w:val="03922815"/>
    <w:rsid w:val="039F2472"/>
    <w:rsid w:val="03C6563E"/>
    <w:rsid w:val="03D143FF"/>
    <w:rsid w:val="041A00D1"/>
    <w:rsid w:val="04325E86"/>
    <w:rsid w:val="044A3E16"/>
    <w:rsid w:val="04561CA4"/>
    <w:rsid w:val="04A60A9B"/>
    <w:rsid w:val="04B8641E"/>
    <w:rsid w:val="04D23811"/>
    <w:rsid w:val="054B5209"/>
    <w:rsid w:val="055B741E"/>
    <w:rsid w:val="056F4927"/>
    <w:rsid w:val="05923441"/>
    <w:rsid w:val="05AE6E5D"/>
    <w:rsid w:val="05E20DF8"/>
    <w:rsid w:val="062953FF"/>
    <w:rsid w:val="064A3A56"/>
    <w:rsid w:val="06832233"/>
    <w:rsid w:val="0709099F"/>
    <w:rsid w:val="072440CC"/>
    <w:rsid w:val="072D11D3"/>
    <w:rsid w:val="07661769"/>
    <w:rsid w:val="07683FB9"/>
    <w:rsid w:val="07844720"/>
    <w:rsid w:val="078A266C"/>
    <w:rsid w:val="078D7EC3"/>
    <w:rsid w:val="07A1571D"/>
    <w:rsid w:val="07B71D79"/>
    <w:rsid w:val="07D93267"/>
    <w:rsid w:val="080737D2"/>
    <w:rsid w:val="081E6D6D"/>
    <w:rsid w:val="08220261"/>
    <w:rsid w:val="083826B3"/>
    <w:rsid w:val="08634780"/>
    <w:rsid w:val="08992B09"/>
    <w:rsid w:val="08B33B34"/>
    <w:rsid w:val="08B66FA6"/>
    <w:rsid w:val="08BC0A1F"/>
    <w:rsid w:val="08BF22FE"/>
    <w:rsid w:val="08C6543B"/>
    <w:rsid w:val="08C90A87"/>
    <w:rsid w:val="091A339E"/>
    <w:rsid w:val="093005CC"/>
    <w:rsid w:val="09AF339B"/>
    <w:rsid w:val="09C22B91"/>
    <w:rsid w:val="09D33EA7"/>
    <w:rsid w:val="0A003F79"/>
    <w:rsid w:val="0A081D79"/>
    <w:rsid w:val="0A382368"/>
    <w:rsid w:val="0B007DA7"/>
    <w:rsid w:val="0B3B5E69"/>
    <w:rsid w:val="0B475687"/>
    <w:rsid w:val="0B6E3B68"/>
    <w:rsid w:val="0BA20707"/>
    <w:rsid w:val="0BA92DF2"/>
    <w:rsid w:val="0BAC41E4"/>
    <w:rsid w:val="0BC35D05"/>
    <w:rsid w:val="0BD065D0"/>
    <w:rsid w:val="0BD847B0"/>
    <w:rsid w:val="0BE61950"/>
    <w:rsid w:val="0C04484A"/>
    <w:rsid w:val="0C1863C7"/>
    <w:rsid w:val="0C3A566F"/>
    <w:rsid w:val="0C564D28"/>
    <w:rsid w:val="0C565910"/>
    <w:rsid w:val="0C5974B5"/>
    <w:rsid w:val="0C7A30DA"/>
    <w:rsid w:val="0CA830A9"/>
    <w:rsid w:val="0CBD5DB6"/>
    <w:rsid w:val="0CC66778"/>
    <w:rsid w:val="0CEA5470"/>
    <w:rsid w:val="0D023866"/>
    <w:rsid w:val="0D703BC7"/>
    <w:rsid w:val="0E35096D"/>
    <w:rsid w:val="0E3D7000"/>
    <w:rsid w:val="0E816F6D"/>
    <w:rsid w:val="0EC8358F"/>
    <w:rsid w:val="0EE74DE8"/>
    <w:rsid w:val="0F24158C"/>
    <w:rsid w:val="0F334EAC"/>
    <w:rsid w:val="0F59068B"/>
    <w:rsid w:val="0F5D63CD"/>
    <w:rsid w:val="0FBB29F6"/>
    <w:rsid w:val="0FBF0014"/>
    <w:rsid w:val="0FF27337"/>
    <w:rsid w:val="0FF85779"/>
    <w:rsid w:val="100F3B6B"/>
    <w:rsid w:val="10525806"/>
    <w:rsid w:val="10985A77"/>
    <w:rsid w:val="10CA1840"/>
    <w:rsid w:val="10D119EB"/>
    <w:rsid w:val="10E03C13"/>
    <w:rsid w:val="10ED552F"/>
    <w:rsid w:val="112776E3"/>
    <w:rsid w:val="115F631A"/>
    <w:rsid w:val="117B0D8C"/>
    <w:rsid w:val="117F160D"/>
    <w:rsid w:val="11B43887"/>
    <w:rsid w:val="11D379B2"/>
    <w:rsid w:val="11E14EB1"/>
    <w:rsid w:val="11E35B5E"/>
    <w:rsid w:val="12071360"/>
    <w:rsid w:val="12251E10"/>
    <w:rsid w:val="12335087"/>
    <w:rsid w:val="124D097B"/>
    <w:rsid w:val="12DB51A7"/>
    <w:rsid w:val="131C5736"/>
    <w:rsid w:val="13201BEB"/>
    <w:rsid w:val="13274F64"/>
    <w:rsid w:val="134C29E0"/>
    <w:rsid w:val="136525A5"/>
    <w:rsid w:val="13674B86"/>
    <w:rsid w:val="13764A30"/>
    <w:rsid w:val="13A50CE8"/>
    <w:rsid w:val="13AC2BAA"/>
    <w:rsid w:val="140C30C9"/>
    <w:rsid w:val="141259D8"/>
    <w:rsid w:val="14326278"/>
    <w:rsid w:val="143B371E"/>
    <w:rsid w:val="146A2710"/>
    <w:rsid w:val="149208C7"/>
    <w:rsid w:val="14CD4474"/>
    <w:rsid w:val="14CF0BAF"/>
    <w:rsid w:val="14E13D7A"/>
    <w:rsid w:val="150177FB"/>
    <w:rsid w:val="153A2337"/>
    <w:rsid w:val="15724254"/>
    <w:rsid w:val="1581583E"/>
    <w:rsid w:val="1594195C"/>
    <w:rsid w:val="159E5735"/>
    <w:rsid w:val="15C641C9"/>
    <w:rsid w:val="15F756B1"/>
    <w:rsid w:val="162E0602"/>
    <w:rsid w:val="166E2C6E"/>
    <w:rsid w:val="167A7865"/>
    <w:rsid w:val="167C1241"/>
    <w:rsid w:val="167C2C01"/>
    <w:rsid w:val="16BE6068"/>
    <w:rsid w:val="16FC296F"/>
    <w:rsid w:val="172334CD"/>
    <w:rsid w:val="175D4E15"/>
    <w:rsid w:val="179970E7"/>
    <w:rsid w:val="17BB08BB"/>
    <w:rsid w:val="17C533C4"/>
    <w:rsid w:val="17E21B65"/>
    <w:rsid w:val="17EC6B52"/>
    <w:rsid w:val="18065FFA"/>
    <w:rsid w:val="182F3C11"/>
    <w:rsid w:val="18891FE1"/>
    <w:rsid w:val="188B5D59"/>
    <w:rsid w:val="191748E1"/>
    <w:rsid w:val="194C138C"/>
    <w:rsid w:val="19964E77"/>
    <w:rsid w:val="19E00326"/>
    <w:rsid w:val="19EC0249"/>
    <w:rsid w:val="19F227AC"/>
    <w:rsid w:val="19FA418F"/>
    <w:rsid w:val="1A16534C"/>
    <w:rsid w:val="1A620D3B"/>
    <w:rsid w:val="1A7171D0"/>
    <w:rsid w:val="1A724185"/>
    <w:rsid w:val="1AA7263A"/>
    <w:rsid w:val="1AD00D22"/>
    <w:rsid w:val="1ADA5E92"/>
    <w:rsid w:val="1B13332C"/>
    <w:rsid w:val="1B190D14"/>
    <w:rsid w:val="1B6E79BA"/>
    <w:rsid w:val="1B7C407F"/>
    <w:rsid w:val="1B813443"/>
    <w:rsid w:val="1B993043"/>
    <w:rsid w:val="1BB4158D"/>
    <w:rsid w:val="1C013282"/>
    <w:rsid w:val="1C1F68A8"/>
    <w:rsid w:val="1C46581E"/>
    <w:rsid w:val="1C5446B4"/>
    <w:rsid w:val="1C6F1525"/>
    <w:rsid w:val="1C7149E7"/>
    <w:rsid w:val="1C715266"/>
    <w:rsid w:val="1D1C3400"/>
    <w:rsid w:val="1D303373"/>
    <w:rsid w:val="1D51690C"/>
    <w:rsid w:val="1D585070"/>
    <w:rsid w:val="1D80797D"/>
    <w:rsid w:val="1D9C27B6"/>
    <w:rsid w:val="1DD5648A"/>
    <w:rsid w:val="1E066FB4"/>
    <w:rsid w:val="1E2A1B70"/>
    <w:rsid w:val="1E2F2C87"/>
    <w:rsid w:val="1E452D1C"/>
    <w:rsid w:val="1E71154D"/>
    <w:rsid w:val="1E78760A"/>
    <w:rsid w:val="1EF05DD8"/>
    <w:rsid w:val="1EF27B48"/>
    <w:rsid w:val="1F077573"/>
    <w:rsid w:val="1F3C1DFE"/>
    <w:rsid w:val="1F3F1951"/>
    <w:rsid w:val="1F421378"/>
    <w:rsid w:val="1F4318D9"/>
    <w:rsid w:val="1F555F62"/>
    <w:rsid w:val="1F5F2B49"/>
    <w:rsid w:val="1F813CF1"/>
    <w:rsid w:val="1F9D049A"/>
    <w:rsid w:val="1FA6791C"/>
    <w:rsid w:val="1FAA379E"/>
    <w:rsid w:val="1FB2746D"/>
    <w:rsid w:val="1FE97CC8"/>
    <w:rsid w:val="20076B7E"/>
    <w:rsid w:val="203F1F56"/>
    <w:rsid w:val="20444A22"/>
    <w:rsid w:val="204A31D1"/>
    <w:rsid w:val="208F215E"/>
    <w:rsid w:val="20A83220"/>
    <w:rsid w:val="20C77B76"/>
    <w:rsid w:val="214D7258"/>
    <w:rsid w:val="21723F5A"/>
    <w:rsid w:val="21C5597E"/>
    <w:rsid w:val="21EA49CE"/>
    <w:rsid w:val="224376A4"/>
    <w:rsid w:val="225002BD"/>
    <w:rsid w:val="22ED7908"/>
    <w:rsid w:val="23272FC5"/>
    <w:rsid w:val="234D4382"/>
    <w:rsid w:val="2354669F"/>
    <w:rsid w:val="2377581D"/>
    <w:rsid w:val="23812062"/>
    <w:rsid w:val="23D31501"/>
    <w:rsid w:val="23FD2D19"/>
    <w:rsid w:val="23FE1BC6"/>
    <w:rsid w:val="24153ED7"/>
    <w:rsid w:val="241B040A"/>
    <w:rsid w:val="247974A2"/>
    <w:rsid w:val="2481624A"/>
    <w:rsid w:val="252613C4"/>
    <w:rsid w:val="252B49E7"/>
    <w:rsid w:val="25D11850"/>
    <w:rsid w:val="25F50FF0"/>
    <w:rsid w:val="26473BB2"/>
    <w:rsid w:val="266A7A2E"/>
    <w:rsid w:val="26773DC1"/>
    <w:rsid w:val="26793A92"/>
    <w:rsid w:val="269F0C21"/>
    <w:rsid w:val="26A96CEC"/>
    <w:rsid w:val="26C228EE"/>
    <w:rsid w:val="26D6070D"/>
    <w:rsid w:val="26E9678C"/>
    <w:rsid w:val="26F4283C"/>
    <w:rsid w:val="2705317A"/>
    <w:rsid w:val="270D0281"/>
    <w:rsid w:val="270E609F"/>
    <w:rsid w:val="27257379"/>
    <w:rsid w:val="278C389C"/>
    <w:rsid w:val="27901611"/>
    <w:rsid w:val="27BF73C5"/>
    <w:rsid w:val="27C272BD"/>
    <w:rsid w:val="27C30F71"/>
    <w:rsid w:val="286C1E91"/>
    <w:rsid w:val="28D52B89"/>
    <w:rsid w:val="291E6775"/>
    <w:rsid w:val="295B01BA"/>
    <w:rsid w:val="29874610"/>
    <w:rsid w:val="29D57379"/>
    <w:rsid w:val="29DE507F"/>
    <w:rsid w:val="29E24410"/>
    <w:rsid w:val="2A0347DE"/>
    <w:rsid w:val="2A100351"/>
    <w:rsid w:val="2A7D7C33"/>
    <w:rsid w:val="2A9071FF"/>
    <w:rsid w:val="2AA2474D"/>
    <w:rsid w:val="2AC423E2"/>
    <w:rsid w:val="2ACB46DB"/>
    <w:rsid w:val="2B177920"/>
    <w:rsid w:val="2B2F421E"/>
    <w:rsid w:val="2B5B3BAA"/>
    <w:rsid w:val="2BE55328"/>
    <w:rsid w:val="2BF11F1F"/>
    <w:rsid w:val="2C941621"/>
    <w:rsid w:val="2CA560A0"/>
    <w:rsid w:val="2CC50582"/>
    <w:rsid w:val="2CD809F1"/>
    <w:rsid w:val="2CFD090D"/>
    <w:rsid w:val="2D74515C"/>
    <w:rsid w:val="2D8748E9"/>
    <w:rsid w:val="2D8D3ECA"/>
    <w:rsid w:val="2D8F0C4E"/>
    <w:rsid w:val="2DAA6FC6"/>
    <w:rsid w:val="2DBE7052"/>
    <w:rsid w:val="2DDE0DF3"/>
    <w:rsid w:val="2DEF06E0"/>
    <w:rsid w:val="2E2A1F67"/>
    <w:rsid w:val="2E334350"/>
    <w:rsid w:val="2E3C0615"/>
    <w:rsid w:val="2E3F51C4"/>
    <w:rsid w:val="2E8338E0"/>
    <w:rsid w:val="2E8B665B"/>
    <w:rsid w:val="2EAD19BB"/>
    <w:rsid w:val="2F185D59"/>
    <w:rsid w:val="2F1F0B51"/>
    <w:rsid w:val="2F2701B6"/>
    <w:rsid w:val="2F2E29AB"/>
    <w:rsid w:val="2F454A5C"/>
    <w:rsid w:val="2F5841ED"/>
    <w:rsid w:val="2FC11C09"/>
    <w:rsid w:val="2FED0B26"/>
    <w:rsid w:val="2FF20D0B"/>
    <w:rsid w:val="300246FB"/>
    <w:rsid w:val="30112B90"/>
    <w:rsid w:val="3014746B"/>
    <w:rsid w:val="301D5049"/>
    <w:rsid w:val="303310CC"/>
    <w:rsid w:val="308E70A8"/>
    <w:rsid w:val="3091577C"/>
    <w:rsid w:val="31181CFC"/>
    <w:rsid w:val="317D110C"/>
    <w:rsid w:val="31A36494"/>
    <w:rsid w:val="31B17D02"/>
    <w:rsid w:val="31D245A1"/>
    <w:rsid w:val="31DA66C0"/>
    <w:rsid w:val="31E16BB0"/>
    <w:rsid w:val="31FC33CC"/>
    <w:rsid w:val="3202637A"/>
    <w:rsid w:val="32131E50"/>
    <w:rsid w:val="3230372C"/>
    <w:rsid w:val="32A1377B"/>
    <w:rsid w:val="32CC0FF0"/>
    <w:rsid w:val="32EF2418"/>
    <w:rsid w:val="330F2DD1"/>
    <w:rsid w:val="33185FE3"/>
    <w:rsid w:val="33583DA8"/>
    <w:rsid w:val="33857222"/>
    <w:rsid w:val="33B301CF"/>
    <w:rsid w:val="347673CF"/>
    <w:rsid w:val="348778C5"/>
    <w:rsid w:val="34B85CD0"/>
    <w:rsid w:val="34D1738E"/>
    <w:rsid w:val="35326A11"/>
    <w:rsid w:val="359871BA"/>
    <w:rsid w:val="35F3132D"/>
    <w:rsid w:val="36187321"/>
    <w:rsid w:val="36287B3C"/>
    <w:rsid w:val="36525CB0"/>
    <w:rsid w:val="36A33AE5"/>
    <w:rsid w:val="36C9002A"/>
    <w:rsid w:val="36D5264B"/>
    <w:rsid w:val="36E0506A"/>
    <w:rsid w:val="36ED673E"/>
    <w:rsid w:val="371718C6"/>
    <w:rsid w:val="37E62B54"/>
    <w:rsid w:val="386B00A7"/>
    <w:rsid w:val="387C1C29"/>
    <w:rsid w:val="38983E4E"/>
    <w:rsid w:val="389D76B7"/>
    <w:rsid w:val="38BE53D7"/>
    <w:rsid w:val="38D67CAD"/>
    <w:rsid w:val="3938118D"/>
    <w:rsid w:val="39420F25"/>
    <w:rsid w:val="39690EF8"/>
    <w:rsid w:val="396F0F8C"/>
    <w:rsid w:val="39A148C7"/>
    <w:rsid w:val="39A75836"/>
    <w:rsid w:val="39AB195F"/>
    <w:rsid w:val="39B53E45"/>
    <w:rsid w:val="3A161DA8"/>
    <w:rsid w:val="3A190FBF"/>
    <w:rsid w:val="3A6A6623"/>
    <w:rsid w:val="3AB40CE8"/>
    <w:rsid w:val="3AC3157A"/>
    <w:rsid w:val="3B013918"/>
    <w:rsid w:val="3B422689"/>
    <w:rsid w:val="3B6A2A17"/>
    <w:rsid w:val="3B8E778B"/>
    <w:rsid w:val="3B915409"/>
    <w:rsid w:val="3BCD02B3"/>
    <w:rsid w:val="3C1D0580"/>
    <w:rsid w:val="3C340530"/>
    <w:rsid w:val="3C366174"/>
    <w:rsid w:val="3C5C155A"/>
    <w:rsid w:val="3C677A85"/>
    <w:rsid w:val="3C840D47"/>
    <w:rsid w:val="3CC94521"/>
    <w:rsid w:val="3CD21A9D"/>
    <w:rsid w:val="3CE25928"/>
    <w:rsid w:val="3D241888"/>
    <w:rsid w:val="3D3D6974"/>
    <w:rsid w:val="3D6B0825"/>
    <w:rsid w:val="3D78523A"/>
    <w:rsid w:val="3DE2791A"/>
    <w:rsid w:val="3DFD6502"/>
    <w:rsid w:val="3E400717"/>
    <w:rsid w:val="3E946202"/>
    <w:rsid w:val="3F1803C4"/>
    <w:rsid w:val="3F6D76B7"/>
    <w:rsid w:val="3F7D3D9E"/>
    <w:rsid w:val="3F895409"/>
    <w:rsid w:val="3FF61607"/>
    <w:rsid w:val="401B7113"/>
    <w:rsid w:val="40736F4F"/>
    <w:rsid w:val="408A49C4"/>
    <w:rsid w:val="40ED32DF"/>
    <w:rsid w:val="41106663"/>
    <w:rsid w:val="4153125A"/>
    <w:rsid w:val="416012CF"/>
    <w:rsid w:val="41655347"/>
    <w:rsid w:val="417F008A"/>
    <w:rsid w:val="418C0847"/>
    <w:rsid w:val="41C21E59"/>
    <w:rsid w:val="41DA54D8"/>
    <w:rsid w:val="41FA54AC"/>
    <w:rsid w:val="421064CF"/>
    <w:rsid w:val="42574E91"/>
    <w:rsid w:val="425C1855"/>
    <w:rsid w:val="42CC7D81"/>
    <w:rsid w:val="42D068DB"/>
    <w:rsid w:val="42E12896"/>
    <w:rsid w:val="42E86636"/>
    <w:rsid w:val="42F56341"/>
    <w:rsid w:val="431D0650"/>
    <w:rsid w:val="43212C92"/>
    <w:rsid w:val="43A7260A"/>
    <w:rsid w:val="43D25BA9"/>
    <w:rsid w:val="43EA37DE"/>
    <w:rsid w:val="43EA7528"/>
    <w:rsid w:val="441E005C"/>
    <w:rsid w:val="442E2DC7"/>
    <w:rsid w:val="442E38B9"/>
    <w:rsid w:val="4439400C"/>
    <w:rsid w:val="448259B3"/>
    <w:rsid w:val="44916F6F"/>
    <w:rsid w:val="44921D2E"/>
    <w:rsid w:val="44AD6A5F"/>
    <w:rsid w:val="44B7553B"/>
    <w:rsid w:val="44E51E54"/>
    <w:rsid w:val="450D7A30"/>
    <w:rsid w:val="452C74C4"/>
    <w:rsid w:val="45A007E6"/>
    <w:rsid w:val="45F31AA8"/>
    <w:rsid w:val="4607497B"/>
    <w:rsid w:val="463D0033"/>
    <w:rsid w:val="46744693"/>
    <w:rsid w:val="471823D7"/>
    <w:rsid w:val="47473562"/>
    <w:rsid w:val="47714801"/>
    <w:rsid w:val="477A6E15"/>
    <w:rsid w:val="477E7846"/>
    <w:rsid w:val="47E34000"/>
    <w:rsid w:val="480C521C"/>
    <w:rsid w:val="482A25E9"/>
    <w:rsid w:val="48492EDB"/>
    <w:rsid w:val="485246E2"/>
    <w:rsid w:val="486D510A"/>
    <w:rsid w:val="487815A6"/>
    <w:rsid w:val="48A217B6"/>
    <w:rsid w:val="48A57EC2"/>
    <w:rsid w:val="48A64365"/>
    <w:rsid w:val="48C81442"/>
    <w:rsid w:val="48F0624B"/>
    <w:rsid w:val="49303EF1"/>
    <w:rsid w:val="49312A5C"/>
    <w:rsid w:val="493B4602"/>
    <w:rsid w:val="49417BEA"/>
    <w:rsid w:val="49682D40"/>
    <w:rsid w:val="49702E92"/>
    <w:rsid w:val="498C5DCF"/>
    <w:rsid w:val="49A335C0"/>
    <w:rsid w:val="49E760C4"/>
    <w:rsid w:val="49E77873"/>
    <w:rsid w:val="49F10306"/>
    <w:rsid w:val="4A837E4F"/>
    <w:rsid w:val="4AB56AE2"/>
    <w:rsid w:val="4AC00701"/>
    <w:rsid w:val="4ADE7F93"/>
    <w:rsid w:val="4AF07B1A"/>
    <w:rsid w:val="4B1D0050"/>
    <w:rsid w:val="4B2064BE"/>
    <w:rsid w:val="4B2241A5"/>
    <w:rsid w:val="4BB609ED"/>
    <w:rsid w:val="4BE17965"/>
    <w:rsid w:val="4C080E93"/>
    <w:rsid w:val="4C2F6420"/>
    <w:rsid w:val="4C4F6AC2"/>
    <w:rsid w:val="4C9B5863"/>
    <w:rsid w:val="4C9C73C6"/>
    <w:rsid w:val="4CD370C7"/>
    <w:rsid w:val="4CED7A2D"/>
    <w:rsid w:val="4D0553D3"/>
    <w:rsid w:val="4D0B6926"/>
    <w:rsid w:val="4D0F23FC"/>
    <w:rsid w:val="4D2264A2"/>
    <w:rsid w:val="4D383CC5"/>
    <w:rsid w:val="4D614349"/>
    <w:rsid w:val="4D960F9D"/>
    <w:rsid w:val="4D970721"/>
    <w:rsid w:val="4DA70DAB"/>
    <w:rsid w:val="4DAC42B6"/>
    <w:rsid w:val="4E094160"/>
    <w:rsid w:val="4E0F558F"/>
    <w:rsid w:val="4E4F242B"/>
    <w:rsid w:val="4E6C395B"/>
    <w:rsid w:val="4F262C73"/>
    <w:rsid w:val="4F3B7FD6"/>
    <w:rsid w:val="4F3C7AB2"/>
    <w:rsid w:val="4F500E62"/>
    <w:rsid w:val="4F5455FA"/>
    <w:rsid w:val="4F68753C"/>
    <w:rsid w:val="4F6C798B"/>
    <w:rsid w:val="4F7438C1"/>
    <w:rsid w:val="4F8A2CF0"/>
    <w:rsid w:val="4FCC59C3"/>
    <w:rsid w:val="4FD669B8"/>
    <w:rsid w:val="4FF77255"/>
    <w:rsid w:val="502F4C40"/>
    <w:rsid w:val="503B1F27"/>
    <w:rsid w:val="506422F9"/>
    <w:rsid w:val="506B7C43"/>
    <w:rsid w:val="507210BD"/>
    <w:rsid w:val="507A1C34"/>
    <w:rsid w:val="508B3E41"/>
    <w:rsid w:val="50A5625A"/>
    <w:rsid w:val="50AC2467"/>
    <w:rsid w:val="50B50BF9"/>
    <w:rsid w:val="50D574E2"/>
    <w:rsid w:val="50FF6E3D"/>
    <w:rsid w:val="510F6820"/>
    <w:rsid w:val="51197774"/>
    <w:rsid w:val="51234079"/>
    <w:rsid w:val="513C39C1"/>
    <w:rsid w:val="51A11B6E"/>
    <w:rsid w:val="51DF43E7"/>
    <w:rsid w:val="52181704"/>
    <w:rsid w:val="5247788B"/>
    <w:rsid w:val="52595FA5"/>
    <w:rsid w:val="52714B97"/>
    <w:rsid w:val="52907343"/>
    <w:rsid w:val="52966AAF"/>
    <w:rsid w:val="535D3873"/>
    <w:rsid w:val="536524C3"/>
    <w:rsid w:val="537B680F"/>
    <w:rsid w:val="53807561"/>
    <w:rsid w:val="53852D75"/>
    <w:rsid w:val="53CB2ED2"/>
    <w:rsid w:val="54057813"/>
    <w:rsid w:val="54320C03"/>
    <w:rsid w:val="54362C91"/>
    <w:rsid w:val="54424BAC"/>
    <w:rsid w:val="54512725"/>
    <w:rsid w:val="54893741"/>
    <w:rsid w:val="54B34D38"/>
    <w:rsid w:val="554F24FA"/>
    <w:rsid w:val="5602343A"/>
    <w:rsid w:val="564066D5"/>
    <w:rsid w:val="567A2B24"/>
    <w:rsid w:val="56893385"/>
    <w:rsid w:val="569510CC"/>
    <w:rsid w:val="56D70570"/>
    <w:rsid w:val="56FC5A0D"/>
    <w:rsid w:val="57020011"/>
    <w:rsid w:val="570E04FC"/>
    <w:rsid w:val="57106E4E"/>
    <w:rsid w:val="57284CB0"/>
    <w:rsid w:val="573B7A5A"/>
    <w:rsid w:val="574B06C0"/>
    <w:rsid w:val="574E07C7"/>
    <w:rsid w:val="57713D91"/>
    <w:rsid w:val="57715B3F"/>
    <w:rsid w:val="57A52386"/>
    <w:rsid w:val="57B35E50"/>
    <w:rsid w:val="57E502DB"/>
    <w:rsid w:val="580976D3"/>
    <w:rsid w:val="581806B0"/>
    <w:rsid w:val="5864776B"/>
    <w:rsid w:val="58694294"/>
    <w:rsid w:val="586E6E66"/>
    <w:rsid w:val="58986794"/>
    <w:rsid w:val="58D243D6"/>
    <w:rsid w:val="58D646E2"/>
    <w:rsid w:val="58DE3112"/>
    <w:rsid w:val="592E7AC6"/>
    <w:rsid w:val="594C2D2E"/>
    <w:rsid w:val="59575007"/>
    <w:rsid w:val="59633BAD"/>
    <w:rsid w:val="598F49A2"/>
    <w:rsid w:val="59AE2100"/>
    <w:rsid w:val="59D6437F"/>
    <w:rsid w:val="59DE3233"/>
    <w:rsid w:val="59FB10EB"/>
    <w:rsid w:val="5A025174"/>
    <w:rsid w:val="5A027DA1"/>
    <w:rsid w:val="5A764A71"/>
    <w:rsid w:val="5AC833C4"/>
    <w:rsid w:val="5AF31BD7"/>
    <w:rsid w:val="5AF56A87"/>
    <w:rsid w:val="5B131D9A"/>
    <w:rsid w:val="5B3C46B5"/>
    <w:rsid w:val="5B4A6DD2"/>
    <w:rsid w:val="5B605B2E"/>
    <w:rsid w:val="5B972E66"/>
    <w:rsid w:val="5BE96687"/>
    <w:rsid w:val="5C20728C"/>
    <w:rsid w:val="5C86208C"/>
    <w:rsid w:val="5CAD4ABD"/>
    <w:rsid w:val="5CC600FA"/>
    <w:rsid w:val="5CD819EE"/>
    <w:rsid w:val="5D1D79D1"/>
    <w:rsid w:val="5D2536B0"/>
    <w:rsid w:val="5D320C91"/>
    <w:rsid w:val="5D423AD9"/>
    <w:rsid w:val="5D6972B8"/>
    <w:rsid w:val="5D8D44FA"/>
    <w:rsid w:val="5DA24FF7"/>
    <w:rsid w:val="5DC4034E"/>
    <w:rsid w:val="5E336236"/>
    <w:rsid w:val="5E36452D"/>
    <w:rsid w:val="5E517F6B"/>
    <w:rsid w:val="5E522680"/>
    <w:rsid w:val="5E730A21"/>
    <w:rsid w:val="5E90377B"/>
    <w:rsid w:val="5ED30E8D"/>
    <w:rsid w:val="5EDF7832"/>
    <w:rsid w:val="5EEC5550"/>
    <w:rsid w:val="5F021772"/>
    <w:rsid w:val="5F2627A2"/>
    <w:rsid w:val="5F300DC5"/>
    <w:rsid w:val="5F7356E7"/>
    <w:rsid w:val="5F892FA5"/>
    <w:rsid w:val="5FAA0EAA"/>
    <w:rsid w:val="5FB7255D"/>
    <w:rsid w:val="5FC1162D"/>
    <w:rsid w:val="5FC90992"/>
    <w:rsid w:val="5FEF3BB3"/>
    <w:rsid w:val="60211344"/>
    <w:rsid w:val="602A4CC7"/>
    <w:rsid w:val="604162CA"/>
    <w:rsid w:val="604C6483"/>
    <w:rsid w:val="6082700E"/>
    <w:rsid w:val="609911FF"/>
    <w:rsid w:val="60D30936"/>
    <w:rsid w:val="60D537A6"/>
    <w:rsid w:val="60DC53EE"/>
    <w:rsid w:val="60DD4245"/>
    <w:rsid w:val="60E23EF5"/>
    <w:rsid w:val="6118635B"/>
    <w:rsid w:val="611D0AE5"/>
    <w:rsid w:val="61272FC5"/>
    <w:rsid w:val="613A40C6"/>
    <w:rsid w:val="617E22D9"/>
    <w:rsid w:val="61B7115C"/>
    <w:rsid w:val="61F51865"/>
    <w:rsid w:val="62032444"/>
    <w:rsid w:val="6211064A"/>
    <w:rsid w:val="623600B0"/>
    <w:rsid w:val="6243457B"/>
    <w:rsid w:val="62494201"/>
    <w:rsid w:val="62B22FAB"/>
    <w:rsid w:val="62B97655"/>
    <w:rsid w:val="62BA2CFA"/>
    <w:rsid w:val="62C202DE"/>
    <w:rsid w:val="630378F8"/>
    <w:rsid w:val="63051831"/>
    <w:rsid w:val="63585E05"/>
    <w:rsid w:val="63BA7D75"/>
    <w:rsid w:val="63F91396"/>
    <w:rsid w:val="64153A28"/>
    <w:rsid w:val="64266E98"/>
    <w:rsid w:val="644D3C91"/>
    <w:rsid w:val="64654C7D"/>
    <w:rsid w:val="64D43FB0"/>
    <w:rsid w:val="651D04D7"/>
    <w:rsid w:val="65516FAF"/>
    <w:rsid w:val="65922853"/>
    <w:rsid w:val="65D61B75"/>
    <w:rsid w:val="65EE18C6"/>
    <w:rsid w:val="66A03D4A"/>
    <w:rsid w:val="66EF688F"/>
    <w:rsid w:val="67446DCC"/>
    <w:rsid w:val="674F751F"/>
    <w:rsid w:val="677E5F7B"/>
    <w:rsid w:val="67AE06E9"/>
    <w:rsid w:val="680F48F5"/>
    <w:rsid w:val="6873723D"/>
    <w:rsid w:val="687744FC"/>
    <w:rsid w:val="688F22C8"/>
    <w:rsid w:val="68993147"/>
    <w:rsid w:val="68CF2FCC"/>
    <w:rsid w:val="68E67775"/>
    <w:rsid w:val="68F66319"/>
    <w:rsid w:val="68F77E6E"/>
    <w:rsid w:val="69004D4E"/>
    <w:rsid w:val="69107CC9"/>
    <w:rsid w:val="6971618A"/>
    <w:rsid w:val="69765D89"/>
    <w:rsid w:val="69B163DA"/>
    <w:rsid w:val="69C32E03"/>
    <w:rsid w:val="69C4041F"/>
    <w:rsid w:val="6A2217FB"/>
    <w:rsid w:val="6A4E1D48"/>
    <w:rsid w:val="6A5F216E"/>
    <w:rsid w:val="6A7115C3"/>
    <w:rsid w:val="6AF047C6"/>
    <w:rsid w:val="6B17192C"/>
    <w:rsid w:val="6B361121"/>
    <w:rsid w:val="6B446305"/>
    <w:rsid w:val="6B497658"/>
    <w:rsid w:val="6BAB4E78"/>
    <w:rsid w:val="6BAE2E95"/>
    <w:rsid w:val="6BDA7398"/>
    <w:rsid w:val="6C416227"/>
    <w:rsid w:val="6CA87DFD"/>
    <w:rsid w:val="6CD72490"/>
    <w:rsid w:val="6CD75464"/>
    <w:rsid w:val="6CD819E2"/>
    <w:rsid w:val="6CD86ED9"/>
    <w:rsid w:val="6CE45B48"/>
    <w:rsid w:val="6CF748E0"/>
    <w:rsid w:val="6D01750D"/>
    <w:rsid w:val="6D4F0278"/>
    <w:rsid w:val="6D6055F0"/>
    <w:rsid w:val="6E0A5037"/>
    <w:rsid w:val="6E186640"/>
    <w:rsid w:val="6E680A4B"/>
    <w:rsid w:val="6E685096"/>
    <w:rsid w:val="6E7561C7"/>
    <w:rsid w:val="6E9A3775"/>
    <w:rsid w:val="6EAB3898"/>
    <w:rsid w:val="6EDB4F7D"/>
    <w:rsid w:val="6EFE1B9C"/>
    <w:rsid w:val="6F0B6421"/>
    <w:rsid w:val="6F392F8E"/>
    <w:rsid w:val="6F3B4F58"/>
    <w:rsid w:val="6FA02AB5"/>
    <w:rsid w:val="6FA10B33"/>
    <w:rsid w:val="6FA32AFD"/>
    <w:rsid w:val="6FD53C0B"/>
    <w:rsid w:val="6FED01FE"/>
    <w:rsid w:val="7036571F"/>
    <w:rsid w:val="70807AF6"/>
    <w:rsid w:val="708C694C"/>
    <w:rsid w:val="70B07280"/>
    <w:rsid w:val="70E13317"/>
    <w:rsid w:val="70F552DF"/>
    <w:rsid w:val="70F869CD"/>
    <w:rsid w:val="714055E4"/>
    <w:rsid w:val="714B27BD"/>
    <w:rsid w:val="71676D09"/>
    <w:rsid w:val="71754026"/>
    <w:rsid w:val="717C2E0B"/>
    <w:rsid w:val="71A5076D"/>
    <w:rsid w:val="71B66B18"/>
    <w:rsid w:val="72432718"/>
    <w:rsid w:val="7251239D"/>
    <w:rsid w:val="72522BEE"/>
    <w:rsid w:val="7259736E"/>
    <w:rsid w:val="72A20E4A"/>
    <w:rsid w:val="7300684E"/>
    <w:rsid w:val="73011896"/>
    <w:rsid w:val="73012015"/>
    <w:rsid w:val="7315161C"/>
    <w:rsid w:val="732325D6"/>
    <w:rsid w:val="73475014"/>
    <w:rsid w:val="73A62BBC"/>
    <w:rsid w:val="73BB3A8B"/>
    <w:rsid w:val="745E567C"/>
    <w:rsid w:val="74884070"/>
    <w:rsid w:val="74CA1F4D"/>
    <w:rsid w:val="75E860BF"/>
    <w:rsid w:val="75F145C2"/>
    <w:rsid w:val="765D6201"/>
    <w:rsid w:val="766A5A5C"/>
    <w:rsid w:val="76C704BE"/>
    <w:rsid w:val="76D90BB3"/>
    <w:rsid w:val="76EE465E"/>
    <w:rsid w:val="76F72EFA"/>
    <w:rsid w:val="7702635B"/>
    <w:rsid w:val="77901BB9"/>
    <w:rsid w:val="77CA2A48"/>
    <w:rsid w:val="77D73344"/>
    <w:rsid w:val="77DF6BF9"/>
    <w:rsid w:val="782A5121"/>
    <w:rsid w:val="78770683"/>
    <w:rsid w:val="787A0D3F"/>
    <w:rsid w:val="788F206C"/>
    <w:rsid w:val="789530F9"/>
    <w:rsid w:val="78961019"/>
    <w:rsid w:val="7897660B"/>
    <w:rsid w:val="78A04C36"/>
    <w:rsid w:val="78C22246"/>
    <w:rsid w:val="78E71CAD"/>
    <w:rsid w:val="791F131F"/>
    <w:rsid w:val="79502C65"/>
    <w:rsid w:val="798509C8"/>
    <w:rsid w:val="79C478F8"/>
    <w:rsid w:val="79C913B2"/>
    <w:rsid w:val="7A016A66"/>
    <w:rsid w:val="7A0B19CB"/>
    <w:rsid w:val="7A0C6E22"/>
    <w:rsid w:val="7A146AD1"/>
    <w:rsid w:val="7A2E1C26"/>
    <w:rsid w:val="7A301431"/>
    <w:rsid w:val="7A6C06BC"/>
    <w:rsid w:val="7A767E3D"/>
    <w:rsid w:val="7A953C40"/>
    <w:rsid w:val="7A9F0781"/>
    <w:rsid w:val="7AC4352C"/>
    <w:rsid w:val="7AC90E54"/>
    <w:rsid w:val="7AE95FD6"/>
    <w:rsid w:val="7B221D76"/>
    <w:rsid w:val="7B274036"/>
    <w:rsid w:val="7B284207"/>
    <w:rsid w:val="7B374FEA"/>
    <w:rsid w:val="7B714925"/>
    <w:rsid w:val="7B811F45"/>
    <w:rsid w:val="7B871BC1"/>
    <w:rsid w:val="7BA3043B"/>
    <w:rsid w:val="7BCC4C97"/>
    <w:rsid w:val="7BCE2CB0"/>
    <w:rsid w:val="7C1F073E"/>
    <w:rsid w:val="7C5C16BC"/>
    <w:rsid w:val="7C6E1E61"/>
    <w:rsid w:val="7CAD650E"/>
    <w:rsid w:val="7CBB3234"/>
    <w:rsid w:val="7D0A5F6A"/>
    <w:rsid w:val="7D0B6DDA"/>
    <w:rsid w:val="7D2B742D"/>
    <w:rsid w:val="7D4C20DE"/>
    <w:rsid w:val="7D7A3BB1"/>
    <w:rsid w:val="7DCE6F97"/>
    <w:rsid w:val="7DE44A0D"/>
    <w:rsid w:val="7E58660A"/>
    <w:rsid w:val="7E8A55B4"/>
    <w:rsid w:val="7E8F4979"/>
    <w:rsid w:val="7EB876C3"/>
    <w:rsid w:val="7ECE3799"/>
    <w:rsid w:val="7F014DB2"/>
    <w:rsid w:val="7F166F47"/>
    <w:rsid w:val="7F410AEE"/>
    <w:rsid w:val="7F5F7B54"/>
    <w:rsid w:val="7F647934"/>
    <w:rsid w:val="7F697FF1"/>
    <w:rsid w:val="7F9935D5"/>
    <w:rsid w:val="7FAB5685"/>
    <w:rsid w:val="7FB14F0C"/>
    <w:rsid w:val="7FCB0A0D"/>
    <w:rsid w:val="7FEC733E"/>
    <w:rsid w:val="7FF12DAF"/>
    <w:rsid w:val="7FF220EA"/>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9"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iPriority="99" w:semiHidden="0" w:name="annotation reference"/>
    <w:lsdException w:qFormat="1" w:unhideWhenUsed="0" w:uiPriority="0" w:semiHidden="0" w:name="line number"/>
    <w:lsdException w:qFormat="1" w:unhideWhenUsed="0" w:uiPriority="0" w:semiHidden="0" w:name="page number"/>
    <w:lsdException w:uiPriority="0" w:name="endnote reference"/>
    <w:lsdException w:qFormat="1" w:unhideWhenUsed="0" w:uiPriority="0" w:name="endnote text"/>
    <w:lsdException w:qFormat="1" w:unhideWhenUsed="0" w:uiPriority="0" w:semiHidden="0" w:name="table of authorities"/>
    <w:lsdException w:qFormat="1" w:unhideWhenUsed="0"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0" w:name="List 5"/>
    <w:lsdException w:qFormat="1" w:unhideWhenUsed="0" w:uiPriority="0" w:semiHidden="0" w:name="List Bullet 2"/>
    <w:lsdException w:qFormat="1" w:unhideWhenUsed="0" w:uiPriority="0" w:semiHidden="0" w:name="List Bullet 3"/>
    <w:lsdException w:uiPriority="0" w:name="List Bullet 4"/>
    <w:lsdException w:qFormat="1"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iPriority="0" w:name="Message Header"/>
    <w:lsdException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iPriority="99"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uiPriority="0" w:name="Table Grid 8"/>
    <w:lsdException w:uiPriority="0" w:name="Table List 1"/>
    <w:lsdException w:uiPriority="0" w:name="Table List 2"/>
    <w:lsdException w:uiPriority="0" w:name="Table List 3"/>
    <w:lsdException w:uiPriority="0" w:name="Table List 4"/>
    <w:lsdException w:qFormat="1" w:unhideWhenUsed="0" w:uiPriority="0" w:semiHidden="0" w:name="Table List 5"/>
    <w:lsdException w:qFormat="1" w:unhideWhenUsed="0" w:uiPriority="0" w:semiHidden="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428"/>
    <w:qFormat/>
    <w:uiPriority w:val="9"/>
    <w:pPr>
      <w:snapToGrid w:val="0"/>
      <w:spacing w:line="348" w:lineRule="auto"/>
      <w:outlineLvl w:val="0"/>
    </w:pPr>
    <w:rPr>
      <w:b/>
      <w:kern w:val="0"/>
      <w:sz w:val="28"/>
      <w:szCs w:val="20"/>
    </w:rPr>
  </w:style>
  <w:style w:type="paragraph" w:styleId="4">
    <w:name w:val="heading 2"/>
    <w:basedOn w:val="1"/>
    <w:next w:val="1"/>
    <w:link w:val="355"/>
    <w:unhideWhenUsed/>
    <w:qFormat/>
    <w:uiPriority w:val="9"/>
    <w:pPr>
      <w:snapToGrid w:val="0"/>
      <w:spacing w:line="348" w:lineRule="auto"/>
      <w:outlineLvl w:val="1"/>
    </w:pPr>
    <w:rPr>
      <w:b/>
      <w:kern w:val="0"/>
      <w:sz w:val="28"/>
      <w:szCs w:val="20"/>
    </w:rPr>
  </w:style>
  <w:style w:type="paragraph" w:styleId="5">
    <w:name w:val="heading 3"/>
    <w:basedOn w:val="1"/>
    <w:next w:val="1"/>
    <w:link w:val="419"/>
    <w:unhideWhenUsed/>
    <w:qFormat/>
    <w:uiPriority w:val="9"/>
    <w:pPr>
      <w:snapToGrid w:val="0"/>
      <w:spacing w:line="348" w:lineRule="auto"/>
      <w:outlineLvl w:val="2"/>
    </w:pPr>
    <w:rPr>
      <w:kern w:val="0"/>
      <w:sz w:val="28"/>
    </w:rPr>
  </w:style>
  <w:style w:type="paragraph" w:styleId="6">
    <w:name w:val="heading 4"/>
    <w:basedOn w:val="1"/>
    <w:next w:val="1"/>
    <w:link w:val="472"/>
    <w:unhideWhenUsed/>
    <w:qFormat/>
    <w:uiPriority w:val="9"/>
    <w:pPr>
      <w:spacing w:line="348" w:lineRule="auto"/>
      <w:outlineLvl w:val="3"/>
    </w:pPr>
    <w:rPr>
      <w:kern w:val="0"/>
      <w:sz w:val="28"/>
      <w:szCs w:val="20"/>
    </w:rPr>
  </w:style>
  <w:style w:type="paragraph" w:styleId="7">
    <w:name w:val="heading 5"/>
    <w:basedOn w:val="1"/>
    <w:next w:val="1"/>
    <w:link w:val="363"/>
    <w:qFormat/>
    <w:uiPriority w:val="0"/>
    <w:pPr>
      <w:keepNext/>
      <w:keepLines/>
      <w:tabs>
        <w:tab w:val="left" w:pos="-108"/>
        <w:tab w:val="left" w:pos="1008"/>
      </w:tabs>
      <w:snapToGrid w:val="0"/>
      <w:spacing w:before="280" w:after="290" w:line="376" w:lineRule="atLeast"/>
      <w:ind w:left="1008" w:firstLine="295" w:firstLineChars="295"/>
      <w:outlineLvl w:val="4"/>
    </w:pPr>
    <w:rPr>
      <w:rFonts w:ascii="宋体" w:hAnsi="宋体"/>
      <w:b/>
      <w:sz w:val="28"/>
      <w:szCs w:val="20"/>
    </w:rPr>
  </w:style>
  <w:style w:type="paragraph" w:styleId="8">
    <w:name w:val="heading 6"/>
    <w:basedOn w:val="1"/>
    <w:next w:val="1"/>
    <w:link w:val="433"/>
    <w:qFormat/>
    <w:uiPriority w:val="0"/>
    <w:pPr>
      <w:keepNext/>
      <w:keepLines/>
      <w:tabs>
        <w:tab w:val="left" w:pos="-108"/>
        <w:tab w:val="left" w:pos="1152"/>
      </w:tabs>
      <w:snapToGrid w:val="0"/>
      <w:spacing w:before="240" w:after="64" w:line="320" w:lineRule="atLeast"/>
      <w:ind w:left="1152" w:firstLine="295" w:firstLineChars="295"/>
      <w:outlineLvl w:val="5"/>
    </w:pPr>
    <w:rPr>
      <w:rFonts w:ascii="Arial" w:hAnsi="Arial" w:eastAsia="黑体"/>
      <w:b/>
      <w:sz w:val="28"/>
      <w:szCs w:val="20"/>
    </w:rPr>
  </w:style>
  <w:style w:type="paragraph" w:styleId="9">
    <w:name w:val="heading 7"/>
    <w:basedOn w:val="1"/>
    <w:next w:val="1"/>
    <w:link w:val="530"/>
    <w:qFormat/>
    <w:uiPriority w:val="0"/>
    <w:pPr>
      <w:keepNext/>
      <w:keepLines/>
      <w:tabs>
        <w:tab w:val="left" w:pos="-108"/>
        <w:tab w:val="left" w:pos="1296"/>
      </w:tabs>
      <w:snapToGrid w:val="0"/>
      <w:spacing w:before="240" w:after="64" w:line="320" w:lineRule="atLeast"/>
      <w:ind w:left="1296" w:firstLine="295" w:firstLineChars="295"/>
      <w:outlineLvl w:val="6"/>
    </w:pPr>
    <w:rPr>
      <w:rFonts w:ascii="宋体" w:hAnsi="宋体"/>
      <w:b/>
      <w:sz w:val="28"/>
      <w:szCs w:val="20"/>
    </w:rPr>
  </w:style>
  <w:style w:type="paragraph" w:styleId="10">
    <w:name w:val="heading 8"/>
    <w:basedOn w:val="1"/>
    <w:next w:val="1"/>
    <w:link w:val="517"/>
    <w:unhideWhenUsed/>
    <w:qFormat/>
    <w:uiPriority w:val="9"/>
    <w:pPr>
      <w:keepNext/>
      <w:keepLines/>
      <w:spacing w:before="240" w:after="64" w:line="320" w:lineRule="auto"/>
      <w:outlineLvl w:val="7"/>
    </w:pPr>
    <w:rPr>
      <w:rFonts w:ascii="Calibri Light" w:hAnsi="Calibri Light"/>
      <w:kern w:val="0"/>
      <w:sz w:val="24"/>
      <w:szCs w:val="24"/>
    </w:rPr>
  </w:style>
  <w:style w:type="paragraph" w:styleId="11">
    <w:name w:val="heading 9"/>
    <w:basedOn w:val="1"/>
    <w:next w:val="1"/>
    <w:link w:val="353"/>
    <w:qFormat/>
    <w:uiPriority w:val="0"/>
    <w:pPr>
      <w:keepNext/>
      <w:keepLines/>
      <w:tabs>
        <w:tab w:val="left" w:pos="-108"/>
        <w:tab w:val="left" w:pos="1584"/>
      </w:tabs>
      <w:snapToGrid w:val="0"/>
      <w:spacing w:before="240" w:after="64" w:line="320" w:lineRule="atLeast"/>
      <w:ind w:left="1584" w:firstLine="295" w:firstLineChars="295"/>
      <w:outlineLvl w:val="8"/>
    </w:pPr>
    <w:rPr>
      <w:rFonts w:ascii="Arial" w:hAnsi="Arial" w:eastAsia="黑体"/>
      <w:szCs w:val="20"/>
    </w:rPr>
  </w:style>
  <w:style w:type="character" w:default="1" w:styleId="88">
    <w:name w:val="Default Paragraph Font"/>
    <w:semiHidden/>
    <w:unhideWhenUsed/>
    <w:qFormat/>
    <w:uiPriority w:val="1"/>
  </w:style>
  <w:style w:type="table" w:default="1" w:styleId="77">
    <w:name w:val="Normal Table"/>
    <w:semiHidden/>
    <w:unhideWhenUsed/>
    <w:qFormat/>
    <w:uiPriority w:val="99"/>
    <w:tblPr>
      <w:tblCellMar>
        <w:top w:w="0" w:type="dxa"/>
        <w:left w:w="108" w:type="dxa"/>
        <w:bottom w:w="0" w:type="dxa"/>
        <w:right w:w="108" w:type="dxa"/>
      </w:tblCellMar>
    </w:tblPr>
  </w:style>
  <w:style w:type="paragraph" w:styleId="2">
    <w:name w:val="macro"/>
    <w:link w:val="362"/>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next w:val="1"/>
    <w:qFormat/>
    <w:uiPriority w:val="0"/>
    <w:pPr>
      <w:adjustRightInd w:val="0"/>
      <w:snapToGrid w:val="0"/>
      <w:spacing w:line="0" w:lineRule="atLeast"/>
      <w:jc w:val="center"/>
      <w:outlineLvl w:val="0"/>
    </w:pPr>
    <w:rPr>
      <w:rFonts w:ascii="宋体" w:hAnsi="宋体"/>
      <w:spacing w:val="-10"/>
      <w:szCs w:val="20"/>
    </w:rPr>
  </w:style>
  <w:style w:type="paragraph" w:styleId="13">
    <w:name w:val="toc 7"/>
    <w:basedOn w:val="1"/>
    <w:next w:val="1"/>
    <w:unhideWhenUsed/>
    <w:qFormat/>
    <w:uiPriority w:val="39"/>
    <w:pPr>
      <w:ind w:left="2520" w:leftChars="1200"/>
    </w:pPr>
    <w:rPr>
      <w:rFonts w:ascii="Calibri" w:hAnsi="Calibri"/>
    </w:rPr>
  </w:style>
  <w:style w:type="paragraph" w:styleId="14">
    <w:name w:val="List Number 2"/>
    <w:basedOn w:val="1"/>
    <w:qFormat/>
    <w:uiPriority w:val="0"/>
    <w:pPr>
      <w:numPr>
        <w:ilvl w:val="0"/>
        <w:numId w:val="1"/>
      </w:numPr>
      <w:tabs>
        <w:tab w:val="left" w:pos="780"/>
      </w:tabs>
    </w:pPr>
  </w:style>
  <w:style w:type="paragraph" w:styleId="15">
    <w:name w:val="table of authorities"/>
    <w:basedOn w:val="1"/>
    <w:next w:val="1"/>
    <w:qFormat/>
    <w:uiPriority w:val="0"/>
    <w:rPr>
      <w:rFonts w:ascii="宋体"/>
      <w:sz w:val="28"/>
      <w:szCs w:val="20"/>
    </w:rPr>
  </w:style>
  <w:style w:type="paragraph" w:styleId="16">
    <w:name w:val="Note Heading"/>
    <w:basedOn w:val="1"/>
    <w:next w:val="1"/>
    <w:link w:val="398"/>
    <w:qFormat/>
    <w:uiPriority w:val="0"/>
    <w:pPr>
      <w:ind w:firstLine="567"/>
      <w:jc w:val="center"/>
      <w:outlineLvl w:val="0"/>
    </w:pPr>
    <w:rPr>
      <w:rFonts w:eastAsia="楷体_GB2312"/>
      <w:szCs w:val="20"/>
    </w:rPr>
  </w:style>
  <w:style w:type="paragraph" w:styleId="17">
    <w:name w:val="index 8"/>
    <w:basedOn w:val="1"/>
    <w:next w:val="1"/>
    <w:qFormat/>
    <w:uiPriority w:val="0"/>
    <w:pPr>
      <w:widowControl/>
      <w:ind w:left="2240" w:hanging="280"/>
      <w:jc w:val="left"/>
    </w:pPr>
    <w:rPr>
      <w:kern w:val="0"/>
      <w:sz w:val="28"/>
      <w:szCs w:val="24"/>
    </w:rPr>
  </w:style>
  <w:style w:type="paragraph" w:styleId="18">
    <w:name w:val="List Number"/>
    <w:basedOn w:val="1"/>
    <w:qFormat/>
    <w:uiPriority w:val="0"/>
    <w:pPr>
      <w:jc w:val="right"/>
      <w:outlineLvl w:val="0"/>
    </w:pPr>
    <w:rPr>
      <w:szCs w:val="20"/>
    </w:rPr>
  </w:style>
  <w:style w:type="paragraph" w:styleId="19">
    <w:name w:val="Normal Indent"/>
    <w:basedOn w:val="1"/>
    <w:link w:val="285"/>
    <w:qFormat/>
    <w:uiPriority w:val="0"/>
    <w:pPr>
      <w:spacing w:line="500" w:lineRule="exact"/>
      <w:ind w:firstLine="456" w:firstLineChars="200"/>
    </w:pPr>
    <w:rPr>
      <w:kern w:val="0"/>
      <w:sz w:val="24"/>
      <w:szCs w:val="20"/>
    </w:rPr>
  </w:style>
  <w:style w:type="paragraph" w:styleId="20">
    <w:name w:val="caption"/>
    <w:basedOn w:val="1"/>
    <w:next w:val="1"/>
    <w:link w:val="591"/>
    <w:qFormat/>
    <w:uiPriority w:val="0"/>
    <w:pPr>
      <w:spacing w:line="360" w:lineRule="auto"/>
    </w:pPr>
    <w:rPr>
      <w:rFonts w:ascii="Arial" w:hAnsi="Arial" w:eastAsia="黑体"/>
      <w:sz w:val="20"/>
      <w:szCs w:val="24"/>
    </w:rPr>
  </w:style>
  <w:style w:type="paragraph" w:styleId="21">
    <w:name w:val="index 5"/>
    <w:basedOn w:val="1"/>
    <w:next w:val="1"/>
    <w:qFormat/>
    <w:uiPriority w:val="0"/>
    <w:pPr>
      <w:widowControl/>
      <w:ind w:left="1400" w:hanging="280"/>
      <w:jc w:val="left"/>
    </w:pPr>
    <w:rPr>
      <w:kern w:val="0"/>
      <w:sz w:val="28"/>
      <w:szCs w:val="24"/>
    </w:rPr>
  </w:style>
  <w:style w:type="paragraph" w:styleId="22">
    <w:name w:val="List Bullet"/>
    <w:basedOn w:val="1"/>
    <w:qFormat/>
    <w:uiPriority w:val="0"/>
    <w:pPr>
      <w:tabs>
        <w:tab w:val="left" w:pos="600"/>
      </w:tabs>
      <w:ind w:left="600" w:hanging="360" w:hangingChars="200"/>
    </w:pPr>
    <w:rPr>
      <w:rFonts w:ascii="楷体_GB2312"/>
      <w:szCs w:val="24"/>
    </w:rPr>
  </w:style>
  <w:style w:type="paragraph" w:styleId="23">
    <w:name w:val="Document Map"/>
    <w:basedOn w:val="1"/>
    <w:link w:val="380"/>
    <w:unhideWhenUsed/>
    <w:qFormat/>
    <w:uiPriority w:val="99"/>
    <w:rPr>
      <w:rFonts w:ascii="宋体"/>
      <w:sz w:val="18"/>
      <w:szCs w:val="18"/>
    </w:rPr>
  </w:style>
  <w:style w:type="paragraph" w:styleId="24">
    <w:name w:val="toa heading"/>
    <w:basedOn w:val="1"/>
    <w:next w:val="1"/>
    <w:qFormat/>
    <w:uiPriority w:val="0"/>
    <w:pPr>
      <w:tabs>
        <w:tab w:val="left" w:pos="1701"/>
      </w:tabs>
      <w:adjustRightInd w:val="0"/>
      <w:snapToGrid w:val="0"/>
      <w:spacing w:before="240" w:after="720" w:line="360" w:lineRule="auto"/>
      <w:jc w:val="center"/>
      <w:textAlignment w:val="baseline"/>
    </w:pPr>
    <w:rPr>
      <w:rFonts w:ascii="Arial" w:hAnsi="Arial"/>
      <w:b/>
      <w:caps/>
      <w:kern w:val="0"/>
      <w:sz w:val="44"/>
      <w:szCs w:val="20"/>
    </w:rPr>
  </w:style>
  <w:style w:type="paragraph" w:styleId="25">
    <w:name w:val="annotation text"/>
    <w:basedOn w:val="1"/>
    <w:link w:val="444"/>
    <w:unhideWhenUsed/>
    <w:qFormat/>
    <w:uiPriority w:val="99"/>
    <w:pPr>
      <w:jc w:val="left"/>
    </w:pPr>
    <w:rPr>
      <w:kern w:val="0"/>
      <w:sz w:val="20"/>
      <w:szCs w:val="20"/>
    </w:rPr>
  </w:style>
  <w:style w:type="paragraph" w:styleId="26">
    <w:name w:val="index 6"/>
    <w:basedOn w:val="1"/>
    <w:next w:val="1"/>
    <w:qFormat/>
    <w:uiPriority w:val="0"/>
    <w:pPr>
      <w:widowControl/>
      <w:ind w:left="1680" w:hanging="280"/>
      <w:jc w:val="left"/>
    </w:pPr>
    <w:rPr>
      <w:kern w:val="0"/>
      <w:sz w:val="28"/>
      <w:szCs w:val="24"/>
    </w:rPr>
  </w:style>
  <w:style w:type="paragraph" w:styleId="27">
    <w:name w:val="Salutation"/>
    <w:basedOn w:val="1"/>
    <w:next w:val="1"/>
    <w:link w:val="516"/>
    <w:qFormat/>
    <w:uiPriority w:val="0"/>
    <w:rPr>
      <w:sz w:val="28"/>
      <w:szCs w:val="24"/>
    </w:rPr>
  </w:style>
  <w:style w:type="paragraph" w:styleId="28">
    <w:name w:val="Body Text 3"/>
    <w:basedOn w:val="1"/>
    <w:link w:val="463"/>
    <w:qFormat/>
    <w:uiPriority w:val="0"/>
    <w:pPr>
      <w:spacing w:after="120"/>
    </w:pPr>
    <w:rPr>
      <w:sz w:val="16"/>
      <w:szCs w:val="16"/>
    </w:rPr>
  </w:style>
  <w:style w:type="paragraph" w:styleId="29">
    <w:name w:val="Closing"/>
    <w:basedOn w:val="1"/>
    <w:link w:val="267"/>
    <w:qFormat/>
    <w:uiPriority w:val="0"/>
    <w:pPr>
      <w:ind w:left="100" w:leftChars="2100"/>
    </w:pPr>
    <w:rPr>
      <w:b/>
      <w:bCs/>
      <w:sz w:val="28"/>
      <w:szCs w:val="28"/>
    </w:rPr>
  </w:style>
  <w:style w:type="paragraph" w:styleId="30">
    <w:name w:val="List Bullet 3"/>
    <w:basedOn w:val="1"/>
    <w:qFormat/>
    <w:uiPriority w:val="0"/>
    <w:pPr>
      <w:tabs>
        <w:tab w:val="left" w:pos="1200"/>
      </w:tabs>
      <w:ind w:left="1200" w:leftChars="400" w:hanging="360" w:hangingChars="200"/>
    </w:pPr>
    <w:rPr>
      <w:szCs w:val="24"/>
    </w:rPr>
  </w:style>
  <w:style w:type="paragraph" w:styleId="31">
    <w:name w:val="Body Text"/>
    <w:basedOn w:val="1"/>
    <w:link w:val="436"/>
    <w:qFormat/>
    <w:uiPriority w:val="0"/>
    <w:pPr>
      <w:spacing w:before="26"/>
      <w:ind w:left="138"/>
      <w:jc w:val="left"/>
    </w:pPr>
    <w:rPr>
      <w:rFonts w:ascii="宋体" w:hAnsi="宋体"/>
      <w:kern w:val="0"/>
      <w:sz w:val="24"/>
      <w:szCs w:val="24"/>
      <w:lang w:eastAsia="en-US"/>
    </w:rPr>
  </w:style>
  <w:style w:type="paragraph" w:styleId="32">
    <w:name w:val="Body Text Indent"/>
    <w:basedOn w:val="1"/>
    <w:next w:val="33"/>
    <w:link w:val="403"/>
    <w:qFormat/>
    <w:uiPriority w:val="99"/>
    <w:pPr>
      <w:snapToGrid w:val="0"/>
      <w:spacing w:after="120" w:line="360" w:lineRule="auto"/>
      <w:ind w:left="420" w:leftChars="200" w:firstLine="752" w:firstLineChars="295"/>
    </w:pPr>
    <w:rPr>
      <w:rFonts w:ascii="宋体" w:hAnsi="宋体"/>
      <w:sz w:val="28"/>
      <w:szCs w:val="24"/>
    </w:rPr>
  </w:style>
  <w:style w:type="paragraph" w:customStyle="1" w:styleId="3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34">
    <w:name w:val="List 2"/>
    <w:basedOn w:val="1"/>
    <w:qFormat/>
    <w:uiPriority w:val="0"/>
    <w:pPr>
      <w:adjustRightInd w:val="0"/>
      <w:snapToGrid w:val="0"/>
      <w:spacing w:line="360" w:lineRule="auto"/>
      <w:jc w:val="center"/>
    </w:pPr>
    <w:rPr>
      <w:rFonts w:ascii="宋体" w:hAnsi="宋体"/>
      <w:szCs w:val="24"/>
    </w:rPr>
  </w:style>
  <w:style w:type="paragraph" w:styleId="35">
    <w:name w:val="List Continue"/>
    <w:basedOn w:val="1"/>
    <w:qFormat/>
    <w:uiPriority w:val="0"/>
    <w:pPr>
      <w:spacing w:after="120"/>
      <w:ind w:left="420" w:leftChars="200"/>
    </w:pPr>
    <w:rPr>
      <w:szCs w:val="24"/>
    </w:rPr>
  </w:style>
  <w:style w:type="paragraph" w:styleId="36">
    <w:name w:val="Block Text"/>
    <w:basedOn w:val="1"/>
    <w:qFormat/>
    <w:uiPriority w:val="0"/>
    <w:pPr>
      <w:spacing w:after="120"/>
      <w:ind w:left="1440" w:leftChars="700" w:right="1440" w:rightChars="700"/>
    </w:pPr>
    <w:rPr>
      <w:szCs w:val="24"/>
    </w:rPr>
  </w:style>
  <w:style w:type="paragraph" w:styleId="37">
    <w:name w:val="List Bullet 2"/>
    <w:basedOn w:val="1"/>
    <w:qFormat/>
    <w:uiPriority w:val="0"/>
    <w:pPr>
      <w:tabs>
        <w:tab w:val="left" w:pos="780"/>
      </w:tabs>
      <w:ind w:left="780" w:hanging="360"/>
    </w:pPr>
    <w:rPr>
      <w:sz w:val="28"/>
      <w:szCs w:val="28"/>
    </w:rPr>
  </w:style>
  <w:style w:type="paragraph" w:styleId="38">
    <w:name w:val="index 4"/>
    <w:basedOn w:val="1"/>
    <w:next w:val="1"/>
    <w:qFormat/>
    <w:uiPriority w:val="0"/>
    <w:pPr>
      <w:widowControl/>
      <w:ind w:left="1120" w:hanging="280"/>
      <w:jc w:val="left"/>
    </w:pPr>
    <w:rPr>
      <w:kern w:val="0"/>
      <w:sz w:val="28"/>
      <w:szCs w:val="24"/>
    </w:rPr>
  </w:style>
  <w:style w:type="paragraph" w:styleId="39">
    <w:name w:val="toc 5"/>
    <w:basedOn w:val="1"/>
    <w:next w:val="1"/>
    <w:unhideWhenUsed/>
    <w:qFormat/>
    <w:uiPriority w:val="39"/>
    <w:pPr>
      <w:ind w:left="1680" w:leftChars="800"/>
    </w:pPr>
    <w:rPr>
      <w:rFonts w:ascii="Calibri" w:hAnsi="Calibri"/>
    </w:rPr>
  </w:style>
  <w:style w:type="paragraph" w:styleId="40">
    <w:name w:val="toc 3"/>
    <w:basedOn w:val="1"/>
    <w:next w:val="1"/>
    <w:unhideWhenUsed/>
    <w:qFormat/>
    <w:uiPriority w:val="39"/>
    <w:pPr>
      <w:ind w:left="840" w:leftChars="400"/>
    </w:pPr>
    <w:rPr>
      <w:rFonts w:ascii="Calibri" w:hAnsi="Calibri"/>
    </w:rPr>
  </w:style>
  <w:style w:type="paragraph" w:styleId="41">
    <w:name w:val="Plain Text"/>
    <w:basedOn w:val="1"/>
    <w:link w:val="470"/>
    <w:qFormat/>
    <w:uiPriority w:val="99"/>
    <w:rPr>
      <w:rFonts w:ascii="宋体" w:hAnsi="Courier New" w:cs="Courier New"/>
      <w:szCs w:val="21"/>
    </w:rPr>
  </w:style>
  <w:style w:type="paragraph" w:styleId="42">
    <w:name w:val="List Bullet 5"/>
    <w:basedOn w:val="1"/>
    <w:semiHidden/>
    <w:unhideWhenUsed/>
    <w:qFormat/>
    <w:uiPriority w:val="0"/>
    <w:pPr>
      <w:numPr>
        <w:ilvl w:val="0"/>
        <w:numId w:val="2"/>
      </w:numPr>
    </w:pPr>
  </w:style>
  <w:style w:type="paragraph" w:styleId="43">
    <w:name w:val="toc 8"/>
    <w:basedOn w:val="1"/>
    <w:next w:val="1"/>
    <w:unhideWhenUsed/>
    <w:qFormat/>
    <w:uiPriority w:val="39"/>
    <w:pPr>
      <w:ind w:left="2940" w:leftChars="1400"/>
    </w:pPr>
    <w:rPr>
      <w:rFonts w:ascii="Calibri" w:hAnsi="Calibri"/>
    </w:rPr>
  </w:style>
  <w:style w:type="paragraph" w:styleId="44">
    <w:name w:val="index 3"/>
    <w:basedOn w:val="1"/>
    <w:next w:val="1"/>
    <w:qFormat/>
    <w:uiPriority w:val="0"/>
    <w:pPr>
      <w:widowControl/>
      <w:ind w:left="840" w:hanging="280"/>
      <w:jc w:val="left"/>
    </w:pPr>
    <w:rPr>
      <w:kern w:val="0"/>
      <w:sz w:val="28"/>
      <w:szCs w:val="24"/>
    </w:rPr>
  </w:style>
  <w:style w:type="paragraph" w:styleId="45">
    <w:name w:val="Date"/>
    <w:basedOn w:val="1"/>
    <w:next w:val="1"/>
    <w:link w:val="446"/>
    <w:unhideWhenUsed/>
    <w:qFormat/>
    <w:uiPriority w:val="0"/>
    <w:pPr>
      <w:ind w:left="100" w:leftChars="2500"/>
    </w:pPr>
    <w:rPr>
      <w:rFonts w:ascii="Calibri" w:hAnsi="Calibri"/>
    </w:rPr>
  </w:style>
  <w:style w:type="paragraph" w:styleId="46">
    <w:name w:val="Body Text Indent 2"/>
    <w:basedOn w:val="1"/>
    <w:link w:val="424"/>
    <w:qFormat/>
    <w:uiPriority w:val="0"/>
    <w:pPr>
      <w:snapToGrid w:val="0"/>
      <w:spacing w:after="120" w:line="480" w:lineRule="auto"/>
      <w:ind w:left="420" w:leftChars="200" w:firstLine="752" w:firstLineChars="295"/>
    </w:pPr>
    <w:rPr>
      <w:rFonts w:ascii="宋体" w:hAnsi="宋体"/>
      <w:sz w:val="28"/>
      <w:szCs w:val="24"/>
    </w:rPr>
  </w:style>
  <w:style w:type="paragraph" w:styleId="47">
    <w:name w:val="endnote text"/>
    <w:basedOn w:val="1"/>
    <w:link w:val="423"/>
    <w:semiHidden/>
    <w:qFormat/>
    <w:uiPriority w:val="0"/>
    <w:pPr>
      <w:snapToGrid w:val="0"/>
      <w:jc w:val="left"/>
    </w:pPr>
    <w:rPr>
      <w:rFonts w:ascii="Courier New" w:hAnsi="Courier New" w:cs="Courier New"/>
      <w:sz w:val="24"/>
      <w:szCs w:val="24"/>
    </w:rPr>
  </w:style>
  <w:style w:type="paragraph" w:styleId="48">
    <w:name w:val="List Continue 5"/>
    <w:basedOn w:val="1"/>
    <w:qFormat/>
    <w:uiPriority w:val="0"/>
    <w:pPr>
      <w:tabs>
        <w:tab w:val="left" w:pos="1701"/>
      </w:tabs>
      <w:adjustRightInd w:val="0"/>
      <w:snapToGrid w:val="0"/>
      <w:spacing w:after="120" w:line="348" w:lineRule="auto"/>
      <w:ind w:left="2100" w:leftChars="1000"/>
    </w:pPr>
    <w:rPr>
      <w:snapToGrid w:val="0"/>
      <w:kern w:val="0"/>
      <w:sz w:val="28"/>
      <w:szCs w:val="24"/>
    </w:rPr>
  </w:style>
  <w:style w:type="paragraph" w:styleId="49">
    <w:name w:val="Balloon Text"/>
    <w:basedOn w:val="1"/>
    <w:link w:val="525"/>
    <w:unhideWhenUsed/>
    <w:qFormat/>
    <w:uiPriority w:val="0"/>
    <w:rPr>
      <w:kern w:val="0"/>
      <w:sz w:val="18"/>
      <w:szCs w:val="18"/>
    </w:rPr>
  </w:style>
  <w:style w:type="paragraph" w:styleId="50">
    <w:name w:val="footer"/>
    <w:basedOn w:val="1"/>
    <w:link w:val="437"/>
    <w:unhideWhenUsed/>
    <w:qFormat/>
    <w:uiPriority w:val="99"/>
    <w:pPr>
      <w:tabs>
        <w:tab w:val="center" w:pos="4153"/>
        <w:tab w:val="right" w:pos="8306"/>
      </w:tabs>
      <w:snapToGrid w:val="0"/>
      <w:jc w:val="left"/>
    </w:pPr>
    <w:rPr>
      <w:sz w:val="18"/>
      <w:szCs w:val="18"/>
    </w:rPr>
  </w:style>
  <w:style w:type="paragraph" w:styleId="51">
    <w:name w:val="header"/>
    <w:basedOn w:val="1"/>
    <w:link w:val="443"/>
    <w:unhideWhenUsed/>
    <w:qFormat/>
    <w:uiPriority w:val="99"/>
    <w:pPr>
      <w:pBdr>
        <w:bottom w:val="single" w:color="auto" w:sz="6" w:space="1"/>
      </w:pBdr>
      <w:tabs>
        <w:tab w:val="center" w:pos="4153"/>
        <w:tab w:val="right" w:pos="8306"/>
      </w:tabs>
      <w:snapToGrid w:val="0"/>
      <w:jc w:val="center"/>
    </w:pPr>
    <w:rPr>
      <w:sz w:val="18"/>
      <w:szCs w:val="18"/>
    </w:rPr>
  </w:style>
  <w:style w:type="paragraph" w:styleId="52">
    <w:name w:val="Signature"/>
    <w:basedOn w:val="1"/>
    <w:link w:val="1950"/>
    <w:qFormat/>
    <w:uiPriority w:val="0"/>
    <w:pPr>
      <w:ind w:left="100" w:leftChars="2100"/>
    </w:pPr>
    <w:rPr>
      <w:szCs w:val="21"/>
    </w:rPr>
  </w:style>
  <w:style w:type="paragraph" w:styleId="53">
    <w:name w:val="toc 1"/>
    <w:basedOn w:val="1"/>
    <w:next w:val="1"/>
    <w:unhideWhenUsed/>
    <w:qFormat/>
    <w:uiPriority w:val="39"/>
    <w:pPr>
      <w:tabs>
        <w:tab w:val="right" w:leader="dot" w:pos="8494"/>
      </w:tabs>
      <w:adjustRightInd w:val="0"/>
      <w:snapToGrid w:val="0"/>
      <w:spacing w:line="348" w:lineRule="auto"/>
    </w:pPr>
    <w:rPr>
      <w:b/>
      <w:sz w:val="28"/>
      <w:szCs w:val="28"/>
    </w:rPr>
  </w:style>
  <w:style w:type="paragraph" w:styleId="54">
    <w:name w:val="toc 4"/>
    <w:basedOn w:val="1"/>
    <w:next w:val="1"/>
    <w:unhideWhenUsed/>
    <w:qFormat/>
    <w:uiPriority w:val="39"/>
    <w:pPr>
      <w:ind w:left="1260" w:leftChars="600"/>
    </w:pPr>
    <w:rPr>
      <w:rFonts w:ascii="Calibri" w:hAnsi="Calibri"/>
    </w:rPr>
  </w:style>
  <w:style w:type="paragraph" w:styleId="55">
    <w:name w:val="index heading"/>
    <w:basedOn w:val="1"/>
    <w:next w:val="56"/>
    <w:qFormat/>
    <w:uiPriority w:val="0"/>
    <w:pPr>
      <w:tabs>
        <w:tab w:val="left" w:pos="1701"/>
      </w:tabs>
    </w:pPr>
    <w:rPr>
      <w:szCs w:val="24"/>
    </w:rPr>
  </w:style>
  <w:style w:type="paragraph" w:styleId="56">
    <w:name w:val="index 1"/>
    <w:basedOn w:val="1"/>
    <w:next w:val="1"/>
    <w:qFormat/>
    <w:uiPriority w:val="0"/>
    <w:pPr>
      <w:adjustRightInd w:val="0"/>
      <w:snapToGrid w:val="0"/>
      <w:spacing w:line="400" w:lineRule="exact"/>
      <w:jc w:val="center"/>
    </w:pPr>
    <w:rPr>
      <w:rFonts w:ascii="宋体" w:hAnsi="宋体"/>
      <w:color w:val="FF0000"/>
      <w:szCs w:val="24"/>
    </w:rPr>
  </w:style>
  <w:style w:type="paragraph" w:styleId="57">
    <w:name w:val="List"/>
    <w:basedOn w:val="1"/>
    <w:link w:val="2000"/>
    <w:qFormat/>
    <w:uiPriority w:val="0"/>
    <w:pPr>
      <w:ind w:left="420" w:hanging="420"/>
    </w:pPr>
    <w:rPr>
      <w:sz w:val="28"/>
      <w:szCs w:val="24"/>
    </w:rPr>
  </w:style>
  <w:style w:type="paragraph" w:styleId="58">
    <w:name w:val="footnote text"/>
    <w:basedOn w:val="1"/>
    <w:link w:val="544"/>
    <w:semiHidden/>
    <w:qFormat/>
    <w:uiPriority w:val="0"/>
    <w:pPr>
      <w:snapToGrid w:val="0"/>
      <w:jc w:val="left"/>
    </w:pPr>
    <w:rPr>
      <w:sz w:val="18"/>
      <w:szCs w:val="18"/>
    </w:rPr>
  </w:style>
  <w:style w:type="paragraph" w:styleId="59">
    <w:name w:val="toc 6"/>
    <w:basedOn w:val="1"/>
    <w:next w:val="1"/>
    <w:unhideWhenUsed/>
    <w:qFormat/>
    <w:uiPriority w:val="39"/>
    <w:pPr>
      <w:ind w:left="2100" w:leftChars="1000"/>
    </w:pPr>
    <w:rPr>
      <w:rFonts w:ascii="Calibri" w:hAnsi="Calibri"/>
    </w:rPr>
  </w:style>
  <w:style w:type="paragraph" w:styleId="60">
    <w:name w:val="Body Text Indent 3"/>
    <w:basedOn w:val="1"/>
    <w:link w:val="371"/>
    <w:qFormat/>
    <w:uiPriority w:val="0"/>
    <w:pPr>
      <w:snapToGrid w:val="0"/>
      <w:spacing w:after="120" w:line="360" w:lineRule="auto"/>
      <w:ind w:left="420" w:leftChars="200" w:firstLine="752" w:firstLineChars="295"/>
    </w:pPr>
    <w:rPr>
      <w:rFonts w:ascii="宋体" w:hAnsi="宋体"/>
      <w:sz w:val="16"/>
      <w:szCs w:val="16"/>
    </w:rPr>
  </w:style>
  <w:style w:type="paragraph" w:styleId="61">
    <w:name w:val="index 7"/>
    <w:basedOn w:val="1"/>
    <w:next w:val="1"/>
    <w:qFormat/>
    <w:uiPriority w:val="0"/>
    <w:pPr>
      <w:widowControl/>
      <w:ind w:left="1960" w:hanging="280"/>
      <w:jc w:val="left"/>
    </w:pPr>
    <w:rPr>
      <w:kern w:val="0"/>
      <w:sz w:val="28"/>
      <w:szCs w:val="24"/>
    </w:rPr>
  </w:style>
  <w:style w:type="paragraph" w:styleId="62">
    <w:name w:val="index 9"/>
    <w:basedOn w:val="1"/>
    <w:next w:val="1"/>
    <w:qFormat/>
    <w:uiPriority w:val="0"/>
    <w:pPr>
      <w:widowControl/>
      <w:ind w:left="2520" w:hanging="280"/>
      <w:jc w:val="left"/>
    </w:pPr>
    <w:rPr>
      <w:kern w:val="0"/>
      <w:sz w:val="28"/>
      <w:szCs w:val="24"/>
    </w:rPr>
  </w:style>
  <w:style w:type="paragraph" w:styleId="63">
    <w:name w:val="table of figures"/>
    <w:basedOn w:val="1"/>
    <w:next w:val="1"/>
    <w:qFormat/>
    <w:uiPriority w:val="0"/>
    <w:pPr>
      <w:ind w:left="200" w:leftChars="200" w:hanging="200" w:hangingChars="200"/>
    </w:pPr>
    <w:rPr>
      <w:sz w:val="24"/>
      <w:szCs w:val="24"/>
    </w:rPr>
  </w:style>
  <w:style w:type="paragraph" w:styleId="64">
    <w:name w:val="toc 2"/>
    <w:basedOn w:val="1"/>
    <w:next w:val="1"/>
    <w:unhideWhenUsed/>
    <w:qFormat/>
    <w:uiPriority w:val="39"/>
    <w:pPr>
      <w:ind w:left="420" w:leftChars="200"/>
    </w:pPr>
  </w:style>
  <w:style w:type="paragraph" w:styleId="65">
    <w:name w:val="toc 9"/>
    <w:basedOn w:val="1"/>
    <w:next w:val="1"/>
    <w:unhideWhenUsed/>
    <w:qFormat/>
    <w:uiPriority w:val="39"/>
    <w:pPr>
      <w:ind w:left="3360" w:leftChars="1600"/>
    </w:pPr>
    <w:rPr>
      <w:rFonts w:ascii="Calibri" w:hAnsi="Calibri"/>
    </w:rPr>
  </w:style>
  <w:style w:type="paragraph" w:styleId="66">
    <w:name w:val="Body Text 2"/>
    <w:basedOn w:val="1"/>
    <w:link w:val="162"/>
    <w:qFormat/>
    <w:uiPriority w:val="99"/>
    <w:pPr>
      <w:widowControl/>
      <w:shd w:val="solid" w:color="FFFFFF" w:fill="FFFFFF"/>
      <w:ind w:firstLine="3661" w:firstLineChars="1771"/>
      <w:textAlignment w:val="top"/>
    </w:pPr>
    <w:rPr>
      <w:rFonts w:ascii="宋体"/>
      <w:b/>
      <w:szCs w:val="24"/>
    </w:rPr>
  </w:style>
  <w:style w:type="paragraph" w:styleId="67">
    <w:name w:val="List 4"/>
    <w:basedOn w:val="1"/>
    <w:qFormat/>
    <w:uiPriority w:val="0"/>
    <w:pPr>
      <w:ind w:left="1680" w:hanging="420"/>
    </w:pPr>
    <w:rPr>
      <w:sz w:val="24"/>
      <w:szCs w:val="20"/>
    </w:rPr>
  </w:style>
  <w:style w:type="paragraph" w:styleId="68">
    <w:name w:val="List Continue 2"/>
    <w:basedOn w:val="1"/>
    <w:qFormat/>
    <w:uiPriority w:val="0"/>
    <w:pPr>
      <w:spacing w:before="100" w:after="120" w:line="400" w:lineRule="exact"/>
      <w:ind w:left="840" w:leftChars="400" w:firstLine="200" w:firstLineChars="200"/>
    </w:pPr>
    <w:rPr>
      <w:snapToGrid w:val="0"/>
      <w:kern w:val="0"/>
      <w:sz w:val="24"/>
      <w:szCs w:val="24"/>
    </w:rPr>
  </w:style>
  <w:style w:type="paragraph" w:styleId="69">
    <w:name w:val="HTML Preformatted"/>
    <w:basedOn w:val="1"/>
    <w:link w:val="55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70">
    <w:name w:val="Normal (Web)"/>
    <w:basedOn w:val="1"/>
    <w:unhideWhenUsed/>
    <w:qFormat/>
    <w:uiPriority w:val="99"/>
    <w:pPr>
      <w:widowControl/>
      <w:jc w:val="left"/>
    </w:pPr>
    <w:rPr>
      <w:rFonts w:ascii="宋体" w:hAnsi="宋体" w:cs="宋体"/>
      <w:kern w:val="0"/>
      <w:sz w:val="24"/>
      <w:szCs w:val="24"/>
    </w:rPr>
  </w:style>
  <w:style w:type="paragraph" w:styleId="71">
    <w:name w:val="index 2"/>
    <w:basedOn w:val="1"/>
    <w:next w:val="1"/>
    <w:qFormat/>
    <w:uiPriority w:val="0"/>
    <w:pPr>
      <w:tabs>
        <w:tab w:val="left" w:pos="907"/>
      </w:tabs>
      <w:adjustRightInd w:val="0"/>
      <w:spacing w:line="280" w:lineRule="exact"/>
      <w:jc w:val="center"/>
      <w:textAlignment w:val="baseline"/>
    </w:pPr>
    <w:rPr>
      <w:rFonts w:ascii="宋体" w:hAnsi="宋体"/>
      <w:color w:val="000000"/>
      <w:kern w:val="0"/>
      <w:szCs w:val="20"/>
    </w:rPr>
  </w:style>
  <w:style w:type="paragraph" w:styleId="72">
    <w:name w:val="Title"/>
    <w:basedOn w:val="1"/>
    <w:link w:val="452"/>
    <w:qFormat/>
    <w:uiPriority w:val="0"/>
    <w:pPr>
      <w:spacing w:before="240" w:after="60"/>
      <w:jc w:val="center"/>
      <w:outlineLvl w:val="0"/>
    </w:pPr>
    <w:rPr>
      <w:sz w:val="18"/>
      <w:szCs w:val="18"/>
    </w:rPr>
  </w:style>
  <w:style w:type="paragraph" w:styleId="73">
    <w:name w:val="annotation subject"/>
    <w:basedOn w:val="25"/>
    <w:next w:val="25"/>
    <w:link w:val="415"/>
    <w:unhideWhenUsed/>
    <w:qFormat/>
    <w:uiPriority w:val="99"/>
    <w:rPr>
      <w:b/>
      <w:bCs/>
    </w:rPr>
  </w:style>
  <w:style w:type="paragraph" w:styleId="74">
    <w:name w:val="Body Text First Indent"/>
    <w:basedOn w:val="31"/>
    <w:link w:val="258"/>
    <w:qFormat/>
    <w:uiPriority w:val="0"/>
    <w:pPr>
      <w:spacing w:before="0" w:after="120"/>
      <w:ind w:left="0" w:firstLine="420" w:firstLineChars="100"/>
      <w:jc w:val="both"/>
    </w:pPr>
    <w:rPr>
      <w:rFonts w:ascii="Times New Roman" w:hAnsi="Times New Roman"/>
      <w:kern w:val="2"/>
      <w:sz w:val="28"/>
      <w:lang w:eastAsia="zh-CN"/>
    </w:rPr>
  </w:style>
  <w:style w:type="paragraph" w:styleId="75">
    <w:name w:val="Body Text First Indent 2"/>
    <w:basedOn w:val="32"/>
    <w:next w:val="76"/>
    <w:link w:val="487"/>
    <w:qFormat/>
    <w:uiPriority w:val="0"/>
    <w:pPr>
      <w:snapToGrid/>
      <w:spacing w:line="240" w:lineRule="auto"/>
      <w:ind w:firstLine="420" w:firstLineChars="200"/>
    </w:pPr>
    <w:rPr>
      <w:rFonts w:ascii="Times New Roman" w:hAnsi="Times New Roman"/>
      <w:szCs w:val="20"/>
    </w:rPr>
  </w:style>
  <w:style w:type="paragraph" w:customStyle="1" w:styleId="76">
    <w:name w:val="正文1"/>
    <w:basedOn w:val="1"/>
    <w:link w:val="527"/>
    <w:qFormat/>
    <w:uiPriority w:val="0"/>
    <w:pPr>
      <w:adjustRightInd w:val="0"/>
      <w:snapToGrid w:val="0"/>
      <w:spacing w:line="348" w:lineRule="auto"/>
      <w:ind w:firstLine="560" w:firstLineChars="200"/>
    </w:pPr>
    <w:rPr>
      <w:sz w:val="28"/>
    </w:rPr>
  </w:style>
  <w:style w:type="table" w:styleId="78">
    <w:name w:val="Table Grid"/>
    <w:basedOn w:val="7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Theme"/>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0">
    <w:name w:val="Table Elegant"/>
    <w:basedOn w:val="77"/>
    <w:qFormat/>
    <w:uiPriority w:val="0"/>
    <w:pPr>
      <w:widowControl w:val="0"/>
    </w:pPr>
    <w:rPr>
      <w:rFonts w:eastAsia="PMingLi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81">
    <w:name w:val="Table Simple 1"/>
    <w:basedOn w:val="77"/>
    <w:qFormat/>
    <w:uiPriority w:val="0"/>
    <w:pPr>
      <w:widowControl w:val="0"/>
      <w:jc w:val="both"/>
    </w:pPr>
    <w:tblPr>
      <w:tblBorders>
        <w:top w:val="single" w:color="008000" w:sz="12" w:space="0"/>
        <w:bottom w:val="single" w:color="008000" w:sz="12" w:space="0"/>
      </w:tblBorders>
    </w:tbl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2">
    <w:name w:val="Table List 5"/>
    <w:basedOn w:val="77"/>
    <w:qFormat/>
    <w:uiPriority w:val="0"/>
    <w:pPr>
      <w:widowControl w:val="0"/>
      <w:adjustRightInd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83">
    <w:name w:val="Table List 6"/>
    <w:basedOn w:val="77"/>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4">
    <w:name w:val="Table Grid 1"/>
    <w:basedOn w:val="7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5">
    <w:name w:val="Table Grid 5"/>
    <w:basedOn w:val="7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6">
    <w:name w:val="Table Grid 6"/>
    <w:basedOn w:val="77"/>
    <w:qFormat/>
    <w:uiPriority w:val="0"/>
    <w:pPr>
      <w:widowControl w:val="0"/>
      <w:adjustRightInd w:val="0"/>
      <w:snapToGrid w:val="0"/>
      <w:spacing w:line="348" w:lineRule="auto"/>
      <w:ind w:firstLine="56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7">
    <w:name w:val="Table Grid 7"/>
    <w:basedOn w:val="77"/>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89">
    <w:name w:val="Strong"/>
    <w:qFormat/>
    <w:uiPriority w:val="0"/>
    <w:rPr>
      <w:b/>
      <w:bCs/>
    </w:rPr>
  </w:style>
  <w:style w:type="character" w:styleId="90">
    <w:name w:val="page number"/>
    <w:qFormat/>
    <w:uiPriority w:val="0"/>
  </w:style>
  <w:style w:type="character" w:styleId="91">
    <w:name w:val="FollowedHyperlink"/>
    <w:unhideWhenUsed/>
    <w:qFormat/>
    <w:uiPriority w:val="99"/>
    <w:rPr>
      <w:color w:val="800080"/>
      <w:u w:val="single"/>
    </w:rPr>
  </w:style>
  <w:style w:type="character" w:styleId="92">
    <w:name w:val="Emphasis"/>
    <w:qFormat/>
    <w:uiPriority w:val="0"/>
    <w:rPr>
      <w:color w:val="CC0033"/>
    </w:rPr>
  </w:style>
  <w:style w:type="character" w:styleId="93">
    <w:name w:val="line number"/>
    <w:qFormat/>
    <w:uiPriority w:val="0"/>
  </w:style>
  <w:style w:type="character" w:styleId="94">
    <w:name w:val="HTML Typewriter"/>
    <w:qFormat/>
    <w:uiPriority w:val="0"/>
    <w:rPr>
      <w:rFonts w:hint="eastAsia" w:ascii="宋体" w:hAnsi="宋体" w:eastAsia="宋体" w:cs="宋体"/>
      <w:sz w:val="18"/>
      <w:szCs w:val="18"/>
    </w:rPr>
  </w:style>
  <w:style w:type="character" w:styleId="95">
    <w:name w:val="Hyperlink"/>
    <w:unhideWhenUsed/>
    <w:qFormat/>
    <w:uiPriority w:val="99"/>
    <w:rPr>
      <w:color w:val="0000FF"/>
      <w:u w:val="single"/>
    </w:rPr>
  </w:style>
  <w:style w:type="character" w:styleId="96">
    <w:name w:val="HTML Code"/>
    <w:qFormat/>
    <w:uiPriority w:val="0"/>
    <w:rPr>
      <w:rFonts w:ascii="Courier New" w:hAnsi="Courier New" w:cs="Courier New"/>
      <w:sz w:val="20"/>
      <w:szCs w:val="20"/>
    </w:rPr>
  </w:style>
  <w:style w:type="character" w:styleId="97">
    <w:name w:val="annotation reference"/>
    <w:unhideWhenUsed/>
    <w:qFormat/>
    <w:uiPriority w:val="99"/>
    <w:rPr>
      <w:sz w:val="21"/>
      <w:szCs w:val="21"/>
    </w:rPr>
  </w:style>
  <w:style w:type="character" w:styleId="98">
    <w:name w:val="footnote reference"/>
    <w:qFormat/>
    <w:uiPriority w:val="0"/>
    <w:rPr>
      <w:vertAlign w:val="superscript"/>
    </w:rPr>
  </w:style>
  <w:style w:type="paragraph" w:customStyle="1" w:styleId="99">
    <w:name w:val="样式 正文缩进正文缩进2正文缩进 Char Char正文缩进 Char Char Char Char正文缩进 Char ..."/>
    <w:basedOn w:val="19"/>
    <w:qFormat/>
    <w:uiPriority w:val="0"/>
    <w:pPr>
      <w:spacing w:line="360" w:lineRule="auto"/>
      <w:ind w:firstLine="200" w:firstLineChars="0"/>
    </w:pPr>
    <w:rPr>
      <w:rFonts w:ascii="宋体" w:hAnsi="宋体" w:cs="宋体"/>
      <w:sz w:val="24"/>
      <w:szCs w:val="20"/>
    </w:rPr>
  </w:style>
  <w:style w:type="paragraph" w:customStyle="1" w:styleId="100">
    <w:name w:val="样式 宋体 行距: 1.5 倍行距"/>
    <w:basedOn w:val="1"/>
    <w:qFormat/>
    <w:uiPriority w:val="0"/>
    <w:pPr>
      <w:ind w:firstLine="200" w:firstLineChars="200"/>
      <w:jc w:val="left"/>
    </w:pPr>
    <w:rPr>
      <w:rFonts w:ascii="Calibri" w:hAnsi="Calibri" w:cs="Arial"/>
      <w:b/>
      <w:kern w:val="0"/>
      <w:sz w:val="24"/>
      <w:szCs w:val="22"/>
    </w:rPr>
  </w:style>
  <w:style w:type="paragraph" w:customStyle="1" w:styleId="10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2">
    <w:name w:val="样式 标题 1 + 四号 段前: 0 磅 段后: 0 磅 行距: 1.5 倍行距"/>
    <w:basedOn w:val="103"/>
    <w:next w:val="104"/>
    <w:qFormat/>
    <w:uiPriority w:val="0"/>
    <w:pPr>
      <w:tabs>
        <w:tab w:val="left" w:pos="1701"/>
      </w:tabs>
      <w:snapToGrid w:val="0"/>
      <w:spacing w:before="100" w:after="120" w:line="360" w:lineRule="auto"/>
      <w:jc w:val="center"/>
    </w:pPr>
    <w:rPr>
      <w:bCs/>
      <w:sz w:val="30"/>
      <w:szCs w:val="24"/>
    </w:rPr>
  </w:style>
  <w:style w:type="paragraph" w:customStyle="1" w:styleId="103">
    <w:name w:val="报告表正文"/>
    <w:basedOn w:val="1"/>
    <w:qFormat/>
    <w:uiPriority w:val="0"/>
    <w:pPr>
      <w:tabs>
        <w:tab w:val="left" w:pos="1701"/>
      </w:tabs>
      <w:adjustRightInd w:val="0"/>
      <w:spacing w:line="300" w:lineRule="auto"/>
      <w:ind w:left="113" w:right="113"/>
    </w:pPr>
    <w:rPr>
      <w:kern w:val="0"/>
      <w:sz w:val="24"/>
      <w:szCs w:val="20"/>
    </w:rPr>
  </w:style>
  <w:style w:type="paragraph" w:customStyle="1" w:styleId="104">
    <w:name w:val="文本正文"/>
    <w:basedOn w:val="1"/>
    <w:qFormat/>
    <w:uiPriority w:val="0"/>
    <w:pPr>
      <w:tabs>
        <w:tab w:val="left" w:pos="1701"/>
      </w:tabs>
      <w:spacing w:line="360" w:lineRule="auto"/>
      <w:ind w:firstLine="480" w:firstLineChars="200"/>
    </w:pPr>
    <w:rPr>
      <w:rFonts w:eastAsia="仿宋_GB2312"/>
      <w:sz w:val="24"/>
      <w:szCs w:val="24"/>
    </w:rPr>
  </w:style>
  <w:style w:type="character" w:customStyle="1" w:styleId="105">
    <w:name w:val="章标题 1 Char Char"/>
    <w:qFormat/>
    <w:uiPriority w:val="0"/>
    <w:rPr>
      <w:rFonts w:hint="eastAsia" w:ascii="宋体" w:hAnsi="宋体" w:eastAsia="宋体"/>
      <w:b/>
      <w:color w:val="000000"/>
      <w:kern w:val="44"/>
      <w:sz w:val="32"/>
      <w:lang w:val="en-US" w:eastAsia="zh-CN" w:bidi="ar-SA"/>
    </w:rPr>
  </w:style>
  <w:style w:type="character" w:customStyle="1" w:styleId="106">
    <w:name w:val="样式18 Char"/>
    <w:qFormat/>
    <w:uiPriority w:val="0"/>
    <w:rPr>
      <w:rFonts w:hint="eastAsia" w:ascii="宋体" w:hAnsi="宋体" w:eastAsia="宋体"/>
      <w:b/>
      <w:color w:val="000000"/>
      <w:sz w:val="24"/>
      <w:szCs w:val="24"/>
      <w:lang w:val="en-US" w:eastAsia="zh-CN" w:bidi="ar-SA"/>
    </w:rPr>
  </w:style>
  <w:style w:type="character" w:customStyle="1" w:styleId="107">
    <w:name w:val="样式93 Char"/>
    <w:link w:val="108"/>
    <w:qFormat/>
    <w:locked/>
    <w:uiPriority w:val="0"/>
    <w:rPr>
      <w:rFonts w:ascii="仿宋_GB2312" w:eastAsia="仿宋_GB2312"/>
      <w:sz w:val="24"/>
      <w:szCs w:val="24"/>
    </w:rPr>
  </w:style>
  <w:style w:type="paragraph" w:customStyle="1" w:styleId="108">
    <w:name w:val="样式93"/>
    <w:basedOn w:val="1"/>
    <w:link w:val="107"/>
    <w:qFormat/>
    <w:uiPriority w:val="0"/>
    <w:pPr>
      <w:ind w:left="420" w:leftChars="175" w:firstLine="480" w:firstLineChars="200"/>
    </w:pPr>
    <w:rPr>
      <w:rFonts w:ascii="仿宋_GB2312" w:eastAsia="仿宋_GB2312"/>
      <w:kern w:val="0"/>
      <w:sz w:val="24"/>
      <w:szCs w:val="24"/>
    </w:rPr>
  </w:style>
  <w:style w:type="character" w:customStyle="1" w:styleId="109">
    <w:name w:val="表格备注"/>
    <w:qFormat/>
    <w:uiPriority w:val="0"/>
    <w:rPr>
      <w:rFonts w:hint="default" w:ascii="Times New Roman" w:hAnsi="Times New Roman" w:cs="Times New Roman"/>
      <w:color w:val="000000"/>
      <w:kern w:val="0"/>
      <w:sz w:val="20"/>
    </w:rPr>
  </w:style>
  <w:style w:type="character" w:customStyle="1" w:styleId="110">
    <w:name w:val="图表标题 Char Char"/>
    <w:link w:val="111"/>
    <w:qFormat/>
    <w:uiPriority w:val="0"/>
    <w:rPr>
      <w:rFonts w:ascii="Times New Roman" w:hAnsi="Times New Roman" w:cs="Times New Roman"/>
      <w:b/>
      <w:sz w:val="24"/>
      <w:szCs w:val="24"/>
    </w:rPr>
  </w:style>
  <w:style w:type="paragraph" w:customStyle="1" w:styleId="111">
    <w:name w:val="图表标题 Char"/>
    <w:basedOn w:val="1"/>
    <w:next w:val="1"/>
    <w:link w:val="110"/>
    <w:qFormat/>
    <w:uiPriority w:val="0"/>
    <w:pPr>
      <w:topLinePunct/>
      <w:adjustRightInd w:val="0"/>
      <w:snapToGrid w:val="0"/>
      <w:spacing w:line="300" w:lineRule="auto"/>
      <w:jc w:val="center"/>
    </w:pPr>
    <w:rPr>
      <w:b/>
      <w:sz w:val="24"/>
      <w:szCs w:val="24"/>
    </w:rPr>
  </w:style>
  <w:style w:type="character" w:customStyle="1" w:styleId="112">
    <w:name w:val="Char Char"/>
    <w:qFormat/>
    <w:locked/>
    <w:uiPriority w:val="0"/>
    <w:rPr>
      <w:rFonts w:ascii="Courier New" w:hAnsi="Courier New" w:eastAsia="宋体" w:cs="Courier New"/>
      <w:kern w:val="2"/>
      <w:sz w:val="24"/>
      <w:szCs w:val="24"/>
      <w:lang w:val="en-US" w:eastAsia="zh-CN" w:bidi="ar-SA"/>
    </w:rPr>
  </w:style>
  <w:style w:type="character" w:customStyle="1" w:styleId="113">
    <w:name w:val="HBZW"/>
    <w:qFormat/>
    <w:uiPriority w:val="0"/>
    <w:rPr>
      <w:rFonts w:ascii="宋体" w:hAnsi="宋体" w:eastAsia="宋体"/>
      <w:kern w:val="0"/>
      <w:sz w:val="24"/>
      <w:lang w:val="en-US" w:eastAsia="zh-CN" w:bidi="ar-SA"/>
    </w:rPr>
  </w:style>
  <w:style w:type="character" w:customStyle="1" w:styleId="114">
    <w:name w:val="正文文字缩进 2 Char Char"/>
    <w:qFormat/>
    <w:uiPriority w:val="0"/>
    <w:rPr>
      <w:rFonts w:hint="eastAsia" w:ascii="宋体" w:hAnsi="宋体" w:eastAsia="宋体"/>
      <w:kern w:val="2"/>
      <w:sz w:val="21"/>
      <w:szCs w:val="24"/>
      <w:lang w:val="en-US" w:eastAsia="zh-CN" w:bidi="ar-SA"/>
    </w:rPr>
  </w:style>
  <w:style w:type="character" w:customStyle="1" w:styleId="115">
    <w:name w:val="表格文字-大表-小五"/>
    <w:qFormat/>
    <w:uiPriority w:val="0"/>
    <w:rPr>
      <w:color w:val="000000"/>
      <w:sz w:val="18"/>
    </w:rPr>
  </w:style>
  <w:style w:type="character" w:customStyle="1" w:styleId="116">
    <w:name w:val="样式 标题 2 + (西文) Times New Roman (中文) 仿宋_GB2312 四号 非加粗 Char"/>
    <w:qFormat/>
    <w:uiPriority w:val="0"/>
    <w:rPr>
      <w:rFonts w:hint="eastAsia" w:ascii="仿宋_GB2312" w:eastAsia="仿宋_GB2312"/>
      <w:bCs/>
      <w:kern w:val="2"/>
      <w:sz w:val="28"/>
      <w:szCs w:val="28"/>
      <w:lang w:val="en-US" w:eastAsia="zh-CN" w:bidi="ar-SA"/>
    </w:rPr>
  </w:style>
  <w:style w:type="character" w:customStyle="1" w:styleId="117">
    <w:name w:val="EmailStyle2198"/>
    <w:qFormat/>
    <w:uiPriority w:val="0"/>
    <w:rPr>
      <w:rFonts w:hint="default" w:ascii="Arial" w:hAnsi="Arial" w:eastAsia="宋体" w:cs="Arial"/>
      <w:color w:val="000080"/>
      <w:sz w:val="18"/>
      <w:szCs w:val="20"/>
    </w:rPr>
  </w:style>
  <w:style w:type="character" w:customStyle="1" w:styleId="118">
    <w:name w:val="表体 Char Char Char"/>
    <w:link w:val="119"/>
    <w:qFormat/>
    <w:uiPriority w:val="0"/>
    <w:rPr>
      <w:rFonts w:ascii="仿宋_GB2312" w:hAnsi="Arial Narrow" w:eastAsia="仿宋_GB2312"/>
      <w:color w:val="000000"/>
      <w:sz w:val="24"/>
      <w:lang w:val="en-US" w:eastAsia="zh-CN"/>
    </w:rPr>
  </w:style>
  <w:style w:type="paragraph" w:customStyle="1" w:styleId="119">
    <w:name w:val="表体 Char Char"/>
    <w:basedOn w:val="1"/>
    <w:link w:val="118"/>
    <w:qFormat/>
    <w:uiPriority w:val="0"/>
    <w:pPr>
      <w:widowControl/>
      <w:snapToGrid w:val="0"/>
      <w:spacing w:line="400" w:lineRule="atLeast"/>
      <w:jc w:val="center"/>
    </w:pPr>
    <w:rPr>
      <w:rFonts w:ascii="仿宋_GB2312" w:hAnsi="Arial Narrow" w:eastAsia="仿宋_GB2312"/>
      <w:color w:val="000000"/>
      <w:kern w:val="0"/>
      <w:sz w:val="24"/>
      <w:szCs w:val="20"/>
    </w:rPr>
  </w:style>
  <w:style w:type="character" w:customStyle="1" w:styleId="120">
    <w:name w:val="EmailStyle21551"/>
    <w:semiHidden/>
    <w:qFormat/>
    <w:uiPriority w:val="0"/>
    <w:rPr>
      <w:rFonts w:hint="default" w:ascii="Arial" w:hAnsi="Arial" w:eastAsia="宋体" w:cs="Arial"/>
      <w:color w:val="000080"/>
      <w:sz w:val="18"/>
      <w:szCs w:val="20"/>
    </w:rPr>
  </w:style>
  <w:style w:type="character" w:customStyle="1" w:styleId="121">
    <w:name w:val="未命名1"/>
    <w:qFormat/>
    <w:uiPriority w:val="0"/>
  </w:style>
  <w:style w:type="character" w:customStyle="1" w:styleId="122">
    <w:name w:val="链接"/>
    <w:qFormat/>
    <w:uiPriority w:val="0"/>
    <w:rPr>
      <w:rFonts w:ascii="Times New Roman" w:eastAsia="宋体"/>
      <w:color w:val="0000FF"/>
      <w:sz w:val="21"/>
      <w:u w:val="single" w:color="0000FF"/>
      <w:vertAlign w:val="baseline"/>
      <w:lang w:val="en-US" w:eastAsia="zh-CN"/>
    </w:rPr>
  </w:style>
  <w:style w:type="character" w:customStyle="1" w:styleId="123">
    <w:name w:val="style1"/>
    <w:qFormat/>
    <w:uiPriority w:val="0"/>
  </w:style>
  <w:style w:type="character" w:customStyle="1" w:styleId="124">
    <w:name w:val="A-z正文 Char"/>
    <w:link w:val="125"/>
    <w:qFormat/>
    <w:locked/>
    <w:uiPriority w:val="0"/>
    <w:rPr>
      <w:rFonts w:ascii="宋体" w:hAnsi="宋体" w:eastAsia="宋体" w:cs="宋体"/>
      <w:kern w:val="2"/>
      <w:sz w:val="24"/>
      <w:lang w:val="en-US" w:eastAsia="zh-CN" w:bidi="ar-SA"/>
    </w:rPr>
  </w:style>
  <w:style w:type="paragraph" w:customStyle="1" w:styleId="125">
    <w:name w:val="A-z正文"/>
    <w:basedOn w:val="1"/>
    <w:link w:val="124"/>
    <w:qFormat/>
    <w:uiPriority w:val="0"/>
    <w:pPr>
      <w:spacing w:line="360" w:lineRule="auto"/>
      <w:ind w:firstLine="200" w:firstLineChars="200"/>
    </w:pPr>
    <w:rPr>
      <w:rFonts w:ascii="宋体" w:hAnsi="宋体" w:cs="宋体"/>
      <w:sz w:val="24"/>
      <w:szCs w:val="20"/>
    </w:rPr>
  </w:style>
  <w:style w:type="character" w:customStyle="1" w:styleId="126">
    <w:name w:val="Char1 Char Char1"/>
    <w:qFormat/>
    <w:uiPriority w:val="0"/>
    <w:rPr>
      <w:rFonts w:hint="eastAsia" w:ascii="宋体" w:hAnsi="宋体" w:eastAsia="宋体"/>
      <w:b/>
      <w:bCs/>
      <w:kern w:val="2"/>
      <w:sz w:val="32"/>
      <w:szCs w:val="32"/>
      <w:lang w:val="en-US" w:eastAsia="zh-CN" w:bidi="ar-SA"/>
    </w:rPr>
  </w:style>
  <w:style w:type="character" w:customStyle="1" w:styleId="127">
    <w:name w:val="big1"/>
    <w:qFormat/>
    <w:uiPriority w:val="0"/>
    <w:rPr>
      <w:spacing w:val="360"/>
      <w:sz w:val="22"/>
      <w:szCs w:val="22"/>
    </w:rPr>
  </w:style>
  <w:style w:type="character" w:customStyle="1" w:styleId="128">
    <w:name w:val="H2 2 Char Char"/>
    <w:qFormat/>
    <w:uiPriority w:val="0"/>
    <w:rPr>
      <w:rFonts w:hint="default" w:ascii="Arial" w:hAnsi="Arial" w:eastAsia="宋体" w:cs="Arial"/>
      <w:spacing w:val="8"/>
      <w:sz w:val="28"/>
      <w:lang w:val="en-US" w:eastAsia="zh-CN" w:bidi="ar-SA"/>
    </w:rPr>
  </w:style>
  <w:style w:type="character" w:customStyle="1" w:styleId="129">
    <w:name w:val="表格 Char"/>
    <w:link w:val="130"/>
    <w:qFormat/>
    <w:uiPriority w:val="0"/>
    <w:rPr>
      <w:rFonts w:ascii="Times New Roman" w:hAnsi="Times New Roman"/>
      <w:bCs/>
      <w:color w:val="000000"/>
      <w:sz w:val="21"/>
    </w:rPr>
  </w:style>
  <w:style w:type="paragraph" w:customStyle="1" w:styleId="130">
    <w:name w:val="表格"/>
    <w:basedOn w:val="1"/>
    <w:link w:val="129"/>
    <w:qFormat/>
    <w:uiPriority w:val="0"/>
    <w:pPr>
      <w:adjustRightInd w:val="0"/>
      <w:snapToGrid w:val="0"/>
      <w:spacing w:beforeLines="5" w:afterLines="5"/>
      <w:jc w:val="center"/>
    </w:pPr>
    <w:rPr>
      <w:bCs/>
      <w:color w:val="000000"/>
      <w:kern w:val="0"/>
      <w:szCs w:val="20"/>
    </w:rPr>
  </w:style>
  <w:style w:type="character" w:customStyle="1" w:styleId="131">
    <w:name w:val="Body Text 2 Char1"/>
    <w:qFormat/>
    <w:uiPriority w:val="0"/>
    <w:rPr>
      <w:rFonts w:ascii="宋体" w:eastAsia="宋体"/>
      <w:kern w:val="2"/>
      <w:sz w:val="24"/>
      <w:lang w:val="en-US" w:eastAsia="zh-CN" w:bidi="ar-SA"/>
    </w:rPr>
  </w:style>
  <w:style w:type="character" w:customStyle="1" w:styleId="132">
    <w:name w:val="Char Char1"/>
    <w:qFormat/>
    <w:locked/>
    <w:uiPriority w:val="0"/>
    <w:rPr>
      <w:rFonts w:eastAsia="楷体_GB2312"/>
      <w:kern w:val="2"/>
      <w:sz w:val="21"/>
      <w:lang w:val="en-US" w:eastAsia="zh-CN" w:bidi="ar-SA"/>
    </w:rPr>
  </w:style>
  <w:style w:type="character" w:customStyle="1" w:styleId="133">
    <w:name w:val="!表标题(alt+h) Char1"/>
    <w:qFormat/>
    <w:uiPriority w:val="0"/>
    <w:rPr>
      <w:rFonts w:eastAsia="黑体"/>
      <w:sz w:val="24"/>
      <w:u w:color="3366FF"/>
      <w:lang w:val="en-US" w:eastAsia="zh-CN"/>
    </w:rPr>
  </w:style>
  <w:style w:type="character" w:customStyle="1" w:styleId="134">
    <w:name w:val="表名 Char1"/>
    <w:qFormat/>
    <w:uiPriority w:val="0"/>
    <w:rPr>
      <w:rFonts w:hint="default" w:ascii="Times New Roman" w:hAnsi="Times New Roman" w:eastAsia="宋体" w:cs="Times New Roman"/>
      <w:b/>
      <w:kern w:val="0"/>
      <w:sz w:val="24"/>
      <w:szCs w:val="20"/>
      <w:lang w:val="en-US" w:eastAsia="zh-CN"/>
    </w:rPr>
  </w:style>
  <w:style w:type="character" w:customStyle="1" w:styleId="135">
    <w:name w:val="文本框五号1.5倍行距 Char"/>
    <w:qFormat/>
    <w:uiPriority w:val="0"/>
    <w:rPr>
      <w:rFonts w:hint="eastAsia" w:ascii="仿宋_GB2312" w:eastAsia="仿宋_GB2312"/>
      <w:kern w:val="2"/>
      <w:sz w:val="21"/>
      <w:szCs w:val="21"/>
      <w:lang w:val="en-US" w:eastAsia="zh-CN" w:bidi="ar-SA"/>
    </w:rPr>
  </w:style>
  <w:style w:type="character" w:customStyle="1" w:styleId="136">
    <w:name w:val="fontstyle21"/>
    <w:qFormat/>
    <w:uiPriority w:val="0"/>
    <w:rPr>
      <w:rFonts w:hint="eastAsia" w:ascii="宋体" w:hAnsi="宋体" w:eastAsia="宋体"/>
      <w:color w:val="000000"/>
      <w:sz w:val="28"/>
      <w:szCs w:val="28"/>
    </w:rPr>
  </w:style>
  <w:style w:type="character" w:customStyle="1" w:styleId="137">
    <w:name w:val="样式11 Char"/>
    <w:link w:val="138"/>
    <w:qFormat/>
    <w:locked/>
    <w:uiPriority w:val="0"/>
    <w:rPr>
      <w:rFonts w:ascii="黑体" w:hAnsi="Courier New" w:eastAsia="黑体" w:cs="黑体"/>
      <w:b/>
      <w:bCs/>
      <w:kern w:val="2"/>
      <w:sz w:val="32"/>
      <w:szCs w:val="32"/>
      <w:lang w:val="en-US" w:eastAsia="zh-CN" w:bidi="ar-SA"/>
    </w:rPr>
  </w:style>
  <w:style w:type="paragraph" w:customStyle="1" w:styleId="138">
    <w:name w:val="样式11"/>
    <w:basedOn w:val="41"/>
    <w:link w:val="137"/>
    <w:qFormat/>
    <w:uiPriority w:val="0"/>
    <w:pPr>
      <w:adjustRightInd w:val="0"/>
      <w:snapToGrid w:val="0"/>
      <w:spacing w:line="500" w:lineRule="exact"/>
      <w:ind w:firstLine="200" w:firstLineChars="200"/>
      <w:jc w:val="center"/>
    </w:pPr>
    <w:rPr>
      <w:rFonts w:ascii="黑体" w:eastAsia="黑体" w:cs="黑体"/>
      <w:b/>
      <w:bCs/>
      <w:sz w:val="32"/>
      <w:szCs w:val="32"/>
    </w:rPr>
  </w:style>
  <w:style w:type="character" w:customStyle="1" w:styleId="139">
    <w:name w:val="Char Char121"/>
    <w:qFormat/>
    <w:uiPriority w:val="0"/>
    <w:rPr>
      <w:rFonts w:hint="eastAsia" w:ascii="仿宋_GB2312" w:hAnsi="宋体" w:eastAsia="仿宋_GB2312"/>
      <w:color w:val="000000"/>
      <w:kern w:val="2"/>
      <w:sz w:val="21"/>
    </w:rPr>
  </w:style>
  <w:style w:type="character" w:customStyle="1" w:styleId="140">
    <w:name w:val="报告正文 Char Char"/>
    <w:link w:val="141"/>
    <w:qFormat/>
    <w:locked/>
    <w:uiPriority w:val="0"/>
    <w:rPr>
      <w:rFonts w:ascii="宋体" w:hAnsi="宋体" w:eastAsia="宋体"/>
      <w:sz w:val="24"/>
      <w:lang w:val="en-US" w:eastAsia="zh-CN" w:bidi="ar-SA"/>
    </w:rPr>
  </w:style>
  <w:style w:type="paragraph" w:customStyle="1" w:styleId="141">
    <w:name w:val="报告正文 Char"/>
    <w:basedOn w:val="1"/>
    <w:link w:val="140"/>
    <w:qFormat/>
    <w:uiPriority w:val="0"/>
    <w:pPr>
      <w:spacing w:before="156" w:after="156" w:line="360" w:lineRule="auto"/>
      <w:ind w:firstLine="482"/>
    </w:pPr>
    <w:rPr>
      <w:rFonts w:ascii="宋体" w:hAnsi="宋体"/>
      <w:kern w:val="0"/>
      <w:sz w:val="24"/>
      <w:szCs w:val="20"/>
    </w:rPr>
  </w:style>
  <w:style w:type="character" w:customStyle="1" w:styleId="142">
    <w:name w:val="表格表格 Char"/>
    <w:link w:val="143"/>
    <w:qFormat/>
    <w:locked/>
    <w:uiPriority w:val="0"/>
    <w:rPr>
      <w:rFonts w:ascii="宋体" w:hAnsi="宋体" w:eastAsia="宋体"/>
      <w:color w:val="000000"/>
      <w:szCs w:val="21"/>
      <w:lang w:val="en-US" w:eastAsia="zh-CN" w:bidi="ar-SA"/>
    </w:rPr>
  </w:style>
  <w:style w:type="paragraph" w:customStyle="1" w:styleId="143">
    <w:name w:val="表格表格"/>
    <w:basedOn w:val="1"/>
    <w:link w:val="142"/>
    <w:qFormat/>
    <w:uiPriority w:val="0"/>
    <w:pPr>
      <w:jc w:val="left"/>
    </w:pPr>
    <w:rPr>
      <w:rFonts w:ascii="宋体" w:hAnsi="宋体"/>
      <w:color w:val="000000"/>
      <w:kern w:val="0"/>
      <w:sz w:val="20"/>
      <w:szCs w:val="21"/>
    </w:rPr>
  </w:style>
  <w:style w:type="character" w:customStyle="1" w:styleId="144">
    <w:name w:val="Char Char34"/>
    <w:semiHidden/>
    <w:qFormat/>
    <w:uiPriority w:val="0"/>
    <w:rPr>
      <w:rFonts w:hint="eastAsia" w:ascii="宋体" w:hAnsi="宋体" w:eastAsia="宋体"/>
      <w:sz w:val="18"/>
      <w:lang w:val="en-US" w:eastAsia="zh-CN" w:bidi="ar-SA"/>
    </w:rPr>
  </w:style>
  <w:style w:type="character" w:customStyle="1" w:styleId="145">
    <w:name w:val="style11"/>
    <w:qFormat/>
    <w:uiPriority w:val="0"/>
    <w:rPr>
      <w:color w:val="333333"/>
      <w:sz w:val="19"/>
      <w:szCs w:val="19"/>
      <w:u w:val="none"/>
    </w:rPr>
  </w:style>
  <w:style w:type="character" w:customStyle="1" w:styleId="146">
    <w:name w:val="表格文字 Char"/>
    <w:link w:val="147"/>
    <w:qFormat/>
    <w:uiPriority w:val="0"/>
    <w:rPr>
      <w:szCs w:val="22"/>
    </w:rPr>
  </w:style>
  <w:style w:type="paragraph" w:customStyle="1" w:styleId="147">
    <w:name w:val="表格文字"/>
    <w:basedOn w:val="1"/>
    <w:next w:val="1"/>
    <w:link w:val="146"/>
    <w:qFormat/>
    <w:uiPriority w:val="0"/>
    <w:pPr>
      <w:spacing w:line="300" w:lineRule="exact"/>
      <w:jc w:val="center"/>
    </w:pPr>
    <w:rPr>
      <w:kern w:val="0"/>
    </w:rPr>
  </w:style>
  <w:style w:type="character" w:customStyle="1" w:styleId="148">
    <w:name w:val="无间隔 字符1"/>
    <w:link w:val="149"/>
    <w:qFormat/>
    <w:uiPriority w:val="0"/>
    <w:rPr>
      <w:kern w:val="2"/>
      <w:sz w:val="21"/>
      <w:szCs w:val="22"/>
    </w:rPr>
  </w:style>
  <w:style w:type="paragraph" w:styleId="149">
    <w:name w:val="No Spacing"/>
    <w:basedOn w:val="1"/>
    <w:link w:val="148"/>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50">
    <w:name w:val="文本框五号 Char Char"/>
    <w:qFormat/>
    <w:uiPriority w:val="0"/>
    <w:rPr>
      <w:rFonts w:hint="eastAsia" w:ascii="仿宋_GB2312" w:eastAsia="仿宋_GB2312"/>
      <w:kern w:val="2"/>
      <w:sz w:val="21"/>
      <w:szCs w:val="21"/>
      <w:lang w:val="en-US" w:eastAsia="zh-CN" w:bidi="ar-SA"/>
    </w:rPr>
  </w:style>
  <w:style w:type="character" w:customStyle="1" w:styleId="151">
    <w:name w:val="样式 正文文本缩进 2正文文本缩进 2 Char Char Char Char正文文本缩进 2 Char Char + 黑色1 Char"/>
    <w:link w:val="152"/>
    <w:qFormat/>
    <w:locked/>
    <w:uiPriority w:val="0"/>
    <w:rPr>
      <w:rFonts w:ascii="宋体" w:hAnsi="宋体" w:eastAsia="宋体"/>
      <w:color w:val="000000"/>
      <w:sz w:val="28"/>
      <w:lang w:val="en-US" w:eastAsia="zh-CN" w:bidi="ar-SA"/>
    </w:rPr>
  </w:style>
  <w:style w:type="paragraph" w:customStyle="1" w:styleId="152">
    <w:name w:val="样式 正文文本缩进 2正文文本缩进 2 Char Char Char Char正文文本缩进 2 Char Char + 黑色1"/>
    <w:basedOn w:val="46"/>
    <w:link w:val="151"/>
    <w:qFormat/>
    <w:uiPriority w:val="0"/>
    <w:pPr>
      <w:adjustRightInd w:val="0"/>
      <w:snapToGrid/>
      <w:spacing w:after="0" w:line="280" w:lineRule="exact"/>
      <w:ind w:left="0" w:leftChars="0" w:firstLine="200" w:firstLineChars="200"/>
      <w:jc w:val="center"/>
    </w:pPr>
    <w:rPr>
      <w:color w:val="000000"/>
      <w:kern w:val="0"/>
      <w:szCs w:val="20"/>
    </w:rPr>
  </w:style>
  <w:style w:type="character" w:customStyle="1" w:styleId="153">
    <w:name w:val="样式96 Char"/>
    <w:link w:val="154"/>
    <w:qFormat/>
    <w:locked/>
    <w:uiPriority w:val="0"/>
    <w:rPr>
      <w:rFonts w:ascii="黑体" w:hAnsi="黑体" w:eastAsia="黑体"/>
      <w:b/>
      <w:color w:val="000000"/>
      <w:sz w:val="24"/>
      <w:szCs w:val="24"/>
      <w:lang w:val="en-US" w:eastAsia="zh-CN" w:bidi="ar-SA"/>
    </w:rPr>
  </w:style>
  <w:style w:type="paragraph" w:customStyle="1" w:styleId="154">
    <w:name w:val="样式96"/>
    <w:basedOn w:val="155"/>
    <w:link w:val="153"/>
    <w:qFormat/>
    <w:uiPriority w:val="0"/>
    <w:pPr>
      <w:spacing w:before="60" w:after="60"/>
    </w:pPr>
    <w:rPr>
      <w:sz w:val="24"/>
      <w:szCs w:val="24"/>
    </w:rPr>
  </w:style>
  <w:style w:type="paragraph" w:customStyle="1" w:styleId="155">
    <w:name w:val="样式90"/>
    <w:basedOn w:val="156"/>
    <w:link w:val="534"/>
    <w:qFormat/>
    <w:uiPriority w:val="0"/>
  </w:style>
  <w:style w:type="paragraph" w:customStyle="1" w:styleId="156">
    <w:name w:val="样式81"/>
    <w:basedOn w:val="157"/>
    <w:link w:val="696"/>
    <w:qFormat/>
    <w:uiPriority w:val="0"/>
    <w:rPr>
      <w:b/>
    </w:rPr>
  </w:style>
  <w:style w:type="paragraph" w:customStyle="1" w:styleId="157">
    <w:name w:val="样式73"/>
    <w:basedOn w:val="158"/>
    <w:link w:val="687"/>
    <w:qFormat/>
    <w:uiPriority w:val="0"/>
    <w:rPr>
      <w:b w:val="0"/>
    </w:rPr>
  </w:style>
  <w:style w:type="paragraph" w:customStyle="1" w:styleId="158">
    <w:name w:val="样式62"/>
    <w:basedOn w:val="159"/>
    <w:link w:val="680"/>
    <w:qFormat/>
    <w:uiPriority w:val="0"/>
    <w:pPr>
      <w:spacing w:line="240" w:lineRule="auto"/>
    </w:pPr>
    <w:rPr>
      <w:b/>
    </w:rPr>
  </w:style>
  <w:style w:type="paragraph" w:customStyle="1" w:styleId="159">
    <w:name w:val="样式61"/>
    <w:basedOn w:val="160"/>
    <w:link w:val="679"/>
    <w:qFormat/>
    <w:uiPriority w:val="0"/>
    <w:pPr>
      <w:spacing w:line="360" w:lineRule="auto"/>
    </w:pPr>
    <w:rPr>
      <w:b w:val="0"/>
      <w:sz w:val="28"/>
      <w:szCs w:val="28"/>
    </w:rPr>
  </w:style>
  <w:style w:type="paragraph" w:customStyle="1" w:styleId="160">
    <w:name w:val="样式36"/>
    <w:basedOn w:val="161"/>
    <w:link w:val="333"/>
    <w:qFormat/>
    <w:uiPriority w:val="0"/>
    <w:pPr>
      <w:spacing w:before="120"/>
      <w:outlineLvl w:val="1"/>
    </w:pPr>
    <w:rPr>
      <w:color w:val="000000"/>
      <w:szCs w:val="30"/>
    </w:rPr>
  </w:style>
  <w:style w:type="paragraph" w:customStyle="1" w:styleId="161">
    <w:name w:val="样式 标题 2H2标题 2 Char1SeHead wsa2Chapter标题 1.1Chapter Title..."/>
    <w:basedOn w:val="1"/>
    <w:link w:val="652"/>
    <w:qFormat/>
    <w:uiPriority w:val="0"/>
    <w:pPr>
      <w:keepNext/>
      <w:keepLines/>
      <w:spacing w:before="260" w:after="120" w:line="500" w:lineRule="exact"/>
      <w:ind w:firstLine="200" w:firstLineChars="200"/>
      <w:outlineLvl w:val="0"/>
    </w:pPr>
    <w:rPr>
      <w:rFonts w:ascii="黑体" w:hAnsi="黑体" w:eastAsia="黑体"/>
      <w:b/>
      <w:kern w:val="0"/>
      <w:sz w:val="30"/>
      <w:szCs w:val="20"/>
    </w:rPr>
  </w:style>
  <w:style w:type="character" w:customStyle="1" w:styleId="162">
    <w:name w:val="正文文本 2 字符2"/>
    <w:link w:val="66"/>
    <w:qFormat/>
    <w:uiPriority w:val="0"/>
    <w:rPr>
      <w:rFonts w:ascii="宋体" w:hAnsi="Times New Roman"/>
      <w:b/>
      <w:kern w:val="2"/>
      <w:sz w:val="21"/>
      <w:szCs w:val="24"/>
      <w:shd w:val="solid" w:color="FFFFFF" w:fill="FFFFFF"/>
    </w:rPr>
  </w:style>
  <w:style w:type="character" w:customStyle="1" w:styleId="163">
    <w:name w:val="标准正文 Char1"/>
    <w:link w:val="164"/>
    <w:qFormat/>
    <w:locked/>
    <w:uiPriority w:val="0"/>
    <w:rPr>
      <w:rFonts w:ascii="仿宋_GB2312" w:eastAsia="仿宋_GB2312"/>
      <w:color w:val="FF0000"/>
      <w:sz w:val="24"/>
      <w:szCs w:val="24"/>
      <w:lang w:val="en-US" w:eastAsia="zh-CN" w:bidi="ar-SA"/>
    </w:rPr>
  </w:style>
  <w:style w:type="paragraph" w:customStyle="1" w:styleId="164">
    <w:name w:val="标准正文"/>
    <w:basedOn w:val="1"/>
    <w:link w:val="163"/>
    <w:qFormat/>
    <w:uiPriority w:val="0"/>
    <w:pPr>
      <w:spacing w:line="360" w:lineRule="auto"/>
      <w:ind w:firstLine="480" w:firstLineChars="200"/>
    </w:pPr>
    <w:rPr>
      <w:rFonts w:ascii="仿宋_GB2312" w:eastAsia="仿宋_GB2312"/>
      <w:color w:val="FF0000"/>
      <w:kern w:val="0"/>
      <w:sz w:val="24"/>
      <w:szCs w:val="24"/>
    </w:rPr>
  </w:style>
  <w:style w:type="character" w:customStyle="1" w:styleId="165">
    <w:name w:val="图框 Char"/>
    <w:link w:val="166"/>
    <w:qFormat/>
    <w:locked/>
    <w:uiPriority w:val="0"/>
    <w:rPr>
      <w:rFonts w:ascii="仿宋_GB2312" w:eastAsia="仿宋_GB2312"/>
      <w:szCs w:val="24"/>
      <w:lang w:val="en-US" w:eastAsia="zh-CN" w:bidi="ar-SA"/>
    </w:rPr>
  </w:style>
  <w:style w:type="paragraph" w:customStyle="1" w:styleId="166">
    <w:name w:val="图框"/>
    <w:basedOn w:val="1"/>
    <w:link w:val="165"/>
    <w:qFormat/>
    <w:uiPriority w:val="0"/>
    <w:pPr>
      <w:jc w:val="center"/>
    </w:pPr>
    <w:rPr>
      <w:rFonts w:ascii="仿宋_GB2312" w:eastAsia="仿宋_GB2312"/>
      <w:kern w:val="0"/>
      <w:sz w:val="20"/>
      <w:szCs w:val="24"/>
    </w:rPr>
  </w:style>
  <w:style w:type="character" w:customStyle="1" w:styleId="167">
    <w:name w:val="公式 Char"/>
    <w:link w:val="168"/>
    <w:qFormat/>
    <w:locked/>
    <w:uiPriority w:val="0"/>
    <w:rPr>
      <w:rFonts w:ascii="宋体" w:hAnsi="宋体" w:eastAsia="宋体"/>
      <w:sz w:val="28"/>
      <w:szCs w:val="28"/>
      <w:lang w:val="en-US" w:eastAsia="zh-CN" w:bidi="ar-SA"/>
    </w:rPr>
  </w:style>
  <w:style w:type="paragraph" w:customStyle="1" w:styleId="168">
    <w:name w:val="公式"/>
    <w:basedOn w:val="1"/>
    <w:link w:val="167"/>
    <w:qFormat/>
    <w:uiPriority w:val="0"/>
    <w:pPr>
      <w:tabs>
        <w:tab w:val="left" w:pos="1701"/>
      </w:tabs>
      <w:adjustRightInd w:val="0"/>
      <w:spacing w:line="394" w:lineRule="atLeast"/>
      <w:ind w:firstLine="510" w:firstLineChars="200"/>
      <w:jc w:val="center"/>
    </w:pPr>
    <w:rPr>
      <w:rFonts w:ascii="宋体" w:hAnsi="宋体"/>
      <w:kern w:val="0"/>
      <w:sz w:val="28"/>
      <w:szCs w:val="28"/>
    </w:rPr>
  </w:style>
  <w:style w:type="character" w:customStyle="1" w:styleId="169">
    <w:name w:val="注释标题 Char1"/>
    <w:qFormat/>
    <w:uiPriority w:val="0"/>
    <w:rPr>
      <w:rFonts w:hint="default" w:ascii="Times New Roman" w:hAnsi="Times New Roman" w:eastAsia="宋体" w:cs="Times New Roman"/>
      <w:kern w:val="0"/>
      <w:sz w:val="20"/>
      <w:szCs w:val="20"/>
    </w:rPr>
  </w:style>
  <w:style w:type="character" w:customStyle="1" w:styleId="170">
    <w:name w:val="样式99 Char"/>
    <w:link w:val="171"/>
    <w:qFormat/>
    <w:locked/>
    <w:uiPriority w:val="0"/>
    <w:rPr>
      <w:rFonts w:ascii="黑体" w:hAnsi="黑体" w:eastAsia="黑体"/>
      <w:color w:val="000000"/>
      <w:sz w:val="24"/>
      <w:szCs w:val="24"/>
      <w:lang w:val="en-AU" w:eastAsia="zh-CN" w:bidi="ar-SA"/>
    </w:rPr>
  </w:style>
  <w:style w:type="paragraph" w:customStyle="1" w:styleId="171">
    <w:name w:val="样式99"/>
    <w:basedOn w:val="154"/>
    <w:link w:val="170"/>
    <w:qFormat/>
    <w:uiPriority w:val="0"/>
    <w:pPr>
      <w:outlineLvl w:val="3"/>
    </w:pPr>
    <w:rPr>
      <w:b w:val="0"/>
      <w:lang w:val="en-AU"/>
    </w:rPr>
  </w:style>
  <w:style w:type="character" w:customStyle="1" w:styleId="172">
    <w:name w:val="Char Char122"/>
    <w:qFormat/>
    <w:uiPriority w:val="0"/>
    <w:rPr>
      <w:rFonts w:hint="eastAsia" w:ascii="仿宋_GB2312" w:hAnsi="宋体" w:eastAsia="仿宋_GB2312"/>
      <w:color w:val="000000"/>
      <w:kern w:val="2"/>
      <w:sz w:val="21"/>
    </w:rPr>
  </w:style>
  <w:style w:type="character" w:customStyle="1" w:styleId="173">
    <w:name w:val="Char Char172"/>
    <w:qFormat/>
    <w:uiPriority w:val="0"/>
    <w:rPr>
      <w:kern w:val="2"/>
      <w:sz w:val="28"/>
      <w:szCs w:val="24"/>
    </w:rPr>
  </w:style>
  <w:style w:type="character" w:customStyle="1" w:styleId="174">
    <w:name w:val="EmailStyle21181"/>
    <w:semiHidden/>
    <w:qFormat/>
    <w:uiPriority w:val="0"/>
    <w:rPr>
      <w:rFonts w:hint="default" w:ascii="Arial" w:hAnsi="Arial" w:eastAsia="宋体" w:cs="Arial"/>
      <w:color w:val="000080"/>
      <w:sz w:val="18"/>
      <w:szCs w:val="20"/>
    </w:rPr>
  </w:style>
  <w:style w:type="character" w:customStyle="1" w:styleId="175">
    <w:name w:val="style71"/>
    <w:qFormat/>
    <w:uiPriority w:val="0"/>
    <w:rPr>
      <w:color w:val="0000CC"/>
    </w:rPr>
  </w:style>
  <w:style w:type="character" w:customStyle="1" w:styleId="176">
    <w:name w:val="样式 湛江钢铁表 + Char"/>
    <w:link w:val="177"/>
    <w:qFormat/>
    <w:locked/>
    <w:uiPriority w:val="0"/>
    <w:rPr>
      <w:rFonts w:ascii="仿宋_GB2312" w:eastAsia="仿宋_GB2312"/>
      <w:szCs w:val="21"/>
      <w:lang w:bidi="ar-SA"/>
    </w:rPr>
  </w:style>
  <w:style w:type="paragraph" w:customStyle="1" w:styleId="177">
    <w:name w:val="样式 湛江钢铁表 +"/>
    <w:basedOn w:val="178"/>
    <w:next w:val="178"/>
    <w:link w:val="176"/>
    <w:qFormat/>
    <w:uiPriority w:val="0"/>
    <w:pPr>
      <w:tabs>
        <w:tab w:val="left" w:pos="1701"/>
      </w:tabs>
      <w:spacing w:afterLines="20"/>
    </w:pPr>
  </w:style>
  <w:style w:type="paragraph" w:customStyle="1" w:styleId="178">
    <w:name w:val="湛江钢铁表"/>
    <w:basedOn w:val="130"/>
    <w:link w:val="607"/>
    <w:qFormat/>
    <w:uiPriority w:val="0"/>
    <w:pPr>
      <w:tabs>
        <w:tab w:val="left" w:pos="1701"/>
      </w:tabs>
      <w:spacing w:beforeLines="20" w:afterLines="0" w:line="348" w:lineRule="auto"/>
    </w:pPr>
    <w:rPr>
      <w:rFonts w:ascii="仿宋_GB2312" w:eastAsia="仿宋_GB2312"/>
      <w:bCs w:val="0"/>
      <w:color w:val="auto"/>
      <w:sz w:val="20"/>
      <w:szCs w:val="21"/>
    </w:rPr>
  </w:style>
  <w:style w:type="character" w:customStyle="1" w:styleId="179">
    <w:name w:val="正文文字 3 Char Char Char Char Char"/>
    <w:qFormat/>
    <w:uiPriority w:val="0"/>
    <w:rPr>
      <w:rFonts w:hint="eastAsia" w:ascii="宋体" w:hAnsi="宋体" w:eastAsia="宋体"/>
      <w:sz w:val="18"/>
      <w:lang w:val="en-US" w:eastAsia="zh-CN" w:bidi="ar-SA"/>
    </w:rPr>
  </w:style>
  <w:style w:type="character" w:customStyle="1" w:styleId="180">
    <w:name w:val="正文文本1 Char"/>
    <w:qFormat/>
    <w:uiPriority w:val="0"/>
    <w:rPr>
      <w:rFonts w:ascii="宋体" w:hAnsi="华文宋体" w:eastAsia="宋体" w:cs="宋体"/>
      <w:w w:val="80"/>
      <w:kern w:val="2"/>
      <w:sz w:val="28"/>
      <w:lang w:val="en-US" w:eastAsia="zh-CN" w:bidi="ar-SA"/>
    </w:rPr>
  </w:style>
  <w:style w:type="character" w:customStyle="1" w:styleId="181">
    <w:name w:val="样式30 Char1"/>
    <w:link w:val="182"/>
    <w:qFormat/>
    <w:locked/>
    <w:uiPriority w:val="0"/>
    <w:rPr>
      <w:rFonts w:ascii="宋体" w:hAnsi="宋体" w:eastAsia="宋体"/>
      <w:sz w:val="24"/>
      <w:szCs w:val="24"/>
      <w:lang w:val="en-US" w:eastAsia="zh-CN" w:bidi="ar-SA"/>
    </w:rPr>
  </w:style>
  <w:style w:type="paragraph" w:customStyle="1" w:styleId="182">
    <w:name w:val="样式30"/>
    <w:basedOn w:val="1"/>
    <w:link w:val="181"/>
    <w:qFormat/>
    <w:uiPriority w:val="0"/>
    <w:pPr>
      <w:spacing w:line="460" w:lineRule="exact"/>
      <w:ind w:firstLine="480" w:firstLineChars="200"/>
    </w:pPr>
    <w:rPr>
      <w:rFonts w:ascii="宋体" w:hAnsi="宋体"/>
      <w:kern w:val="0"/>
      <w:sz w:val="24"/>
      <w:szCs w:val="24"/>
    </w:rPr>
  </w:style>
  <w:style w:type="character" w:customStyle="1" w:styleId="183">
    <w:name w:val="EmailStyle18271"/>
    <w:qFormat/>
    <w:uiPriority w:val="0"/>
    <w:rPr>
      <w:rFonts w:hint="default" w:ascii="Arial" w:hAnsi="Arial" w:eastAsia="PMingLiU" w:cs="Arial"/>
      <w:color w:val="000000"/>
      <w:sz w:val="18"/>
    </w:rPr>
  </w:style>
  <w:style w:type="character" w:customStyle="1" w:styleId="184">
    <w:name w:val="表名 Char Char"/>
    <w:link w:val="185"/>
    <w:qFormat/>
    <w:uiPriority w:val="0"/>
    <w:rPr>
      <w:rFonts w:ascii="宋体" w:hAnsi="宋体"/>
      <w:b/>
      <w:bCs/>
      <w:color w:val="000000"/>
      <w:sz w:val="24"/>
    </w:rPr>
  </w:style>
  <w:style w:type="paragraph" w:customStyle="1" w:styleId="185">
    <w:name w:val="表名"/>
    <w:basedOn w:val="1"/>
    <w:link w:val="184"/>
    <w:qFormat/>
    <w:uiPriority w:val="0"/>
    <w:pPr>
      <w:spacing w:line="500" w:lineRule="exact"/>
      <w:jc w:val="center"/>
      <w:outlineLvl w:val="3"/>
    </w:pPr>
    <w:rPr>
      <w:rFonts w:ascii="宋体" w:hAnsi="宋体"/>
      <w:b/>
      <w:bCs/>
      <w:color w:val="000000"/>
      <w:kern w:val="0"/>
      <w:sz w:val="24"/>
      <w:szCs w:val="20"/>
    </w:rPr>
  </w:style>
  <w:style w:type="character" w:customStyle="1" w:styleId="186">
    <w:name w:val="font21"/>
    <w:basedOn w:val="88"/>
    <w:qFormat/>
    <w:uiPriority w:val="0"/>
    <w:rPr>
      <w:color w:val="006633"/>
      <w:spacing w:val="480"/>
      <w:sz w:val="20"/>
      <w:szCs w:val="20"/>
    </w:rPr>
  </w:style>
  <w:style w:type="character" w:customStyle="1" w:styleId="187">
    <w:name w:val="表文字 Char1"/>
    <w:qFormat/>
    <w:uiPriority w:val="0"/>
    <w:rPr>
      <w:rFonts w:eastAsia="宋体"/>
      <w:sz w:val="21"/>
      <w:szCs w:val="21"/>
      <w:lang w:val="en-US" w:eastAsia="zh-CN" w:bidi="ar-SA"/>
    </w:rPr>
  </w:style>
  <w:style w:type="character" w:customStyle="1" w:styleId="188">
    <w:name w:val="样式 五号 Char"/>
    <w:link w:val="189"/>
    <w:qFormat/>
    <w:locked/>
    <w:uiPriority w:val="0"/>
    <w:rPr>
      <w:rFonts w:ascii="楷体_GB2312" w:eastAsia="楷体_GB2312"/>
      <w:color w:val="FF0000"/>
      <w:sz w:val="24"/>
      <w:szCs w:val="24"/>
      <w:lang w:val="en-US" w:eastAsia="zh-CN" w:bidi="ar-SA"/>
    </w:rPr>
  </w:style>
  <w:style w:type="paragraph" w:customStyle="1" w:styleId="189">
    <w:name w:val="样式 五号"/>
    <w:basedOn w:val="1"/>
    <w:link w:val="188"/>
    <w:qFormat/>
    <w:uiPriority w:val="0"/>
    <w:pPr>
      <w:spacing w:line="360" w:lineRule="auto"/>
      <w:ind w:firstLine="420"/>
      <w:jc w:val="center"/>
    </w:pPr>
    <w:rPr>
      <w:rFonts w:ascii="楷体_GB2312" w:eastAsia="楷体_GB2312"/>
      <w:color w:val="FF0000"/>
      <w:kern w:val="0"/>
      <w:sz w:val="24"/>
      <w:szCs w:val="24"/>
    </w:rPr>
  </w:style>
  <w:style w:type="character" w:customStyle="1" w:styleId="190">
    <w:name w:val="正文001 Char"/>
    <w:link w:val="191"/>
    <w:qFormat/>
    <w:locked/>
    <w:uiPriority w:val="0"/>
    <w:rPr>
      <w:rFonts w:ascii="Arial" w:hAnsi="Arial" w:eastAsia="宋体" w:cs="Arial"/>
      <w:sz w:val="24"/>
      <w:lang w:val="en-US" w:eastAsia="zh-CN" w:bidi="ar-SA"/>
    </w:rPr>
  </w:style>
  <w:style w:type="paragraph" w:customStyle="1" w:styleId="191">
    <w:name w:val="正文001"/>
    <w:basedOn w:val="1"/>
    <w:link w:val="190"/>
    <w:qFormat/>
    <w:uiPriority w:val="0"/>
    <w:pPr>
      <w:spacing w:before="60" w:line="460" w:lineRule="exact"/>
      <w:ind w:firstLine="482"/>
    </w:pPr>
    <w:rPr>
      <w:rFonts w:ascii="Arial" w:hAnsi="Arial" w:cs="Arial"/>
      <w:kern w:val="0"/>
      <w:sz w:val="24"/>
      <w:szCs w:val="20"/>
    </w:rPr>
  </w:style>
  <w:style w:type="character" w:customStyle="1" w:styleId="192">
    <w:name w:val="报告图名 Char"/>
    <w:link w:val="193"/>
    <w:qFormat/>
    <w:locked/>
    <w:uiPriority w:val="0"/>
    <w:rPr>
      <w:rFonts w:ascii="黑体" w:hAnsi="黑体" w:eastAsia="宋体"/>
      <w:b/>
      <w:sz w:val="24"/>
      <w:lang w:val="en-US" w:eastAsia="zh-CN" w:bidi="ar-SA"/>
    </w:rPr>
  </w:style>
  <w:style w:type="paragraph" w:customStyle="1" w:styleId="193">
    <w:name w:val="报告图名"/>
    <w:basedOn w:val="1"/>
    <w:link w:val="192"/>
    <w:qFormat/>
    <w:uiPriority w:val="0"/>
    <w:pPr>
      <w:overflowPunct w:val="0"/>
      <w:autoSpaceDE w:val="0"/>
      <w:autoSpaceDN w:val="0"/>
      <w:adjustRightInd w:val="0"/>
      <w:spacing w:before="60" w:after="120" w:line="380" w:lineRule="atLeast"/>
      <w:jc w:val="center"/>
    </w:pPr>
    <w:rPr>
      <w:rFonts w:ascii="黑体" w:hAnsi="黑体"/>
      <w:b/>
      <w:kern w:val="0"/>
      <w:sz w:val="24"/>
      <w:szCs w:val="20"/>
    </w:rPr>
  </w:style>
  <w:style w:type="character" w:customStyle="1" w:styleId="194">
    <w:name w:val="表格标题 字符"/>
    <w:qFormat/>
    <w:locked/>
    <w:uiPriority w:val="0"/>
    <w:rPr>
      <w:rFonts w:ascii="宋体" w:hAnsi="宋体" w:eastAsia="宋体"/>
      <w:b/>
      <w:bCs/>
      <w:kern w:val="2"/>
      <w:sz w:val="24"/>
      <w:szCs w:val="22"/>
      <w:lang w:val="en-US" w:eastAsia="zh-CN" w:bidi="ar-SA"/>
    </w:rPr>
  </w:style>
  <w:style w:type="character" w:customStyle="1" w:styleId="195">
    <w:name w:val="3 Char"/>
    <w:qFormat/>
    <w:uiPriority w:val="0"/>
    <w:rPr>
      <w:rFonts w:eastAsia="宋体"/>
      <w:sz w:val="24"/>
      <w:lang w:val="en-US" w:eastAsia="zh-CN" w:bidi="ar-SA"/>
    </w:rPr>
  </w:style>
  <w:style w:type="character" w:customStyle="1" w:styleId="196">
    <w:name w:val="列出段落 字符"/>
    <w:link w:val="197"/>
    <w:qFormat/>
    <w:locked/>
    <w:uiPriority w:val="0"/>
    <w:rPr>
      <w:kern w:val="2"/>
      <w:sz w:val="21"/>
      <w:szCs w:val="22"/>
    </w:rPr>
  </w:style>
  <w:style w:type="paragraph" w:styleId="197">
    <w:name w:val="List Paragraph"/>
    <w:basedOn w:val="1"/>
    <w:link w:val="196"/>
    <w:qFormat/>
    <w:uiPriority w:val="0"/>
    <w:pPr>
      <w:ind w:firstLine="420" w:firstLineChars="200"/>
    </w:pPr>
  </w:style>
  <w:style w:type="character" w:customStyle="1" w:styleId="198">
    <w:name w:val="样式102 Char"/>
    <w:link w:val="199"/>
    <w:qFormat/>
    <w:locked/>
    <w:uiPriority w:val="0"/>
    <w:rPr>
      <w:rFonts w:ascii="黑体" w:hAnsi="黑体" w:eastAsia="黑体"/>
      <w:b/>
      <w:bCs/>
      <w:color w:val="000000"/>
      <w:sz w:val="24"/>
      <w:szCs w:val="24"/>
      <w:lang w:val="en-US" w:eastAsia="zh-CN" w:bidi="ar-SA"/>
    </w:rPr>
  </w:style>
  <w:style w:type="paragraph" w:customStyle="1" w:styleId="199">
    <w:name w:val="样式102"/>
    <w:basedOn w:val="200"/>
    <w:link w:val="198"/>
    <w:qFormat/>
    <w:uiPriority w:val="0"/>
    <w:rPr>
      <w:rFonts w:ascii="黑体" w:hAnsi="黑体" w:cs="Times New Roman"/>
      <w:b/>
    </w:rPr>
  </w:style>
  <w:style w:type="paragraph" w:customStyle="1" w:styleId="200">
    <w:name w:val="样式101"/>
    <w:basedOn w:val="201"/>
    <w:link w:val="229"/>
    <w:qFormat/>
    <w:uiPriority w:val="0"/>
    <w:pPr>
      <w:spacing w:line="240" w:lineRule="auto"/>
    </w:pPr>
    <w:rPr>
      <w:b w:val="0"/>
    </w:rPr>
  </w:style>
  <w:style w:type="paragraph" w:customStyle="1" w:styleId="201">
    <w:name w:val="样式84"/>
    <w:basedOn w:val="202"/>
    <w:link w:val="698"/>
    <w:qFormat/>
    <w:uiPriority w:val="0"/>
    <w:pPr>
      <w:ind w:firstLine="0"/>
    </w:pPr>
    <w:rPr>
      <w:rFonts w:eastAsia="黑体"/>
    </w:rPr>
  </w:style>
  <w:style w:type="paragraph" w:customStyle="1" w:styleId="202">
    <w:name w:val="样式37"/>
    <w:basedOn w:val="203"/>
    <w:link w:val="661"/>
    <w:qFormat/>
    <w:uiPriority w:val="0"/>
    <w:pPr>
      <w:jc w:val="both"/>
    </w:pPr>
    <w:rPr>
      <w:bCs/>
    </w:rPr>
  </w:style>
  <w:style w:type="paragraph" w:customStyle="1" w:styleId="203">
    <w:name w:val="样式 标题 4H4PIM 4h4blbbTitre44th levelsect 1.2.3.4Ref Head..."/>
    <w:basedOn w:val="1"/>
    <w:link w:val="279"/>
    <w:qFormat/>
    <w:uiPriority w:val="0"/>
    <w:pPr>
      <w:keepNext/>
      <w:keepLines/>
      <w:widowControl/>
      <w:spacing w:before="60" w:after="60" w:line="520" w:lineRule="exact"/>
      <w:ind w:firstLine="510" w:firstLineChars="200"/>
      <w:jc w:val="left"/>
      <w:outlineLvl w:val="3"/>
    </w:pPr>
    <w:rPr>
      <w:rFonts w:ascii="Arial" w:hAnsi="Arial" w:cs="Arial"/>
      <w:b/>
      <w:color w:val="000000"/>
      <w:kern w:val="0"/>
      <w:sz w:val="24"/>
      <w:szCs w:val="24"/>
    </w:rPr>
  </w:style>
  <w:style w:type="character" w:customStyle="1" w:styleId="204">
    <w:name w:val="文本框五号 Char Char Char"/>
    <w:qFormat/>
    <w:uiPriority w:val="0"/>
    <w:rPr>
      <w:rFonts w:hint="eastAsia" w:ascii="仿宋_GB2312" w:eastAsia="仿宋_GB2312"/>
      <w:kern w:val="2"/>
      <w:sz w:val="21"/>
      <w:szCs w:val="21"/>
      <w:lang w:val="en-US" w:eastAsia="zh-CN" w:bidi="ar-SA"/>
    </w:rPr>
  </w:style>
  <w:style w:type="character" w:customStyle="1" w:styleId="205">
    <w:name w:val="texttitle1"/>
    <w:qFormat/>
    <w:uiPriority w:val="0"/>
    <w:rPr>
      <w:color w:val="000000"/>
      <w:spacing w:val="240"/>
      <w:sz w:val="22"/>
      <w:szCs w:val="22"/>
    </w:rPr>
  </w:style>
  <w:style w:type="character" w:customStyle="1" w:styleId="206">
    <w:name w:val="keywords1"/>
    <w:qFormat/>
    <w:uiPriority w:val="0"/>
    <w:rPr>
      <w:b/>
      <w:bCs/>
      <w:color w:val="FF6600"/>
    </w:rPr>
  </w:style>
  <w:style w:type="character" w:customStyle="1" w:styleId="207">
    <w:name w:val="样式128 Char"/>
    <w:link w:val="208"/>
    <w:qFormat/>
    <w:locked/>
    <w:uiPriority w:val="0"/>
    <w:rPr>
      <w:rFonts w:ascii="黑体" w:hAnsi="黑体" w:eastAsia="黑体"/>
      <w:bCs/>
      <w:color w:val="000000"/>
      <w:sz w:val="24"/>
      <w:szCs w:val="24"/>
      <w:lang w:val="en-US" w:eastAsia="zh-CN" w:bidi="ar-SA"/>
    </w:rPr>
  </w:style>
  <w:style w:type="paragraph" w:customStyle="1" w:styleId="208">
    <w:name w:val="样式128"/>
    <w:basedOn w:val="199"/>
    <w:link w:val="207"/>
    <w:qFormat/>
    <w:uiPriority w:val="0"/>
    <w:rPr>
      <w:b w:val="0"/>
    </w:rPr>
  </w:style>
  <w:style w:type="character" w:customStyle="1" w:styleId="209">
    <w:name w:val="viewthreadtxt"/>
    <w:qFormat/>
    <w:uiPriority w:val="0"/>
  </w:style>
  <w:style w:type="character" w:customStyle="1" w:styleId="210">
    <w:name w:val="样式 标题 1 + 黑体 四号 非加粗 Char"/>
    <w:qFormat/>
    <w:uiPriority w:val="0"/>
    <w:rPr>
      <w:rFonts w:hint="eastAsia" w:ascii="黑体" w:hAnsi="黑体" w:eastAsia="黑体"/>
      <w:bCs/>
      <w:kern w:val="44"/>
      <w:sz w:val="28"/>
      <w:szCs w:val="28"/>
      <w:lang w:val="en-US" w:eastAsia="zh-CN" w:bidi="ar-SA"/>
    </w:rPr>
  </w:style>
  <w:style w:type="character" w:customStyle="1" w:styleId="211">
    <w:name w:val="样式44 Char"/>
    <w:link w:val="212"/>
    <w:qFormat/>
    <w:locked/>
    <w:uiPriority w:val="0"/>
    <w:rPr>
      <w:rFonts w:ascii="宋体" w:hAnsi="宋体" w:eastAsia="宋体"/>
      <w:color w:val="000000"/>
      <w:lang w:val="en-US" w:eastAsia="zh-CN" w:bidi="ar-SA"/>
    </w:rPr>
  </w:style>
  <w:style w:type="paragraph" w:customStyle="1" w:styleId="212">
    <w:name w:val="样式44"/>
    <w:basedOn w:val="213"/>
    <w:link w:val="211"/>
    <w:qFormat/>
    <w:uiPriority w:val="0"/>
    <w:pPr>
      <w:spacing w:line="240" w:lineRule="exact"/>
      <w:jc w:val="both"/>
    </w:pPr>
  </w:style>
  <w:style w:type="paragraph" w:customStyle="1" w:styleId="213">
    <w:name w:val="样式40"/>
    <w:basedOn w:val="1"/>
    <w:link w:val="667"/>
    <w:qFormat/>
    <w:uiPriority w:val="0"/>
    <w:pPr>
      <w:adjustRightInd w:val="0"/>
      <w:spacing w:line="320" w:lineRule="exact"/>
      <w:jc w:val="center"/>
    </w:pPr>
    <w:rPr>
      <w:rFonts w:ascii="宋体" w:hAnsi="宋体"/>
      <w:color w:val="000000"/>
      <w:kern w:val="0"/>
      <w:sz w:val="20"/>
      <w:szCs w:val="20"/>
    </w:rPr>
  </w:style>
  <w:style w:type="character" w:customStyle="1" w:styleId="214">
    <w:name w:val="样式91 Char"/>
    <w:link w:val="215"/>
    <w:qFormat/>
    <w:locked/>
    <w:uiPriority w:val="0"/>
    <w:rPr>
      <w:rFonts w:ascii="黑体" w:hAnsi="黑体" w:eastAsia="黑体"/>
      <w:bCs/>
      <w:color w:val="000000"/>
      <w:szCs w:val="21"/>
      <w:lang w:val="en-US" w:eastAsia="zh-CN" w:bidi="ar-SA"/>
    </w:rPr>
  </w:style>
  <w:style w:type="paragraph" w:customStyle="1" w:styleId="215">
    <w:name w:val="样式91"/>
    <w:basedOn w:val="1"/>
    <w:link w:val="214"/>
    <w:qFormat/>
    <w:uiPriority w:val="0"/>
    <w:pPr>
      <w:adjustRightInd w:val="0"/>
      <w:spacing w:before="60" w:line="500" w:lineRule="exact"/>
      <w:jc w:val="center"/>
    </w:pPr>
    <w:rPr>
      <w:rFonts w:ascii="黑体" w:hAnsi="黑体" w:eastAsia="黑体"/>
      <w:bCs/>
      <w:color w:val="000000"/>
      <w:kern w:val="0"/>
      <w:sz w:val="20"/>
      <w:szCs w:val="21"/>
    </w:rPr>
  </w:style>
  <w:style w:type="character" w:customStyle="1" w:styleId="216">
    <w:name w:val="list_description"/>
    <w:qFormat/>
    <w:uiPriority w:val="0"/>
  </w:style>
  <w:style w:type="character" w:customStyle="1" w:styleId="217">
    <w:name w:val="批注框文本 Char1"/>
    <w:semiHidden/>
    <w:qFormat/>
    <w:uiPriority w:val="0"/>
    <w:rPr>
      <w:kern w:val="2"/>
      <w:sz w:val="18"/>
      <w:szCs w:val="18"/>
    </w:rPr>
  </w:style>
  <w:style w:type="character" w:customStyle="1" w:styleId="218">
    <w:name w:val="tpc_content"/>
    <w:qFormat/>
    <w:uiPriority w:val="0"/>
  </w:style>
  <w:style w:type="character" w:customStyle="1" w:styleId="219">
    <w:name w:val="11p1"/>
    <w:qFormat/>
    <w:uiPriority w:val="0"/>
    <w:rPr>
      <w:sz w:val="30"/>
      <w:szCs w:val="30"/>
    </w:rPr>
  </w:style>
  <w:style w:type="character" w:customStyle="1" w:styleId="220">
    <w:name w:val="textfont1"/>
    <w:qFormat/>
    <w:uiPriority w:val="0"/>
    <w:rPr>
      <w:color w:val="000000"/>
      <w:spacing w:val="400"/>
      <w:sz w:val="22"/>
      <w:szCs w:val="22"/>
    </w:rPr>
  </w:style>
  <w:style w:type="character" w:customStyle="1" w:styleId="221">
    <w:name w:val="00-正文 Char Char Char"/>
    <w:link w:val="222"/>
    <w:qFormat/>
    <w:locked/>
    <w:uiPriority w:val="0"/>
    <w:rPr>
      <w:sz w:val="28"/>
      <w:szCs w:val="28"/>
      <w:lang w:val="en-US" w:eastAsia="zh-CN" w:bidi="ar-SA"/>
    </w:rPr>
  </w:style>
  <w:style w:type="paragraph" w:customStyle="1" w:styleId="222">
    <w:name w:val="00-正文 Char Char"/>
    <w:basedOn w:val="1"/>
    <w:link w:val="221"/>
    <w:qFormat/>
    <w:uiPriority w:val="0"/>
    <w:pPr>
      <w:snapToGrid w:val="0"/>
      <w:spacing w:line="348" w:lineRule="auto"/>
      <w:ind w:firstLine="200" w:firstLineChars="200"/>
    </w:pPr>
    <w:rPr>
      <w:rFonts w:eastAsia="Times New Roman"/>
      <w:kern w:val="0"/>
      <w:sz w:val="28"/>
      <w:szCs w:val="28"/>
    </w:rPr>
  </w:style>
  <w:style w:type="character" w:customStyle="1" w:styleId="223">
    <w:name w:val="报告表名 Char Char"/>
    <w:link w:val="224"/>
    <w:qFormat/>
    <w:locked/>
    <w:uiPriority w:val="0"/>
    <w:rPr>
      <w:rFonts w:ascii="宋体" w:hAnsi="宋体" w:eastAsia="宋体"/>
      <w:b/>
      <w:bCs/>
      <w:sz w:val="24"/>
      <w:szCs w:val="24"/>
      <w:lang w:val="en-US" w:eastAsia="zh-CN" w:bidi="ar-SA"/>
    </w:rPr>
  </w:style>
  <w:style w:type="paragraph" w:customStyle="1" w:styleId="224">
    <w:name w:val="报告表名 Char"/>
    <w:basedOn w:val="1"/>
    <w:link w:val="223"/>
    <w:qFormat/>
    <w:uiPriority w:val="0"/>
    <w:pPr>
      <w:adjustRightInd w:val="0"/>
      <w:spacing w:before="360" w:after="60" w:line="360" w:lineRule="auto"/>
      <w:jc w:val="center"/>
    </w:pPr>
    <w:rPr>
      <w:rFonts w:ascii="宋体" w:hAnsi="宋体"/>
      <w:b/>
      <w:bCs/>
      <w:kern w:val="0"/>
      <w:sz w:val="24"/>
      <w:szCs w:val="24"/>
    </w:rPr>
  </w:style>
  <w:style w:type="character" w:customStyle="1" w:styleId="225">
    <w:name w:val="样式 标题 3 + 自动设置 Char Char"/>
    <w:link w:val="226"/>
    <w:qFormat/>
    <w:locked/>
    <w:uiPriority w:val="0"/>
    <w:rPr>
      <w:rFonts w:ascii="宋体" w:hAnsi="宋体" w:eastAsia="宋体"/>
      <w:b/>
      <w:bCs/>
      <w:sz w:val="32"/>
      <w:szCs w:val="32"/>
      <w:lang w:val="en-US" w:eastAsia="zh-CN" w:bidi="ar-SA"/>
    </w:rPr>
  </w:style>
  <w:style w:type="paragraph" w:customStyle="1" w:styleId="226">
    <w:name w:val="样式 标题 3 + 自动设置 Char"/>
    <w:basedOn w:val="5"/>
    <w:link w:val="225"/>
    <w:qFormat/>
    <w:uiPriority w:val="0"/>
    <w:pPr>
      <w:tabs>
        <w:tab w:val="left" w:pos="1561"/>
        <w:tab w:val="left" w:pos="1742"/>
      </w:tabs>
      <w:adjustRightInd w:val="0"/>
      <w:spacing w:before="120" w:after="120" w:line="360" w:lineRule="auto"/>
      <w:ind w:left="1561" w:hanging="420"/>
    </w:pPr>
    <w:rPr>
      <w:rFonts w:ascii="宋体" w:hAnsi="宋体"/>
      <w:b/>
    </w:rPr>
  </w:style>
  <w:style w:type="character" w:customStyle="1" w:styleId="227">
    <w:name w:val="正文15 Char"/>
    <w:link w:val="228"/>
    <w:qFormat/>
    <w:locked/>
    <w:uiPriority w:val="0"/>
    <w:rPr>
      <w:rFonts w:ascii="宋体" w:hAnsi="宋体" w:eastAsia="宋体"/>
      <w:sz w:val="28"/>
      <w:szCs w:val="28"/>
      <w:lang w:val="en-US" w:eastAsia="zh-CN" w:bidi="ar-SA"/>
    </w:rPr>
  </w:style>
  <w:style w:type="paragraph" w:customStyle="1" w:styleId="228">
    <w:name w:val="正文15"/>
    <w:basedOn w:val="1"/>
    <w:link w:val="227"/>
    <w:qFormat/>
    <w:uiPriority w:val="0"/>
    <w:pPr>
      <w:overflowPunct w:val="0"/>
      <w:topLinePunct/>
      <w:snapToGrid w:val="0"/>
      <w:spacing w:line="360" w:lineRule="auto"/>
      <w:ind w:firstLine="567"/>
    </w:pPr>
    <w:rPr>
      <w:rFonts w:ascii="宋体" w:hAnsi="宋体"/>
      <w:kern w:val="0"/>
      <w:sz w:val="28"/>
      <w:szCs w:val="28"/>
    </w:rPr>
  </w:style>
  <w:style w:type="character" w:customStyle="1" w:styleId="229">
    <w:name w:val="样式101 Char"/>
    <w:link w:val="200"/>
    <w:qFormat/>
    <w:locked/>
    <w:uiPriority w:val="0"/>
    <w:rPr>
      <w:rFonts w:ascii="Arial" w:hAnsi="Arial" w:eastAsia="黑体" w:cs="Arial"/>
      <w:bCs/>
      <w:color w:val="000000"/>
      <w:sz w:val="24"/>
      <w:szCs w:val="24"/>
      <w:lang w:val="en-US" w:eastAsia="zh-CN" w:bidi="ar-SA"/>
    </w:rPr>
  </w:style>
  <w:style w:type="character" w:customStyle="1" w:styleId="230">
    <w:name w:val="content1"/>
    <w:qFormat/>
    <w:uiPriority w:val="0"/>
    <w:rPr>
      <w:sz w:val="21"/>
      <w:szCs w:val="21"/>
    </w:rPr>
  </w:style>
  <w:style w:type="character" w:customStyle="1" w:styleId="231">
    <w:name w:val="文本框五号1.5倍行距 Char Char"/>
    <w:qFormat/>
    <w:uiPriority w:val="0"/>
    <w:rPr>
      <w:rFonts w:hint="eastAsia" w:ascii="仿宋_GB2312" w:eastAsia="仿宋_GB2312"/>
      <w:kern w:val="2"/>
      <w:sz w:val="21"/>
      <w:szCs w:val="21"/>
      <w:lang w:val="en-US" w:eastAsia="zh-CN" w:bidi="ar-SA"/>
    </w:rPr>
  </w:style>
  <w:style w:type="character" w:customStyle="1" w:styleId="232">
    <w:name w:val="样式162 Char"/>
    <w:link w:val="233"/>
    <w:qFormat/>
    <w:locked/>
    <w:uiPriority w:val="0"/>
    <w:rPr>
      <w:rFonts w:ascii="宋体" w:hAnsi="宋体" w:eastAsia="宋体"/>
      <w:sz w:val="24"/>
      <w:szCs w:val="24"/>
      <w:lang w:val="en-AU" w:eastAsia="zh-CN" w:bidi="ar-SA"/>
    </w:rPr>
  </w:style>
  <w:style w:type="paragraph" w:customStyle="1" w:styleId="233">
    <w:name w:val="样式162"/>
    <w:basedOn w:val="1"/>
    <w:link w:val="232"/>
    <w:qFormat/>
    <w:uiPriority w:val="0"/>
    <w:pPr>
      <w:ind w:firstLine="480" w:firstLineChars="200"/>
    </w:pPr>
    <w:rPr>
      <w:rFonts w:ascii="宋体" w:hAnsi="宋体"/>
      <w:kern w:val="0"/>
      <w:sz w:val="24"/>
      <w:szCs w:val="24"/>
      <w:lang w:val="en-AU"/>
    </w:rPr>
  </w:style>
  <w:style w:type="character" w:customStyle="1" w:styleId="234">
    <w:name w:val="hp2 Char"/>
    <w:qFormat/>
    <w:uiPriority w:val="0"/>
    <w:rPr>
      <w:rFonts w:ascii="宋体" w:hAnsi="宋体" w:eastAsia="宋体"/>
      <w:b/>
      <w:bCs/>
      <w:kern w:val="2"/>
      <w:sz w:val="28"/>
      <w:szCs w:val="32"/>
      <w:lang w:val="en-US" w:eastAsia="zh-CN" w:bidi="ar-SA"/>
    </w:rPr>
  </w:style>
  <w:style w:type="character" w:customStyle="1" w:styleId="235">
    <w:name w:val="样式54 Char"/>
    <w:link w:val="236"/>
    <w:qFormat/>
    <w:locked/>
    <w:uiPriority w:val="0"/>
    <w:rPr>
      <w:rFonts w:ascii="宋体" w:hAnsi="宋体" w:eastAsia="宋体"/>
      <w:sz w:val="24"/>
      <w:szCs w:val="24"/>
      <w:lang w:val="en-US" w:eastAsia="zh-CN" w:bidi="ar-SA"/>
    </w:rPr>
  </w:style>
  <w:style w:type="paragraph" w:customStyle="1" w:styleId="236">
    <w:name w:val="样式54"/>
    <w:basedOn w:val="1"/>
    <w:link w:val="235"/>
    <w:qFormat/>
    <w:uiPriority w:val="0"/>
    <w:pPr>
      <w:spacing w:line="240" w:lineRule="atLeast"/>
      <w:jc w:val="center"/>
    </w:pPr>
    <w:rPr>
      <w:rFonts w:ascii="宋体" w:hAnsi="宋体"/>
      <w:kern w:val="0"/>
      <w:sz w:val="24"/>
      <w:szCs w:val="24"/>
    </w:rPr>
  </w:style>
  <w:style w:type="character" w:customStyle="1" w:styleId="237">
    <w:name w:val="标题 2 Char Char Char"/>
    <w:qFormat/>
    <w:uiPriority w:val="0"/>
    <w:rPr>
      <w:rFonts w:hint="eastAsia" w:ascii="黑体" w:hAnsi="黑体" w:eastAsia="黑体"/>
      <w:kern w:val="2"/>
      <w:sz w:val="28"/>
      <w:szCs w:val="28"/>
      <w:lang w:val="en-US" w:eastAsia="zh-CN" w:bidi="ar-SA"/>
    </w:rPr>
  </w:style>
  <w:style w:type="character" w:customStyle="1" w:styleId="238">
    <w:name w:val="报告表名 Char1"/>
    <w:link w:val="239"/>
    <w:qFormat/>
    <w:locked/>
    <w:uiPriority w:val="0"/>
    <w:rPr>
      <w:rFonts w:ascii="宋体" w:hAnsi="宋体" w:eastAsia="宋体"/>
      <w:b/>
      <w:bCs/>
      <w:sz w:val="24"/>
      <w:lang w:val="en-US" w:eastAsia="zh-CN" w:bidi="ar-SA"/>
    </w:rPr>
  </w:style>
  <w:style w:type="paragraph" w:customStyle="1" w:styleId="239">
    <w:name w:val="报告表名"/>
    <w:basedOn w:val="1"/>
    <w:link w:val="238"/>
    <w:qFormat/>
    <w:uiPriority w:val="0"/>
    <w:pPr>
      <w:adjustRightInd w:val="0"/>
      <w:spacing w:before="360" w:after="60" w:line="360" w:lineRule="auto"/>
      <w:jc w:val="center"/>
    </w:pPr>
    <w:rPr>
      <w:rFonts w:ascii="宋体" w:hAnsi="宋体"/>
      <w:b/>
      <w:bCs/>
      <w:kern w:val="0"/>
      <w:sz w:val="24"/>
      <w:szCs w:val="20"/>
    </w:rPr>
  </w:style>
  <w:style w:type="character" w:customStyle="1" w:styleId="240">
    <w:name w:val="正文（首行缩进两字） Char Char Char Char Char Char Char Char1"/>
    <w:qFormat/>
    <w:uiPriority w:val="0"/>
    <w:rPr>
      <w:rFonts w:ascii="Calibri" w:hAnsi="宋体"/>
      <w:kern w:val="2"/>
      <w:sz w:val="28"/>
    </w:rPr>
  </w:style>
  <w:style w:type="character" w:customStyle="1" w:styleId="241">
    <w:name w:val="hb2 Char1"/>
    <w:qFormat/>
    <w:uiPriority w:val="0"/>
    <w:rPr>
      <w:rFonts w:ascii="Arial Narrow" w:hAnsi="Arial Narrow" w:eastAsia="汉鼎简书宋" w:cs="Arial"/>
      <w:b/>
      <w:bCs/>
      <w:sz w:val="28"/>
      <w:szCs w:val="28"/>
      <w:lang w:val="en-US" w:eastAsia="zh-CN" w:bidi="ar-SA"/>
    </w:rPr>
  </w:style>
  <w:style w:type="character" w:customStyle="1" w:styleId="242">
    <w:name w:val="Char Char8"/>
    <w:qFormat/>
    <w:locked/>
    <w:uiPriority w:val="0"/>
  </w:style>
  <w:style w:type="character" w:customStyle="1" w:styleId="243">
    <w:name w:val="Body Text Indent 2 Char"/>
    <w:qFormat/>
    <w:uiPriority w:val="0"/>
    <w:rPr>
      <w:rFonts w:eastAsia="宋体"/>
      <w:color w:val="000000"/>
      <w:kern w:val="2"/>
      <w:sz w:val="24"/>
      <w:lang w:val="en-US" w:eastAsia="zh-CN" w:bidi="ar-SA"/>
    </w:rPr>
  </w:style>
  <w:style w:type="character" w:customStyle="1" w:styleId="244">
    <w:name w:val="标题 1 Char Char Char"/>
    <w:qFormat/>
    <w:uiPriority w:val="0"/>
    <w:rPr>
      <w:rFonts w:hint="eastAsia" w:ascii="仿宋_GB2312" w:eastAsia="仿宋_GB2312"/>
      <w:b/>
      <w:kern w:val="28"/>
      <w:sz w:val="30"/>
      <w:lang w:val="en-US" w:eastAsia="zh-CN" w:bidi="ar-SA"/>
    </w:rPr>
  </w:style>
  <w:style w:type="character" w:customStyle="1" w:styleId="245">
    <w:name w:val="样式98 Char"/>
    <w:link w:val="246"/>
    <w:qFormat/>
    <w:locked/>
    <w:uiPriority w:val="0"/>
    <w:rPr>
      <w:rFonts w:ascii="仿宋_GB2312" w:eastAsia="仿宋_GB2312"/>
      <w:bCs/>
      <w:color w:val="000000"/>
      <w:szCs w:val="21"/>
      <w:lang w:val="en-US" w:eastAsia="zh-CN" w:bidi="ar-SA"/>
    </w:rPr>
  </w:style>
  <w:style w:type="paragraph" w:customStyle="1" w:styleId="246">
    <w:name w:val="样式98"/>
    <w:basedOn w:val="1"/>
    <w:link w:val="245"/>
    <w:qFormat/>
    <w:uiPriority w:val="0"/>
    <w:pPr>
      <w:adjustRightInd w:val="0"/>
      <w:spacing w:line="300" w:lineRule="exact"/>
      <w:jc w:val="center"/>
    </w:pPr>
    <w:rPr>
      <w:rFonts w:ascii="仿宋_GB2312" w:eastAsia="仿宋_GB2312"/>
      <w:bCs/>
      <w:color w:val="000000"/>
      <w:kern w:val="0"/>
      <w:sz w:val="20"/>
      <w:szCs w:val="21"/>
    </w:rPr>
  </w:style>
  <w:style w:type="character" w:customStyle="1" w:styleId="247">
    <w:name w:val="样式43 Char"/>
    <w:link w:val="248"/>
    <w:qFormat/>
    <w:locked/>
    <w:uiPriority w:val="0"/>
    <w:rPr>
      <w:rFonts w:ascii="楷体_GB2312" w:eastAsia="楷体_GB2312"/>
      <w:b/>
      <w:bCs/>
      <w:snapToGrid w:val="0"/>
      <w:color w:val="000000"/>
      <w:spacing w:val="8"/>
      <w:sz w:val="24"/>
      <w:szCs w:val="24"/>
      <w:lang w:val="en-US" w:eastAsia="zh-CN" w:bidi="ar-SA"/>
    </w:rPr>
  </w:style>
  <w:style w:type="paragraph" w:customStyle="1" w:styleId="248">
    <w:name w:val="样式43"/>
    <w:basedOn w:val="249"/>
    <w:link w:val="247"/>
    <w:qFormat/>
    <w:uiPriority w:val="0"/>
    <w:pPr>
      <w:keepNext w:val="0"/>
      <w:keepLines w:val="0"/>
      <w:spacing w:line="460" w:lineRule="exact"/>
      <w:ind w:firstLine="482" w:firstLineChars="200"/>
      <w:outlineLvl w:val="9"/>
    </w:pPr>
    <w:rPr>
      <w:szCs w:val="24"/>
    </w:rPr>
  </w:style>
  <w:style w:type="paragraph" w:customStyle="1" w:styleId="249">
    <w:name w:val="样式17"/>
    <w:basedOn w:val="250"/>
    <w:link w:val="618"/>
    <w:qFormat/>
    <w:uiPriority w:val="0"/>
    <w:pPr>
      <w:keepNext/>
      <w:keepLines/>
      <w:snapToGrid w:val="0"/>
      <w:outlineLvl w:val="2"/>
    </w:pPr>
    <w:rPr>
      <w:rFonts w:ascii="楷体_GB2312" w:eastAsia="楷体_GB2312"/>
      <w:b/>
      <w:bCs/>
      <w:snapToGrid w:val="0"/>
      <w:color w:val="000000"/>
      <w:spacing w:val="8"/>
      <w:kern w:val="0"/>
      <w:sz w:val="24"/>
      <w:szCs w:val="28"/>
    </w:rPr>
  </w:style>
  <w:style w:type="paragraph" w:customStyle="1" w:styleId="250">
    <w:name w:val="0正文"/>
    <w:basedOn w:val="1"/>
    <w:link w:val="1935"/>
    <w:qFormat/>
    <w:uiPriority w:val="0"/>
    <w:pPr>
      <w:spacing w:line="300" w:lineRule="auto"/>
      <w:ind w:firstLine="480" w:firstLineChars="200"/>
    </w:pPr>
    <w:rPr>
      <w:rFonts w:cs="宋体"/>
      <w:sz w:val="24"/>
    </w:rPr>
  </w:style>
  <w:style w:type="character" w:customStyle="1" w:styleId="251">
    <w:name w:val="标题3 Char"/>
    <w:qFormat/>
    <w:uiPriority w:val="0"/>
    <w:rPr>
      <w:rFonts w:hint="eastAsia" w:ascii="宋体" w:hAnsi="宋体" w:eastAsia="宋体"/>
      <w:b/>
      <w:bCs/>
      <w:kern w:val="2"/>
      <w:sz w:val="28"/>
      <w:szCs w:val="32"/>
      <w:lang w:val="en-US" w:eastAsia="zh-CN" w:bidi="ar-SA"/>
    </w:rPr>
  </w:style>
  <w:style w:type="character" w:customStyle="1" w:styleId="252">
    <w:name w:val="样式115 Char"/>
    <w:link w:val="253"/>
    <w:qFormat/>
    <w:locked/>
    <w:uiPriority w:val="0"/>
    <w:rPr>
      <w:rFonts w:ascii="黑体" w:hAnsi="黑体" w:eastAsia="宋体"/>
      <w:b/>
      <w:bCs/>
      <w:color w:val="000000"/>
      <w:kern w:val="44"/>
      <w:sz w:val="44"/>
      <w:szCs w:val="44"/>
      <w:lang w:val="en-US" w:eastAsia="zh-CN" w:bidi="ar-SA"/>
    </w:rPr>
  </w:style>
  <w:style w:type="paragraph" w:customStyle="1" w:styleId="253">
    <w:name w:val="样式115"/>
    <w:basedOn w:val="254"/>
    <w:link w:val="252"/>
    <w:qFormat/>
    <w:uiPriority w:val="0"/>
  </w:style>
  <w:style w:type="paragraph" w:customStyle="1" w:styleId="254">
    <w:name w:val="样式106"/>
    <w:basedOn w:val="255"/>
    <w:link w:val="708"/>
    <w:qFormat/>
    <w:uiPriority w:val="0"/>
  </w:style>
  <w:style w:type="paragraph" w:customStyle="1" w:styleId="255">
    <w:name w:val="样式95"/>
    <w:basedOn w:val="256"/>
    <w:link w:val="541"/>
    <w:qFormat/>
    <w:uiPriority w:val="0"/>
    <w:pPr>
      <w:spacing w:before="1200"/>
    </w:pPr>
  </w:style>
  <w:style w:type="paragraph" w:customStyle="1" w:styleId="256">
    <w:name w:val="样式86"/>
    <w:basedOn w:val="257"/>
    <w:link w:val="342"/>
    <w:qFormat/>
    <w:uiPriority w:val="0"/>
    <w:pPr>
      <w:spacing w:before="960" w:after="600"/>
    </w:pPr>
  </w:style>
  <w:style w:type="paragraph" w:customStyle="1" w:styleId="257">
    <w:name w:val="样式 标题 1标题 111一、Head 1wsa文章标题b1章标题 1H1PIM 1标书1h1标题 11..."/>
    <w:basedOn w:val="3"/>
    <w:link w:val="657"/>
    <w:qFormat/>
    <w:uiPriority w:val="0"/>
    <w:pPr>
      <w:spacing w:before="1200" w:after="480" w:line="440" w:lineRule="exact"/>
      <w:ind w:left="-76" w:hanging="284"/>
      <w:jc w:val="center"/>
    </w:pPr>
    <w:rPr>
      <w:rFonts w:ascii="黑体" w:hAnsi="黑体"/>
      <w:color w:val="000000"/>
    </w:rPr>
  </w:style>
  <w:style w:type="character" w:customStyle="1" w:styleId="258">
    <w:name w:val="正文首行缩进 字符"/>
    <w:link w:val="74"/>
    <w:qFormat/>
    <w:uiPriority w:val="0"/>
    <w:rPr>
      <w:rFonts w:ascii="Times New Roman" w:hAnsi="Times New Roman"/>
      <w:kern w:val="2"/>
      <w:sz w:val="28"/>
      <w:szCs w:val="24"/>
      <w:lang w:eastAsia="en-US"/>
    </w:rPr>
  </w:style>
  <w:style w:type="character" w:customStyle="1" w:styleId="259">
    <w:name w:val="t1"/>
    <w:qFormat/>
    <w:uiPriority w:val="0"/>
  </w:style>
  <w:style w:type="character" w:customStyle="1" w:styleId="260">
    <w:name w:val="Char15"/>
    <w:qFormat/>
    <w:uiPriority w:val="0"/>
    <w:rPr>
      <w:rFonts w:hint="eastAsia" w:ascii="宋体" w:hAnsi="宋体" w:eastAsia="宋体"/>
      <w:b/>
      <w:bCs/>
      <w:kern w:val="44"/>
      <w:sz w:val="44"/>
      <w:szCs w:val="44"/>
      <w:lang w:val="en-US" w:eastAsia="zh-CN" w:bidi="ar-SA"/>
    </w:rPr>
  </w:style>
  <w:style w:type="character" w:customStyle="1" w:styleId="261">
    <w:name w:val="Char1 Char Char"/>
    <w:qFormat/>
    <w:uiPriority w:val="0"/>
    <w:rPr>
      <w:rFonts w:hint="eastAsia" w:ascii="宋体" w:hAnsi="宋体" w:eastAsia="宋体"/>
      <w:b/>
      <w:bCs/>
      <w:kern w:val="2"/>
      <w:sz w:val="32"/>
      <w:szCs w:val="32"/>
      <w:lang w:val="en-US" w:eastAsia="zh-CN" w:bidi="ar-SA"/>
    </w:rPr>
  </w:style>
  <w:style w:type="character" w:customStyle="1" w:styleId="262">
    <w:name w:val="haha Char"/>
    <w:link w:val="263"/>
    <w:qFormat/>
    <w:locked/>
    <w:uiPriority w:val="0"/>
    <w:rPr>
      <w:rFonts w:ascii="仿宋_GB2312" w:eastAsia="仿宋_GB2312"/>
      <w:sz w:val="24"/>
      <w:szCs w:val="24"/>
      <w:lang w:val="en-US" w:eastAsia="zh-CN" w:bidi="ar-SA"/>
    </w:rPr>
  </w:style>
  <w:style w:type="paragraph" w:customStyle="1" w:styleId="263">
    <w:name w:val="haha"/>
    <w:basedOn w:val="74"/>
    <w:link w:val="262"/>
    <w:qFormat/>
    <w:uiPriority w:val="0"/>
    <w:pPr>
      <w:tabs>
        <w:tab w:val="left" w:pos="1701"/>
      </w:tabs>
      <w:spacing w:after="0" w:line="360" w:lineRule="auto"/>
      <w:ind w:firstLine="480" w:firstLineChars="200"/>
    </w:pPr>
    <w:rPr>
      <w:rFonts w:ascii="仿宋_GB2312" w:eastAsia="仿宋_GB2312"/>
      <w:kern w:val="0"/>
      <w:sz w:val="24"/>
    </w:rPr>
  </w:style>
  <w:style w:type="character" w:customStyle="1" w:styleId="264">
    <w:name w:val="样式40 Char"/>
    <w:qFormat/>
    <w:uiPriority w:val="0"/>
    <w:rPr>
      <w:rFonts w:hint="eastAsia" w:ascii="宋体" w:hAnsi="宋体" w:eastAsia="宋体"/>
      <w:b/>
      <w:color w:val="000000"/>
      <w:sz w:val="21"/>
      <w:szCs w:val="28"/>
      <w:lang w:val="en-US" w:eastAsia="zh-CN" w:bidi="ar-SA"/>
    </w:rPr>
  </w:style>
  <w:style w:type="character" w:customStyle="1" w:styleId="265">
    <w:name w:val="样式 正文缩进正文（首行缩进两字）1s4正文（首行缩进两字） Char正文缩进 Char表正文正文非缩进ALT+Z... Char"/>
    <w:link w:val="266"/>
    <w:qFormat/>
    <w:locked/>
    <w:uiPriority w:val="0"/>
    <w:rPr>
      <w:rFonts w:ascii="仿宋_GB2312" w:eastAsia="仿宋_GB2312"/>
      <w:color w:val="000000"/>
      <w:sz w:val="24"/>
      <w:szCs w:val="24"/>
      <w:lang w:val="zh-CN" w:bidi="ar-SA"/>
    </w:rPr>
  </w:style>
  <w:style w:type="paragraph" w:customStyle="1" w:styleId="266">
    <w:name w:val="样式 正文缩进正文（首行缩进两字）1s4正文（首行缩进两字） Char正文缩进 Char表正文正文非缩进ALT+Z..."/>
    <w:basedOn w:val="19"/>
    <w:link w:val="265"/>
    <w:qFormat/>
    <w:uiPriority w:val="0"/>
    <w:pPr>
      <w:widowControl/>
      <w:tabs>
        <w:tab w:val="left" w:pos="3600"/>
        <w:tab w:val="left" w:pos="6845"/>
      </w:tabs>
      <w:adjustRightInd w:val="0"/>
      <w:snapToGrid w:val="0"/>
      <w:spacing w:line="360" w:lineRule="auto"/>
      <w:ind w:firstLine="480"/>
    </w:pPr>
    <w:rPr>
      <w:rFonts w:ascii="仿宋_GB2312" w:eastAsia="仿宋_GB2312"/>
      <w:color w:val="000000"/>
      <w:szCs w:val="24"/>
      <w:lang w:val="zh-CN"/>
    </w:rPr>
  </w:style>
  <w:style w:type="character" w:customStyle="1" w:styleId="267">
    <w:name w:val="结束语 字符1"/>
    <w:link w:val="29"/>
    <w:semiHidden/>
    <w:qFormat/>
    <w:locked/>
    <w:uiPriority w:val="0"/>
    <w:rPr>
      <w:rFonts w:eastAsia="宋体"/>
      <w:b/>
      <w:bCs/>
      <w:kern w:val="2"/>
      <w:sz w:val="28"/>
      <w:szCs w:val="28"/>
      <w:lang w:val="en-US" w:eastAsia="zh-CN" w:bidi="ar-SA"/>
    </w:rPr>
  </w:style>
  <w:style w:type="character" w:customStyle="1" w:styleId="268">
    <w:name w:val="正文文字缩进 3 Char Char"/>
    <w:qFormat/>
    <w:uiPriority w:val="0"/>
    <w:rPr>
      <w:rFonts w:hint="eastAsia" w:ascii="宋体" w:hAnsi="宋体" w:eastAsia="宋体"/>
      <w:kern w:val="2"/>
      <w:sz w:val="24"/>
      <w:szCs w:val="24"/>
      <w:lang w:val="en-US" w:eastAsia="zh-CN" w:bidi="ar-SA"/>
    </w:rPr>
  </w:style>
  <w:style w:type="character" w:customStyle="1" w:styleId="269">
    <w:name w:val="样式 宋体 黑色"/>
    <w:qFormat/>
    <w:uiPriority w:val="0"/>
    <w:rPr>
      <w:rFonts w:hint="eastAsia" w:ascii="宋体" w:hAnsi="宋体" w:eastAsia="宋体"/>
      <w:color w:val="000000"/>
      <w:kern w:val="0"/>
      <w:sz w:val="28"/>
      <w:szCs w:val="28"/>
      <w:lang w:val="en-US" w:eastAsia="en-US" w:bidi="ar-SA"/>
    </w:rPr>
  </w:style>
  <w:style w:type="character" w:customStyle="1" w:styleId="270">
    <w:name w:val="Char Char31"/>
    <w:semiHidden/>
    <w:qFormat/>
    <w:uiPriority w:val="0"/>
    <w:rPr>
      <w:rFonts w:hint="eastAsia" w:ascii="宋体" w:hAnsi="宋体" w:eastAsia="宋体"/>
      <w:sz w:val="18"/>
      <w:lang w:val="en-US" w:eastAsia="zh-CN" w:bidi="ar-SA"/>
    </w:rPr>
  </w:style>
  <w:style w:type="character" w:customStyle="1" w:styleId="271">
    <w:name w:val="Char Char33"/>
    <w:semiHidden/>
    <w:qFormat/>
    <w:uiPriority w:val="0"/>
    <w:rPr>
      <w:rFonts w:hint="eastAsia" w:ascii="宋体" w:hAnsi="宋体" w:eastAsia="宋体"/>
      <w:sz w:val="18"/>
      <w:lang w:val="en-US" w:eastAsia="zh-CN" w:bidi="ar-SA"/>
    </w:rPr>
  </w:style>
  <w:style w:type="character" w:customStyle="1" w:styleId="272">
    <w:name w:val="样式 样式 样式 标题 2 + (西文) Times New Roman (中文) 仿宋_GB2312 四号 非加粗 + Ari... Char"/>
    <w:qFormat/>
    <w:uiPriority w:val="0"/>
    <w:rPr>
      <w:rFonts w:hint="eastAsia" w:ascii="仿宋_GB2312" w:eastAsia="仿宋_GB2312"/>
      <w:bCs/>
      <w:kern w:val="2"/>
      <w:sz w:val="28"/>
      <w:szCs w:val="28"/>
      <w:lang w:val="en-US" w:eastAsia="zh-CN" w:bidi="ar-SA"/>
    </w:rPr>
  </w:style>
  <w:style w:type="character" w:customStyle="1" w:styleId="273">
    <w:name w:val="样式 样式 样式 宋体 段前: 0.5 行 行距: 固定值 18 磅 + 首行缩进:  2 字符 + (西文) 宋体 Char"/>
    <w:link w:val="274"/>
    <w:qFormat/>
    <w:uiPriority w:val="0"/>
    <w:rPr>
      <w:rFonts w:ascii="Times New Roman" w:hAnsi="Times New Roman"/>
      <w:kern w:val="2"/>
      <w:sz w:val="24"/>
      <w:szCs w:val="18"/>
    </w:rPr>
  </w:style>
  <w:style w:type="paragraph" w:customStyle="1" w:styleId="274">
    <w:name w:val="样式 样式 样式 宋体 段前: 0.5 行 行距: 固定值 18 磅 + 首行缩进:  2 字符 + (西文) 宋体"/>
    <w:basedOn w:val="1"/>
    <w:link w:val="273"/>
    <w:qFormat/>
    <w:uiPriority w:val="0"/>
    <w:pPr>
      <w:adjustRightInd w:val="0"/>
      <w:snapToGrid w:val="0"/>
      <w:spacing w:line="480" w:lineRule="exact"/>
      <w:ind w:firstLine="459" w:firstLineChars="200"/>
    </w:pPr>
    <w:rPr>
      <w:sz w:val="24"/>
      <w:szCs w:val="18"/>
    </w:rPr>
  </w:style>
  <w:style w:type="character" w:customStyle="1" w:styleId="275">
    <w:name w:val="unnamed11"/>
    <w:qFormat/>
    <w:uiPriority w:val="0"/>
    <w:rPr>
      <w:rFonts w:hint="default" w:ascii="ˎ̥" w:hAnsi="ˎ̥"/>
      <w:sz w:val="21"/>
      <w:szCs w:val="21"/>
      <w:u w:val="none"/>
    </w:rPr>
  </w:style>
  <w:style w:type="character" w:customStyle="1" w:styleId="276">
    <w:name w:val="样式139 Char"/>
    <w:link w:val="277"/>
    <w:qFormat/>
    <w:locked/>
    <w:uiPriority w:val="0"/>
    <w:rPr>
      <w:rFonts w:ascii="黑体" w:hAnsi="黑体" w:eastAsia="黑体"/>
      <w:b/>
      <w:bCs/>
      <w:color w:val="000000"/>
      <w:sz w:val="24"/>
      <w:szCs w:val="24"/>
      <w:lang w:val="en-US" w:eastAsia="zh-CN" w:bidi="ar-SA"/>
    </w:rPr>
  </w:style>
  <w:style w:type="paragraph" w:customStyle="1" w:styleId="277">
    <w:name w:val="样式139"/>
    <w:basedOn w:val="278"/>
    <w:link w:val="276"/>
    <w:qFormat/>
    <w:uiPriority w:val="0"/>
    <w:rPr>
      <w:b/>
    </w:rPr>
  </w:style>
  <w:style w:type="paragraph" w:customStyle="1" w:styleId="278">
    <w:name w:val="样式114"/>
    <w:basedOn w:val="199"/>
    <w:link w:val="322"/>
    <w:qFormat/>
    <w:uiPriority w:val="0"/>
    <w:rPr>
      <w:b w:val="0"/>
    </w:rPr>
  </w:style>
  <w:style w:type="character" w:customStyle="1" w:styleId="279">
    <w:name w:val="样式 标题 4H4PIM 4h4blbbTitre44th levelsect 1.2.3.4Ref Head... Char"/>
    <w:link w:val="203"/>
    <w:qFormat/>
    <w:locked/>
    <w:uiPriority w:val="0"/>
    <w:rPr>
      <w:rFonts w:ascii="Arial" w:hAnsi="Arial" w:eastAsia="宋体" w:cs="Arial"/>
      <w:b/>
      <w:color w:val="000000"/>
      <w:sz w:val="24"/>
      <w:szCs w:val="24"/>
      <w:lang w:val="en-US" w:eastAsia="zh-CN" w:bidi="ar-SA"/>
    </w:rPr>
  </w:style>
  <w:style w:type="character" w:customStyle="1" w:styleId="280">
    <w:name w:val="样式113 Char"/>
    <w:link w:val="281"/>
    <w:qFormat/>
    <w:locked/>
    <w:uiPriority w:val="0"/>
    <w:rPr>
      <w:rFonts w:ascii="黑体" w:hAnsi="黑体" w:eastAsia="黑体"/>
      <w:bCs/>
      <w:color w:val="000000"/>
      <w:szCs w:val="21"/>
      <w:lang w:val="en-US" w:eastAsia="zh-CN" w:bidi="ar-SA"/>
    </w:rPr>
  </w:style>
  <w:style w:type="paragraph" w:customStyle="1" w:styleId="281">
    <w:name w:val="样式113"/>
    <w:basedOn w:val="1"/>
    <w:link w:val="280"/>
    <w:qFormat/>
    <w:uiPriority w:val="0"/>
    <w:pPr>
      <w:adjustRightInd w:val="0"/>
      <w:spacing w:before="60" w:line="500" w:lineRule="exact"/>
      <w:jc w:val="center"/>
    </w:pPr>
    <w:rPr>
      <w:rFonts w:ascii="黑体" w:hAnsi="黑体" w:eastAsia="黑体"/>
      <w:bCs/>
      <w:color w:val="000000"/>
      <w:kern w:val="0"/>
      <w:sz w:val="20"/>
      <w:szCs w:val="21"/>
    </w:rPr>
  </w:style>
  <w:style w:type="character" w:customStyle="1" w:styleId="282">
    <w:name w:val="正文内容 Char"/>
    <w:link w:val="283"/>
    <w:qFormat/>
    <w:locked/>
    <w:uiPriority w:val="0"/>
    <w:rPr>
      <w:rFonts w:ascii="宋体" w:hAnsi="宋体" w:eastAsia="宋体"/>
      <w:sz w:val="24"/>
      <w:lang w:val="en-US" w:eastAsia="zh-CN" w:bidi="ar-SA"/>
    </w:rPr>
  </w:style>
  <w:style w:type="paragraph" w:customStyle="1" w:styleId="283">
    <w:name w:val="正文内容"/>
    <w:basedOn w:val="1"/>
    <w:link w:val="282"/>
    <w:qFormat/>
    <w:uiPriority w:val="0"/>
    <w:pPr>
      <w:spacing w:beforeLines="50" w:line="360" w:lineRule="auto"/>
      <w:ind w:firstLine="480" w:firstLineChars="200"/>
    </w:pPr>
    <w:rPr>
      <w:rFonts w:ascii="宋体" w:hAnsi="宋体"/>
      <w:kern w:val="0"/>
      <w:sz w:val="24"/>
      <w:szCs w:val="20"/>
    </w:rPr>
  </w:style>
  <w:style w:type="character" w:customStyle="1" w:styleId="284">
    <w:name w:val="Char1"/>
    <w:qFormat/>
    <w:uiPriority w:val="0"/>
    <w:rPr>
      <w:rFonts w:hint="eastAsia" w:ascii="宋体" w:hAnsi="宋体" w:eastAsia="宋体"/>
      <w:b/>
      <w:bCs/>
      <w:kern w:val="44"/>
      <w:sz w:val="44"/>
      <w:szCs w:val="44"/>
      <w:lang w:val="en-US" w:eastAsia="zh-CN" w:bidi="ar-SA"/>
    </w:rPr>
  </w:style>
  <w:style w:type="character" w:customStyle="1" w:styleId="285">
    <w:name w:val="正文缩进 字符3"/>
    <w:link w:val="19"/>
    <w:qFormat/>
    <w:uiPriority w:val="0"/>
    <w:rPr>
      <w:rFonts w:ascii="Times New Roman" w:hAnsi="Times New Roman"/>
      <w:sz w:val="24"/>
    </w:rPr>
  </w:style>
  <w:style w:type="character" w:customStyle="1" w:styleId="286">
    <w:name w:val="样式152 Char"/>
    <w:link w:val="287"/>
    <w:qFormat/>
    <w:locked/>
    <w:uiPriority w:val="0"/>
    <w:rPr>
      <w:rFonts w:ascii="宋体" w:hAnsi="宋体" w:eastAsia="宋体"/>
      <w:bCs/>
      <w:color w:val="000000"/>
      <w:szCs w:val="21"/>
      <w:lang w:val="en-US" w:eastAsia="zh-CN" w:bidi="ar-SA"/>
    </w:rPr>
  </w:style>
  <w:style w:type="paragraph" w:customStyle="1" w:styleId="287">
    <w:name w:val="样式152"/>
    <w:basedOn w:val="246"/>
    <w:link w:val="286"/>
    <w:qFormat/>
    <w:uiPriority w:val="0"/>
    <w:pPr>
      <w:jc w:val="both"/>
    </w:pPr>
    <w:rPr>
      <w:rFonts w:ascii="宋体" w:hAnsi="宋体" w:eastAsia="宋体"/>
    </w:rPr>
  </w:style>
  <w:style w:type="character" w:customStyle="1" w:styleId="288">
    <w:name w:val="Char Char24"/>
    <w:qFormat/>
    <w:uiPriority w:val="0"/>
    <w:rPr>
      <w:rFonts w:hint="eastAsia" w:ascii="宋体" w:hAnsi="宋体" w:eastAsia="宋体"/>
      <w:kern w:val="2"/>
      <w:sz w:val="18"/>
      <w:szCs w:val="18"/>
      <w:lang w:val="en-US" w:eastAsia="zh-CN" w:bidi="ar-SA"/>
    </w:rPr>
  </w:style>
  <w:style w:type="character" w:customStyle="1" w:styleId="289">
    <w:name w:val="批注文字 Char1"/>
    <w:semiHidden/>
    <w:qFormat/>
    <w:uiPriority w:val="0"/>
    <w:rPr>
      <w:kern w:val="2"/>
      <w:sz w:val="24"/>
      <w:szCs w:val="24"/>
    </w:rPr>
  </w:style>
  <w:style w:type="character" w:customStyle="1" w:styleId="290">
    <w:name w:val="样式24 Char"/>
    <w:link w:val="291"/>
    <w:qFormat/>
    <w:locked/>
    <w:uiPriority w:val="0"/>
    <w:rPr>
      <w:rFonts w:ascii="Arial" w:hAnsi="Arial" w:eastAsia="宋体" w:cs="Arial"/>
      <w:b/>
      <w:bCs/>
      <w:color w:val="000000"/>
      <w:sz w:val="24"/>
      <w:szCs w:val="24"/>
      <w:lang w:val="en-US" w:eastAsia="zh-CN" w:bidi="ar-SA"/>
    </w:rPr>
  </w:style>
  <w:style w:type="paragraph" w:customStyle="1" w:styleId="291">
    <w:name w:val="样式24"/>
    <w:basedOn w:val="203"/>
    <w:link w:val="290"/>
    <w:qFormat/>
    <w:uiPriority w:val="0"/>
    <w:pPr>
      <w:jc w:val="both"/>
    </w:pPr>
    <w:rPr>
      <w:bCs/>
    </w:rPr>
  </w:style>
  <w:style w:type="character" w:customStyle="1" w:styleId="292">
    <w:name w:val="样式 标题 3 Char"/>
    <w:link w:val="293"/>
    <w:qFormat/>
    <w:locked/>
    <w:uiPriority w:val="0"/>
    <w:rPr>
      <w:rFonts w:ascii="宋体" w:hAnsi="宋体" w:eastAsia="宋体"/>
      <w:snapToGrid w:val="0"/>
      <w:sz w:val="28"/>
      <w:szCs w:val="28"/>
      <w:lang w:val="en-US" w:eastAsia="zh-CN" w:bidi="ar-SA"/>
    </w:rPr>
  </w:style>
  <w:style w:type="paragraph" w:customStyle="1" w:styleId="293">
    <w:name w:val="样式 标题 3"/>
    <w:basedOn w:val="5"/>
    <w:link w:val="292"/>
    <w:qFormat/>
    <w:uiPriority w:val="0"/>
    <w:pPr>
      <w:tabs>
        <w:tab w:val="left" w:pos="1701"/>
      </w:tabs>
      <w:adjustRightInd w:val="0"/>
      <w:jc w:val="left"/>
    </w:pPr>
    <w:rPr>
      <w:rFonts w:ascii="宋体" w:hAnsi="宋体"/>
      <w:bCs/>
      <w:snapToGrid w:val="0"/>
      <w:szCs w:val="28"/>
    </w:rPr>
  </w:style>
  <w:style w:type="character" w:customStyle="1" w:styleId="294">
    <w:name w:val="Char Char25"/>
    <w:qFormat/>
    <w:uiPriority w:val="0"/>
    <w:rPr>
      <w:rFonts w:hint="eastAsia" w:ascii="宋体" w:hAnsi="宋体" w:eastAsia="宋体"/>
      <w:kern w:val="2"/>
      <w:sz w:val="18"/>
      <w:szCs w:val="18"/>
      <w:lang w:val="en-US" w:eastAsia="zh-CN" w:bidi="ar-SA"/>
    </w:rPr>
  </w:style>
  <w:style w:type="character" w:customStyle="1" w:styleId="295">
    <w:name w:val="样式 正文文本缩进 2 + 黑色 行距: 固定值 12 磅 Char"/>
    <w:link w:val="296"/>
    <w:qFormat/>
    <w:locked/>
    <w:uiPriority w:val="0"/>
    <w:rPr>
      <w:rFonts w:ascii="宋体" w:hAnsi="宋体" w:eastAsia="宋体"/>
      <w:color w:val="000000"/>
      <w:szCs w:val="21"/>
      <w:lang w:val="en-US" w:eastAsia="zh-CN" w:bidi="ar-SA"/>
    </w:rPr>
  </w:style>
  <w:style w:type="paragraph" w:customStyle="1" w:styleId="296">
    <w:name w:val="样式 正文文本缩进 2 + 黑色 行距: 固定值 12 磅"/>
    <w:basedOn w:val="1"/>
    <w:link w:val="295"/>
    <w:qFormat/>
    <w:uiPriority w:val="0"/>
    <w:pPr>
      <w:adjustRightInd w:val="0"/>
      <w:spacing w:line="240" w:lineRule="exact"/>
    </w:pPr>
    <w:rPr>
      <w:rFonts w:ascii="宋体" w:hAnsi="宋体"/>
      <w:color w:val="000000"/>
      <w:kern w:val="0"/>
      <w:sz w:val="20"/>
      <w:szCs w:val="21"/>
    </w:rPr>
  </w:style>
  <w:style w:type="character" w:customStyle="1" w:styleId="297">
    <w:name w:val="样式2 Char"/>
    <w:link w:val="298"/>
    <w:qFormat/>
    <w:uiPriority w:val="0"/>
    <w:rPr>
      <w:rFonts w:ascii="Times New Roman" w:hAnsi="Times New Roman"/>
      <w:b/>
      <w:kern w:val="2"/>
      <w:sz w:val="28"/>
      <w:szCs w:val="22"/>
    </w:rPr>
  </w:style>
  <w:style w:type="paragraph" w:customStyle="1" w:styleId="298">
    <w:name w:val="样式2"/>
    <w:basedOn w:val="1"/>
    <w:link w:val="297"/>
    <w:qFormat/>
    <w:uiPriority w:val="0"/>
    <w:pPr>
      <w:adjustRightInd w:val="0"/>
      <w:snapToGrid w:val="0"/>
      <w:spacing w:line="348" w:lineRule="auto"/>
      <w:outlineLvl w:val="1"/>
    </w:pPr>
    <w:rPr>
      <w:b/>
      <w:sz w:val="28"/>
    </w:rPr>
  </w:style>
  <w:style w:type="character" w:customStyle="1" w:styleId="299">
    <w:name w:val="小四 Char"/>
    <w:link w:val="300"/>
    <w:qFormat/>
    <w:locked/>
    <w:uiPriority w:val="0"/>
    <w:rPr>
      <w:rFonts w:ascii="宋体" w:hAnsi="宋体" w:eastAsia="宋体"/>
      <w:color w:val="0000FF"/>
      <w:sz w:val="24"/>
      <w:szCs w:val="24"/>
      <w:lang w:val="en-US" w:eastAsia="zh-CN" w:bidi="ar-SA"/>
    </w:rPr>
  </w:style>
  <w:style w:type="paragraph" w:customStyle="1" w:styleId="300">
    <w:name w:val="小四"/>
    <w:basedOn w:val="1"/>
    <w:link w:val="299"/>
    <w:qFormat/>
    <w:uiPriority w:val="0"/>
    <w:pPr>
      <w:spacing w:line="360" w:lineRule="auto"/>
    </w:pPr>
    <w:rPr>
      <w:rFonts w:ascii="宋体" w:hAnsi="宋体"/>
      <w:color w:val="0000FF"/>
      <w:kern w:val="0"/>
      <w:sz w:val="24"/>
      <w:szCs w:val="24"/>
    </w:rPr>
  </w:style>
  <w:style w:type="character" w:customStyle="1" w:styleId="301">
    <w:name w:val="样式104 Char"/>
    <w:link w:val="302"/>
    <w:qFormat/>
    <w:locked/>
    <w:uiPriority w:val="0"/>
    <w:rPr>
      <w:rFonts w:ascii="仿宋_GB2312" w:eastAsia="仿宋_GB2312"/>
      <w:b/>
      <w:sz w:val="24"/>
      <w:szCs w:val="24"/>
      <w:lang w:val="en-US" w:eastAsia="zh-CN" w:bidi="ar-SA"/>
    </w:rPr>
  </w:style>
  <w:style w:type="paragraph" w:customStyle="1" w:styleId="302">
    <w:name w:val="样式104"/>
    <w:basedOn w:val="303"/>
    <w:link w:val="301"/>
    <w:qFormat/>
    <w:uiPriority w:val="0"/>
    <w:rPr>
      <w:b/>
    </w:rPr>
  </w:style>
  <w:style w:type="paragraph" w:customStyle="1" w:styleId="303">
    <w:name w:val="样式66"/>
    <w:basedOn w:val="1"/>
    <w:link w:val="638"/>
    <w:qFormat/>
    <w:uiPriority w:val="0"/>
    <w:pPr>
      <w:ind w:firstLine="480" w:firstLineChars="200"/>
    </w:pPr>
    <w:rPr>
      <w:rFonts w:ascii="仿宋_GB2312" w:eastAsia="仿宋_GB2312"/>
      <w:kern w:val="0"/>
      <w:sz w:val="24"/>
      <w:szCs w:val="24"/>
    </w:rPr>
  </w:style>
  <w:style w:type="character" w:customStyle="1" w:styleId="304">
    <w:name w:val="样式326 Char"/>
    <w:link w:val="305"/>
    <w:qFormat/>
    <w:locked/>
    <w:uiPriority w:val="0"/>
    <w:rPr>
      <w:rFonts w:ascii="宋体" w:hAnsi="Arial" w:eastAsia="仿宋_GB2312"/>
      <w:b/>
      <w:color w:val="000000"/>
      <w:sz w:val="24"/>
      <w:szCs w:val="24"/>
      <w:lang w:val="en-US" w:eastAsia="zh-CN" w:bidi="ar-SA"/>
    </w:rPr>
  </w:style>
  <w:style w:type="paragraph" w:customStyle="1" w:styleId="305">
    <w:name w:val="样式326"/>
    <w:basedOn w:val="1"/>
    <w:link w:val="304"/>
    <w:qFormat/>
    <w:uiPriority w:val="0"/>
    <w:pPr>
      <w:autoSpaceDE w:val="0"/>
      <w:autoSpaceDN w:val="0"/>
      <w:adjustRightInd w:val="0"/>
      <w:spacing w:line="520" w:lineRule="exact"/>
      <w:ind w:firstLine="475" w:firstLineChars="200"/>
    </w:pPr>
    <w:rPr>
      <w:rFonts w:ascii="宋体" w:hAnsi="Arial" w:eastAsia="仿宋_GB2312"/>
      <w:b/>
      <w:color w:val="000000"/>
      <w:kern w:val="0"/>
      <w:sz w:val="24"/>
      <w:szCs w:val="24"/>
    </w:rPr>
  </w:style>
  <w:style w:type="character" w:customStyle="1" w:styleId="306">
    <w:name w:val="Char3"/>
    <w:qFormat/>
    <w:uiPriority w:val="0"/>
    <w:rPr>
      <w:rFonts w:hint="eastAsia" w:ascii="宋体" w:hAnsi="宋体" w:eastAsia="宋体"/>
      <w:b/>
      <w:bCs/>
      <w:kern w:val="44"/>
      <w:sz w:val="44"/>
      <w:szCs w:val="44"/>
      <w:lang w:val="en-US" w:eastAsia="zh-CN" w:bidi="ar-SA"/>
    </w:rPr>
  </w:style>
  <w:style w:type="character" w:customStyle="1" w:styleId="307">
    <w:name w:val="Char Char15"/>
    <w:qFormat/>
    <w:locked/>
    <w:uiPriority w:val="0"/>
    <w:rPr>
      <w:rFonts w:ascii="Calibri" w:hAnsi="Calibri" w:eastAsia="宋体"/>
      <w:b/>
      <w:bCs/>
      <w:lang w:bidi="ar-SA"/>
    </w:rPr>
  </w:style>
  <w:style w:type="character" w:customStyle="1" w:styleId="308">
    <w:name w:val="cityname1"/>
    <w:qFormat/>
    <w:uiPriority w:val="0"/>
    <w:rPr>
      <w:color w:val="FF0000"/>
      <w:sz w:val="32"/>
      <w:szCs w:val="32"/>
    </w:rPr>
  </w:style>
  <w:style w:type="character" w:customStyle="1" w:styleId="309">
    <w:name w:val="样式46 Char"/>
    <w:link w:val="310"/>
    <w:qFormat/>
    <w:locked/>
    <w:uiPriority w:val="0"/>
    <w:rPr>
      <w:rFonts w:ascii="宋体" w:hAnsi="宋体" w:eastAsia="宋体"/>
      <w:sz w:val="24"/>
      <w:szCs w:val="24"/>
      <w:lang w:val="en-US" w:eastAsia="zh-CN" w:bidi="ar-SA"/>
    </w:rPr>
  </w:style>
  <w:style w:type="paragraph" w:customStyle="1" w:styleId="310">
    <w:name w:val="样式46"/>
    <w:basedOn w:val="182"/>
    <w:link w:val="309"/>
    <w:qFormat/>
    <w:uiPriority w:val="0"/>
  </w:style>
  <w:style w:type="character" w:customStyle="1" w:styleId="311">
    <w:name w:val="!正文(alt+c) Char"/>
    <w:qFormat/>
    <w:uiPriority w:val="0"/>
    <w:rPr>
      <w:rFonts w:eastAsia="宋体"/>
      <w:sz w:val="24"/>
      <w:lang w:val="en-US" w:eastAsia="zh-CN"/>
    </w:rPr>
  </w:style>
  <w:style w:type="character" w:customStyle="1" w:styleId="312">
    <w:name w:val="标题3 Char2"/>
    <w:link w:val="313"/>
    <w:qFormat/>
    <w:locked/>
    <w:uiPriority w:val="0"/>
    <w:rPr>
      <w:rFonts w:eastAsia="黑体"/>
      <w:b/>
      <w:bCs/>
      <w:kern w:val="10"/>
      <w:sz w:val="28"/>
      <w:szCs w:val="28"/>
      <w:lang w:val="en-US" w:eastAsia="zh-CN" w:bidi="ar-SA"/>
    </w:rPr>
  </w:style>
  <w:style w:type="paragraph" w:customStyle="1" w:styleId="313">
    <w:name w:val="标题3"/>
    <w:basedOn w:val="1"/>
    <w:link w:val="312"/>
    <w:qFormat/>
    <w:uiPriority w:val="0"/>
    <w:pPr>
      <w:overflowPunct w:val="0"/>
      <w:topLinePunct/>
      <w:spacing w:before="163" w:beforeLines="50"/>
      <w:outlineLvl w:val="2"/>
    </w:pPr>
    <w:rPr>
      <w:rFonts w:eastAsia="黑体"/>
      <w:b/>
      <w:bCs/>
      <w:kern w:val="10"/>
      <w:sz w:val="28"/>
      <w:szCs w:val="28"/>
    </w:rPr>
  </w:style>
  <w:style w:type="character" w:customStyle="1" w:styleId="314">
    <w:name w:val="普通文字 Char Char Char Char Char Char Char Char Char Char Char Char Char Char Char Char Char Char Char"/>
    <w:qFormat/>
    <w:uiPriority w:val="0"/>
    <w:rPr>
      <w:rFonts w:ascii="宋体" w:hAnsi="Courier New" w:eastAsia="仿宋_GB2312"/>
      <w:kern w:val="2"/>
      <w:sz w:val="28"/>
      <w:lang w:val="en-US" w:eastAsia="zh-CN" w:bidi="ar-SA"/>
    </w:rPr>
  </w:style>
  <w:style w:type="character" w:customStyle="1" w:styleId="315">
    <w:name w:val="样式 !正文 + 首行缩进:  2 字符1 Char"/>
    <w:link w:val="316"/>
    <w:qFormat/>
    <w:uiPriority w:val="0"/>
    <w:rPr>
      <w:rFonts w:ascii="Times New Roman" w:hAnsi="Times New Roman" w:cs="宋体"/>
      <w:color w:val="000000"/>
      <w:sz w:val="24"/>
      <w:u w:color="000000"/>
    </w:rPr>
  </w:style>
  <w:style w:type="paragraph" w:customStyle="1" w:styleId="316">
    <w:name w:val="样式 !正文 + 首行缩进:  2 字符1"/>
    <w:basedOn w:val="317"/>
    <w:link w:val="315"/>
    <w:qFormat/>
    <w:uiPriority w:val="0"/>
    <w:pPr>
      <w:ind w:firstLine="480"/>
    </w:pPr>
    <w:rPr>
      <w:rFonts w:cs="宋体"/>
      <w:szCs w:val="20"/>
    </w:rPr>
  </w:style>
  <w:style w:type="paragraph" w:customStyle="1" w:styleId="317">
    <w:name w:val="!正文"/>
    <w:basedOn w:val="1"/>
    <w:link w:val="459"/>
    <w:qFormat/>
    <w:uiPriority w:val="0"/>
    <w:pPr>
      <w:snapToGrid w:val="0"/>
      <w:spacing w:line="336" w:lineRule="auto"/>
      <w:ind w:firstLine="200" w:firstLineChars="200"/>
      <w:jc w:val="left"/>
      <w:textAlignment w:val="baseline"/>
    </w:pPr>
    <w:rPr>
      <w:color w:val="000000"/>
      <w:kern w:val="0"/>
      <w:sz w:val="24"/>
      <w:szCs w:val="24"/>
      <w:u w:color="000000"/>
    </w:rPr>
  </w:style>
  <w:style w:type="character" w:customStyle="1" w:styleId="318">
    <w:name w:val="样式18 Char1"/>
    <w:link w:val="319"/>
    <w:qFormat/>
    <w:locked/>
    <w:uiPriority w:val="0"/>
    <w:rPr>
      <w:rFonts w:ascii="宋体" w:hAnsi="宋体" w:eastAsia="宋体"/>
      <w:snapToGrid w:val="0"/>
      <w:spacing w:val="8"/>
      <w:szCs w:val="28"/>
      <w:lang w:val="en-US" w:eastAsia="zh-CN" w:bidi="ar-SA"/>
    </w:rPr>
  </w:style>
  <w:style w:type="paragraph" w:customStyle="1" w:styleId="319">
    <w:name w:val="样式18"/>
    <w:basedOn w:val="1"/>
    <w:link w:val="318"/>
    <w:qFormat/>
    <w:uiPriority w:val="0"/>
    <w:pPr>
      <w:snapToGrid w:val="0"/>
      <w:ind w:firstLine="592"/>
    </w:pPr>
    <w:rPr>
      <w:rFonts w:ascii="宋体" w:hAnsi="宋体"/>
      <w:snapToGrid w:val="0"/>
      <w:spacing w:val="8"/>
      <w:kern w:val="0"/>
      <w:sz w:val="20"/>
      <w:szCs w:val="28"/>
    </w:rPr>
  </w:style>
  <w:style w:type="character" w:customStyle="1" w:styleId="320">
    <w:name w:val="title1"/>
    <w:qFormat/>
    <w:uiPriority w:val="0"/>
    <w:rPr>
      <w:b/>
      <w:bCs/>
      <w:vanish/>
      <w:color w:val="FF0000"/>
      <w:sz w:val="39"/>
      <w:szCs w:val="39"/>
    </w:rPr>
  </w:style>
  <w:style w:type="character" w:customStyle="1" w:styleId="321">
    <w:name w:val="正式文本 Char"/>
    <w:qFormat/>
    <w:uiPriority w:val="0"/>
    <w:rPr>
      <w:rFonts w:ascii="Arial Narrow" w:hAnsi="Arial Narrow" w:eastAsia="汉鼎简书宋"/>
      <w:kern w:val="2"/>
      <w:sz w:val="24"/>
      <w:szCs w:val="24"/>
      <w:lang w:val="en-US" w:eastAsia="zh-CN" w:bidi="ar-SA"/>
    </w:rPr>
  </w:style>
  <w:style w:type="character" w:customStyle="1" w:styleId="322">
    <w:name w:val="样式114 Char"/>
    <w:link w:val="278"/>
    <w:qFormat/>
    <w:locked/>
    <w:uiPriority w:val="0"/>
    <w:rPr>
      <w:rFonts w:ascii="黑体" w:hAnsi="黑体" w:eastAsia="黑体"/>
      <w:bCs/>
      <w:color w:val="000000"/>
      <w:sz w:val="24"/>
      <w:szCs w:val="24"/>
      <w:lang w:val="en-US" w:eastAsia="zh-CN" w:bidi="ar-SA"/>
    </w:rPr>
  </w:style>
  <w:style w:type="character" w:customStyle="1" w:styleId="323">
    <w:name w:val="样式116 Char"/>
    <w:link w:val="324"/>
    <w:qFormat/>
    <w:locked/>
    <w:uiPriority w:val="0"/>
    <w:rPr>
      <w:rFonts w:ascii="宋体" w:hAnsi="宋体" w:eastAsia="宋体"/>
      <w:sz w:val="24"/>
      <w:szCs w:val="24"/>
      <w:lang w:val="en-US" w:eastAsia="zh-CN" w:bidi="ar-SA"/>
    </w:rPr>
  </w:style>
  <w:style w:type="paragraph" w:customStyle="1" w:styleId="324">
    <w:name w:val="样式116"/>
    <w:basedOn w:val="236"/>
    <w:link w:val="323"/>
    <w:qFormat/>
    <w:uiPriority w:val="0"/>
    <w:pPr>
      <w:jc w:val="both"/>
    </w:pPr>
  </w:style>
  <w:style w:type="character" w:customStyle="1" w:styleId="325">
    <w:name w:val="样式100 Char"/>
    <w:link w:val="326"/>
    <w:qFormat/>
    <w:locked/>
    <w:uiPriority w:val="0"/>
    <w:rPr>
      <w:rFonts w:ascii="仿宋_GB2312" w:eastAsia="仿宋_GB2312"/>
      <w:sz w:val="24"/>
      <w:szCs w:val="24"/>
      <w:lang w:val="en-US" w:eastAsia="zh-CN" w:bidi="ar-SA"/>
    </w:rPr>
  </w:style>
  <w:style w:type="paragraph" w:customStyle="1" w:styleId="326">
    <w:name w:val="样式100"/>
    <w:basedOn w:val="108"/>
    <w:link w:val="325"/>
    <w:qFormat/>
    <w:uiPriority w:val="0"/>
  </w:style>
  <w:style w:type="character" w:customStyle="1" w:styleId="327">
    <w:name w:val="fontstyle41"/>
    <w:qFormat/>
    <w:uiPriority w:val="0"/>
    <w:rPr>
      <w:rFonts w:hint="default" w:ascii="Times New Roman" w:hAnsi="Times New Roman" w:cs="Times New Roman"/>
      <w:color w:val="000000"/>
      <w:sz w:val="28"/>
      <w:szCs w:val="28"/>
    </w:rPr>
  </w:style>
  <w:style w:type="character" w:customStyle="1" w:styleId="328">
    <w:name w:val="样式 四号 黑色 Char"/>
    <w:link w:val="329"/>
    <w:qFormat/>
    <w:locked/>
    <w:uiPriority w:val="0"/>
    <w:rPr>
      <w:rFonts w:ascii="宋体" w:hAnsi="宋体" w:eastAsia="宋体"/>
      <w:sz w:val="24"/>
      <w:szCs w:val="24"/>
      <w:lang w:val="en-US" w:eastAsia="zh-CN" w:bidi="ar-SA"/>
    </w:rPr>
  </w:style>
  <w:style w:type="paragraph" w:customStyle="1" w:styleId="329">
    <w:name w:val="样式 四号 黑色"/>
    <w:basedOn w:val="1"/>
    <w:link w:val="328"/>
    <w:qFormat/>
    <w:uiPriority w:val="0"/>
    <w:pPr>
      <w:spacing w:line="360" w:lineRule="auto"/>
      <w:ind w:firstLine="560" w:firstLineChars="200"/>
    </w:pPr>
    <w:rPr>
      <w:rFonts w:ascii="宋体" w:hAnsi="宋体"/>
      <w:kern w:val="0"/>
      <w:sz w:val="24"/>
      <w:szCs w:val="24"/>
    </w:rPr>
  </w:style>
  <w:style w:type="character" w:customStyle="1" w:styleId="330">
    <w:name w:val="标题 3 字符"/>
    <w:qFormat/>
    <w:uiPriority w:val="0"/>
    <w:rPr>
      <w:rFonts w:hint="eastAsia" w:ascii="华文楷体" w:hAnsi="华文楷体" w:eastAsia="华文楷体" w:cs="Times New Roman"/>
      <w:b/>
      <w:bCs/>
      <w:kern w:val="2"/>
      <w:sz w:val="32"/>
      <w:szCs w:val="21"/>
    </w:rPr>
  </w:style>
  <w:style w:type="character" w:customStyle="1" w:styleId="331">
    <w:name w:val="(一) Char"/>
    <w:qFormat/>
    <w:uiPriority w:val="0"/>
    <w:rPr>
      <w:rFonts w:ascii="Arial" w:hAnsi="Arial" w:eastAsia="黑体"/>
      <w:b/>
      <w:bCs/>
      <w:kern w:val="2"/>
      <w:sz w:val="28"/>
      <w:szCs w:val="28"/>
      <w:lang w:val="en-US" w:eastAsia="zh-CN" w:bidi="ar-SA"/>
    </w:rPr>
  </w:style>
  <w:style w:type="character" w:customStyle="1" w:styleId="332">
    <w:name w:val="Char Char19"/>
    <w:qFormat/>
    <w:uiPriority w:val="0"/>
    <w:rPr>
      <w:rFonts w:hint="default" w:ascii="Arial Black" w:hAnsi="Arial Black" w:eastAsia="宋体"/>
      <w:b/>
      <w:bCs/>
      <w:kern w:val="44"/>
      <w:sz w:val="44"/>
      <w:szCs w:val="44"/>
      <w:lang w:val="en-US" w:eastAsia="zh-CN" w:bidi="ar-SA"/>
    </w:rPr>
  </w:style>
  <w:style w:type="character" w:customStyle="1" w:styleId="333">
    <w:name w:val="样式36 Char"/>
    <w:link w:val="160"/>
    <w:qFormat/>
    <w:locked/>
    <w:uiPriority w:val="0"/>
    <w:rPr>
      <w:rFonts w:ascii="黑体" w:hAnsi="黑体" w:eastAsia="黑体"/>
      <w:b/>
      <w:color w:val="000000"/>
      <w:sz w:val="30"/>
      <w:szCs w:val="30"/>
      <w:lang w:val="en-US" w:eastAsia="zh-CN" w:bidi="ar-SA"/>
    </w:rPr>
  </w:style>
  <w:style w:type="character" w:customStyle="1" w:styleId="334">
    <w:name w:val="样式12 Char"/>
    <w:link w:val="335"/>
    <w:qFormat/>
    <w:locked/>
    <w:uiPriority w:val="0"/>
    <w:rPr>
      <w:rFonts w:ascii="宋体" w:hAnsi="宋体" w:eastAsia="宋体"/>
      <w:sz w:val="28"/>
      <w:lang w:val="en-US" w:eastAsia="zh-CN" w:bidi="ar-SA"/>
    </w:rPr>
  </w:style>
  <w:style w:type="paragraph" w:customStyle="1" w:styleId="335">
    <w:name w:val="样式12"/>
    <w:basedOn w:val="336"/>
    <w:link w:val="334"/>
    <w:qFormat/>
    <w:uiPriority w:val="0"/>
    <w:pPr>
      <w:tabs>
        <w:tab w:val="left" w:pos="1701"/>
      </w:tabs>
    </w:pPr>
    <w:rPr>
      <w:rFonts w:ascii="宋体" w:hAnsi="宋体" w:cs="Times New Roman"/>
      <w:kern w:val="0"/>
    </w:rPr>
  </w:style>
  <w:style w:type="paragraph" w:customStyle="1" w:styleId="336">
    <w:name w:val="样式 四号 行距: 多倍行距 1.45 字行"/>
    <w:basedOn w:val="1"/>
    <w:qFormat/>
    <w:uiPriority w:val="0"/>
    <w:pPr>
      <w:tabs>
        <w:tab w:val="left" w:pos="1701"/>
      </w:tabs>
      <w:snapToGrid w:val="0"/>
      <w:spacing w:line="348" w:lineRule="auto"/>
    </w:pPr>
    <w:rPr>
      <w:rFonts w:cs="宋体"/>
      <w:sz w:val="28"/>
      <w:szCs w:val="20"/>
    </w:rPr>
  </w:style>
  <w:style w:type="character" w:customStyle="1" w:styleId="337">
    <w:name w:val="列表(L) Char"/>
    <w:link w:val="338"/>
    <w:qFormat/>
    <w:locked/>
    <w:uiPriority w:val="0"/>
    <w:rPr>
      <w:rFonts w:ascii="宋体" w:hAnsi="宋体" w:eastAsia="宋体"/>
      <w:lang w:val="en-US" w:eastAsia="zh-CN" w:bidi="ar-SA"/>
    </w:rPr>
  </w:style>
  <w:style w:type="paragraph" w:customStyle="1" w:styleId="338">
    <w:name w:val="列表(L)"/>
    <w:basedOn w:val="57"/>
    <w:link w:val="337"/>
    <w:qFormat/>
    <w:uiPriority w:val="0"/>
    <w:pPr>
      <w:snapToGrid w:val="0"/>
      <w:ind w:left="0" w:firstLine="0"/>
    </w:pPr>
    <w:rPr>
      <w:rFonts w:ascii="宋体" w:hAnsi="宋体"/>
      <w:kern w:val="0"/>
      <w:sz w:val="20"/>
      <w:szCs w:val="20"/>
    </w:rPr>
  </w:style>
  <w:style w:type="character" w:customStyle="1" w:styleId="339">
    <w:name w:val="样式 正文文本缩进 2 + 黑色 Char"/>
    <w:link w:val="340"/>
    <w:qFormat/>
    <w:locked/>
    <w:uiPriority w:val="0"/>
    <w:rPr>
      <w:rFonts w:ascii="宋体" w:hAnsi="宋体" w:eastAsia="宋体"/>
      <w:color w:val="000000"/>
      <w:szCs w:val="21"/>
      <w:lang w:val="en-US" w:eastAsia="zh-CN" w:bidi="ar-SA"/>
    </w:rPr>
  </w:style>
  <w:style w:type="paragraph" w:customStyle="1" w:styleId="340">
    <w:name w:val="样式 正文文本缩进 2 + 黑色"/>
    <w:basedOn w:val="1"/>
    <w:link w:val="339"/>
    <w:qFormat/>
    <w:uiPriority w:val="0"/>
    <w:pPr>
      <w:adjustRightInd w:val="0"/>
      <w:spacing w:line="320" w:lineRule="exact"/>
      <w:jc w:val="center"/>
    </w:pPr>
    <w:rPr>
      <w:rFonts w:ascii="宋体" w:hAnsi="宋体"/>
      <w:color w:val="000000"/>
      <w:kern w:val="0"/>
      <w:sz w:val="20"/>
      <w:szCs w:val="21"/>
    </w:rPr>
  </w:style>
  <w:style w:type="character" w:customStyle="1" w:styleId="341">
    <w:name w:val="Char Char184"/>
    <w:qFormat/>
    <w:uiPriority w:val="0"/>
    <w:rPr>
      <w:rFonts w:hint="default" w:ascii="Arial" w:hAnsi="Arial" w:eastAsia="宋体" w:cs="Arial"/>
      <w:color w:val="000000"/>
      <w:kern w:val="2"/>
      <w:sz w:val="28"/>
      <w:szCs w:val="36"/>
      <w:lang w:val="en-US" w:eastAsia="zh-CN" w:bidi="ar-SA"/>
    </w:rPr>
  </w:style>
  <w:style w:type="character" w:customStyle="1" w:styleId="342">
    <w:name w:val="样式86 Char"/>
    <w:link w:val="256"/>
    <w:qFormat/>
    <w:locked/>
    <w:uiPriority w:val="0"/>
    <w:rPr>
      <w:rFonts w:ascii="黑体" w:hAnsi="黑体" w:eastAsia="宋体"/>
      <w:b/>
      <w:bCs/>
      <w:color w:val="000000"/>
      <w:kern w:val="44"/>
      <w:sz w:val="44"/>
      <w:szCs w:val="44"/>
      <w:lang w:val="en-US" w:eastAsia="zh-CN" w:bidi="ar-SA"/>
    </w:rPr>
  </w:style>
  <w:style w:type="character" w:customStyle="1" w:styleId="343">
    <w:name w:val="样式 Times New Roman 四号"/>
    <w:qFormat/>
    <w:uiPriority w:val="0"/>
    <w:rPr>
      <w:rFonts w:ascii="Times New Roman" w:hAnsi="Times New Roman" w:eastAsia="宋体"/>
      <w:spacing w:val="0"/>
      <w:kern w:val="0"/>
      <w:sz w:val="24"/>
      <w:lang w:val="en-US" w:eastAsia="zh-CN" w:bidi="ar-SA"/>
    </w:rPr>
  </w:style>
  <w:style w:type="character" w:customStyle="1" w:styleId="344">
    <w:name w:val="Char Char62"/>
    <w:semiHidden/>
    <w:qFormat/>
    <w:uiPriority w:val="0"/>
    <w:rPr>
      <w:rFonts w:hint="eastAsia" w:ascii="宋体" w:hAnsi="宋体" w:eastAsia="宋体"/>
      <w:kern w:val="2"/>
      <w:sz w:val="21"/>
      <w:szCs w:val="24"/>
      <w:lang w:val="en-US" w:eastAsia="zh-CN" w:bidi="ar-SA"/>
    </w:rPr>
  </w:style>
  <w:style w:type="character" w:customStyle="1" w:styleId="345">
    <w:name w:val="章 Char1"/>
    <w:qFormat/>
    <w:uiPriority w:val="0"/>
    <w:rPr>
      <w:rFonts w:ascii="宋体" w:hAnsi="宋体" w:eastAsia="宋体"/>
      <w:b/>
      <w:spacing w:val="-8"/>
      <w:kern w:val="2"/>
      <w:sz w:val="30"/>
      <w:lang w:val="en-US" w:eastAsia="zh-CN" w:bidi="ar-SA"/>
    </w:rPr>
  </w:style>
  <w:style w:type="character" w:customStyle="1" w:styleId="346">
    <w:name w:val="章 Char2"/>
    <w:qFormat/>
    <w:uiPriority w:val="0"/>
    <w:rPr>
      <w:rFonts w:ascii="宋体" w:hAnsi="宋体" w:eastAsia="宋体"/>
      <w:b/>
      <w:spacing w:val="-8"/>
      <w:kern w:val="2"/>
      <w:sz w:val="30"/>
      <w:lang w:val="en-US" w:eastAsia="zh-CN" w:bidi="ar-SA"/>
    </w:rPr>
  </w:style>
  <w:style w:type="character" w:customStyle="1" w:styleId="347">
    <w:name w:val="样式1 Char"/>
    <w:link w:val="348"/>
    <w:qFormat/>
    <w:uiPriority w:val="0"/>
    <w:rPr>
      <w:rFonts w:ascii="Times New Roman"/>
      <w:b/>
      <w:kern w:val="2"/>
      <w:sz w:val="28"/>
      <w:szCs w:val="22"/>
    </w:rPr>
  </w:style>
  <w:style w:type="paragraph" w:customStyle="1" w:styleId="348">
    <w:name w:val="样式1"/>
    <w:basedOn w:val="1"/>
    <w:link w:val="347"/>
    <w:qFormat/>
    <w:uiPriority w:val="0"/>
    <w:pPr>
      <w:adjustRightInd w:val="0"/>
      <w:snapToGrid w:val="0"/>
      <w:spacing w:line="348" w:lineRule="auto"/>
      <w:outlineLvl w:val="0"/>
    </w:pPr>
    <w:rPr>
      <w:b/>
      <w:sz w:val="28"/>
    </w:rPr>
  </w:style>
  <w:style w:type="character" w:customStyle="1" w:styleId="349">
    <w:name w:val="样式 首行缩进:  2 字符 Char"/>
    <w:link w:val="350"/>
    <w:qFormat/>
    <w:uiPriority w:val="0"/>
    <w:rPr>
      <w:rFonts w:ascii="Times New Roman" w:hAnsi="Times New Roman" w:cs="宋体"/>
      <w:kern w:val="2"/>
      <w:sz w:val="28"/>
      <w:szCs w:val="28"/>
    </w:rPr>
  </w:style>
  <w:style w:type="paragraph" w:customStyle="1" w:styleId="350">
    <w:name w:val="样式 首行缩进:  2 字符"/>
    <w:basedOn w:val="1"/>
    <w:link w:val="349"/>
    <w:qFormat/>
    <w:uiPriority w:val="0"/>
    <w:pPr>
      <w:adjustRightInd w:val="0"/>
      <w:snapToGrid w:val="0"/>
      <w:spacing w:line="360" w:lineRule="auto"/>
      <w:ind w:firstLine="560" w:firstLineChars="200"/>
    </w:pPr>
    <w:rPr>
      <w:rFonts w:cs="宋体"/>
      <w:sz w:val="28"/>
      <w:szCs w:val="28"/>
    </w:rPr>
  </w:style>
  <w:style w:type="character" w:customStyle="1" w:styleId="351">
    <w:name w:val="unnamed31"/>
    <w:qFormat/>
    <w:uiPriority w:val="0"/>
    <w:rPr>
      <w:color w:val="000000"/>
      <w:spacing w:val="408"/>
      <w:sz w:val="20"/>
      <w:szCs w:val="20"/>
      <w:u w:val="none"/>
    </w:rPr>
  </w:style>
  <w:style w:type="character" w:customStyle="1" w:styleId="352">
    <w:name w:val="正文文字缩进 31 Char Char"/>
    <w:qFormat/>
    <w:uiPriority w:val="0"/>
    <w:rPr>
      <w:rFonts w:ascii="宋体" w:hAnsi="宋体" w:eastAsia="宋体"/>
      <w:b/>
      <w:color w:val="000000"/>
      <w:sz w:val="28"/>
      <w:lang w:val="en-US" w:eastAsia="zh-CN" w:bidi="ar-SA"/>
    </w:rPr>
  </w:style>
  <w:style w:type="character" w:customStyle="1" w:styleId="353">
    <w:name w:val="标题 9 字符2"/>
    <w:link w:val="11"/>
    <w:qFormat/>
    <w:locked/>
    <w:uiPriority w:val="0"/>
    <w:rPr>
      <w:rFonts w:ascii="Arial" w:hAnsi="Arial" w:eastAsia="黑体"/>
      <w:kern w:val="2"/>
      <w:sz w:val="21"/>
      <w:lang w:val="en-US" w:eastAsia="zh-CN"/>
    </w:rPr>
  </w:style>
  <w:style w:type="character" w:customStyle="1" w:styleId="354">
    <w:name w:val="unnamed1"/>
    <w:qFormat/>
    <w:uiPriority w:val="0"/>
  </w:style>
  <w:style w:type="character" w:customStyle="1" w:styleId="355">
    <w:name w:val="标题 2 字符3"/>
    <w:link w:val="4"/>
    <w:qFormat/>
    <w:uiPriority w:val="9"/>
    <w:rPr>
      <w:b/>
      <w:sz w:val="28"/>
    </w:rPr>
  </w:style>
  <w:style w:type="character" w:customStyle="1" w:styleId="356">
    <w:name w:val="样式 标题 2标题 2 Char Char + 小三 Char Char"/>
    <w:link w:val="357"/>
    <w:qFormat/>
    <w:uiPriority w:val="0"/>
    <w:rPr>
      <w:rFonts w:ascii="Arial" w:hAnsi="Arial"/>
      <w:b/>
      <w:bCs/>
      <w:kern w:val="2"/>
      <w:sz w:val="30"/>
      <w:szCs w:val="32"/>
    </w:rPr>
  </w:style>
  <w:style w:type="paragraph" w:customStyle="1" w:styleId="357">
    <w:name w:val="样式 标题 2标题 2 Char Char + 小三"/>
    <w:basedOn w:val="4"/>
    <w:next w:val="1"/>
    <w:link w:val="356"/>
    <w:qFormat/>
    <w:uiPriority w:val="0"/>
    <w:pPr>
      <w:spacing w:line="288" w:lineRule="auto"/>
    </w:pPr>
    <w:rPr>
      <w:rFonts w:ascii="Arial" w:hAnsi="Arial"/>
      <w:b w:val="0"/>
      <w:sz w:val="30"/>
    </w:rPr>
  </w:style>
  <w:style w:type="character" w:customStyle="1" w:styleId="358">
    <w:name w:val="正文首行缩进2字符 Char"/>
    <w:qFormat/>
    <w:uiPriority w:val="0"/>
    <w:rPr>
      <w:rFonts w:eastAsia="宋体" w:cs="宋体"/>
      <w:sz w:val="28"/>
      <w:lang w:val="en-US" w:eastAsia="zh-CN" w:bidi="ar-SA"/>
    </w:rPr>
  </w:style>
  <w:style w:type="character" w:customStyle="1" w:styleId="359">
    <w:name w:val="Char Char14"/>
    <w:qFormat/>
    <w:locked/>
    <w:uiPriority w:val="0"/>
    <w:rPr>
      <w:kern w:val="2"/>
      <w:sz w:val="24"/>
      <w:szCs w:val="24"/>
      <w:lang w:bidi="ar-SA"/>
    </w:rPr>
  </w:style>
  <w:style w:type="character" w:customStyle="1" w:styleId="360">
    <w:name w:val="表格 Char Char"/>
    <w:link w:val="361"/>
    <w:qFormat/>
    <w:uiPriority w:val="0"/>
    <w:rPr>
      <w:rFonts w:eastAsia="宋体"/>
      <w:lang w:bidi="ar-SA"/>
    </w:rPr>
  </w:style>
  <w:style w:type="paragraph" w:customStyle="1" w:styleId="361">
    <w:name w:val="表格3"/>
    <w:basedOn w:val="1"/>
    <w:link w:val="360"/>
    <w:qFormat/>
    <w:uiPriority w:val="0"/>
    <w:pPr>
      <w:adjustRightInd w:val="0"/>
      <w:snapToGrid w:val="0"/>
      <w:spacing w:before="15" w:beforeLines="5" w:after="15" w:afterLines="5"/>
      <w:jc w:val="center"/>
    </w:pPr>
    <w:rPr>
      <w:kern w:val="0"/>
      <w:sz w:val="20"/>
      <w:szCs w:val="20"/>
    </w:rPr>
  </w:style>
  <w:style w:type="character" w:customStyle="1" w:styleId="362">
    <w:name w:val="宏文本 字符1"/>
    <w:link w:val="2"/>
    <w:semiHidden/>
    <w:qFormat/>
    <w:uiPriority w:val="0"/>
    <w:rPr>
      <w:rFonts w:ascii="Courier New" w:hAnsi="Courier New" w:cs="Courier New"/>
      <w:kern w:val="2"/>
      <w:sz w:val="24"/>
      <w:szCs w:val="24"/>
    </w:rPr>
  </w:style>
  <w:style w:type="character" w:customStyle="1" w:styleId="363">
    <w:name w:val="标题 5 字符2"/>
    <w:link w:val="7"/>
    <w:qFormat/>
    <w:locked/>
    <w:uiPriority w:val="0"/>
    <w:rPr>
      <w:rFonts w:ascii="宋体" w:hAnsi="宋体"/>
      <w:b/>
      <w:kern w:val="2"/>
      <w:sz w:val="28"/>
      <w:lang w:val="en-US" w:eastAsia="zh-CN"/>
    </w:rPr>
  </w:style>
  <w:style w:type="character" w:customStyle="1" w:styleId="364">
    <w:name w:val="t_tag"/>
    <w:qFormat/>
    <w:uiPriority w:val="0"/>
  </w:style>
  <w:style w:type="character" w:customStyle="1" w:styleId="365">
    <w:name w:val="样式 样式 样式 Tahoma 行距: 固定值 29 磅 + + 段前: 0 磅 段后: 0 磅 Char"/>
    <w:link w:val="366"/>
    <w:qFormat/>
    <w:uiPriority w:val="0"/>
    <w:rPr>
      <w:rFonts w:ascii="Times New Roman" w:hAnsi="Times New Roman" w:cs="宋体"/>
      <w:kern w:val="2"/>
      <w:sz w:val="28"/>
    </w:rPr>
  </w:style>
  <w:style w:type="paragraph" w:customStyle="1" w:styleId="366">
    <w:name w:val="样式 样式 样式 Tahoma 行距: 固定值 29 磅 + + 段前: 0 磅 段后: 0 磅"/>
    <w:basedOn w:val="1"/>
    <w:link w:val="365"/>
    <w:qFormat/>
    <w:uiPriority w:val="0"/>
    <w:pPr>
      <w:adjustRightInd w:val="0"/>
      <w:snapToGrid w:val="0"/>
      <w:spacing w:line="500" w:lineRule="atLeast"/>
      <w:ind w:firstLine="561"/>
    </w:pPr>
    <w:rPr>
      <w:rFonts w:cs="宋体"/>
      <w:sz w:val="28"/>
      <w:szCs w:val="20"/>
    </w:rPr>
  </w:style>
  <w:style w:type="character" w:customStyle="1" w:styleId="367">
    <w:name w:val="表格内容 Char"/>
    <w:link w:val="368"/>
    <w:qFormat/>
    <w:uiPriority w:val="0"/>
    <w:rPr>
      <w:rFonts w:ascii="Times New Roman" w:hAnsi="Times New Roman"/>
      <w:snapToGrid/>
      <w:sz w:val="18"/>
      <w:szCs w:val="18"/>
    </w:rPr>
  </w:style>
  <w:style w:type="paragraph" w:customStyle="1" w:styleId="368">
    <w:name w:val="表格内容"/>
    <w:link w:val="367"/>
    <w:qFormat/>
    <w:uiPriority w:val="0"/>
    <w:pPr>
      <w:keepLines/>
      <w:widowControl w:val="0"/>
      <w:adjustRightInd w:val="0"/>
      <w:snapToGrid w:val="0"/>
      <w:jc w:val="center"/>
    </w:pPr>
    <w:rPr>
      <w:rFonts w:ascii="Times New Roman" w:hAnsi="Times New Roman" w:eastAsia="宋体" w:cs="Times New Roman"/>
      <w:snapToGrid w:val="0"/>
      <w:sz w:val="18"/>
      <w:szCs w:val="18"/>
      <w:lang w:val="en-US" w:eastAsia="zh-CN" w:bidi="ar-SA"/>
    </w:rPr>
  </w:style>
  <w:style w:type="character" w:customStyle="1" w:styleId="369">
    <w:name w:val="标题 22"/>
    <w:qFormat/>
    <w:uiPriority w:val="0"/>
    <w:rPr>
      <w:rFonts w:ascii="宋体" w:hAnsi="宋体" w:eastAsia="宋体"/>
      <w:b/>
      <w:spacing w:val="-8"/>
      <w:kern w:val="2"/>
      <w:sz w:val="30"/>
      <w:lang w:val="en-US" w:eastAsia="zh-CN" w:bidi="ar-SA"/>
    </w:rPr>
  </w:style>
  <w:style w:type="character" w:customStyle="1" w:styleId="370">
    <w:name w:val="样式 样式1 Char2 + 宋体 五号 黑色"/>
    <w:qFormat/>
    <w:uiPriority w:val="0"/>
    <w:rPr>
      <w:rFonts w:ascii="宋体" w:hAnsi="宋体" w:eastAsia="宋体"/>
      <w:color w:val="000000"/>
      <w:kern w:val="2"/>
      <w:sz w:val="24"/>
      <w:szCs w:val="24"/>
      <w:lang w:val="en-US" w:eastAsia="zh-CN" w:bidi="ar-SA"/>
    </w:rPr>
  </w:style>
  <w:style w:type="character" w:customStyle="1" w:styleId="371">
    <w:name w:val="正文文本缩进 3 字符1"/>
    <w:link w:val="60"/>
    <w:qFormat/>
    <w:uiPriority w:val="0"/>
    <w:rPr>
      <w:rFonts w:ascii="宋体" w:hAnsi="宋体"/>
      <w:kern w:val="2"/>
      <w:sz w:val="16"/>
      <w:szCs w:val="16"/>
    </w:rPr>
  </w:style>
  <w:style w:type="character" w:customStyle="1" w:styleId="372">
    <w:name w:val="图 Char"/>
    <w:link w:val="373"/>
    <w:qFormat/>
    <w:uiPriority w:val="0"/>
    <w:rPr>
      <w:rFonts w:ascii="宋体" w:hAnsi="宋体"/>
      <w:kern w:val="2"/>
      <w:sz w:val="24"/>
      <w:szCs w:val="24"/>
    </w:rPr>
  </w:style>
  <w:style w:type="paragraph" w:customStyle="1" w:styleId="373">
    <w:name w:val="图"/>
    <w:basedOn w:val="1"/>
    <w:link w:val="372"/>
    <w:qFormat/>
    <w:uiPriority w:val="0"/>
    <w:pPr>
      <w:spacing w:beforeLines="30" w:line="360" w:lineRule="auto"/>
      <w:jc w:val="center"/>
    </w:pPr>
    <w:rPr>
      <w:rFonts w:ascii="宋体" w:hAnsi="宋体"/>
      <w:sz w:val="24"/>
      <w:szCs w:val="24"/>
    </w:rPr>
  </w:style>
  <w:style w:type="character" w:customStyle="1" w:styleId="374">
    <w:name w:val="标题 11"/>
    <w:qFormat/>
    <w:uiPriority w:val="0"/>
    <w:rPr>
      <w:rFonts w:ascii="宋体" w:hAnsi="宋体" w:eastAsia="宋体"/>
      <w:b/>
      <w:bCs/>
      <w:kern w:val="44"/>
      <w:sz w:val="32"/>
      <w:szCs w:val="44"/>
      <w:lang w:val="en-US" w:eastAsia="zh-CN" w:bidi="ar-SA"/>
    </w:rPr>
  </w:style>
  <w:style w:type="character" w:customStyle="1" w:styleId="375">
    <w:name w:val="Char Char12"/>
    <w:qFormat/>
    <w:locked/>
    <w:uiPriority w:val="0"/>
    <w:rPr>
      <w:rFonts w:ascii="宋体" w:hAnsi="宋体" w:eastAsia="宋体"/>
      <w:kern w:val="2"/>
      <w:sz w:val="18"/>
      <w:szCs w:val="18"/>
      <w:lang w:val="en-US" w:eastAsia="zh-CN" w:bidi="ar-SA"/>
    </w:rPr>
  </w:style>
  <w:style w:type="character" w:customStyle="1" w:styleId="376">
    <w:name w:val="样式 标题 2 + 黑体 非加粗1 Char"/>
    <w:link w:val="377"/>
    <w:qFormat/>
    <w:uiPriority w:val="0"/>
    <w:rPr>
      <w:rFonts w:ascii="黑体" w:hAnsi="黑体" w:eastAsia="黑体"/>
      <w:kern w:val="2"/>
      <w:sz w:val="30"/>
      <w:szCs w:val="32"/>
    </w:rPr>
  </w:style>
  <w:style w:type="paragraph" w:customStyle="1" w:styleId="377">
    <w:name w:val="样式 标题 2 + 黑体 非加粗1"/>
    <w:basedOn w:val="4"/>
    <w:link w:val="376"/>
    <w:qFormat/>
    <w:uiPriority w:val="0"/>
    <w:pPr>
      <w:spacing w:before="120" w:after="120" w:line="500" w:lineRule="atLeast"/>
    </w:pPr>
    <w:rPr>
      <w:rFonts w:ascii="黑体" w:hAnsi="黑体" w:eastAsia="黑体"/>
      <w:bCs/>
      <w:sz w:val="30"/>
    </w:rPr>
  </w:style>
  <w:style w:type="character" w:customStyle="1" w:styleId="378">
    <w:name w:val="应用正文 Char Char"/>
    <w:link w:val="379"/>
    <w:qFormat/>
    <w:uiPriority w:val="0"/>
    <w:rPr>
      <w:rFonts w:ascii="仿宋_GB2312" w:eastAsia="仿宋_GB2312" w:cs="宋体"/>
      <w:kern w:val="2"/>
      <w:sz w:val="28"/>
      <w:szCs w:val="24"/>
    </w:rPr>
  </w:style>
  <w:style w:type="paragraph" w:customStyle="1" w:styleId="379">
    <w:name w:val="应用正文 Char"/>
    <w:basedOn w:val="1"/>
    <w:link w:val="378"/>
    <w:qFormat/>
    <w:uiPriority w:val="0"/>
    <w:pPr>
      <w:spacing w:line="360" w:lineRule="auto"/>
      <w:ind w:firstLine="560" w:firstLineChars="200"/>
    </w:pPr>
    <w:rPr>
      <w:rFonts w:ascii="仿宋_GB2312" w:eastAsia="仿宋_GB2312" w:cs="宋体"/>
      <w:sz w:val="28"/>
      <w:szCs w:val="24"/>
    </w:rPr>
  </w:style>
  <w:style w:type="character" w:customStyle="1" w:styleId="380">
    <w:name w:val="文档结构图 字符2"/>
    <w:link w:val="23"/>
    <w:qFormat/>
    <w:uiPriority w:val="0"/>
    <w:rPr>
      <w:rFonts w:ascii="宋体" w:eastAsia="宋体"/>
      <w:sz w:val="18"/>
      <w:szCs w:val="18"/>
    </w:rPr>
  </w:style>
  <w:style w:type="character" w:customStyle="1" w:styleId="381">
    <w:name w:val="a11"/>
    <w:qFormat/>
    <w:uiPriority w:val="0"/>
    <w:rPr>
      <w:spacing w:val="360"/>
      <w:sz w:val="20"/>
      <w:szCs w:val="20"/>
    </w:rPr>
  </w:style>
  <w:style w:type="character" w:customStyle="1" w:styleId="382">
    <w:name w:val="节名 Char Char"/>
    <w:qFormat/>
    <w:uiPriority w:val="0"/>
    <w:rPr>
      <w:rFonts w:ascii="Arial" w:hAnsi="Arial" w:eastAsia="黑体"/>
      <w:bCs/>
      <w:kern w:val="2"/>
      <w:sz w:val="32"/>
      <w:szCs w:val="32"/>
      <w:lang w:val="en-US" w:eastAsia="zh-CN" w:bidi="ar-SA"/>
    </w:rPr>
  </w:style>
  <w:style w:type="character" w:customStyle="1" w:styleId="383">
    <w:name w:val="标题1"/>
    <w:qFormat/>
    <w:uiPriority w:val="0"/>
  </w:style>
  <w:style w:type="character" w:customStyle="1" w:styleId="384">
    <w:name w:val="款名 Char Char"/>
    <w:qFormat/>
    <w:locked/>
    <w:uiPriority w:val="0"/>
    <w:rPr>
      <w:rFonts w:ascii="Arial" w:hAnsi="Arial" w:eastAsia="黑体"/>
      <w:b/>
      <w:bCs/>
      <w:kern w:val="2"/>
      <w:sz w:val="28"/>
      <w:szCs w:val="28"/>
      <w:lang w:val="en-US" w:eastAsia="zh-CN" w:bidi="ar-SA"/>
    </w:rPr>
  </w:style>
  <w:style w:type="character" w:customStyle="1" w:styleId="385">
    <w:name w:val="表格标题 Char"/>
    <w:link w:val="386"/>
    <w:qFormat/>
    <w:uiPriority w:val="0"/>
    <w:rPr>
      <w:rFonts w:ascii="Times New Roman"/>
      <w:b/>
      <w:sz w:val="24"/>
      <w:szCs w:val="24"/>
    </w:rPr>
  </w:style>
  <w:style w:type="paragraph" w:customStyle="1" w:styleId="386">
    <w:name w:val="表格标题"/>
    <w:basedOn w:val="20"/>
    <w:link w:val="385"/>
    <w:qFormat/>
    <w:uiPriority w:val="0"/>
    <w:pPr>
      <w:adjustRightInd w:val="0"/>
      <w:snapToGrid w:val="0"/>
      <w:spacing w:line="348" w:lineRule="auto"/>
      <w:jc w:val="center"/>
    </w:pPr>
    <w:rPr>
      <w:b/>
      <w:kern w:val="0"/>
      <w:sz w:val="24"/>
      <w:szCs w:val="24"/>
    </w:rPr>
  </w:style>
  <w:style w:type="character" w:customStyle="1" w:styleId="387">
    <w:name w:val="表文字 Char"/>
    <w:qFormat/>
    <w:uiPriority w:val="0"/>
    <w:rPr>
      <w:rFonts w:eastAsia="宋体"/>
      <w:sz w:val="21"/>
      <w:szCs w:val="21"/>
      <w:lang w:val="en-US" w:eastAsia="zh-CN" w:bidi="ar-SA"/>
    </w:rPr>
  </w:style>
  <w:style w:type="character" w:customStyle="1" w:styleId="388">
    <w:name w:val="样式 样式 标题 2 + 红色 + 自动设置 Char Char1"/>
    <w:link w:val="389"/>
    <w:qFormat/>
    <w:uiPriority w:val="0"/>
    <w:rPr>
      <w:rFonts w:ascii="Arial" w:hAnsi="Arial" w:eastAsia="新宋体"/>
      <w:b/>
      <w:bCs/>
      <w:color w:val="FF0000"/>
      <w:spacing w:val="-8"/>
      <w:kern w:val="2"/>
      <w:sz w:val="28"/>
      <w:szCs w:val="32"/>
    </w:rPr>
  </w:style>
  <w:style w:type="paragraph" w:customStyle="1" w:styleId="389">
    <w:name w:val="样式 样式 标题 2 + 红色 + 自动设置 Char"/>
    <w:basedOn w:val="390"/>
    <w:link w:val="388"/>
    <w:qFormat/>
    <w:uiPriority w:val="0"/>
    <w:rPr>
      <w:rFonts w:eastAsia="新宋体"/>
      <w:spacing w:val="-8"/>
    </w:rPr>
  </w:style>
  <w:style w:type="paragraph" w:customStyle="1" w:styleId="390">
    <w:name w:val="样式 标题 2 + 红色"/>
    <w:basedOn w:val="4"/>
    <w:qFormat/>
    <w:uiPriority w:val="0"/>
    <w:rPr>
      <w:rFonts w:ascii="Arial" w:hAnsi="Arial" w:eastAsia="黑体"/>
      <w:b w:val="0"/>
      <w:color w:val="FF0000"/>
    </w:rPr>
  </w:style>
  <w:style w:type="character" w:customStyle="1" w:styleId="391">
    <w:name w:val="apple-converted-space"/>
    <w:qFormat/>
    <w:uiPriority w:val="0"/>
  </w:style>
  <w:style w:type="character" w:customStyle="1" w:styleId="392">
    <w:name w:val="正缩1 Char Char Char Char"/>
    <w:link w:val="393"/>
    <w:qFormat/>
    <w:uiPriority w:val="0"/>
    <w:rPr>
      <w:rFonts w:ascii="仿宋_GB2312" w:hAnsi="Arial Narrow" w:eastAsia="仿宋_GB2312"/>
      <w:color w:val="000000"/>
      <w:kern w:val="2"/>
      <w:sz w:val="28"/>
    </w:rPr>
  </w:style>
  <w:style w:type="paragraph" w:customStyle="1" w:styleId="393">
    <w:name w:val="正缩1 Char Char Char"/>
    <w:basedOn w:val="1"/>
    <w:link w:val="392"/>
    <w:qFormat/>
    <w:uiPriority w:val="0"/>
    <w:pPr>
      <w:snapToGrid w:val="0"/>
      <w:spacing w:line="560" w:lineRule="exact"/>
      <w:ind w:firstLine="567"/>
    </w:pPr>
    <w:rPr>
      <w:rFonts w:ascii="仿宋_GB2312" w:hAnsi="Arial Narrow" w:eastAsia="仿宋_GB2312"/>
      <w:color w:val="000000"/>
      <w:sz w:val="28"/>
      <w:szCs w:val="20"/>
    </w:rPr>
  </w:style>
  <w:style w:type="character" w:customStyle="1" w:styleId="394">
    <w:name w:val="标题 21"/>
    <w:qFormat/>
    <w:uiPriority w:val="0"/>
    <w:rPr>
      <w:rFonts w:ascii="宋体" w:hAnsi="宋体" w:eastAsia="宋体"/>
      <w:b/>
      <w:spacing w:val="-8"/>
      <w:kern w:val="2"/>
      <w:sz w:val="30"/>
      <w:lang w:val="en-US" w:eastAsia="zh-CN" w:bidi="ar-SA"/>
    </w:rPr>
  </w:style>
  <w:style w:type="character" w:customStyle="1" w:styleId="395">
    <w:name w:val="!表标题(alt+h) Char"/>
    <w:qFormat/>
    <w:uiPriority w:val="0"/>
    <w:rPr>
      <w:rFonts w:eastAsia="黑体"/>
      <w:sz w:val="24"/>
      <w:lang w:val="en-US" w:eastAsia="zh-CN"/>
    </w:rPr>
  </w:style>
  <w:style w:type="character" w:customStyle="1" w:styleId="396">
    <w:name w:val="!正文(alt+c) Char4"/>
    <w:link w:val="397"/>
    <w:qFormat/>
    <w:uiPriority w:val="0"/>
    <w:rPr>
      <w:rFonts w:ascii="Times New Roman" w:hAnsi="Times New Roman"/>
      <w:sz w:val="24"/>
    </w:rPr>
  </w:style>
  <w:style w:type="paragraph" w:customStyle="1" w:styleId="397">
    <w:name w:val="!正文(alt+c)"/>
    <w:link w:val="396"/>
    <w:qFormat/>
    <w:uiPriority w:val="0"/>
    <w:pPr>
      <w:spacing w:line="420" w:lineRule="exact"/>
      <w:ind w:firstLine="480" w:firstLineChars="200"/>
      <w:jc w:val="both"/>
    </w:pPr>
    <w:rPr>
      <w:rFonts w:ascii="Times New Roman" w:hAnsi="Times New Roman" w:eastAsia="宋体" w:cs="Times New Roman"/>
      <w:sz w:val="24"/>
      <w:lang w:val="en-US" w:eastAsia="zh-CN" w:bidi="ar-SA"/>
    </w:rPr>
  </w:style>
  <w:style w:type="character" w:customStyle="1" w:styleId="398">
    <w:name w:val="注释标题 字符1"/>
    <w:link w:val="16"/>
    <w:qFormat/>
    <w:uiPriority w:val="0"/>
    <w:rPr>
      <w:rFonts w:ascii="Times New Roman" w:hAnsi="Times New Roman" w:eastAsia="楷体_GB2312"/>
      <w:kern w:val="2"/>
      <w:sz w:val="21"/>
    </w:rPr>
  </w:style>
  <w:style w:type="character" w:customStyle="1" w:styleId="399">
    <w:name w:val="!正文(alt+c) Char1"/>
    <w:qFormat/>
    <w:uiPriority w:val="0"/>
    <w:rPr>
      <w:rFonts w:eastAsia="宋体"/>
      <w:sz w:val="24"/>
      <w:lang w:val="en-US" w:eastAsia="zh-CN"/>
    </w:rPr>
  </w:style>
  <w:style w:type="character" w:customStyle="1" w:styleId="400">
    <w:name w:val="gg_body Char"/>
    <w:qFormat/>
    <w:uiPriority w:val="0"/>
    <w:rPr>
      <w:rFonts w:ascii="宋体" w:hAnsi="宋体" w:eastAsia="宋体"/>
      <w:kern w:val="2"/>
      <w:sz w:val="24"/>
      <w:lang w:val="en-US" w:eastAsia="zh-CN"/>
    </w:rPr>
  </w:style>
  <w:style w:type="character" w:customStyle="1" w:styleId="401">
    <w:name w:val="text-s1"/>
    <w:qFormat/>
    <w:uiPriority w:val="0"/>
    <w:rPr>
      <w:sz w:val="20"/>
      <w:szCs w:val="20"/>
    </w:rPr>
  </w:style>
  <w:style w:type="character" w:customStyle="1" w:styleId="402">
    <w:name w:val="样式 !正文(alt+c) + 黑色 Char"/>
    <w:qFormat/>
    <w:uiPriority w:val="0"/>
    <w:rPr>
      <w:rFonts w:eastAsia="宋体"/>
      <w:color w:val="000000"/>
      <w:sz w:val="24"/>
      <w:lang w:val="en-US" w:eastAsia="zh-CN"/>
    </w:rPr>
  </w:style>
  <w:style w:type="character" w:customStyle="1" w:styleId="403">
    <w:name w:val="正文文本缩进 字符3"/>
    <w:link w:val="32"/>
    <w:qFormat/>
    <w:uiPriority w:val="0"/>
    <w:rPr>
      <w:rFonts w:ascii="宋体" w:hAnsi="宋体"/>
      <w:kern w:val="2"/>
      <w:sz w:val="28"/>
      <w:szCs w:val="24"/>
    </w:rPr>
  </w:style>
  <w:style w:type="character" w:customStyle="1" w:styleId="404">
    <w:name w:val="环评正文 Char"/>
    <w:link w:val="405"/>
    <w:qFormat/>
    <w:uiPriority w:val="0"/>
    <w:rPr>
      <w:rFonts w:ascii="Times New Roman" w:hAnsi="Times New Roman" w:eastAsia="仿宋_GB2312"/>
      <w:kern w:val="2"/>
      <w:sz w:val="24"/>
      <w:szCs w:val="24"/>
    </w:rPr>
  </w:style>
  <w:style w:type="paragraph" w:customStyle="1" w:styleId="405">
    <w:name w:val="环评正文"/>
    <w:basedOn w:val="1"/>
    <w:link w:val="404"/>
    <w:qFormat/>
    <w:uiPriority w:val="0"/>
    <w:pPr>
      <w:spacing w:before="60" w:after="60" w:line="400" w:lineRule="exact"/>
      <w:ind w:firstLine="200" w:firstLineChars="200"/>
    </w:pPr>
    <w:rPr>
      <w:rFonts w:eastAsia="仿宋_GB2312"/>
      <w:sz w:val="24"/>
      <w:szCs w:val="24"/>
    </w:rPr>
  </w:style>
  <w:style w:type="character" w:customStyle="1" w:styleId="406">
    <w:name w:val="样式 仿宋_GB2312"/>
    <w:qFormat/>
    <w:uiPriority w:val="0"/>
    <w:rPr>
      <w:rFonts w:ascii="仿宋_GB2312" w:eastAsia="仿宋_GB2312"/>
      <w:kern w:val="0"/>
    </w:rPr>
  </w:style>
  <w:style w:type="character" w:customStyle="1" w:styleId="407">
    <w:name w:val="ss"/>
    <w:qFormat/>
    <w:uiPriority w:val="0"/>
  </w:style>
  <w:style w:type="character" w:customStyle="1" w:styleId="408">
    <w:name w:val="!注_字符(alt+p)"/>
    <w:qFormat/>
    <w:uiPriority w:val="0"/>
    <w:rPr>
      <w:rFonts w:eastAsia="宋体"/>
      <w:sz w:val="21"/>
    </w:rPr>
  </w:style>
  <w:style w:type="character" w:customStyle="1" w:styleId="409">
    <w:name w:val="样式 样式 样式 样式 Tahoma 行距: 固定值 29 磅 + + 段前: 0 磅 段后: 0 磅 + 首行缩进:  0.8... Char"/>
    <w:link w:val="410"/>
    <w:qFormat/>
    <w:uiPriority w:val="0"/>
    <w:rPr>
      <w:rFonts w:ascii="Times New Roman" w:hAnsi="Times New Roman" w:cs="宋体"/>
      <w:kern w:val="2"/>
      <w:sz w:val="28"/>
    </w:rPr>
  </w:style>
  <w:style w:type="paragraph" w:customStyle="1" w:styleId="410">
    <w:name w:val="样式 样式 样式 样式 Tahoma 行距: 固定值 29 磅 + + 段前: 0 磅 段后: 0 磅 + 首行缩进:  0.8..."/>
    <w:basedOn w:val="1"/>
    <w:link w:val="409"/>
    <w:qFormat/>
    <w:uiPriority w:val="0"/>
    <w:pPr>
      <w:adjustRightInd w:val="0"/>
      <w:snapToGrid w:val="0"/>
      <w:spacing w:line="500" w:lineRule="atLeast"/>
      <w:ind w:firstLine="561"/>
    </w:pPr>
    <w:rPr>
      <w:rFonts w:cs="宋体"/>
      <w:sz w:val="28"/>
      <w:szCs w:val="20"/>
    </w:rPr>
  </w:style>
  <w:style w:type="character" w:customStyle="1" w:styleId="411">
    <w:name w:val="表头小四 Char"/>
    <w:link w:val="412"/>
    <w:qFormat/>
    <w:uiPriority w:val="0"/>
    <w:rPr>
      <w:rFonts w:ascii="Times New Roman" w:hAnsi="Times New Roman"/>
      <w:b/>
      <w:kern w:val="2"/>
      <w:sz w:val="24"/>
    </w:rPr>
  </w:style>
  <w:style w:type="paragraph" w:customStyle="1" w:styleId="412">
    <w:name w:val="表头小四"/>
    <w:basedOn w:val="1"/>
    <w:link w:val="411"/>
    <w:qFormat/>
    <w:uiPriority w:val="0"/>
    <w:pPr>
      <w:tabs>
        <w:tab w:val="center" w:pos="4320"/>
        <w:tab w:val="right" w:pos="8460"/>
      </w:tabs>
      <w:adjustRightInd w:val="0"/>
      <w:snapToGrid w:val="0"/>
      <w:spacing w:before="93" w:beforeLines="30" w:line="360" w:lineRule="auto"/>
      <w:jc w:val="left"/>
    </w:pPr>
    <w:rPr>
      <w:b/>
      <w:sz w:val="24"/>
      <w:szCs w:val="20"/>
    </w:rPr>
  </w:style>
  <w:style w:type="character" w:customStyle="1" w:styleId="413">
    <w:name w:val="dectext1"/>
    <w:qFormat/>
    <w:uiPriority w:val="0"/>
    <w:rPr>
      <w:rFonts w:hint="eastAsia" w:ascii="宋体" w:hAnsi="宋体" w:eastAsia="宋体"/>
      <w:color w:val="333333"/>
      <w:sz w:val="28"/>
      <w:szCs w:val="28"/>
      <w:u w:val="none"/>
    </w:rPr>
  </w:style>
  <w:style w:type="character" w:customStyle="1" w:styleId="414">
    <w:name w:val="HP3 Char"/>
    <w:qFormat/>
    <w:locked/>
    <w:uiPriority w:val="0"/>
    <w:rPr>
      <w:rFonts w:ascii="宋体" w:hAnsi="宋体" w:eastAsia="宋体"/>
      <w:b/>
      <w:kern w:val="2"/>
      <w:sz w:val="24"/>
      <w:szCs w:val="24"/>
      <w:lang w:val="en-US" w:eastAsia="zh-CN" w:bidi="ar-SA"/>
    </w:rPr>
  </w:style>
  <w:style w:type="character" w:customStyle="1" w:styleId="415">
    <w:name w:val="批注主题 字符2"/>
    <w:link w:val="73"/>
    <w:semiHidden/>
    <w:qFormat/>
    <w:uiPriority w:val="0"/>
    <w:rPr>
      <w:rFonts w:ascii="Calibri" w:hAnsi="Calibri" w:eastAsia="宋体" w:cs="Times New Roman"/>
      <w:b/>
      <w:bCs/>
    </w:rPr>
  </w:style>
  <w:style w:type="character" w:customStyle="1" w:styleId="416">
    <w:name w:val="普通文字 Char1"/>
    <w:qFormat/>
    <w:uiPriority w:val="0"/>
    <w:rPr>
      <w:rFonts w:ascii="宋体" w:hAnsi="Courier New" w:eastAsia="宋体" w:cs="Courier New"/>
      <w:kern w:val="2"/>
      <w:sz w:val="21"/>
      <w:szCs w:val="21"/>
      <w:lang w:val="en-US" w:eastAsia="zh-CN" w:bidi="ar-SA"/>
    </w:rPr>
  </w:style>
  <w:style w:type="character" w:customStyle="1" w:styleId="417">
    <w:name w:val="表号 Char"/>
    <w:qFormat/>
    <w:uiPriority w:val="0"/>
    <w:rPr>
      <w:rFonts w:eastAsia="宋体"/>
      <w:b/>
      <w:kern w:val="32"/>
      <w:sz w:val="24"/>
      <w:lang w:val="en-US" w:eastAsia="zh-CN" w:bidi="ar-SA"/>
    </w:rPr>
  </w:style>
  <w:style w:type="character" w:customStyle="1" w:styleId="418">
    <w:name w:val="hb3 Char Char"/>
    <w:qFormat/>
    <w:uiPriority w:val="0"/>
    <w:rPr>
      <w:rFonts w:ascii="宋体" w:hAnsi="宋体" w:eastAsia="宋体" w:cs="宋体"/>
      <w:b/>
      <w:bCs/>
      <w:sz w:val="32"/>
      <w:szCs w:val="32"/>
      <w:lang w:val="en-US" w:eastAsia="zh-CN"/>
    </w:rPr>
  </w:style>
  <w:style w:type="character" w:customStyle="1" w:styleId="419">
    <w:name w:val="标题 3 字符3"/>
    <w:link w:val="5"/>
    <w:qFormat/>
    <w:uiPriority w:val="9"/>
    <w:rPr>
      <w:sz w:val="28"/>
      <w:szCs w:val="22"/>
    </w:rPr>
  </w:style>
  <w:style w:type="character" w:customStyle="1" w:styleId="420">
    <w:name w:val="条，(一) Char"/>
    <w:qFormat/>
    <w:locked/>
    <w:uiPriority w:val="0"/>
    <w:rPr>
      <w:rFonts w:ascii="宋体" w:hAnsi="宋体" w:eastAsia="宋体"/>
      <w:bCs/>
      <w:kern w:val="2"/>
      <w:sz w:val="28"/>
      <w:szCs w:val="24"/>
      <w:lang w:val="en-US" w:eastAsia="zh-CN" w:bidi="ar-SA"/>
    </w:rPr>
  </w:style>
  <w:style w:type="character" w:customStyle="1" w:styleId="421">
    <w:name w:val="hb2 Char Char"/>
    <w:qFormat/>
    <w:uiPriority w:val="0"/>
    <w:rPr>
      <w:rFonts w:ascii="宋体" w:hAnsi="宋体" w:eastAsia="宋体" w:cs="Arial"/>
      <w:b/>
      <w:bCs/>
      <w:sz w:val="28"/>
      <w:szCs w:val="28"/>
      <w:lang w:val="en-US" w:eastAsia="zh-CN" w:bidi="ar-SA"/>
    </w:rPr>
  </w:style>
  <w:style w:type="character" w:customStyle="1" w:styleId="422">
    <w:name w:val="普通文字 Char"/>
    <w:qFormat/>
    <w:uiPriority w:val="0"/>
    <w:rPr>
      <w:rFonts w:ascii="宋体" w:hAnsi="Courier New" w:eastAsia="宋体" w:cs="Courier New"/>
      <w:kern w:val="2"/>
      <w:sz w:val="21"/>
      <w:szCs w:val="21"/>
      <w:lang w:val="en-US" w:eastAsia="zh-CN" w:bidi="ar-SA"/>
    </w:rPr>
  </w:style>
  <w:style w:type="character" w:customStyle="1" w:styleId="423">
    <w:name w:val="尾注文本 字符1"/>
    <w:link w:val="47"/>
    <w:semiHidden/>
    <w:qFormat/>
    <w:locked/>
    <w:uiPriority w:val="0"/>
    <w:rPr>
      <w:rFonts w:ascii="Courier New" w:hAnsi="Courier New" w:eastAsia="宋体" w:cs="Courier New"/>
      <w:kern w:val="2"/>
      <w:sz w:val="24"/>
      <w:szCs w:val="24"/>
      <w:lang w:val="en-US" w:eastAsia="zh-CN" w:bidi="ar-SA"/>
    </w:rPr>
  </w:style>
  <w:style w:type="character" w:customStyle="1" w:styleId="424">
    <w:name w:val="正文文本缩进 2 字符1"/>
    <w:link w:val="46"/>
    <w:qFormat/>
    <w:uiPriority w:val="0"/>
    <w:rPr>
      <w:rFonts w:ascii="宋体" w:hAnsi="宋体"/>
      <w:kern w:val="2"/>
      <w:sz w:val="28"/>
      <w:szCs w:val="24"/>
    </w:rPr>
  </w:style>
  <w:style w:type="character" w:customStyle="1" w:styleId="425">
    <w:name w:val="样式 hb3 Char Char + 非加粗"/>
    <w:qFormat/>
    <w:uiPriority w:val="0"/>
    <w:rPr>
      <w:rFonts w:ascii="宋体" w:hAnsi="宋体" w:eastAsia="宋体" w:cs="宋体"/>
      <w:b/>
      <w:bCs/>
      <w:sz w:val="24"/>
      <w:szCs w:val="32"/>
      <w:lang w:val="en-US" w:eastAsia="zh-CN"/>
    </w:rPr>
  </w:style>
  <w:style w:type="character" w:customStyle="1" w:styleId="426">
    <w:name w:val="z-窗体底端 字符1"/>
    <w:link w:val="427"/>
    <w:semiHidden/>
    <w:qFormat/>
    <w:locked/>
    <w:uiPriority w:val="0"/>
    <w:rPr>
      <w:rFonts w:eastAsia="宋体"/>
      <w:kern w:val="2"/>
      <w:sz w:val="18"/>
      <w:szCs w:val="18"/>
      <w:lang w:val="en-US" w:eastAsia="zh-CN" w:bidi="ar-SA"/>
    </w:rPr>
  </w:style>
  <w:style w:type="paragraph" w:customStyle="1" w:styleId="427">
    <w:name w:val="z-窗体底端1"/>
    <w:basedOn w:val="1"/>
    <w:next w:val="1"/>
    <w:link w:val="426"/>
    <w:qFormat/>
    <w:uiPriority w:val="0"/>
    <w:pPr>
      <w:pBdr>
        <w:top w:val="single" w:color="auto" w:sz="6" w:space="1"/>
      </w:pBdr>
      <w:jc w:val="center"/>
    </w:pPr>
    <w:rPr>
      <w:sz w:val="18"/>
      <w:szCs w:val="18"/>
    </w:rPr>
  </w:style>
  <w:style w:type="character" w:customStyle="1" w:styleId="428">
    <w:name w:val="标题 1 字符3"/>
    <w:link w:val="3"/>
    <w:qFormat/>
    <w:uiPriority w:val="9"/>
    <w:rPr>
      <w:b/>
      <w:sz w:val="28"/>
    </w:rPr>
  </w:style>
  <w:style w:type="character" w:customStyle="1" w:styleId="429">
    <w:name w:val="x正文 Char1"/>
    <w:link w:val="430"/>
    <w:qFormat/>
    <w:uiPriority w:val="0"/>
    <w:rPr>
      <w:kern w:val="2"/>
      <w:sz w:val="24"/>
    </w:rPr>
  </w:style>
  <w:style w:type="paragraph" w:customStyle="1" w:styleId="430">
    <w:name w:val="x正文"/>
    <w:basedOn w:val="1"/>
    <w:link w:val="429"/>
    <w:qFormat/>
    <w:uiPriority w:val="0"/>
    <w:pPr>
      <w:spacing w:line="300" w:lineRule="auto"/>
      <w:ind w:firstLine="200" w:firstLineChars="200"/>
    </w:pPr>
    <w:rPr>
      <w:sz w:val="24"/>
      <w:szCs w:val="20"/>
    </w:rPr>
  </w:style>
  <w:style w:type="character" w:customStyle="1" w:styleId="431">
    <w:name w:val="表头 Char2"/>
    <w:qFormat/>
    <w:uiPriority w:val="0"/>
    <w:rPr>
      <w:rFonts w:ascii="宋体" w:hAnsi="宋体" w:eastAsia="宋体" w:cs="宋体"/>
      <w:b/>
      <w:bCs/>
      <w:kern w:val="24"/>
      <w:sz w:val="24"/>
      <w:szCs w:val="28"/>
      <w:lang w:val="en-US" w:eastAsia="zh-CN" w:bidi="ar-SA"/>
    </w:rPr>
  </w:style>
  <w:style w:type="character" w:customStyle="1" w:styleId="432">
    <w:name w:val="hb4 Char"/>
    <w:qFormat/>
    <w:uiPriority w:val="0"/>
    <w:rPr>
      <w:rFonts w:ascii="宋体" w:hAnsi="Arial" w:eastAsia="宋体" w:cs="宋体"/>
      <w:kern w:val="2"/>
      <w:sz w:val="24"/>
      <w:szCs w:val="24"/>
      <w:lang w:val="en-US" w:eastAsia="zh-CN" w:bidi="ar-SA"/>
    </w:rPr>
  </w:style>
  <w:style w:type="character" w:customStyle="1" w:styleId="433">
    <w:name w:val="标题 6 字符2"/>
    <w:link w:val="8"/>
    <w:qFormat/>
    <w:uiPriority w:val="0"/>
    <w:rPr>
      <w:rFonts w:ascii="Arial" w:hAnsi="Arial" w:eastAsia="黑体"/>
      <w:b/>
      <w:kern w:val="2"/>
      <w:sz w:val="28"/>
      <w:lang w:val="en-US" w:eastAsia="zh-CN"/>
    </w:rPr>
  </w:style>
  <w:style w:type="character" w:customStyle="1" w:styleId="434">
    <w:name w:val="表格（10号字） Char Char"/>
    <w:link w:val="435"/>
    <w:qFormat/>
    <w:uiPriority w:val="0"/>
    <w:rPr>
      <w:rFonts w:hAnsi="宋体"/>
      <w:color w:val="000000"/>
    </w:rPr>
  </w:style>
  <w:style w:type="paragraph" w:customStyle="1" w:styleId="435">
    <w:name w:val="表格（10号字）"/>
    <w:basedOn w:val="1"/>
    <w:link w:val="434"/>
    <w:qFormat/>
    <w:uiPriority w:val="0"/>
    <w:pPr>
      <w:adjustRightInd w:val="0"/>
      <w:snapToGrid w:val="0"/>
      <w:spacing w:before="15" w:beforeLines="5" w:after="15" w:afterLines="5"/>
      <w:jc w:val="center"/>
      <w:textAlignment w:val="center"/>
    </w:pPr>
    <w:rPr>
      <w:rFonts w:hAnsi="宋体"/>
      <w:color w:val="000000"/>
      <w:kern w:val="0"/>
      <w:sz w:val="20"/>
      <w:szCs w:val="20"/>
    </w:rPr>
  </w:style>
  <w:style w:type="character" w:customStyle="1" w:styleId="436">
    <w:name w:val="正文文本 字符2"/>
    <w:link w:val="31"/>
    <w:qFormat/>
    <w:uiPriority w:val="0"/>
    <w:rPr>
      <w:rFonts w:ascii="宋体" w:hAnsi="宋体"/>
      <w:sz w:val="24"/>
      <w:szCs w:val="24"/>
      <w:lang w:eastAsia="en-US"/>
    </w:rPr>
  </w:style>
  <w:style w:type="character" w:customStyle="1" w:styleId="437">
    <w:name w:val="页脚 字符2"/>
    <w:link w:val="50"/>
    <w:qFormat/>
    <w:uiPriority w:val="0"/>
    <w:rPr>
      <w:sz w:val="18"/>
      <w:szCs w:val="18"/>
    </w:rPr>
  </w:style>
  <w:style w:type="character" w:customStyle="1" w:styleId="438">
    <w:name w:val="H-4 Char"/>
    <w:qFormat/>
    <w:locked/>
    <w:uiPriority w:val="0"/>
    <w:rPr>
      <w:rFonts w:ascii="宋体" w:hAnsi="宋体" w:eastAsia="宋体"/>
      <w:bCs/>
      <w:kern w:val="2"/>
      <w:sz w:val="28"/>
      <w:szCs w:val="24"/>
      <w:lang w:val="en-US" w:eastAsia="zh-CN" w:bidi="ar-SA"/>
    </w:rPr>
  </w:style>
  <w:style w:type="character" w:customStyle="1" w:styleId="439">
    <w:name w:val="样式3 Char"/>
    <w:link w:val="440"/>
    <w:qFormat/>
    <w:uiPriority w:val="0"/>
    <w:rPr>
      <w:rFonts w:ascii="Times New Roman" w:hAnsi="Times New Roman"/>
      <w:kern w:val="2"/>
      <w:sz w:val="28"/>
      <w:szCs w:val="22"/>
    </w:rPr>
  </w:style>
  <w:style w:type="paragraph" w:customStyle="1" w:styleId="440">
    <w:name w:val="样式3"/>
    <w:basedOn w:val="1"/>
    <w:link w:val="439"/>
    <w:qFormat/>
    <w:uiPriority w:val="0"/>
    <w:pPr>
      <w:adjustRightInd w:val="0"/>
      <w:snapToGrid w:val="0"/>
      <w:spacing w:line="348" w:lineRule="auto"/>
      <w:outlineLvl w:val="2"/>
    </w:pPr>
    <w:rPr>
      <w:sz w:val="28"/>
    </w:rPr>
  </w:style>
  <w:style w:type="character" w:customStyle="1" w:styleId="441">
    <w:name w:val="Char Char6"/>
    <w:qFormat/>
    <w:locked/>
    <w:uiPriority w:val="0"/>
    <w:rPr>
      <w:rFonts w:ascii="宋体" w:eastAsia="宋体"/>
      <w:b/>
      <w:kern w:val="2"/>
      <w:sz w:val="21"/>
      <w:szCs w:val="24"/>
      <w:lang w:val="en-US" w:eastAsia="zh-CN" w:bidi="ar-SA"/>
    </w:rPr>
  </w:style>
  <w:style w:type="character" w:customStyle="1" w:styleId="442">
    <w:name w:val="Q3 Char"/>
    <w:qFormat/>
    <w:uiPriority w:val="0"/>
    <w:rPr>
      <w:rFonts w:eastAsia="黑体"/>
      <w:b/>
      <w:caps/>
      <w:kern w:val="20"/>
      <w:sz w:val="28"/>
      <w:szCs w:val="28"/>
      <w:lang w:val="en-US" w:eastAsia="zh-CN" w:bidi="ar-SA"/>
    </w:rPr>
  </w:style>
  <w:style w:type="character" w:customStyle="1" w:styleId="443">
    <w:name w:val="页眉 字符4"/>
    <w:link w:val="51"/>
    <w:qFormat/>
    <w:uiPriority w:val="99"/>
    <w:rPr>
      <w:sz w:val="18"/>
      <w:szCs w:val="18"/>
    </w:rPr>
  </w:style>
  <w:style w:type="character" w:customStyle="1" w:styleId="444">
    <w:name w:val="批注文字 字符5"/>
    <w:link w:val="25"/>
    <w:qFormat/>
    <w:uiPriority w:val="99"/>
  </w:style>
  <w:style w:type="character" w:customStyle="1" w:styleId="445">
    <w:name w:val="标题 Char1"/>
    <w:qFormat/>
    <w:uiPriority w:val="10"/>
    <w:rPr>
      <w:rFonts w:ascii="Cambria" w:hAnsi="Cambria" w:cs="Times New Roman"/>
      <w:b/>
      <w:bCs/>
      <w:kern w:val="2"/>
      <w:sz w:val="32"/>
      <w:szCs w:val="32"/>
    </w:rPr>
  </w:style>
  <w:style w:type="character" w:customStyle="1" w:styleId="446">
    <w:name w:val="日期 字符2"/>
    <w:link w:val="45"/>
    <w:qFormat/>
    <w:uiPriority w:val="0"/>
    <w:rPr>
      <w:kern w:val="2"/>
      <w:sz w:val="21"/>
      <w:szCs w:val="22"/>
    </w:rPr>
  </w:style>
  <w:style w:type="character" w:customStyle="1" w:styleId="447">
    <w:name w:val="Char Char10"/>
    <w:qFormat/>
    <w:locked/>
    <w:uiPriority w:val="0"/>
    <w:rPr>
      <w:rFonts w:eastAsia="宋体"/>
      <w:spacing w:val="-20"/>
      <w:kern w:val="2"/>
      <w:sz w:val="28"/>
      <w:szCs w:val="24"/>
      <w:lang w:val="en-US" w:eastAsia="zh-CN" w:bidi="ar-SA"/>
    </w:rPr>
  </w:style>
  <w:style w:type="character" w:customStyle="1" w:styleId="448">
    <w:name w:val="标题 9 Char"/>
    <w:qFormat/>
    <w:uiPriority w:val="0"/>
    <w:rPr>
      <w:rFonts w:ascii="Cambria" w:hAnsi="Cambria" w:eastAsia="宋体" w:cs="Times New Roman"/>
      <w:kern w:val="2"/>
      <w:sz w:val="21"/>
      <w:szCs w:val="21"/>
    </w:rPr>
  </w:style>
  <w:style w:type="character" w:customStyle="1" w:styleId="449">
    <w:name w:val="z-窗体顶端 字符1"/>
    <w:link w:val="450"/>
    <w:qFormat/>
    <w:locked/>
    <w:uiPriority w:val="0"/>
    <w:rPr>
      <w:rFonts w:eastAsia="楷体_GB2312"/>
      <w:kern w:val="2"/>
      <w:sz w:val="21"/>
      <w:lang w:val="en-US" w:eastAsia="zh-CN" w:bidi="ar-SA"/>
    </w:rPr>
  </w:style>
  <w:style w:type="paragraph" w:customStyle="1" w:styleId="450">
    <w:name w:val="z-窗体顶端1"/>
    <w:basedOn w:val="1"/>
    <w:next w:val="1"/>
    <w:link w:val="449"/>
    <w:qFormat/>
    <w:uiPriority w:val="0"/>
    <w:pPr>
      <w:pBdr>
        <w:bottom w:val="single" w:color="auto" w:sz="6" w:space="1"/>
      </w:pBdr>
      <w:jc w:val="center"/>
    </w:pPr>
    <w:rPr>
      <w:rFonts w:eastAsia="楷体_GB2312"/>
      <w:szCs w:val="20"/>
    </w:rPr>
  </w:style>
  <w:style w:type="character" w:customStyle="1" w:styleId="451">
    <w:name w:val="!正文(alt+c) Char2"/>
    <w:qFormat/>
    <w:uiPriority w:val="0"/>
    <w:rPr>
      <w:rFonts w:eastAsia="宋体"/>
      <w:sz w:val="24"/>
      <w:szCs w:val="24"/>
      <w:lang w:val="en-US" w:eastAsia="zh-CN" w:bidi="ar-SA"/>
    </w:rPr>
  </w:style>
  <w:style w:type="character" w:customStyle="1" w:styleId="452">
    <w:name w:val="标题 字符1"/>
    <w:link w:val="72"/>
    <w:qFormat/>
    <w:uiPriority w:val="0"/>
    <w:rPr>
      <w:kern w:val="2"/>
      <w:sz w:val="18"/>
      <w:szCs w:val="18"/>
    </w:rPr>
  </w:style>
  <w:style w:type="character" w:customStyle="1" w:styleId="453">
    <w:name w:val="样式1 Char2"/>
    <w:qFormat/>
    <w:uiPriority w:val="0"/>
    <w:rPr>
      <w:rFonts w:ascii="Times New Roman" w:hAnsi="Times New Roman" w:eastAsia="宋体" w:cs="Times New Roman"/>
      <w:sz w:val="24"/>
      <w:szCs w:val="24"/>
    </w:rPr>
  </w:style>
  <w:style w:type="character" w:customStyle="1" w:styleId="454">
    <w:name w:val="表格五号字 + 加粗 Char Char"/>
    <w:link w:val="455"/>
    <w:qFormat/>
    <w:locked/>
    <w:uiPriority w:val="0"/>
    <w:rPr>
      <w:rFonts w:ascii="Times New Roman" w:hAnsi="Times New Roman"/>
      <w:b/>
      <w:bCs/>
      <w:sz w:val="21"/>
    </w:rPr>
  </w:style>
  <w:style w:type="paragraph" w:customStyle="1" w:styleId="455">
    <w:name w:val="表格五号字 + 加粗"/>
    <w:basedOn w:val="456"/>
    <w:link w:val="454"/>
    <w:qFormat/>
    <w:uiPriority w:val="0"/>
    <w:pPr>
      <w:spacing w:before="93" w:after="93"/>
    </w:pPr>
    <w:rPr>
      <w:b/>
      <w:bCs/>
    </w:rPr>
  </w:style>
  <w:style w:type="paragraph" w:customStyle="1" w:styleId="456">
    <w:name w:val="表格五号字"/>
    <w:basedOn w:val="1"/>
    <w:link w:val="554"/>
    <w:qFormat/>
    <w:uiPriority w:val="0"/>
    <w:pPr>
      <w:adjustRightInd w:val="0"/>
      <w:snapToGrid w:val="0"/>
      <w:spacing w:beforeLines="20" w:afterLines="20"/>
      <w:jc w:val="center"/>
    </w:pPr>
    <w:rPr>
      <w:kern w:val="0"/>
      <w:szCs w:val="20"/>
    </w:rPr>
  </w:style>
  <w:style w:type="character" w:customStyle="1" w:styleId="457">
    <w:name w:val="纯文本 Char2"/>
    <w:qFormat/>
    <w:uiPriority w:val="0"/>
    <w:rPr>
      <w:rFonts w:ascii="宋体" w:hAnsi="Courier New" w:eastAsia="宋体"/>
      <w:kern w:val="2"/>
      <w:sz w:val="24"/>
      <w:lang w:val="en-US" w:eastAsia="zh-CN" w:bidi="ar-SA"/>
    </w:rPr>
  </w:style>
  <w:style w:type="character" w:customStyle="1" w:styleId="458">
    <w:name w:val="ca-41"/>
    <w:qFormat/>
    <w:uiPriority w:val="0"/>
    <w:rPr>
      <w:rFonts w:hint="eastAsia" w:ascii="宋体" w:hAnsi="宋体" w:eastAsia="宋体"/>
      <w:color w:val="FF0000"/>
      <w:sz w:val="24"/>
      <w:szCs w:val="24"/>
    </w:rPr>
  </w:style>
  <w:style w:type="character" w:customStyle="1" w:styleId="459">
    <w:name w:val="!正文 Char"/>
    <w:link w:val="317"/>
    <w:qFormat/>
    <w:uiPriority w:val="0"/>
    <w:rPr>
      <w:rFonts w:ascii="Times New Roman" w:hAnsi="Times New Roman"/>
      <w:color w:val="000000"/>
      <w:sz w:val="24"/>
      <w:szCs w:val="24"/>
      <w:u w:color="000000"/>
    </w:rPr>
  </w:style>
  <w:style w:type="character" w:customStyle="1" w:styleId="460">
    <w:name w:val="样式 标题 1 + 红色 Char Char Char"/>
    <w:link w:val="461"/>
    <w:qFormat/>
    <w:uiPriority w:val="0"/>
    <w:rPr>
      <w:rFonts w:ascii="Times New Roman" w:hAnsi="Times New Roman" w:eastAsia="黑体"/>
      <w:bCs/>
      <w:color w:val="FF0000"/>
      <w:kern w:val="44"/>
      <w:sz w:val="32"/>
      <w:szCs w:val="44"/>
    </w:rPr>
  </w:style>
  <w:style w:type="paragraph" w:customStyle="1" w:styleId="461">
    <w:name w:val="样式 标题 1 + 红色 Char Char"/>
    <w:basedOn w:val="3"/>
    <w:link w:val="460"/>
    <w:qFormat/>
    <w:uiPriority w:val="0"/>
    <w:rPr>
      <w:rFonts w:eastAsia="黑体"/>
      <w:b w:val="0"/>
      <w:color w:val="FF0000"/>
      <w:sz w:val="32"/>
    </w:rPr>
  </w:style>
  <w:style w:type="character" w:customStyle="1" w:styleId="462">
    <w:name w:val="!正文(alt+c) Char3"/>
    <w:qFormat/>
    <w:uiPriority w:val="0"/>
    <w:rPr>
      <w:rFonts w:eastAsia="宋体"/>
      <w:sz w:val="24"/>
      <w:lang w:val="en-US" w:eastAsia="zh-CN"/>
    </w:rPr>
  </w:style>
  <w:style w:type="character" w:customStyle="1" w:styleId="463">
    <w:name w:val="正文文本 3 字符1"/>
    <w:link w:val="28"/>
    <w:qFormat/>
    <w:uiPriority w:val="0"/>
    <w:rPr>
      <w:rFonts w:ascii="Times New Roman" w:hAnsi="Times New Roman"/>
      <w:kern w:val="2"/>
      <w:sz w:val="16"/>
      <w:szCs w:val="16"/>
    </w:rPr>
  </w:style>
  <w:style w:type="character" w:customStyle="1" w:styleId="464">
    <w:name w:val="g Char Char"/>
    <w:qFormat/>
    <w:uiPriority w:val="0"/>
    <w:rPr>
      <w:rFonts w:eastAsia="宋体"/>
      <w:kern w:val="2"/>
      <w:sz w:val="18"/>
      <w:szCs w:val="18"/>
      <w:lang w:val="en-US" w:eastAsia="zh-CN" w:bidi="ar-SA"/>
    </w:rPr>
  </w:style>
  <w:style w:type="character" w:customStyle="1" w:styleId="465">
    <w:name w:val="特点标题 Char"/>
    <w:qFormat/>
    <w:uiPriority w:val="0"/>
    <w:rPr>
      <w:rFonts w:ascii="宋体" w:hAnsi="宋体" w:eastAsia="宋体"/>
      <w:kern w:val="2"/>
      <w:sz w:val="28"/>
      <w:szCs w:val="24"/>
      <w:lang w:val="en-US" w:eastAsia="zh-CN" w:bidi="ar-SA"/>
    </w:rPr>
  </w:style>
  <w:style w:type="character" w:customStyle="1" w:styleId="466">
    <w:name w:val="123YJ Char1"/>
    <w:qFormat/>
    <w:locked/>
    <w:uiPriority w:val="0"/>
    <w:rPr>
      <w:rFonts w:ascii="仿宋_GB2312" w:eastAsia="仿宋_GB2312"/>
      <w:kern w:val="2"/>
      <w:sz w:val="18"/>
      <w:szCs w:val="18"/>
      <w:lang w:bidi="ar-SA"/>
    </w:rPr>
  </w:style>
  <w:style w:type="character" w:customStyle="1" w:styleId="467">
    <w:name w:val="表头 Char1"/>
    <w:qFormat/>
    <w:uiPriority w:val="0"/>
    <w:rPr>
      <w:rFonts w:eastAsia="宋体"/>
      <w:b/>
      <w:kern w:val="32"/>
      <w:sz w:val="24"/>
      <w:lang w:val="en-US" w:eastAsia="zh-CN" w:bidi="ar-SA"/>
    </w:rPr>
  </w:style>
  <w:style w:type="character" w:customStyle="1" w:styleId="468">
    <w:name w:val="样式4 Char"/>
    <w:link w:val="469"/>
    <w:qFormat/>
    <w:uiPriority w:val="0"/>
    <w:rPr>
      <w:rFonts w:ascii="Times New Roman" w:hAnsi="Times New Roman"/>
      <w:kern w:val="2"/>
      <w:sz w:val="28"/>
      <w:szCs w:val="22"/>
    </w:rPr>
  </w:style>
  <w:style w:type="paragraph" w:customStyle="1" w:styleId="469">
    <w:name w:val="样式4"/>
    <w:basedOn w:val="76"/>
    <w:link w:val="468"/>
    <w:qFormat/>
    <w:uiPriority w:val="0"/>
    <w:pPr>
      <w:ind w:firstLine="0" w:firstLineChars="0"/>
      <w:outlineLvl w:val="3"/>
    </w:pPr>
  </w:style>
  <w:style w:type="character" w:customStyle="1" w:styleId="470">
    <w:name w:val="纯文本 字符2"/>
    <w:link w:val="41"/>
    <w:qFormat/>
    <w:uiPriority w:val="99"/>
    <w:rPr>
      <w:rFonts w:ascii="宋体" w:hAnsi="Courier New" w:cs="Courier New"/>
      <w:kern w:val="2"/>
      <w:sz w:val="21"/>
      <w:szCs w:val="21"/>
    </w:rPr>
  </w:style>
  <w:style w:type="character" w:customStyle="1" w:styleId="471">
    <w:name w:val="样式 图号 + 宋体 Char"/>
    <w:qFormat/>
    <w:uiPriority w:val="0"/>
    <w:rPr>
      <w:rFonts w:ascii="宋体" w:hAnsi="宋体" w:eastAsia="宋体"/>
      <w:b/>
      <w:bCs/>
      <w:kern w:val="32"/>
      <w:sz w:val="24"/>
      <w:szCs w:val="24"/>
      <w:lang w:val="en-US" w:eastAsia="zh-CN" w:bidi="ar-SA"/>
    </w:rPr>
  </w:style>
  <w:style w:type="character" w:customStyle="1" w:styleId="472">
    <w:name w:val="标题 4 字符2"/>
    <w:link w:val="6"/>
    <w:qFormat/>
    <w:uiPriority w:val="9"/>
    <w:rPr>
      <w:sz w:val="28"/>
    </w:rPr>
  </w:style>
  <w:style w:type="character" w:customStyle="1" w:styleId="473">
    <w:name w:val="Char Char11"/>
    <w:qFormat/>
    <w:locked/>
    <w:uiPriority w:val="0"/>
    <w:rPr>
      <w:rFonts w:eastAsia="宋体"/>
      <w:kern w:val="2"/>
      <w:sz w:val="18"/>
      <w:szCs w:val="18"/>
      <w:lang w:val="en-US" w:eastAsia="zh-CN" w:bidi="ar-SA"/>
    </w:rPr>
  </w:style>
  <w:style w:type="character" w:customStyle="1" w:styleId="474">
    <w:name w:val="标题 5 Char"/>
    <w:semiHidden/>
    <w:qFormat/>
    <w:uiPriority w:val="9"/>
    <w:rPr>
      <w:b/>
      <w:bCs/>
      <w:kern w:val="2"/>
      <w:sz w:val="28"/>
      <w:szCs w:val="28"/>
    </w:rPr>
  </w:style>
  <w:style w:type="character" w:customStyle="1" w:styleId="475">
    <w:name w:val="页脚 Char Char Char"/>
    <w:qFormat/>
    <w:uiPriority w:val="0"/>
    <w:rPr>
      <w:rFonts w:eastAsia="宋体"/>
      <w:kern w:val="2"/>
      <w:sz w:val="18"/>
      <w:szCs w:val="18"/>
      <w:lang w:val="en-US" w:eastAsia="zh-CN" w:bidi="ar-SA"/>
    </w:rPr>
  </w:style>
  <w:style w:type="character" w:customStyle="1" w:styleId="476">
    <w:name w:val="Char Char111"/>
    <w:qFormat/>
    <w:locked/>
    <w:uiPriority w:val="0"/>
    <w:rPr>
      <w:rFonts w:eastAsia="宋体"/>
      <w:kern w:val="2"/>
      <w:sz w:val="18"/>
      <w:szCs w:val="18"/>
      <w:lang w:val="en-US" w:eastAsia="zh-CN" w:bidi="ar-SA"/>
    </w:rPr>
  </w:style>
  <w:style w:type="character" w:customStyle="1" w:styleId="477">
    <w:name w:val="样式5 Char"/>
    <w:link w:val="478"/>
    <w:qFormat/>
    <w:uiPriority w:val="0"/>
    <w:rPr>
      <w:rFonts w:ascii="Times New Roman" w:hAnsi="Times New Roman"/>
      <w:kern w:val="2"/>
      <w:sz w:val="28"/>
      <w:szCs w:val="22"/>
    </w:rPr>
  </w:style>
  <w:style w:type="paragraph" w:customStyle="1" w:styleId="478">
    <w:name w:val="样式5"/>
    <w:basedOn w:val="76"/>
    <w:link w:val="477"/>
    <w:qFormat/>
    <w:uiPriority w:val="0"/>
    <w:pPr>
      <w:outlineLvl w:val="4"/>
    </w:pPr>
  </w:style>
  <w:style w:type="character" w:customStyle="1" w:styleId="479">
    <w:name w:val="defaultfont"/>
    <w:qFormat/>
    <w:uiPriority w:val="0"/>
  </w:style>
  <w:style w:type="character" w:customStyle="1" w:styleId="480">
    <w:name w:val="Char Char141"/>
    <w:semiHidden/>
    <w:qFormat/>
    <w:uiPriority w:val="0"/>
    <w:rPr>
      <w:rFonts w:eastAsia="宋体"/>
      <w:kern w:val="2"/>
      <w:sz w:val="21"/>
      <w:szCs w:val="24"/>
      <w:lang w:val="en-US" w:eastAsia="zh-CN" w:bidi="ar-SA"/>
    </w:rPr>
  </w:style>
  <w:style w:type="character" w:customStyle="1" w:styleId="481">
    <w:name w:val="正文文本缩进 3 Char1"/>
    <w:semiHidden/>
    <w:qFormat/>
    <w:uiPriority w:val="0"/>
    <w:rPr>
      <w:rFonts w:ascii="Times New Roman" w:hAnsi="Times New Roman" w:eastAsia="宋体" w:cs="Times New Roman"/>
      <w:sz w:val="16"/>
      <w:szCs w:val="16"/>
    </w:rPr>
  </w:style>
  <w:style w:type="character" w:customStyle="1" w:styleId="482">
    <w:name w:val="Q3 Char Char"/>
    <w:link w:val="483"/>
    <w:qFormat/>
    <w:uiPriority w:val="0"/>
    <w:rPr>
      <w:rFonts w:eastAsia="黑体"/>
      <w:b/>
      <w:caps/>
      <w:kern w:val="20"/>
      <w:sz w:val="28"/>
      <w:szCs w:val="28"/>
    </w:rPr>
  </w:style>
  <w:style w:type="paragraph" w:customStyle="1" w:styleId="483">
    <w:name w:val="Q3"/>
    <w:basedOn w:val="5"/>
    <w:link w:val="482"/>
    <w:qFormat/>
    <w:uiPriority w:val="0"/>
    <w:pPr>
      <w:widowControl/>
      <w:spacing w:before="156" w:beforeLines="50" w:line="360" w:lineRule="auto"/>
      <w:jc w:val="left"/>
    </w:pPr>
    <w:rPr>
      <w:rFonts w:eastAsia="黑体"/>
      <w:b/>
      <w:bCs/>
      <w:caps/>
      <w:kern w:val="20"/>
      <w:szCs w:val="28"/>
    </w:rPr>
  </w:style>
  <w:style w:type="character" w:customStyle="1" w:styleId="484">
    <w:name w:val="正文文字1 Char"/>
    <w:qFormat/>
    <w:uiPriority w:val="0"/>
    <w:rPr>
      <w:rFonts w:eastAsia="宋体"/>
      <w:kern w:val="2"/>
      <w:sz w:val="24"/>
      <w:lang w:val="en-US" w:eastAsia="zh-CN" w:bidi="ar-SA"/>
    </w:rPr>
  </w:style>
  <w:style w:type="character" w:customStyle="1" w:styleId="485">
    <w:name w:val="Char Char9"/>
    <w:qFormat/>
    <w:locked/>
    <w:uiPriority w:val="0"/>
    <w:rPr>
      <w:rFonts w:ascii="宋体" w:hAnsi="宋体" w:eastAsia="宋体"/>
      <w:kern w:val="2"/>
      <w:sz w:val="28"/>
      <w:lang w:val="en-US" w:eastAsia="zh-CN" w:bidi="ar-SA"/>
    </w:rPr>
  </w:style>
  <w:style w:type="character" w:customStyle="1" w:styleId="486">
    <w:name w:val="图表头 Char1"/>
    <w:qFormat/>
    <w:uiPriority w:val="0"/>
    <w:rPr>
      <w:rFonts w:ascii="宋体" w:hAnsi="宋体" w:eastAsia="宋体"/>
      <w:b/>
      <w:kern w:val="2"/>
      <w:sz w:val="24"/>
      <w:lang w:val="en-US" w:eastAsia="zh-CN"/>
    </w:rPr>
  </w:style>
  <w:style w:type="character" w:customStyle="1" w:styleId="487">
    <w:name w:val="正文首行缩进 2 字符"/>
    <w:link w:val="75"/>
    <w:qFormat/>
    <w:uiPriority w:val="0"/>
    <w:rPr>
      <w:rFonts w:ascii="Times New Roman" w:hAnsi="Times New Roman"/>
      <w:kern w:val="2"/>
      <w:sz w:val="28"/>
      <w:szCs w:val="22"/>
    </w:rPr>
  </w:style>
  <w:style w:type="character" w:customStyle="1" w:styleId="488">
    <w:name w:val="正文(首行缩进) Char"/>
    <w:link w:val="489"/>
    <w:qFormat/>
    <w:uiPriority w:val="0"/>
    <w:rPr>
      <w:rFonts w:ascii="Times New Roman" w:hAnsi="Times New Roman"/>
      <w:snapToGrid/>
      <w:spacing w:val="-4"/>
      <w:sz w:val="24"/>
      <w:szCs w:val="24"/>
    </w:rPr>
  </w:style>
  <w:style w:type="paragraph" w:customStyle="1" w:styleId="489">
    <w:name w:val="正文(首行缩进)"/>
    <w:basedOn w:val="1"/>
    <w:link w:val="488"/>
    <w:qFormat/>
    <w:uiPriority w:val="0"/>
    <w:pPr>
      <w:tabs>
        <w:tab w:val="left" w:pos="5526"/>
      </w:tabs>
      <w:spacing w:line="360" w:lineRule="auto"/>
      <w:ind w:firstLine="455" w:firstLineChars="196"/>
    </w:pPr>
    <w:rPr>
      <w:snapToGrid w:val="0"/>
      <w:spacing w:val="-4"/>
      <w:kern w:val="0"/>
      <w:sz w:val="24"/>
      <w:szCs w:val="24"/>
    </w:rPr>
  </w:style>
  <w:style w:type="character" w:customStyle="1" w:styleId="490">
    <w:name w:val="表号 Char2"/>
    <w:qFormat/>
    <w:uiPriority w:val="0"/>
    <w:rPr>
      <w:rFonts w:ascii="Arial Narrow" w:hAnsi="Arial Narrow" w:eastAsia="汉鼎简书宋"/>
      <w:kern w:val="2"/>
      <w:sz w:val="24"/>
      <w:szCs w:val="24"/>
      <w:lang w:val="en-US" w:eastAsia="zh-CN" w:bidi="ar-SA"/>
    </w:rPr>
  </w:style>
  <w:style w:type="character" w:customStyle="1" w:styleId="491">
    <w:name w:val="批注主题 Char1"/>
    <w:semiHidden/>
    <w:qFormat/>
    <w:uiPriority w:val="99"/>
    <w:rPr>
      <w:rFonts w:ascii="Calibri" w:hAnsi="Calibri" w:eastAsia="宋体" w:cs="Times New Roman"/>
      <w:b/>
      <w:bCs/>
    </w:rPr>
  </w:style>
  <w:style w:type="character" w:customStyle="1" w:styleId="492">
    <w:name w:val="123YJ Char Char"/>
    <w:qFormat/>
    <w:locked/>
    <w:uiPriority w:val="0"/>
    <w:rPr>
      <w:rFonts w:eastAsia="宋体"/>
      <w:kern w:val="2"/>
      <w:sz w:val="18"/>
      <w:szCs w:val="18"/>
      <w:lang w:val="en-US" w:eastAsia="zh-CN" w:bidi="ar-SA"/>
    </w:rPr>
  </w:style>
  <w:style w:type="character" w:customStyle="1" w:styleId="493">
    <w:name w:val="标题 23"/>
    <w:qFormat/>
    <w:uiPriority w:val="0"/>
    <w:rPr>
      <w:rFonts w:ascii="宋体" w:hAnsi="宋体" w:eastAsia="宋体"/>
      <w:b/>
      <w:spacing w:val="-8"/>
      <w:kern w:val="2"/>
      <w:sz w:val="30"/>
      <w:lang w:val="en-US" w:eastAsia="zh-CN" w:bidi="ar-SA"/>
    </w:rPr>
  </w:style>
  <w:style w:type="character" w:customStyle="1" w:styleId="494">
    <w:name w:val="正文文本缩进 Char"/>
    <w:qFormat/>
    <w:uiPriority w:val="0"/>
    <w:rPr>
      <w:kern w:val="2"/>
      <w:sz w:val="21"/>
      <w:szCs w:val="22"/>
    </w:rPr>
  </w:style>
  <w:style w:type="character" w:customStyle="1" w:styleId="495">
    <w:name w:val="表文字 Char Char"/>
    <w:qFormat/>
    <w:uiPriority w:val="0"/>
    <w:rPr>
      <w:rFonts w:eastAsia="宋体"/>
      <w:sz w:val="21"/>
      <w:szCs w:val="21"/>
      <w:lang w:val="en-US" w:eastAsia="zh-CN" w:bidi="ar-SA"/>
    </w:rPr>
  </w:style>
  <w:style w:type="character" w:customStyle="1" w:styleId="496">
    <w:name w:val="表格标题1 Char Char"/>
    <w:link w:val="497"/>
    <w:qFormat/>
    <w:locked/>
    <w:uiPriority w:val="0"/>
    <w:rPr>
      <w:rFonts w:ascii="黑体" w:hAnsi="黑体" w:eastAsia="黑体"/>
      <w:b/>
      <w:sz w:val="24"/>
      <w:szCs w:val="24"/>
      <w:lang w:val="en-US" w:eastAsia="zh-CN" w:bidi="ar-SA"/>
    </w:rPr>
  </w:style>
  <w:style w:type="paragraph" w:customStyle="1" w:styleId="497">
    <w:name w:val="表格标题1 Char"/>
    <w:basedOn w:val="1"/>
    <w:next w:val="1"/>
    <w:link w:val="496"/>
    <w:qFormat/>
    <w:uiPriority w:val="0"/>
    <w:pPr>
      <w:spacing w:line="360" w:lineRule="auto"/>
      <w:jc w:val="center"/>
    </w:pPr>
    <w:rPr>
      <w:rFonts w:ascii="黑体" w:hAnsi="黑体" w:eastAsia="黑体"/>
      <w:b/>
      <w:kern w:val="0"/>
      <w:sz w:val="24"/>
      <w:szCs w:val="24"/>
    </w:rPr>
  </w:style>
  <w:style w:type="character" w:customStyle="1" w:styleId="498">
    <w:name w:val="图名 Char"/>
    <w:link w:val="499"/>
    <w:qFormat/>
    <w:uiPriority w:val="0"/>
    <w:rPr>
      <w:sz w:val="24"/>
      <w:szCs w:val="22"/>
    </w:rPr>
  </w:style>
  <w:style w:type="paragraph" w:customStyle="1" w:styleId="499">
    <w:name w:val="图名"/>
    <w:basedOn w:val="1"/>
    <w:next w:val="1"/>
    <w:link w:val="498"/>
    <w:qFormat/>
    <w:uiPriority w:val="0"/>
    <w:pPr>
      <w:jc w:val="center"/>
    </w:pPr>
    <w:rPr>
      <w:kern w:val="0"/>
      <w:sz w:val="24"/>
    </w:rPr>
  </w:style>
  <w:style w:type="character" w:customStyle="1" w:styleId="500">
    <w:name w:val="cnd1"/>
    <w:qFormat/>
    <w:uiPriority w:val="0"/>
    <w:rPr>
      <w:color w:val="000000"/>
      <w:spacing w:val="260"/>
      <w:sz w:val="18"/>
      <w:szCs w:val="18"/>
    </w:rPr>
  </w:style>
  <w:style w:type="character" w:customStyle="1" w:styleId="501">
    <w:name w:val="样式64 Char"/>
    <w:link w:val="502"/>
    <w:qFormat/>
    <w:locked/>
    <w:uiPriority w:val="0"/>
    <w:rPr>
      <w:rFonts w:ascii="黑体" w:hAnsi="黑体" w:eastAsia="黑体"/>
      <w:b/>
      <w:i/>
      <w:color w:val="000000"/>
      <w:sz w:val="24"/>
      <w:szCs w:val="30"/>
      <w:lang w:val="en-US" w:eastAsia="zh-CN" w:bidi="ar-SA"/>
    </w:rPr>
  </w:style>
  <w:style w:type="paragraph" w:customStyle="1" w:styleId="502">
    <w:name w:val="样式64"/>
    <w:basedOn w:val="503"/>
    <w:link w:val="501"/>
    <w:qFormat/>
    <w:uiPriority w:val="0"/>
    <w:pPr>
      <w:spacing w:line="240" w:lineRule="auto"/>
    </w:pPr>
    <w:rPr>
      <w:rFonts w:ascii="黑体" w:hAnsi="黑体" w:eastAsia="黑体"/>
      <w:i/>
      <w:sz w:val="24"/>
    </w:rPr>
  </w:style>
  <w:style w:type="paragraph" w:customStyle="1" w:styleId="503">
    <w:name w:val="样式41"/>
    <w:basedOn w:val="504"/>
    <w:link w:val="623"/>
    <w:qFormat/>
    <w:uiPriority w:val="0"/>
    <w:rPr>
      <w:sz w:val="28"/>
    </w:rPr>
  </w:style>
  <w:style w:type="paragraph" w:customStyle="1" w:styleId="504">
    <w:name w:val="样式 标题 3B HeadH3标题 33ReHead 3 WSAh3条标题1.1.1三级标题BOD 0sec..."/>
    <w:basedOn w:val="1"/>
    <w:link w:val="555"/>
    <w:qFormat/>
    <w:uiPriority w:val="0"/>
    <w:pPr>
      <w:keepNext/>
      <w:keepLines/>
      <w:adjustRightInd w:val="0"/>
      <w:spacing w:before="120" w:after="120" w:line="520" w:lineRule="exact"/>
      <w:outlineLvl w:val="2"/>
    </w:pPr>
    <w:rPr>
      <w:rFonts w:ascii="宋体" w:hAnsi="宋体"/>
      <w:b/>
      <w:color w:val="000000"/>
      <w:kern w:val="0"/>
      <w:sz w:val="30"/>
      <w:szCs w:val="30"/>
    </w:rPr>
  </w:style>
  <w:style w:type="character" w:customStyle="1" w:styleId="505">
    <w:name w:val="样式 标题 2标题 2 Char Char + 小三 Char"/>
    <w:qFormat/>
    <w:uiPriority w:val="0"/>
    <w:rPr>
      <w:rFonts w:eastAsia="宋体"/>
      <w:b/>
      <w:bCs/>
      <w:kern w:val="2"/>
      <w:sz w:val="30"/>
      <w:lang w:val="en-US" w:eastAsia="zh-CN" w:bidi="ar-SA"/>
    </w:rPr>
  </w:style>
  <w:style w:type="character" w:customStyle="1" w:styleId="506">
    <w:name w:val="标准正文 Char Char Char Char"/>
    <w:link w:val="507"/>
    <w:qFormat/>
    <w:uiPriority w:val="0"/>
    <w:rPr>
      <w:rFonts w:ascii="Times New Roman" w:hAnsi="Times New Roman" w:cs="宋体"/>
      <w:kern w:val="2"/>
      <w:sz w:val="28"/>
      <w:szCs w:val="28"/>
    </w:rPr>
  </w:style>
  <w:style w:type="paragraph" w:customStyle="1" w:styleId="507">
    <w:name w:val="标准正文 Char Char Char"/>
    <w:basedOn w:val="1"/>
    <w:link w:val="506"/>
    <w:semiHidden/>
    <w:qFormat/>
    <w:uiPriority w:val="0"/>
    <w:pPr>
      <w:spacing w:line="360" w:lineRule="auto"/>
      <w:ind w:firstLine="200" w:firstLineChars="200"/>
      <w:jc w:val="left"/>
    </w:pPr>
    <w:rPr>
      <w:rFonts w:cs="宋体"/>
      <w:sz w:val="28"/>
      <w:szCs w:val="28"/>
    </w:rPr>
  </w:style>
  <w:style w:type="character" w:customStyle="1" w:styleId="508">
    <w:name w:val="H212 Char"/>
    <w:qFormat/>
    <w:uiPriority w:val="0"/>
    <w:rPr>
      <w:rFonts w:ascii="宋体" w:hAnsi="宋体" w:eastAsia="宋体"/>
      <w:b/>
      <w:spacing w:val="-8"/>
      <w:kern w:val="2"/>
      <w:sz w:val="30"/>
      <w:lang w:val="en-US" w:eastAsia="zh-CN" w:bidi="ar-SA"/>
    </w:rPr>
  </w:style>
  <w:style w:type="character" w:customStyle="1" w:styleId="509">
    <w:name w:val="正文样式 Char"/>
    <w:link w:val="510"/>
    <w:qFormat/>
    <w:locked/>
    <w:uiPriority w:val="0"/>
    <w:rPr>
      <w:rFonts w:ascii="宋体" w:hAnsi="宋体" w:eastAsia="宋体"/>
      <w:kern w:val="2"/>
      <w:sz w:val="24"/>
      <w:szCs w:val="24"/>
      <w:lang w:val="en-US" w:eastAsia="zh-CN" w:bidi="ar-SA"/>
    </w:rPr>
  </w:style>
  <w:style w:type="paragraph" w:customStyle="1" w:styleId="510">
    <w:name w:val="正文样式"/>
    <w:basedOn w:val="1"/>
    <w:link w:val="509"/>
    <w:qFormat/>
    <w:uiPriority w:val="0"/>
    <w:pPr>
      <w:spacing w:line="360" w:lineRule="auto"/>
      <w:ind w:firstLine="480" w:firstLineChars="200"/>
    </w:pPr>
    <w:rPr>
      <w:rFonts w:ascii="宋体" w:hAnsi="宋体"/>
      <w:sz w:val="24"/>
      <w:szCs w:val="24"/>
    </w:rPr>
  </w:style>
  <w:style w:type="character" w:customStyle="1" w:styleId="511">
    <w:name w:val="表格10号 Char"/>
    <w:link w:val="512"/>
    <w:qFormat/>
    <w:uiPriority w:val="0"/>
    <w:rPr>
      <w:rFonts w:ascii="Times New Roman" w:hAnsi="Times New Roman" w:cs="宋体"/>
      <w:bCs/>
      <w:color w:val="000000"/>
      <w:kern w:val="2"/>
      <w:szCs w:val="28"/>
    </w:rPr>
  </w:style>
  <w:style w:type="paragraph" w:customStyle="1" w:styleId="512">
    <w:name w:val="表格10号"/>
    <w:basedOn w:val="130"/>
    <w:link w:val="511"/>
    <w:qFormat/>
    <w:uiPriority w:val="0"/>
    <w:pPr>
      <w:keepLines/>
      <w:spacing w:beforeLines="0" w:afterLines="0"/>
    </w:pPr>
    <w:rPr>
      <w:rFonts w:cs="宋体"/>
      <w:kern w:val="2"/>
      <w:sz w:val="20"/>
      <w:szCs w:val="28"/>
    </w:rPr>
  </w:style>
  <w:style w:type="character" w:customStyle="1" w:styleId="513">
    <w:name w:val="aspmaker1"/>
    <w:qFormat/>
    <w:uiPriority w:val="0"/>
    <w:rPr>
      <w:rFonts w:hint="default" w:ascii="Verdana" w:hAnsi="Verdana"/>
      <w:sz w:val="20"/>
    </w:rPr>
  </w:style>
  <w:style w:type="character" w:customStyle="1" w:styleId="514">
    <w:name w:val="条，（一） Char"/>
    <w:qFormat/>
    <w:uiPriority w:val="0"/>
    <w:rPr>
      <w:rFonts w:eastAsia="宋体"/>
      <w:b/>
      <w:bCs/>
      <w:kern w:val="2"/>
      <w:sz w:val="32"/>
      <w:szCs w:val="32"/>
      <w:lang w:val="en-US" w:eastAsia="zh-CN" w:bidi="ar-SA"/>
    </w:rPr>
  </w:style>
  <w:style w:type="character" w:customStyle="1" w:styleId="515">
    <w:name w:val="Body Text 2 Char"/>
    <w:qFormat/>
    <w:uiPriority w:val="0"/>
    <w:rPr>
      <w:rFonts w:ascii="宋体" w:hAnsi="Times New Roman" w:eastAsia="宋体" w:cs="Times New Roman"/>
      <w:sz w:val="24"/>
      <w:szCs w:val="20"/>
    </w:rPr>
  </w:style>
  <w:style w:type="character" w:customStyle="1" w:styleId="516">
    <w:name w:val="称呼 字符1"/>
    <w:link w:val="27"/>
    <w:semiHidden/>
    <w:qFormat/>
    <w:locked/>
    <w:uiPriority w:val="0"/>
    <w:rPr>
      <w:rFonts w:eastAsia="宋体"/>
      <w:kern w:val="2"/>
      <w:sz w:val="28"/>
      <w:szCs w:val="24"/>
      <w:lang w:val="en-US" w:eastAsia="zh-CN" w:bidi="ar-SA"/>
    </w:rPr>
  </w:style>
  <w:style w:type="character" w:customStyle="1" w:styleId="517">
    <w:name w:val="标题 8 字符2"/>
    <w:link w:val="10"/>
    <w:qFormat/>
    <w:uiPriority w:val="9"/>
    <w:rPr>
      <w:rFonts w:ascii="Calibri Light" w:hAnsi="Calibri Light"/>
      <w:sz w:val="24"/>
      <w:szCs w:val="24"/>
    </w:rPr>
  </w:style>
  <w:style w:type="character" w:customStyle="1" w:styleId="518">
    <w:name w:val="EmailStyle14431"/>
    <w:semiHidden/>
    <w:qFormat/>
    <w:uiPriority w:val="0"/>
    <w:rPr>
      <w:rFonts w:hint="default" w:ascii="Arial" w:hAnsi="Arial" w:eastAsia="宋体" w:cs="Arial"/>
      <w:color w:val="000080"/>
      <w:sz w:val="18"/>
      <w:szCs w:val="20"/>
    </w:rPr>
  </w:style>
  <w:style w:type="character" w:customStyle="1" w:styleId="519">
    <w:name w:val="highlight1"/>
    <w:qFormat/>
    <w:uiPriority w:val="0"/>
    <w:rPr>
      <w:sz w:val="21"/>
      <w:szCs w:val="21"/>
    </w:rPr>
  </w:style>
  <w:style w:type="character" w:customStyle="1" w:styleId="520">
    <w:name w:val="样式153 Char"/>
    <w:link w:val="521"/>
    <w:qFormat/>
    <w:locked/>
    <w:uiPriority w:val="0"/>
    <w:rPr>
      <w:rFonts w:ascii="宋体" w:hAnsi="宋体" w:eastAsia="宋体"/>
      <w:sz w:val="24"/>
      <w:szCs w:val="24"/>
      <w:lang w:val="en-AU" w:eastAsia="zh-CN" w:bidi="ar-SA"/>
    </w:rPr>
  </w:style>
  <w:style w:type="paragraph" w:customStyle="1" w:styleId="521">
    <w:name w:val="样式153"/>
    <w:basedOn w:val="1"/>
    <w:link w:val="520"/>
    <w:qFormat/>
    <w:uiPriority w:val="0"/>
    <w:pPr>
      <w:spacing w:beforeLines="50" w:line="360" w:lineRule="auto"/>
      <w:ind w:firstLine="480" w:firstLineChars="200"/>
    </w:pPr>
    <w:rPr>
      <w:rFonts w:ascii="宋体" w:hAnsi="宋体"/>
      <w:kern w:val="0"/>
      <w:sz w:val="24"/>
      <w:szCs w:val="24"/>
      <w:lang w:val="en-AU"/>
    </w:rPr>
  </w:style>
  <w:style w:type="character" w:customStyle="1" w:styleId="522">
    <w:name w:val="样式 宋体 小四 行距: 1.5 倍行距 Char"/>
    <w:link w:val="523"/>
    <w:qFormat/>
    <w:uiPriority w:val="0"/>
    <w:rPr>
      <w:rFonts w:ascii="宋体" w:hAnsi="宋体" w:cs="宋体"/>
      <w:kern w:val="2"/>
      <w:sz w:val="28"/>
    </w:rPr>
  </w:style>
  <w:style w:type="paragraph" w:customStyle="1" w:styleId="523">
    <w:name w:val="样式 宋体 小四 行距: 1.5 倍行距"/>
    <w:basedOn w:val="1"/>
    <w:link w:val="522"/>
    <w:qFormat/>
    <w:uiPriority w:val="0"/>
    <w:pPr>
      <w:spacing w:line="500" w:lineRule="atLeast"/>
      <w:ind w:firstLine="200" w:firstLineChars="200"/>
    </w:pPr>
    <w:rPr>
      <w:rFonts w:ascii="宋体" w:hAnsi="宋体" w:cs="宋体"/>
      <w:sz w:val="28"/>
      <w:szCs w:val="20"/>
    </w:rPr>
  </w:style>
  <w:style w:type="character" w:customStyle="1" w:styleId="524">
    <w:name w:val="表格内容 Char1"/>
    <w:qFormat/>
    <w:uiPriority w:val="0"/>
    <w:rPr>
      <w:rFonts w:ascii="宋体" w:hAnsi="宋体" w:eastAsia="宋体"/>
      <w:kern w:val="2"/>
      <w:sz w:val="21"/>
      <w:lang w:val="en-US" w:eastAsia="zh-CN" w:bidi="ar-SA"/>
    </w:rPr>
  </w:style>
  <w:style w:type="character" w:customStyle="1" w:styleId="525">
    <w:name w:val="批注框文本 字符2"/>
    <w:link w:val="49"/>
    <w:qFormat/>
    <w:uiPriority w:val="0"/>
    <w:rPr>
      <w:sz w:val="18"/>
      <w:szCs w:val="18"/>
    </w:rPr>
  </w:style>
  <w:style w:type="character" w:customStyle="1" w:styleId="526">
    <w:name w:val="图号 Char"/>
    <w:qFormat/>
    <w:uiPriority w:val="0"/>
    <w:rPr>
      <w:rFonts w:eastAsia="宋体"/>
      <w:b/>
      <w:bCs/>
      <w:kern w:val="32"/>
      <w:sz w:val="24"/>
      <w:szCs w:val="24"/>
      <w:lang w:val="en-US" w:eastAsia="zh-CN" w:bidi="ar-SA"/>
    </w:rPr>
  </w:style>
  <w:style w:type="character" w:customStyle="1" w:styleId="527">
    <w:name w:val="正文 Char"/>
    <w:link w:val="76"/>
    <w:qFormat/>
    <w:uiPriority w:val="0"/>
    <w:rPr>
      <w:rFonts w:ascii="Times New Roman" w:hAnsi="Times New Roman"/>
      <w:kern w:val="2"/>
      <w:sz w:val="28"/>
      <w:szCs w:val="22"/>
    </w:rPr>
  </w:style>
  <w:style w:type="character" w:customStyle="1" w:styleId="528">
    <w:name w:val="备注 Char"/>
    <w:link w:val="529"/>
    <w:qFormat/>
    <w:uiPriority w:val="0"/>
    <w:rPr>
      <w:rFonts w:ascii="Times New Roman"/>
      <w:kern w:val="2"/>
      <w:sz w:val="18"/>
      <w:szCs w:val="22"/>
    </w:rPr>
  </w:style>
  <w:style w:type="paragraph" w:customStyle="1" w:styleId="529">
    <w:name w:val="备注"/>
    <w:basedOn w:val="1"/>
    <w:link w:val="528"/>
    <w:qFormat/>
    <w:uiPriority w:val="0"/>
    <w:pPr>
      <w:adjustRightInd w:val="0"/>
      <w:snapToGrid w:val="0"/>
      <w:spacing w:line="348" w:lineRule="auto"/>
    </w:pPr>
    <w:rPr>
      <w:sz w:val="18"/>
    </w:rPr>
  </w:style>
  <w:style w:type="character" w:customStyle="1" w:styleId="530">
    <w:name w:val="标题 7 字符2"/>
    <w:link w:val="9"/>
    <w:qFormat/>
    <w:uiPriority w:val="0"/>
    <w:rPr>
      <w:rFonts w:ascii="宋体" w:hAnsi="宋体"/>
      <w:b/>
      <w:kern w:val="2"/>
      <w:sz w:val="28"/>
      <w:lang w:val="en-US" w:eastAsia="zh-CN"/>
    </w:rPr>
  </w:style>
  <w:style w:type="character" w:customStyle="1" w:styleId="531">
    <w:name w:val="页脚 Char1"/>
    <w:qFormat/>
    <w:uiPriority w:val="0"/>
    <w:rPr>
      <w:rFonts w:eastAsia="宋体"/>
      <w:kern w:val="2"/>
      <w:sz w:val="18"/>
      <w:szCs w:val="18"/>
      <w:lang w:val="en-US" w:eastAsia="zh-CN" w:bidi="ar-SA"/>
    </w:rPr>
  </w:style>
  <w:style w:type="character" w:customStyle="1" w:styleId="532">
    <w:name w:val="f9wen1"/>
    <w:qFormat/>
    <w:uiPriority w:val="0"/>
    <w:rPr>
      <w:spacing w:val="12"/>
      <w:sz w:val="18"/>
      <w:szCs w:val="18"/>
      <w:u w:val="none"/>
    </w:rPr>
  </w:style>
  <w:style w:type="character" w:customStyle="1" w:styleId="533">
    <w:name w:val="样式 标题 2 + 红色 Char"/>
    <w:qFormat/>
    <w:uiPriority w:val="0"/>
    <w:rPr>
      <w:rFonts w:ascii="Arial" w:hAnsi="Arial" w:eastAsia="黑体"/>
      <w:b/>
      <w:bCs/>
      <w:color w:val="FF0000"/>
      <w:spacing w:val="-8"/>
      <w:kern w:val="2"/>
      <w:sz w:val="28"/>
      <w:szCs w:val="32"/>
      <w:lang w:val="en-US" w:eastAsia="zh-CN" w:bidi="ar-SA"/>
    </w:rPr>
  </w:style>
  <w:style w:type="character" w:customStyle="1" w:styleId="534">
    <w:name w:val="样式90 Char"/>
    <w:link w:val="155"/>
    <w:qFormat/>
    <w:locked/>
    <w:uiPriority w:val="0"/>
    <w:rPr>
      <w:rFonts w:ascii="黑体" w:hAnsi="黑体" w:eastAsia="黑体"/>
      <w:b/>
      <w:color w:val="000000"/>
      <w:sz w:val="28"/>
      <w:szCs w:val="28"/>
      <w:lang w:val="en-US" w:eastAsia="zh-CN" w:bidi="ar-SA"/>
    </w:rPr>
  </w:style>
  <w:style w:type="character" w:customStyle="1" w:styleId="535">
    <w:name w:val="(use for appendix) Char"/>
    <w:qFormat/>
    <w:locked/>
    <w:uiPriority w:val="0"/>
    <w:rPr>
      <w:rFonts w:ascii="宋体" w:hAnsi="宋体" w:eastAsia="宋体"/>
      <w:b/>
      <w:kern w:val="2"/>
      <w:sz w:val="28"/>
      <w:lang w:val="en-US" w:eastAsia="zh-CN" w:bidi="ar-SA"/>
    </w:rPr>
  </w:style>
  <w:style w:type="character" w:customStyle="1" w:styleId="536">
    <w:name w:val="样式 样式 标题 2 + 红色 + 自动设置 Char Char Char"/>
    <w:link w:val="537"/>
    <w:qFormat/>
    <w:uiPriority w:val="0"/>
    <w:rPr>
      <w:rFonts w:ascii="Arial" w:hAnsi="Arial" w:eastAsia="新宋体"/>
      <w:bCs/>
      <w:color w:val="FF0000"/>
      <w:kern w:val="2"/>
      <w:sz w:val="28"/>
      <w:szCs w:val="32"/>
    </w:rPr>
  </w:style>
  <w:style w:type="paragraph" w:customStyle="1" w:styleId="537">
    <w:name w:val="样式 样式 标题 2 + 红色 + 自动设置 Char Char"/>
    <w:basedOn w:val="390"/>
    <w:link w:val="536"/>
    <w:qFormat/>
    <w:uiPriority w:val="0"/>
    <w:rPr>
      <w:rFonts w:eastAsia="新宋体"/>
      <w:b/>
    </w:rPr>
  </w:style>
  <w:style w:type="character" w:customStyle="1" w:styleId="538">
    <w:name w:val="样式 标题 1 + 红色 Char Char1"/>
    <w:link w:val="539"/>
    <w:qFormat/>
    <w:uiPriority w:val="0"/>
    <w:rPr>
      <w:rFonts w:ascii="宋体" w:hAnsi="宋体" w:eastAsia="黑体"/>
      <w:b/>
      <w:bCs/>
      <w:color w:val="FF0000"/>
      <w:kern w:val="44"/>
      <w:sz w:val="32"/>
      <w:szCs w:val="44"/>
    </w:rPr>
  </w:style>
  <w:style w:type="paragraph" w:customStyle="1" w:styleId="539">
    <w:name w:val="样式 标题 1 + 红色 Char"/>
    <w:basedOn w:val="3"/>
    <w:link w:val="538"/>
    <w:qFormat/>
    <w:uiPriority w:val="0"/>
    <w:rPr>
      <w:rFonts w:ascii="宋体" w:hAnsi="宋体" w:eastAsia="黑体"/>
      <w:color w:val="FF0000"/>
      <w:sz w:val="32"/>
    </w:rPr>
  </w:style>
  <w:style w:type="character" w:customStyle="1" w:styleId="540">
    <w:name w:val="特点 Char"/>
    <w:qFormat/>
    <w:uiPriority w:val="0"/>
    <w:rPr>
      <w:rFonts w:hint="eastAsia" w:ascii="宋体" w:hAnsi="宋体" w:eastAsia="宋体"/>
      <w:sz w:val="28"/>
      <w:lang w:val="en-US" w:eastAsia="zh-CN" w:bidi="ar-SA"/>
    </w:rPr>
  </w:style>
  <w:style w:type="character" w:customStyle="1" w:styleId="541">
    <w:name w:val="样式95 Char"/>
    <w:link w:val="255"/>
    <w:qFormat/>
    <w:locked/>
    <w:uiPriority w:val="0"/>
    <w:rPr>
      <w:rFonts w:ascii="黑体" w:hAnsi="黑体" w:eastAsia="宋体"/>
      <w:b/>
      <w:bCs/>
      <w:color w:val="000000"/>
      <w:kern w:val="44"/>
      <w:sz w:val="44"/>
      <w:szCs w:val="44"/>
      <w:lang w:val="en-US" w:eastAsia="zh-CN" w:bidi="ar-SA"/>
    </w:rPr>
  </w:style>
  <w:style w:type="character" w:customStyle="1" w:styleId="542">
    <w:name w:val="表格-HF 字符"/>
    <w:link w:val="543"/>
    <w:qFormat/>
    <w:locked/>
    <w:uiPriority w:val="2"/>
    <w:rPr>
      <w:rFonts w:ascii="宋体" w:hAnsi="宋体" w:eastAsia="宋体"/>
      <w:szCs w:val="21"/>
      <w:lang w:val="en-US" w:eastAsia="zh-CN" w:bidi="ar-SA"/>
    </w:rPr>
  </w:style>
  <w:style w:type="paragraph" w:customStyle="1" w:styleId="543">
    <w:name w:val="表格-HF"/>
    <w:basedOn w:val="1"/>
    <w:link w:val="542"/>
    <w:qFormat/>
    <w:uiPriority w:val="2"/>
    <w:pPr>
      <w:jc w:val="center"/>
    </w:pPr>
    <w:rPr>
      <w:rFonts w:ascii="宋体" w:hAnsi="宋体"/>
      <w:kern w:val="0"/>
      <w:sz w:val="20"/>
      <w:szCs w:val="21"/>
    </w:rPr>
  </w:style>
  <w:style w:type="character" w:customStyle="1" w:styleId="544">
    <w:name w:val="脚注文本 字符1"/>
    <w:link w:val="58"/>
    <w:semiHidden/>
    <w:qFormat/>
    <w:uiPriority w:val="0"/>
    <w:rPr>
      <w:rFonts w:ascii="Times New Roman" w:hAnsi="Times New Roman"/>
      <w:kern w:val="2"/>
      <w:sz w:val="18"/>
      <w:szCs w:val="18"/>
    </w:rPr>
  </w:style>
  <w:style w:type="character" w:customStyle="1" w:styleId="545">
    <w:name w:val="环评表格文字 Char"/>
    <w:link w:val="546"/>
    <w:qFormat/>
    <w:locked/>
    <w:uiPriority w:val="0"/>
    <w:rPr>
      <w:szCs w:val="24"/>
      <w:lang w:bidi="ar-SA"/>
    </w:rPr>
  </w:style>
  <w:style w:type="paragraph" w:customStyle="1" w:styleId="546">
    <w:name w:val="环评表格文字"/>
    <w:basedOn w:val="1"/>
    <w:next w:val="1"/>
    <w:link w:val="545"/>
    <w:qFormat/>
    <w:uiPriority w:val="0"/>
    <w:rPr>
      <w:rFonts w:eastAsia="Times New Roman"/>
      <w:kern w:val="0"/>
      <w:sz w:val="20"/>
      <w:szCs w:val="24"/>
    </w:rPr>
  </w:style>
  <w:style w:type="character" w:customStyle="1" w:styleId="547">
    <w:name w:val="标准正文 Char Char"/>
    <w:link w:val="548"/>
    <w:qFormat/>
    <w:uiPriority w:val="0"/>
    <w:rPr>
      <w:rFonts w:ascii="Times New Roman" w:hAnsi="Times New Roman"/>
      <w:kern w:val="2"/>
      <w:sz w:val="28"/>
      <w:szCs w:val="28"/>
    </w:rPr>
  </w:style>
  <w:style w:type="paragraph" w:customStyle="1" w:styleId="548">
    <w:name w:val="标准正文 Char"/>
    <w:basedOn w:val="1"/>
    <w:link w:val="547"/>
    <w:semiHidden/>
    <w:qFormat/>
    <w:uiPriority w:val="0"/>
    <w:pPr>
      <w:spacing w:line="360" w:lineRule="auto"/>
      <w:ind w:firstLine="200" w:firstLineChars="200"/>
      <w:jc w:val="left"/>
    </w:pPr>
    <w:rPr>
      <w:sz w:val="28"/>
      <w:szCs w:val="28"/>
    </w:rPr>
  </w:style>
  <w:style w:type="character" w:customStyle="1" w:styleId="549">
    <w:name w:val="Char Char7"/>
    <w:qFormat/>
    <w:locked/>
    <w:uiPriority w:val="0"/>
    <w:rPr>
      <w:rFonts w:ascii="宋体" w:hAnsi="宋体" w:eastAsia="宋体"/>
      <w:kern w:val="2"/>
      <w:sz w:val="16"/>
      <w:szCs w:val="16"/>
      <w:lang w:val="en-US" w:eastAsia="zh-CN" w:bidi="ar-SA"/>
    </w:rPr>
  </w:style>
  <w:style w:type="character" w:customStyle="1" w:styleId="550">
    <w:name w:val="Char Char5"/>
    <w:qFormat/>
    <w:locked/>
    <w:uiPriority w:val="0"/>
    <w:rPr>
      <w:rFonts w:ascii="宋体" w:hAnsi="宋体" w:eastAsia="宋体"/>
      <w:kern w:val="2"/>
      <w:sz w:val="18"/>
      <w:szCs w:val="18"/>
      <w:lang w:val="en-US" w:eastAsia="zh-CN" w:bidi="ar-SA"/>
    </w:rPr>
  </w:style>
  <w:style w:type="character" w:customStyle="1" w:styleId="551">
    <w:name w:val="Char Char132"/>
    <w:qFormat/>
    <w:uiPriority w:val="0"/>
    <w:rPr>
      <w:rFonts w:hint="eastAsia" w:ascii="宋体" w:hAnsi="宋体" w:eastAsia="宋体"/>
      <w:snapToGrid/>
      <w:spacing w:val="8"/>
      <w:kern w:val="2"/>
      <w:sz w:val="18"/>
      <w:szCs w:val="18"/>
      <w:lang w:val="en-US" w:eastAsia="zh-CN" w:bidi="ar-SA"/>
    </w:rPr>
  </w:style>
  <w:style w:type="character" w:customStyle="1" w:styleId="552">
    <w:name w:val="普通文字 Char Char"/>
    <w:qFormat/>
    <w:uiPriority w:val="0"/>
    <w:rPr>
      <w:rFonts w:ascii="宋体" w:hAnsi="Courier New" w:eastAsia="宋体" w:cs="Courier New"/>
      <w:kern w:val="2"/>
      <w:sz w:val="21"/>
      <w:szCs w:val="21"/>
      <w:lang w:val="en-US" w:eastAsia="zh-CN" w:bidi="ar-SA"/>
    </w:rPr>
  </w:style>
  <w:style w:type="character" w:customStyle="1" w:styleId="553">
    <w:name w:val="文本框五号 Char Char Char Char"/>
    <w:qFormat/>
    <w:uiPriority w:val="0"/>
    <w:rPr>
      <w:rFonts w:hint="eastAsia" w:ascii="仿宋_GB2312" w:eastAsia="仿宋_GB2312"/>
      <w:kern w:val="2"/>
      <w:sz w:val="21"/>
      <w:szCs w:val="21"/>
      <w:lang w:val="en-US" w:eastAsia="zh-CN" w:bidi="ar-SA"/>
    </w:rPr>
  </w:style>
  <w:style w:type="character" w:customStyle="1" w:styleId="554">
    <w:name w:val="表格五号字 Char"/>
    <w:link w:val="456"/>
    <w:qFormat/>
    <w:locked/>
    <w:uiPriority w:val="0"/>
    <w:rPr>
      <w:rFonts w:ascii="Times New Roman" w:hAnsi="Times New Roman"/>
      <w:sz w:val="21"/>
    </w:rPr>
  </w:style>
  <w:style w:type="character" w:customStyle="1" w:styleId="555">
    <w:name w:val="样式 标题 3B HeadH3标题 33ReHead 3 WSAh3条标题1.1.1三级标题BOD 0sec... Char"/>
    <w:link w:val="504"/>
    <w:qFormat/>
    <w:locked/>
    <w:uiPriority w:val="0"/>
    <w:rPr>
      <w:rFonts w:ascii="宋体" w:hAnsi="宋体" w:eastAsia="宋体"/>
      <w:b/>
      <w:color w:val="000000"/>
      <w:sz w:val="30"/>
      <w:szCs w:val="30"/>
      <w:lang w:val="en-US" w:eastAsia="zh-CN" w:bidi="ar-SA"/>
    </w:rPr>
  </w:style>
  <w:style w:type="character" w:customStyle="1" w:styleId="556">
    <w:name w:val="!表标题(alt+h) Char2"/>
    <w:qFormat/>
    <w:uiPriority w:val="0"/>
    <w:rPr>
      <w:rFonts w:eastAsia="黑体"/>
      <w:color w:val="000000"/>
      <w:sz w:val="24"/>
      <w:u w:color="3366FF"/>
      <w:lang w:val="en-US" w:eastAsia="zh-CN"/>
    </w:rPr>
  </w:style>
  <w:style w:type="character" w:customStyle="1" w:styleId="557">
    <w:name w:val="！表格 Char"/>
    <w:link w:val="558"/>
    <w:qFormat/>
    <w:uiPriority w:val="0"/>
    <w:rPr>
      <w:rFonts w:ascii="宋体" w:hAnsi="宋体"/>
      <w:color w:val="000000"/>
      <w:sz w:val="21"/>
      <w:szCs w:val="21"/>
      <w:u w:color="000000"/>
    </w:rPr>
  </w:style>
  <w:style w:type="paragraph" w:customStyle="1" w:styleId="558">
    <w:name w:val="！表格"/>
    <w:basedOn w:val="1"/>
    <w:next w:val="317"/>
    <w:link w:val="557"/>
    <w:qFormat/>
    <w:uiPriority w:val="0"/>
    <w:pPr>
      <w:widowControl/>
      <w:spacing w:line="180" w:lineRule="atLeast"/>
      <w:jc w:val="center"/>
      <w:textAlignment w:val="baseline"/>
    </w:pPr>
    <w:rPr>
      <w:rFonts w:ascii="宋体" w:hAnsi="宋体"/>
      <w:color w:val="000000"/>
      <w:kern w:val="0"/>
      <w:szCs w:val="21"/>
      <w:u w:color="000000"/>
    </w:rPr>
  </w:style>
  <w:style w:type="character" w:customStyle="1" w:styleId="559">
    <w:name w:val="HTML 预设格式 字符1"/>
    <w:link w:val="69"/>
    <w:qFormat/>
    <w:uiPriority w:val="0"/>
    <w:rPr>
      <w:rFonts w:ascii="Arial" w:hAnsi="Arial" w:cs="Arial"/>
      <w:sz w:val="21"/>
      <w:szCs w:val="21"/>
    </w:rPr>
  </w:style>
  <w:style w:type="character" w:customStyle="1" w:styleId="560">
    <w:name w:val="表格11 Char Char"/>
    <w:link w:val="561"/>
    <w:qFormat/>
    <w:uiPriority w:val="0"/>
    <w:rPr>
      <w:sz w:val="21"/>
      <w:szCs w:val="21"/>
    </w:rPr>
  </w:style>
  <w:style w:type="paragraph" w:customStyle="1" w:styleId="561">
    <w:name w:val="表格11"/>
    <w:basedOn w:val="1"/>
    <w:link w:val="560"/>
    <w:qFormat/>
    <w:uiPriority w:val="0"/>
    <w:pPr>
      <w:snapToGrid w:val="0"/>
      <w:jc w:val="center"/>
    </w:pPr>
    <w:rPr>
      <w:kern w:val="0"/>
      <w:szCs w:val="21"/>
    </w:rPr>
  </w:style>
  <w:style w:type="character" w:customStyle="1" w:styleId="562">
    <w:name w:val="前言 Char Char"/>
    <w:qFormat/>
    <w:uiPriority w:val="0"/>
    <w:rPr>
      <w:rFonts w:ascii="Arial Narrow" w:hAnsi="宋体" w:eastAsia="宋体"/>
      <w:kern w:val="2"/>
      <w:sz w:val="24"/>
      <w:lang w:val="en-US" w:eastAsia="zh-CN" w:bidi="ar-SA"/>
    </w:rPr>
  </w:style>
  <w:style w:type="character" w:customStyle="1" w:styleId="563">
    <w:name w:val="style91"/>
    <w:qFormat/>
    <w:uiPriority w:val="0"/>
    <w:rPr>
      <w:b/>
      <w:bCs/>
      <w:color w:val="333333"/>
      <w:sz w:val="19"/>
      <w:szCs w:val="19"/>
    </w:rPr>
  </w:style>
  <w:style w:type="character" w:customStyle="1" w:styleId="564">
    <w:name w:val="f91"/>
    <w:qFormat/>
    <w:uiPriority w:val="0"/>
    <w:rPr>
      <w:spacing w:val="280"/>
      <w:sz w:val="18"/>
      <w:szCs w:val="18"/>
      <w:u w:val="none"/>
    </w:rPr>
  </w:style>
  <w:style w:type="character" w:customStyle="1" w:styleId="565">
    <w:name w:val="节标题 1.1 Char1"/>
    <w:qFormat/>
    <w:uiPriority w:val="0"/>
    <w:rPr>
      <w:rFonts w:ascii="Arial" w:hAnsi="Arial" w:eastAsia="黑体"/>
      <w:b/>
      <w:kern w:val="2"/>
      <w:sz w:val="32"/>
      <w:lang w:val="en-US" w:eastAsia="zh-CN" w:bidi="ar-SA"/>
    </w:rPr>
  </w:style>
  <w:style w:type="character" w:customStyle="1" w:styleId="566">
    <w:name w:val="表号 Char1"/>
    <w:qFormat/>
    <w:locked/>
    <w:uiPriority w:val="0"/>
    <w:rPr>
      <w:rFonts w:eastAsia="宋体"/>
      <w:sz w:val="24"/>
      <w:szCs w:val="24"/>
      <w:lang w:val="en-US" w:eastAsia="zh-CN" w:bidi="ar-SA"/>
    </w:rPr>
  </w:style>
  <w:style w:type="character" w:customStyle="1" w:styleId="567">
    <w:name w:val="文本框 Char"/>
    <w:qFormat/>
    <w:uiPriority w:val="0"/>
    <w:rPr>
      <w:rFonts w:hint="eastAsia" w:ascii="宋体" w:hAnsi="宋体" w:eastAsia="宋体"/>
      <w:kern w:val="2"/>
      <w:sz w:val="21"/>
      <w:szCs w:val="21"/>
      <w:lang w:val="en-US" w:eastAsia="zh-CN" w:bidi="ar-SA"/>
    </w:rPr>
  </w:style>
  <w:style w:type="character" w:customStyle="1" w:styleId="568">
    <w:name w:val="hb4 Char1"/>
    <w:link w:val="569"/>
    <w:qFormat/>
    <w:uiPriority w:val="0"/>
    <w:rPr>
      <w:rFonts w:ascii="Arial Narrow" w:hAnsi="Arial" w:eastAsia="汉鼎简书宋" w:cs="宋体"/>
      <w:color w:val="008000"/>
      <w:kern w:val="2"/>
      <w:sz w:val="24"/>
      <w:szCs w:val="24"/>
    </w:rPr>
  </w:style>
  <w:style w:type="paragraph" w:customStyle="1" w:styleId="569">
    <w:name w:val="hb4"/>
    <w:basedOn w:val="6"/>
    <w:link w:val="568"/>
    <w:qFormat/>
    <w:uiPriority w:val="0"/>
    <w:pPr>
      <w:adjustRightInd w:val="0"/>
      <w:snapToGrid w:val="0"/>
      <w:spacing w:before="263" w:beforeLines="50" w:after="263" w:afterLines="50" w:line="240" w:lineRule="auto"/>
      <w:jc w:val="left"/>
    </w:pPr>
    <w:rPr>
      <w:rFonts w:ascii="Arial Narrow" w:hAnsi="Arial" w:eastAsia="汉鼎简书宋" w:cs="宋体"/>
      <w:bCs/>
      <w:color w:val="008000"/>
      <w:sz w:val="24"/>
      <w:szCs w:val="24"/>
    </w:rPr>
  </w:style>
  <w:style w:type="character" w:customStyle="1" w:styleId="570">
    <w:name w:val="项标题(1) Char Char"/>
    <w:qFormat/>
    <w:uiPriority w:val="0"/>
    <w:rPr>
      <w:rFonts w:hint="eastAsia" w:ascii="宋体" w:hAnsi="宋体" w:eastAsia="宋体"/>
      <w:b/>
      <w:sz w:val="24"/>
      <w:lang w:val="en-US" w:eastAsia="zh-CN" w:bidi="ar-SA"/>
    </w:rPr>
  </w:style>
  <w:style w:type="character" w:customStyle="1" w:styleId="571">
    <w:name w:val="j41"/>
    <w:qFormat/>
    <w:uiPriority w:val="0"/>
    <w:rPr>
      <w:color w:val="455654"/>
      <w:sz w:val="21"/>
      <w:szCs w:val="21"/>
    </w:rPr>
  </w:style>
  <w:style w:type="character" w:customStyle="1" w:styleId="572">
    <w:name w:val="样式 样式 样式 样式 样式 样式2 + 首行缩进:  2 字符 + 首行缩进:  2 字符 + Times New Roman... Char"/>
    <w:link w:val="573"/>
    <w:qFormat/>
    <w:uiPriority w:val="0"/>
    <w:rPr>
      <w:rFonts w:ascii="Times New Roman" w:hAnsi="Times New Roman" w:cs="宋体"/>
      <w:kern w:val="2"/>
      <w:sz w:val="28"/>
    </w:rPr>
  </w:style>
  <w:style w:type="paragraph" w:customStyle="1" w:styleId="573">
    <w:name w:val="样式 样式 样式 样式 样式 样式2 + 首行缩进:  2 字符 + 首行缩进:  2 字符 + Times New Roman..."/>
    <w:basedOn w:val="1"/>
    <w:link w:val="572"/>
    <w:qFormat/>
    <w:uiPriority w:val="0"/>
    <w:pPr>
      <w:spacing w:line="500" w:lineRule="atLeast"/>
      <w:ind w:firstLine="200" w:firstLineChars="200"/>
    </w:pPr>
    <w:rPr>
      <w:rFonts w:cs="宋体"/>
      <w:sz w:val="28"/>
      <w:szCs w:val="20"/>
    </w:rPr>
  </w:style>
  <w:style w:type="character" w:customStyle="1" w:styleId="574">
    <w:name w:val="目录 1 Char"/>
    <w:qFormat/>
    <w:uiPriority w:val="0"/>
    <w:rPr>
      <w:rFonts w:hint="eastAsia" w:ascii="宋体" w:hAnsi="宋体" w:eastAsia="宋体"/>
      <w:b/>
      <w:bCs/>
      <w:caps/>
      <w:sz w:val="24"/>
      <w:szCs w:val="24"/>
      <w:lang w:val="en-US" w:eastAsia="zh-CN" w:bidi="ar-SA"/>
    </w:rPr>
  </w:style>
  <w:style w:type="character" w:customStyle="1" w:styleId="575">
    <w:name w:val="样式 样式 正文文本缩进特点标题正文文本缩进 Char + 黑色 + (西文) 楷体_GB2312 Char"/>
    <w:link w:val="576"/>
    <w:qFormat/>
    <w:locked/>
    <w:uiPriority w:val="0"/>
    <w:rPr>
      <w:rFonts w:ascii="楷体_GB2312" w:hAnsi="楷体_GB2312" w:eastAsia="宋体"/>
      <w:b/>
      <w:color w:val="000000"/>
      <w:szCs w:val="21"/>
      <w:lang w:val="en-US" w:eastAsia="zh-CN" w:bidi="ar-SA"/>
    </w:rPr>
  </w:style>
  <w:style w:type="paragraph" w:customStyle="1" w:styleId="576">
    <w:name w:val="样式 样式 正文文本缩进特点标题正文文本缩进 Char + 黑色 + (西文) 楷体_GB2312"/>
    <w:basedOn w:val="1"/>
    <w:link w:val="575"/>
    <w:qFormat/>
    <w:uiPriority w:val="0"/>
    <w:pPr>
      <w:widowControl/>
      <w:spacing w:line="360" w:lineRule="exact"/>
      <w:jc w:val="center"/>
    </w:pPr>
    <w:rPr>
      <w:rFonts w:ascii="楷体_GB2312" w:hAnsi="楷体_GB2312"/>
      <w:b/>
      <w:color w:val="000000"/>
      <w:kern w:val="0"/>
      <w:sz w:val="20"/>
      <w:szCs w:val="21"/>
    </w:rPr>
  </w:style>
  <w:style w:type="character" w:customStyle="1" w:styleId="577">
    <w:name w:val="e01"/>
    <w:qFormat/>
    <w:uiPriority w:val="0"/>
  </w:style>
  <w:style w:type="character" w:customStyle="1" w:styleId="578">
    <w:name w:val="样式6 Char"/>
    <w:qFormat/>
    <w:uiPriority w:val="0"/>
    <w:rPr>
      <w:rFonts w:hint="eastAsia" w:ascii="宋体" w:hAnsi="宋体" w:eastAsia="宋体"/>
      <w:b/>
      <w:color w:val="000000"/>
      <w:kern w:val="2"/>
      <w:sz w:val="24"/>
      <w:szCs w:val="24"/>
      <w:lang w:val="en-US" w:eastAsia="zh-CN" w:bidi="ar-SA"/>
    </w:rPr>
  </w:style>
  <w:style w:type="character" w:customStyle="1" w:styleId="579">
    <w:name w:val="纯文本 Char Ch Char"/>
    <w:qFormat/>
    <w:uiPriority w:val="0"/>
    <w:rPr>
      <w:rFonts w:ascii="宋体" w:hAnsi="Courier New" w:eastAsia="宋体" w:cs="Times New Roman"/>
      <w:sz w:val="24"/>
      <w:szCs w:val="20"/>
    </w:rPr>
  </w:style>
  <w:style w:type="character" w:customStyle="1" w:styleId="580">
    <w:name w:val="表格文字 Char1"/>
    <w:qFormat/>
    <w:uiPriority w:val="0"/>
    <w:rPr>
      <w:rFonts w:eastAsia="宋体"/>
      <w:bCs/>
      <w:color w:val="0000FF"/>
      <w:sz w:val="21"/>
      <w:szCs w:val="21"/>
      <w:lang w:val="en-US" w:eastAsia="zh-CN" w:bidi="ar-SA"/>
    </w:rPr>
  </w:style>
  <w:style w:type="character" w:customStyle="1" w:styleId="581">
    <w:name w:val="Char Char16"/>
    <w:qFormat/>
    <w:locked/>
    <w:uiPriority w:val="0"/>
    <w:rPr>
      <w:sz w:val="18"/>
      <w:szCs w:val="18"/>
      <w:lang w:bidi="ar-SA"/>
    </w:rPr>
  </w:style>
  <w:style w:type="character" w:customStyle="1" w:styleId="582">
    <w:name w:val="正文四号 Char1"/>
    <w:link w:val="583"/>
    <w:qFormat/>
    <w:locked/>
    <w:uiPriority w:val="0"/>
    <w:rPr>
      <w:rFonts w:eastAsia="宋体"/>
      <w:kern w:val="2"/>
      <w:sz w:val="28"/>
      <w:szCs w:val="24"/>
      <w:lang w:val="en-US" w:eastAsia="zh-CN" w:bidi="ar-SA"/>
    </w:rPr>
  </w:style>
  <w:style w:type="paragraph" w:customStyle="1" w:styleId="583">
    <w:name w:val="正文四号"/>
    <w:basedOn w:val="1"/>
    <w:link w:val="582"/>
    <w:qFormat/>
    <w:uiPriority w:val="0"/>
    <w:pPr>
      <w:spacing w:line="360" w:lineRule="auto"/>
      <w:ind w:firstLine="200" w:firstLineChars="200"/>
    </w:pPr>
    <w:rPr>
      <w:sz w:val="28"/>
      <w:szCs w:val="24"/>
    </w:rPr>
  </w:style>
  <w:style w:type="character" w:customStyle="1" w:styleId="584">
    <w:name w:val="表格文字-hao-居中 Char"/>
    <w:link w:val="585"/>
    <w:qFormat/>
    <w:locked/>
    <w:uiPriority w:val="0"/>
    <w:rPr>
      <w:sz w:val="21"/>
      <w:szCs w:val="24"/>
      <w:lang w:val="en-US" w:eastAsia="zh-CN" w:bidi="ar-SA"/>
    </w:rPr>
  </w:style>
  <w:style w:type="paragraph" w:customStyle="1" w:styleId="585">
    <w:name w:val="表格文字-hao-居中"/>
    <w:link w:val="584"/>
    <w:qFormat/>
    <w:uiPriority w:val="0"/>
    <w:pPr>
      <w:adjustRightInd w:val="0"/>
      <w:snapToGrid w:val="0"/>
      <w:spacing w:beforeLines="20" w:line="264" w:lineRule="auto"/>
      <w:jc w:val="center"/>
    </w:pPr>
    <w:rPr>
      <w:rFonts w:ascii="Times New Roman" w:hAnsi="Times New Roman" w:eastAsia="Times New Roman" w:cs="Times New Roman"/>
      <w:sz w:val="21"/>
      <w:szCs w:val="24"/>
      <w:lang w:val="en-US" w:eastAsia="zh-CN" w:bidi="ar-SA"/>
    </w:rPr>
  </w:style>
  <w:style w:type="character" w:customStyle="1" w:styleId="586">
    <w:name w:val="Char Char193"/>
    <w:qFormat/>
    <w:uiPriority w:val="0"/>
    <w:rPr>
      <w:rFonts w:hint="default" w:ascii="Arial Black" w:hAnsi="Arial Black" w:eastAsia="宋体"/>
      <w:b/>
      <w:bCs/>
      <w:kern w:val="44"/>
      <w:sz w:val="44"/>
      <w:szCs w:val="44"/>
      <w:lang w:val="en-US" w:eastAsia="zh-CN" w:bidi="ar-SA"/>
    </w:rPr>
  </w:style>
  <w:style w:type="character" w:customStyle="1" w:styleId="587">
    <w:name w:val="Char Char17"/>
    <w:qFormat/>
    <w:locked/>
    <w:uiPriority w:val="0"/>
    <w:rPr>
      <w:rFonts w:ascii="Calibri" w:hAnsi="Calibri" w:eastAsia="宋体"/>
      <w:lang w:bidi="ar-SA"/>
    </w:rPr>
  </w:style>
  <w:style w:type="character" w:customStyle="1" w:styleId="588">
    <w:name w:val="123YJ Char2"/>
    <w:qFormat/>
    <w:locked/>
    <w:uiPriority w:val="0"/>
    <w:rPr>
      <w:sz w:val="18"/>
      <w:szCs w:val="18"/>
      <w:lang w:bidi="ar-SA"/>
    </w:rPr>
  </w:style>
  <w:style w:type="character" w:customStyle="1" w:styleId="589">
    <w:name w:val="样式 宋体 五号 黑色 居中 行距: 单倍行距 Char"/>
    <w:link w:val="590"/>
    <w:qFormat/>
    <w:locked/>
    <w:uiPriority w:val="0"/>
    <w:rPr>
      <w:rFonts w:ascii="宋体" w:hAnsi="宋体" w:eastAsia="宋体"/>
      <w:color w:val="000000"/>
      <w:lang w:val="en-US" w:eastAsia="zh-CN" w:bidi="ar-SA"/>
    </w:rPr>
  </w:style>
  <w:style w:type="paragraph" w:customStyle="1" w:styleId="590">
    <w:name w:val="样式 宋体 五号 黑色 居中 行距: 单倍行距"/>
    <w:basedOn w:val="1"/>
    <w:link w:val="589"/>
    <w:qFormat/>
    <w:uiPriority w:val="0"/>
    <w:pPr>
      <w:jc w:val="center"/>
    </w:pPr>
    <w:rPr>
      <w:rFonts w:ascii="宋体" w:hAnsi="宋体"/>
      <w:color w:val="000000"/>
      <w:kern w:val="0"/>
      <w:sz w:val="20"/>
      <w:szCs w:val="20"/>
    </w:rPr>
  </w:style>
  <w:style w:type="character" w:customStyle="1" w:styleId="591">
    <w:name w:val="题注 字符1"/>
    <w:link w:val="20"/>
    <w:qFormat/>
    <w:locked/>
    <w:uiPriority w:val="0"/>
    <w:rPr>
      <w:rFonts w:ascii="Arial" w:hAnsi="Arial" w:eastAsia="黑体"/>
      <w:kern w:val="2"/>
      <w:szCs w:val="24"/>
    </w:rPr>
  </w:style>
  <w:style w:type="character" w:customStyle="1" w:styleId="592">
    <w:name w:val="biaoti1"/>
    <w:qFormat/>
    <w:uiPriority w:val="0"/>
    <w:rPr>
      <w:b/>
      <w:bCs/>
      <w:color w:val="000099"/>
      <w:sz w:val="24"/>
      <w:szCs w:val="24"/>
    </w:rPr>
  </w:style>
  <w:style w:type="character" w:customStyle="1" w:styleId="593">
    <w:name w:val="contenttext1"/>
    <w:qFormat/>
    <w:uiPriority w:val="0"/>
  </w:style>
  <w:style w:type="character" w:customStyle="1" w:styleId="594">
    <w:name w:val="Char Char13"/>
    <w:qFormat/>
    <w:uiPriority w:val="0"/>
    <w:rPr>
      <w:rFonts w:hint="eastAsia" w:ascii="宋体" w:hAnsi="宋体" w:eastAsia="宋体"/>
      <w:snapToGrid/>
      <w:spacing w:val="8"/>
      <w:kern w:val="2"/>
      <w:sz w:val="18"/>
      <w:szCs w:val="18"/>
      <w:lang w:val="en-US" w:eastAsia="zh-CN" w:bidi="ar-SA"/>
    </w:rPr>
  </w:style>
  <w:style w:type="character" w:customStyle="1" w:styleId="595">
    <w:name w:val="正文首行缩进 Char Char Char Char2"/>
    <w:qFormat/>
    <w:locked/>
    <w:uiPriority w:val="0"/>
    <w:rPr>
      <w:rFonts w:ascii="宋体" w:hAnsi="宋体" w:eastAsia="宋体"/>
      <w:kern w:val="2"/>
      <w:sz w:val="28"/>
      <w:szCs w:val="24"/>
      <w:lang w:val="en-US" w:eastAsia="zh-CN" w:bidi="ar-SA"/>
    </w:rPr>
  </w:style>
  <w:style w:type="character" w:customStyle="1" w:styleId="596">
    <w:name w:val="正文文字 2 Char Char"/>
    <w:qFormat/>
    <w:locked/>
    <w:uiPriority w:val="0"/>
    <w:rPr>
      <w:rFonts w:ascii="宋体" w:hAnsi="宋体" w:eastAsia="宋体"/>
      <w:b/>
      <w:kern w:val="2"/>
      <w:sz w:val="21"/>
      <w:szCs w:val="24"/>
      <w:lang w:val="en-US" w:eastAsia="zh-CN" w:bidi="ar-SA"/>
    </w:rPr>
  </w:style>
  <w:style w:type="character" w:customStyle="1" w:styleId="597">
    <w:name w:val="正文文字 3 Char Char Char3"/>
    <w:qFormat/>
    <w:locked/>
    <w:uiPriority w:val="0"/>
    <w:rPr>
      <w:rFonts w:ascii="宋体" w:hAnsi="宋体" w:eastAsia="宋体"/>
      <w:kern w:val="2"/>
      <w:sz w:val="16"/>
      <w:szCs w:val="16"/>
      <w:lang w:val="en-US" w:eastAsia="zh-CN" w:bidi="ar-SA"/>
    </w:rPr>
  </w:style>
  <w:style w:type="character" w:customStyle="1" w:styleId="598">
    <w:name w:val="表题-HF 字符"/>
    <w:link w:val="599"/>
    <w:qFormat/>
    <w:locked/>
    <w:uiPriority w:val="1"/>
    <w:rPr>
      <w:rFonts w:ascii="宋体" w:hAnsi="宋体" w:eastAsia="宋体"/>
      <w:b/>
      <w:sz w:val="24"/>
      <w:szCs w:val="21"/>
      <w:lang w:val="en-US" w:eastAsia="zh-CN" w:bidi="ar-SA"/>
    </w:rPr>
  </w:style>
  <w:style w:type="paragraph" w:customStyle="1" w:styleId="599">
    <w:name w:val="表题-HF"/>
    <w:basedOn w:val="1"/>
    <w:link w:val="598"/>
    <w:qFormat/>
    <w:uiPriority w:val="1"/>
    <w:pPr>
      <w:spacing w:line="348" w:lineRule="auto"/>
      <w:jc w:val="center"/>
    </w:pPr>
    <w:rPr>
      <w:rFonts w:ascii="宋体" w:hAnsi="宋体"/>
      <w:b/>
      <w:kern w:val="0"/>
      <w:sz w:val="24"/>
      <w:szCs w:val="21"/>
    </w:rPr>
  </w:style>
  <w:style w:type="character" w:customStyle="1" w:styleId="600">
    <w:name w:val="正 文 Char"/>
    <w:link w:val="601"/>
    <w:qFormat/>
    <w:locked/>
    <w:uiPriority w:val="0"/>
    <w:rPr>
      <w:sz w:val="28"/>
      <w:szCs w:val="21"/>
      <w:lang w:bidi="ar-SA"/>
    </w:rPr>
  </w:style>
  <w:style w:type="paragraph" w:customStyle="1" w:styleId="601">
    <w:name w:val="正 文"/>
    <w:basedOn w:val="1"/>
    <w:link w:val="600"/>
    <w:qFormat/>
    <w:uiPriority w:val="0"/>
    <w:pPr>
      <w:adjustRightInd w:val="0"/>
      <w:snapToGrid w:val="0"/>
      <w:spacing w:line="348" w:lineRule="auto"/>
      <w:ind w:firstLine="200" w:firstLineChars="200"/>
    </w:pPr>
    <w:rPr>
      <w:rFonts w:eastAsia="Times New Roman"/>
      <w:kern w:val="0"/>
      <w:sz w:val="28"/>
      <w:szCs w:val="21"/>
    </w:rPr>
  </w:style>
  <w:style w:type="character" w:customStyle="1" w:styleId="602">
    <w:name w:val="表格文字错 Char"/>
    <w:link w:val="603"/>
    <w:qFormat/>
    <w:locked/>
    <w:uiPriority w:val="0"/>
    <w:rPr>
      <w:rFonts w:ascii="宋体" w:hAnsi="宋体" w:eastAsia="宋体"/>
      <w:snapToGrid w:val="0"/>
      <w:color w:val="000000"/>
      <w:sz w:val="21"/>
      <w:szCs w:val="18"/>
      <w:u w:color="000000"/>
      <w:lang w:val="en-US" w:eastAsia="zh-CN" w:bidi="ar-SA"/>
    </w:rPr>
  </w:style>
  <w:style w:type="paragraph" w:customStyle="1" w:styleId="603">
    <w:name w:val="表格文字错"/>
    <w:basedOn w:val="1"/>
    <w:link w:val="602"/>
    <w:qFormat/>
    <w:uiPriority w:val="0"/>
    <w:pPr>
      <w:framePr w:wrap="around" w:vAnchor="text" w:hAnchor="text" w:y="1"/>
      <w:widowControl/>
      <w:tabs>
        <w:tab w:val="left" w:pos="1701"/>
        <w:tab w:val="left" w:pos="2263"/>
        <w:tab w:val="left" w:pos="2443"/>
      </w:tabs>
      <w:overflowPunct w:val="0"/>
      <w:autoSpaceDE w:val="0"/>
      <w:autoSpaceDN w:val="0"/>
      <w:adjustRightInd w:val="0"/>
      <w:snapToGrid w:val="0"/>
      <w:jc w:val="center"/>
    </w:pPr>
    <w:rPr>
      <w:rFonts w:ascii="宋体" w:hAnsi="宋体"/>
      <w:snapToGrid w:val="0"/>
      <w:color w:val="000000"/>
      <w:kern w:val="0"/>
      <w:szCs w:val="18"/>
      <w:u w:color="000000"/>
    </w:rPr>
  </w:style>
  <w:style w:type="character" w:customStyle="1" w:styleId="604">
    <w:name w:val="报告 Char"/>
    <w:link w:val="605"/>
    <w:qFormat/>
    <w:locked/>
    <w:uiPriority w:val="0"/>
    <w:rPr>
      <w:rFonts w:ascii="宋体" w:hAnsi="宋体" w:eastAsia="宋体"/>
      <w:sz w:val="24"/>
      <w:lang w:val="en-US" w:eastAsia="zh-CN" w:bidi="ar-SA"/>
    </w:rPr>
  </w:style>
  <w:style w:type="paragraph" w:customStyle="1" w:styleId="605">
    <w:name w:val="报告"/>
    <w:basedOn w:val="1"/>
    <w:link w:val="604"/>
    <w:qFormat/>
    <w:uiPriority w:val="0"/>
    <w:pPr>
      <w:tabs>
        <w:tab w:val="left" w:pos="1701"/>
      </w:tabs>
      <w:autoSpaceDE w:val="0"/>
      <w:autoSpaceDN w:val="0"/>
      <w:adjustRightInd w:val="0"/>
      <w:spacing w:line="360" w:lineRule="auto"/>
      <w:ind w:firstLine="505"/>
      <w:jc w:val="left"/>
    </w:pPr>
    <w:rPr>
      <w:rFonts w:ascii="宋体" w:hAnsi="宋体"/>
      <w:kern w:val="0"/>
      <w:sz w:val="24"/>
      <w:szCs w:val="20"/>
    </w:rPr>
  </w:style>
  <w:style w:type="character" w:customStyle="1" w:styleId="606">
    <w:name w:val="Char1 Char Char2"/>
    <w:qFormat/>
    <w:uiPriority w:val="0"/>
    <w:rPr>
      <w:rFonts w:hint="eastAsia" w:ascii="宋体" w:hAnsi="宋体" w:eastAsia="宋体"/>
      <w:b/>
      <w:bCs/>
      <w:kern w:val="2"/>
      <w:sz w:val="32"/>
      <w:szCs w:val="32"/>
      <w:lang w:val="en-US" w:eastAsia="zh-CN" w:bidi="ar-SA"/>
    </w:rPr>
  </w:style>
  <w:style w:type="character" w:customStyle="1" w:styleId="607">
    <w:name w:val="湛江钢铁表 Char"/>
    <w:link w:val="178"/>
    <w:qFormat/>
    <w:locked/>
    <w:uiPriority w:val="0"/>
    <w:rPr>
      <w:rFonts w:ascii="仿宋_GB2312" w:eastAsia="仿宋_GB2312"/>
      <w:szCs w:val="21"/>
      <w:lang w:bidi="ar-SA"/>
    </w:rPr>
  </w:style>
  <w:style w:type="character" w:customStyle="1" w:styleId="608">
    <w:name w:val="样式13 Char"/>
    <w:link w:val="609"/>
    <w:qFormat/>
    <w:locked/>
    <w:uiPriority w:val="0"/>
    <w:rPr>
      <w:rFonts w:ascii="宋体" w:hAnsi="宋体" w:eastAsia="宋体"/>
      <w:sz w:val="28"/>
      <w:szCs w:val="24"/>
      <w:lang w:val="en-US" w:eastAsia="zh-CN" w:bidi="ar-SA"/>
    </w:rPr>
  </w:style>
  <w:style w:type="paragraph" w:customStyle="1" w:styleId="609">
    <w:name w:val="样式13"/>
    <w:basedOn w:val="1"/>
    <w:link w:val="608"/>
    <w:qFormat/>
    <w:uiPriority w:val="0"/>
    <w:pPr>
      <w:tabs>
        <w:tab w:val="left" w:pos="1701"/>
      </w:tabs>
      <w:snapToGrid w:val="0"/>
      <w:spacing w:line="348" w:lineRule="auto"/>
    </w:pPr>
    <w:rPr>
      <w:rFonts w:ascii="宋体" w:hAnsi="宋体"/>
      <w:kern w:val="0"/>
      <w:sz w:val="28"/>
      <w:szCs w:val="24"/>
    </w:rPr>
  </w:style>
  <w:style w:type="character" w:customStyle="1" w:styleId="610">
    <w:name w:val="正文1-1 Char"/>
    <w:link w:val="611"/>
    <w:qFormat/>
    <w:locked/>
    <w:uiPriority w:val="0"/>
    <w:rPr>
      <w:rFonts w:ascii="宋体" w:hAnsi="宋体" w:eastAsia="仿宋_GB2312"/>
      <w:sz w:val="28"/>
      <w:szCs w:val="24"/>
      <w:lang w:val="en-US" w:eastAsia="zh-CN" w:bidi="ar-SA"/>
    </w:rPr>
  </w:style>
  <w:style w:type="paragraph" w:customStyle="1" w:styleId="611">
    <w:name w:val="正文1-1"/>
    <w:basedOn w:val="1"/>
    <w:link w:val="610"/>
    <w:qFormat/>
    <w:uiPriority w:val="0"/>
    <w:pPr>
      <w:widowControl/>
      <w:snapToGrid w:val="0"/>
      <w:spacing w:line="360" w:lineRule="auto"/>
      <w:ind w:firstLine="200" w:firstLineChars="200"/>
      <w:jc w:val="left"/>
    </w:pPr>
    <w:rPr>
      <w:rFonts w:ascii="宋体" w:hAnsi="宋体" w:eastAsia="仿宋_GB2312"/>
      <w:kern w:val="0"/>
      <w:sz w:val="28"/>
      <w:szCs w:val="24"/>
    </w:rPr>
  </w:style>
  <w:style w:type="character" w:customStyle="1" w:styleId="612">
    <w:name w:val="样式14 Char"/>
    <w:link w:val="613"/>
    <w:qFormat/>
    <w:locked/>
    <w:uiPriority w:val="0"/>
    <w:rPr>
      <w:rFonts w:ascii="宋体" w:hAnsi="宋体" w:eastAsia="宋体"/>
      <w:sz w:val="28"/>
      <w:szCs w:val="24"/>
      <w:lang w:val="en-US" w:eastAsia="zh-CN" w:bidi="ar-SA"/>
    </w:rPr>
  </w:style>
  <w:style w:type="paragraph" w:customStyle="1" w:styleId="613">
    <w:name w:val="样式14"/>
    <w:basedOn w:val="1"/>
    <w:link w:val="612"/>
    <w:qFormat/>
    <w:uiPriority w:val="0"/>
    <w:pPr>
      <w:tabs>
        <w:tab w:val="left" w:pos="1701"/>
      </w:tabs>
      <w:snapToGrid w:val="0"/>
      <w:spacing w:line="348" w:lineRule="auto"/>
    </w:pPr>
    <w:rPr>
      <w:rFonts w:ascii="宋体" w:hAnsi="宋体"/>
      <w:kern w:val="0"/>
      <w:sz w:val="28"/>
      <w:szCs w:val="24"/>
    </w:rPr>
  </w:style>
  <w:style w:type="character" w:customStyle="1" w:styleId="614">
    <w:name w:val="一级条标题 Char"/>
    <w:link w:val="615"/>
    <w:qFormat/>
    <w:locked/>
    <w:uiPriority w:val="0"/>
    <w:rPr>
      <w:rFonts w:ascii="黑体" w:hAnsi="黑体" w:eastAsia="黑体"/>
      <w:sz w:val="21"/>
      <w:lang w:val="en-US" w:eastAsia="zh-CN" w:bidi="ar-SA"/>
    </w:rPr>
  </w:style>
  <w:style w:type="paragraph" w:customStyle="1" w:styleId="615">
    <w:name w:val="一级条标题"/>
    <w:next w:val="1"/>
    <w:link w:val="614"/>
    <w:qFormat/>
    <w:uiPriority w:val="0"/>
    <w:pPr>
      <w:outlineLvl w:val="2"/>
    </w:pPr>
    <w:rPr>
      <w:rFonts w:ascii="黑体" w:hAnsi="黑体" w:eastAsia="黑体" w:cs="Times New Roman"/>
      <w:sz w:val="21"/>
      <w:lang w:val="en-US" w:eastAsia="zh-CN" w:bidi="ar-SA"/>
    </w:rPr>
  </w:style>
  <w:style w:type="character" w:customStyle="1" w:styleId="616">
    <w:name w:val="样式15 Char"/>
    <w:link w:val="617"/>
    <w:qFormat/>
    <w:locked/>
    <w:uiPriority w:val="0"/>
    <w:rPr>
      <w:rFonts w:ascii="宋体" w:hAnsi="宋体" w:eastAsia="宋体"/>
      <w:b/>
      <w:snapToGrid w:val="0"/>
      <w:color w:val="000000"/>
      <w:sz w:val="28"/>
      <w:szCs w:val="28"/>
      <w:lang w:val="en-US" w:eastAsia="zh-CN" w:bidi="ar-SA"/>
    </w:rPr>
  </w:style>
  <w:style w:type="paragraph" w:customStyle="1" w:styleId="617">
    <w:name w:val="样式15"/>
    <w:basedOn w:val="1"/>
    <w:link w:val="616"/>
    <w:qFormat/>
    <w:uiPriority w:val="0"/>
    <w:pPr>
      <w:keepNext/>
      <w:keepLines/>
      <w:adjustRightInd w:val="0"/>
      <w:snapToGrid w:val="0"/>
      <w:spacing w:line="348" w:lineRule="auto"/>
      <w:outlineLvl w:val="0"/>
    </w:pPr>
    <w:rPr>
      <w:rFonts w:ascii="宋体" w:hAnsi="宋体"/>
      <w:b/>
      <w:snapToGrid w:val="0"/>
      <w:color w:val="000000"/>
      <w:kern w:val="0"/>
      <w:sz w:val="28"/>
      <w:szCs w:val="28"/>
    </w:rPr>
  </w:style>
  <w:style w:type="character" w:customStyle="1" w:styleId="618">
    <w:name w:val="样式17 Char"/>
    <w:link w:val="249"/>
    <w:qFormat/>
    <w:locked/>
    <w:uiPriority w:val="0"/>
    <w:rPr>
      <w:rFonts w:ascii="楷体_GB2312" w:eastAsia="楷体_GB2312"/>
      <w:b/>
      <w:bCs/>
      <w:snapToGrid w:val="0"/>
      <w:color w:val="000000"/>
      <w:spacing w:val="8"/>
      <w:sz w:val="24"/>
      <w:szCs w:val="28"/>
      <w:lang w:val="en-US" w:eastAsia="zh-CN" w:bidi="ar-SA"/>
    </w:rPr>
  </w:style>
  <w:style w:type="character" w:customStyle="1" w:styleId="619">
    <w:name w:val="B Char"/>
    <w:link w:val="620"/>
    <w:qFormat/>
    <w:locked/>
    <w:uiPriority w:val="0"/>
    <w:rPr>
      <w:rFonts w:ascii="宋体" w:hAnsi="宋体" w:eastAsia="宋体"/>
      <w:bCs/>
      <w:snapToGrid w:val="0"/>
      <w:kern w:val="11"/>
      <w:sz w:val="24"/>
      <w:szCs w:val="24"/>
      <w:lang w:val="en-US" w:eastAsia="zh-CN" w:bidi="ar-SA"/>
    </w:rPr>
  </w:style>
  <w:style w:type="paragraph" w:customStyle="1" w:styleId="620">
    <w:name w:val="B"/>
    <w:basedOn w:val="1"/>
    <w:link w:val="619"/>
    <w:qFormat/>
    <w:uiPriority w:val="0"/>
    <w:pPr>
      <w:snapToGrid w:val="0"/>
      <w:spacing w:line="360" w:lineRule="auto"/>
      <w:ind w:firstLine="487" w:firstLineChars="200"/>
    </w:pPr>
    <w:rPr>
      <w:rFonts w:ascii="宋体" w:hAnsi="宋体"/>
      <w:bCs/>
      <w:snapToGrid w:val="0"/>
      <w:kern w:val="11"/>
      <w:sz w:val="24"/>
      <w:szCs w:val="24"/>
    </w:rPr>
  </w:style>
  <w:style w:type="character" w:customStyle="1" w:styleId="621">
    <w:name w:val="A3 Char"/>
    <w:link w:val="622"/>
    <w:qFormat/>
    <w:locked/>
    <w:uiPriority w:val="0"/>
    <w:rPr>
      <w:rFonts w:ascii="宋体" w:hAnsi="宋体" w:eastAsia="宋体"/>
      <w:bCs/>
      <w:sz w:val="28"/>
      <w:szCs w:val="28"/>
      <w:lang w:val="en-US" w:eastAsia="zh-CN" w:bidi="ar-SA"/>
    </w:rPr>
  </w:style>
  <w:style w:type="paragraph" w:customStyle="1" w:styleId="622">
    <w:name w:val="A3"/>
    <w:basedOn w:val="1"/>
    <w:link w:val="621"/>
    <w:qFormat/>
    <w:uiPriority w:val="0"/>
    <w:pPr>
      <w:keepNext/>
      <w:keepLines/>
      <w:spacing w:before="260" w:after="260" w:line="415" w:lineRule="auto"/>
      <w:outlineLvl w:val="2"/>
    </w:pPr>
    <w:rPr>
      <w:rFonts w:ascii="宋体" w:hAnsi="宋体"/>
      <w:bCs/>
      <w:kern w:val="0"/>
      <w:sz w:val="28"/>
      <w:szCs w:val="28"/>
    </w:rPr>
  </w:style>
  <w:style w:type="character" w:customStyle="1" w:styleId="623">
    <w:name w:val="样式41 Char"/>
    <w:link w:val="503"/>
    <w:qFormat/>
    <w:locked/>
    <w:uiPriority w:val="0"/>
    <w:rPr>
      <w:rFonts w:ascii="宋体" w:hAnsi="宋体" w:eastAsia="宋体"/>
      <w:b/>
      <w:color w:val="000000"/>
      <w:sz w:val="28"/>
      <w:szCs w:val="30"/>
      <w:lang w:val="en-US" w:eastAsia="zh-CN" w:bidi="ar-SA"/>
    </w:rPr>
  </w:style>
  <w:style w:type="character" w:customStyle="1" w:styleId="624">
    <w:name w:val="样式120 Char"/>
    <w:link w:val="625"/>
    <w:qFormat/>
    <w:locked/>
    <w:uiPriority w:val="0"/>
    <w:rPr>
      <w:rFonts w:ascii="黑体" w:hAnsi="黑体" w:eastAsia="黑体"/>
      <w:b/>
      <w:szCs w:val="21"/>
      <w:lang w:val="en-US" w:eastAsia="zh-CN" w:bidi="ar-SA"/>
    </w:rPr>
  </w:style>
  <w:style w:type="paragraph" w:customStyle="1" w:styleId="625">
    <w:name w:val="样式120"/>
    <w:basedOn w:val="1"/>
    <w:link w:val="624"/>
    <w:qFormat/>
    <w:uiPriority w:val="0"/>
    <w:pPr>
      <w:spacing w:line="520" w:lineRule="exact"/>
      <w:jc w:val="center"/>
    </w:pPr>
    <w:rPr>
      <w:rFonts w:ascii="黑体" w:hAnsi="黑体" w:eastAsia="黑体"/>
      <w:b/>
      <w:kern w:val="0"/>
      <w:sz w:val="20"/>
      <w:szCs w:val="21"/>
    </w:rPr>
  </w:style>
  <w:style w:type="character" w:customStyle="1" w:styleId="626">
    <w:name w:val="样式45 Char"/>
    <w:link w:val="627"/>
    <w:qFormat/>
    <w:locked/>
    <w:uiPriority w:val="0"/>
    <w:rPr>
      <w:rFonts w:ascii="宋体" w:hAnsi="宋体" w:eastAsia="宋体"/>
      <w:color w:val="000000"/>
      <w:lang w:val="en-US" w:eastAsia="zh-CN" w:bidi="ar-SA"/>
    </w:rPr>
  </w:style>
  <w:style w:type="paragraph" w:customStyle="1" w:styleId="627">
    <w:name w:val="样式45"/>
    <w:basedOn w:val="1"/>
    <w:link w:val="626"/>
    <w:qFormat/>
    <w:uiPriority w:val="0"/>
    <w:pPr>
      <w:adjustRightInd w:val="0"/>
      <w:spacing w:line="320" w:lineRule="exact"/>
      <w:jc w:val="center"/>
    </w:pPr>
    <w:rPr>
      <w:rFonts w:ascii="宋体" w:hAnsi="宋体"/>
      <w:color w:val="000000"/>
      <w:kern w:val="0"/>
      <w:sz w:val="20"/>
      <w:szCs w:val="20"/>
    </w:rPr>
  </w:style>
  <w:style w:type="character" w:customStyle="1" w:styleId="628">
    <w:name w:val="样式117 Char"/>
    <w:link w:val="629"/>
    <w:qFormat/>
    <w:locked/>
    <w:uiPriority w:val="0"/>
    <w:rPr>
      <w:rFonts w:ascii="黑体" w:hAnsi="黑体" w:eastAsia="黑体"/>
      <w:bCs/>
      <w:snapToGrid w:val="0"/>
      <w:color w:val="000000"/>
      <w:szCs w:val="21"/>
      <w:lang w:val="en-US" w:eastAsia="zh-CN" w:bidi="ar-SA"/>
    </w:rPr>
  </w:style>
  <w:style w:type="paragraph" w:customStyle="1" w:styleId="629">
    <w:name w:val="样式117"/>
    <w:basedOn w:val="1"/>
    <w:link w:val="628"/>
    <w:qFormat/>
    <w:uiPriority w:val="0"/>
    <w:pPr>
      <w:adjustRightInd w:val="0"/>
      <w:snapToGrid w:val="0"/>
      <w:spacing w:line="280" w:lineRule="exact"/>
      <w:jc w:val="center"/>
    </w:pPr>
    <w:rPr>
      <w:rFonts w:ascii="黑体" w:hAnsi="黑体" w:eastAsia="黑体"/>
      <w:bCs/>
      <w:snapToGrid w:val="0"/>
      <w:color w:val="000000"/>
      <w:kern w:val="0"/>
      <w:sz w:val="20"/>
      <w:szCs w:val="21"/>
    </w:rPr>
  </w:style>
  <w:style w:type="character" w:customStyle="1" w:styleId="630">
    <w:name w:val="样式136 Char"/>
    <w:link w:val="631"/>
    <w:qFormat/>
    <w:locked/>
    <w:uiPriority w:val="0"/>
    <w:rPr>
      <w:rFonts w:ascii="仿宋_GB2312" w:eastAsia="仿宋_GB2312"/>
      <w:sz w:val="24"/>
      <w:szCs w:val="24"/>
      <w:lang w:val="en-US" w:eastAsia="zh-CN" w:bidi="ar-SA"/>
    </w:rPr>
  </w:style>
  <w:style w:type="paragraph" w:customStyle="1" w:styleId="631">
    <w:name w:val="样式136"/>
    <w:basedOn w:val="1"/>
    <w:link w:val="630"/>
    <w:qFormat/>
    <w:uiPriority w:val="0"/>
    <w:pPr>
      <w:spacing w:beforeLines="50" w:line="360" w:lineRule="auto"/>
      <w:ind w:firstLine="480" w:firstLineChars="200"/>
    </w:pPr>
    <w:rPr>
      <w:rFonts w:ascii="仿宋_GB2312" w:eastAsia="仿宋_GB2312"/>
      <w:kern w:val="0"/>
      <w:sz w:val="24"/>
      <w:szCs w:val="24"/>
    </w:rPr>
  </w:style>
  <w:style w:type="character" w:customStyle="1" w:styleId="632">
    <w:name w:val="样式173 Char"/>
    <w:link w:val="633"/>
    <w:qFormat/>
    <w:locked/>
    <w:uiPriority w:val="0"/>
    <w:rPr>
      <w:rFonts w:ascii="黑体" w:hAnsi="黑体" w:eastAsia="黑体"/>
      <w:bCs/>
      <w:color w:val="000000"/>
      <w:sz w:val="24"/>
      <w:szCs w:val="24"/>
      <w:lang w:val="en-US" w:eastAsia="zh-CN" w:bidi="ar-SA"/>
    </w:rPr>
  </w:style>
  <w:style w:type="paragraph" w:customStyle="1" w:styleId="633">
    <w:name w:val="样式173"/>
    <w:basedOn w:val="1"/>
    <w:link w:val="632"/>
    <w:qFormat/>
    <w:uiPriority w:val="0"/>
    <w:pPr>
      <w:keepNext/>
      <w:keepLines/>
      <w:widowControl/>
      <w:spacing w:before="60" w:after="60"/>
      <w:outlineLvl w:val="3"/>
    </w:pPr>
    <w:rPr>
      <w:rFonts w:ascii="黑体" w:hAnsi="黑体" w:eastAsia="黑体"/>
      <w:bCs/>
      <w:color w:val="000000"/>
      <w:kern w:val="0"/>
      <w:sz w:val="24"/>
      <w:szCs w:val="24"/>
    </w:rPr>
  </w:style>
  <w:style w:type="character" w:customStyle="1" w:styleId="634">
    <w:name w:val="EmailStyle21331"/>
    <w:qFormat/>
    <w:uiPriority w:val="0"/>
    <w:rPr>
      <w:rFonts w:hint="default" w:ascii="Arial" w:hAnsi="Arial" w:eastAsia="PMingLiU" w:cs="Arial"/>
      <w:color w:val="000000"/>
      <w:sz w:val="18"/>
    </w:rPr>
  </w:style>
  <w:style w:type="character" w:customStyle="1" w:styleId="635">
    <w:name w:val="样式171 Char"/>
    <w:link w:val="636"/>
    <w:qFormat/>
    <w:locked/>
    <w:uiPriority w:val="0"/>
    <w:rPr>
      <w:rFonts w:ascii="黑体" w:hAnsi="黑体" w:eastAsia="黑体"/>
      <w:b/>
      <w:bCs/>
      <w:color w:val="000000"/>
      <w:sz w:val="24"/>
      <w:szCs w:val="24"/>
      <w:lang w:val="en-US" w:eastAsia="zh-CN" w:bidi="ar-SA"/>
    </w:rPr>
  </w:style>
  <w:style w:type="paragraph" w:customStyle="1" w:styleId="636">
    <w:name w:val="样式171"/>
    <w:basedOn w:val="1"/>
    <w:link w:val="635"/>
    <w:qFormat/>
    <w:uiPriority w:val="0"/>
    <w:pPr>
      <w:keepNext/>
      <w:keepLines/>
      <w:widowControl/>
      <w:spacing w:before="60" w:after="60"/>
      <w:outlineLvl w:val="2"/>
    </w:pPr>
    <w:rPr>
      <w:rFonts w:ascii="黑体" w:hAnsi="黑体" w:eastAsia="黑体"/>
      <w:b/>
      <w:bCs/>
      <w:color w:val="000000"/>
      <w:kern w:val="0"/>
      <w:sz w:val="24"/>
      <w:szCs w:val="24"/>
    </w:rPr>
  </w:style>
  <w:style w:type="character" w:customStyle="1" w:styleId="637">
    <w:name w:val="样式 样式 标题 3 + 小四 非加粗 + Char"/>
    <w:qFormat/>
    <w:uiPriority w:val="0"/>
    <w:rPr>
      <w:rFonts w:hint="eastAsia" w:ascii="仿宋_GB2312" w:eastAsia="仿宋_GB2312"/>
      <w:b/>
      <w:bCs/>
      <w:kern w:val="2"/>
      <w:sz w:val="24"/>
      <w:szCs w:val="24"/>
      <w:lang w:val="en-US" w:eastAsia="zh-CN" w:bidi="ar-SA"/>
    </w:rPr>
  </w:style>
  <w:style w:type="character" w:customStyle="1" w:styleId="638">
    <w:name w:val="样式66 Char"/>
    <w:link w:val="303"/>
    <w:qFormat/>
    <w:locked/>
    <w:uiPriority w:val="0"/>
    <w:rPr>
      <w:rFonts w:ascii="仿宋_GB2312" w:eastAsia="仿宋_GB2312"/>
      <w:sz w:val="24"/>
      <w:szCs w:val="24"/>
      <w:lang w:val="en-US" w:eastAsia="zh-CN" w:bidi="ar-SA"/>
    </w:rPr>
  </w:style>
  <w:style w:type="character" w:customStyle="1" w:styleId="639">
    <w:name w:val="EmailStyle21991"/>
    <w:qFormat/>
    <w:uiPriority w:val="0"/>
    <w:rPr>
      <w:rFonts w:hint="default" w:ascii="Arial" w:hAnsi="Arial" w:eastAsia="PMingLiU" w:cs="Arial"/>
      <w:color w:val="000000"/>
      <w:sz w:val="18"/>
    </w:rPr>
  </w:style>
  <w:style w:type="character" w:customStyle="1" w:styleId="640">
    <w:name w:val="B Char Char"/>
    <w:qFormat/>
    <w:uiPriority w:val="0"/>
    <w:rPr>
      <w:rFonts w:hint="eastAsia" w:ascii="宋体" w:hAnsi="宋体" w:eastAsia="宋体"/>
      <w:bCs/>
      <w:snapToGrid/>
      <w:kern w:val="11"/>
      <w:sz w:val="24"/>
      <w:szCs w:val="24"/>
      <w:lang w:val="en-US" w:eastAsia="zh-CN" w:bidi="ar-SA"/>
    </w:rPr>
  </w:style>
  <w:style w:type="character" w:customStyle="1" w:styleId="641">
    <w:name w:val="样式 正文文本缩进 3 + 黑色1 Char"/>
    <w:link w:val="642"/>
    <w:qFormat/>
    <w:locked/>
    <w:uiPriority w:val="0"/>
    <w:rPr>
      <w:rFonts w:ascii="宋体" w:hAnsi="宋体" w:eastAsia="宋体"/>
      <w:b/>
      <w:bCs/>
      <w:color w:val="000000"/>
      <w:lang w:val="en-US" w:eastAsia="zh-CN" w:bidi="ar-SA"/>
    </w:rPr>
  </w:style>
  <w:style w:type="paragraph" w:customStyle="1" w:styleId="642">
    <w:name w:val="样式 正文文本缩进 3 + 黑色1"/>
    <w:basedOn w:val="1"/>
    <w:link w:val="641"/>
    <w:qFormat/>
    <w:uiPriority w:val="0"/>
    <w:pPr>
      <w:adjustRightInd w:val="0"/>
      <w:spacing w:before="60" w:line="440" w:lineRule="atLeast"/>
      <w:jc w:val="center"/>
    </w:pPr>
    <w:rPr>
      <w:rFonts w:ascii="宋体" w:hAnsi="宋体"/>
      <w:b/>
      <w:bCs/>
      <w:color w:val="000000"/>
      <w:kern w:val="0"/>
      <w:sz w:val="20"/>
      <w:szCs w:val="20"/>
    </w:rPr>
  </w:style>
  <w:style w:type="character" w:customStyle="1" w:styleId="643">
    <w:name w:val="样式 正文文本缩进 3 + 黑色 Char1"/>
    <w:link w:val="644"/>
    <w:qFormat/>
    <w:locked/>
    <w:uiPriority w:val="0"/>
    <w:rPr>
      <w:rFonts w:ascii="宋体" w:hAnsi="宋体" w:eastAsia="宋体"/>
      <w:b/>
      <w:bCs/>
      <w:sz w:val="24"/>
      <w:szCs w:val="24"/>
      <w:lang w:val="en-US" w:eastAsia="zh-CN" w:bidi="ar-SA"/>
    </w:rPr>
  </w:style>
  <w:style w:type="paragraph" w:customStyle="1" w:styleId="644">
    <w:name w:val="样式 正文文本缩进 3 + 黑色"/>
    <w:basedOn w:val="1"/>
    <w:link w:val="643"/>
    <w:qFormat/>
    <w:uiPriority w:val="0"/>
    <w:pPr>
      <w:adjustRightInd w:val="0"/>
      <w:spacing w:before="60" w:line="500" w:lineRule="exact"/>
      <w:jc w:val="center"/>
    </w:pPr>
    <w:rPr>
      <w:rFonts w:ascii="宋体" w:hAnsi="宋体"/>
      <w:b/>
      <w:bCs/>
      <w:kern w:val="0"/>
      <w:sz w:val="24"/>
      <w:szCs w:val="24"/>
    </w:rPr>
  </w:style>
  <w:style w:type="character" w:customStyle="1" w:styleId="645">
    <w:name w:val="样式 正文文本缩进特点标题正文文本缩进 Char + 黑色 Char"/>
    <w:link w:val="646"/>
    <w:qFormat/>
    <w:locked/>
    <w:uiPriority w:val="0"/>
    <w:rPr>
      <w:rFonts w:ascii="宋体" w:hAnsi="宋体" w:eastAsia="宋体"/>
      <w:color w:val="000000"/>
      <w:sz w:val="24"/>
      <w:szCs w:val="28"/>
      <w:lang w:val="en-US" w:eastAsia="zh-CN" w:bidi="ar-SA"/>
    </w:rPr>
  </w:style>
  <w:style w:type="paragraph" w:customStyle="1" w:styleId="646">
    <w:name w:val="样式 正文文本缩进特点标题正文文本缩进 Char + 黑色"/>
    <w:basedOn w:val="1"/>
    <w:link w:val="645"/>
    <w:qFormat/>
    <w:uiPriority w:val="0"/>
    <w:pPr>
      <w:spacing w:line="460" w:lineRule="exact"/>
      <w:ind w:firstLine="200" w:firstLineChars="200"/>
    </w:pPr>
    <w:rPr>
      <w:rFonts w:ascii="宋体" w:hAnsi="宋体"/>
      <w:color w:val="000000"/>
      <w:kern w:val="0"/>
      <w:sz w:val="24"/>
      <w:szCs w:val="28"/>
    </w:rPr>
  </w:style>
  <w:style w:type="character" w:customStyle="1" w:styleId="647">
    <w:name w:val="g Char Char1"/>
    <w:semiHidden/>
    <w:qFormat/>
    <w:uiPriority w:val="0"/>
    <w:rPr>
      <w:rFonts w:hint="eastAsia" w:ascii="宋体" w:hAnsi="宋体" w:eastAsia="宋体"/>
      <w:snapToGrid/>
      <w:spacing w:val="8"/>
      <w:kern w:val="2"/>
      <w:sz w:val="18"/>
      <w:szCs w:val="18"/>
      <w:lang w:val="en-US" w:eastAsia="zh-CN" w:bidi="ar-SA"/>
    </w:rPr>
  </w:style>
  <w:style w:type="character" w:customStyle="1" w:styleId="648">
    <w:name w:val="热电厂正文 Char"/>
    <w:link w:val="649"/>
    <w:qFormat/>
    <w:locked/>
    <w:uiPriority w:val="0"/>
    <w:rPr>
      <w:rFonts w:ascii="宋体" w:hAnsi="宋体" w:eastAsia="宋体"/>
      <w:color w:val="000000"/>
      <w:sz w:val="24"/>
      <w:szCs w:val="24"/>
      <w:lang w:val="en-US" w:eastAsia="zh-CN" w:bidi="ar-SA"/>
    </w:rPr>
  </w:style>
  <w:style w:type="paragraph" w:customStyle="1" w:styleId="649">
    <w:name w:val="热电厂正文"/>
    <w:basedOn w:val="1"/>
    <w:link w:val="648"/>
    <w:qFormat/>
    <w:uiPriority w:val="0"/>
    <w:pPr>
      <w:spacing w:line="440" w:lineRule="exact"/>
      <w:ind w:firstLine="480" w:firstLineChars="200"/>
    </w:pPr>
    <w:rPr>
      <w:rFonts w:ascii="宋体" w:hAnsi="宋体"/>
      <w:color w:val="000000"/>
      <w:kern w:val="0"/>
      <w:sz w:val="24"/>
      <w:szCs w:val="24"/>
    </w:rPr>
  </w:style>
  <w:style w:type="character" w:customStyle="1" w:styleId="650">
    <w:name w:val="样式 黑色 首行缩进:  2 字符 Char"/>
    <w:link w:val="651"/>
    <w:qFormat/>
    <w:locked/>
    <w:uiPriority w:val="0"/>
    <w:rPr>
      <w:rFonts w:ascii="宋体" w:hAnsi="宋体" w:eastAsia="宋体"/>
      <w:color w:val="000000"/>
      <w:lang w:val="en-US" w:eastAsia="zh-CN" w:bidi="ar-SA"/>
    </w:rPr>
  </w:style>
  <w:style w:type="paragraph" w:customStyle="1" w:styleId="651">
    <w:name w:val="样式 黑色 首行缩进:  2 字符"/>
    <w:basedOn w:val="1"/>
    <w:link w:val="650"/>
    <w:qFormat/>
    <w:uiPriority w:val="0"/>
    <w:pPr>
      <w:spacing w:line="320" w:lineRule="exact"/>
      <w:jc w:val="center"/>
    </w:pPr>
    <w:rPr>
      <w:rFonts w:ascii="宋体" w:hAnsi="宋体"/>
      <w:color w:val="000000"/>
      <w:kern w:val="0"/>
      <w:sz w:val="20"/>
      <w:szCs w:val="20"/>
    </w:rPr>
  </w:style>
  <w:style w:type="character" w:customStyle="1" w:styleId="652">
    <w:name w:val="样式 标题 2H2标题 2 Char1SeHead wsa2Chapter标题 1.1Chapter Title... Char"/>
    <w:link w:val="161"/>
    <w:qFormat/>
    <w:locked/>
    <w:uiPriority w:val="0"/>
    <w:rPr>
      <w:rFonts w:ascii="黑体" w:hAnsi="黑体" w:eastAsia="黑体"/>
      <w:b/>
      <w:sz w:val="30"/>
      <w:lang w:val="en-US" w:eastAsia="zh-CN" w:bidi="ar-SA"/>
    </w:rPr>
  </w:style>
  <w:style w:type="character" w:customStyle="1" w:styleId="653">
    <w:name w:val="样式 正文文本缩进 2正文文本缩进 2 Char Char Char Char正文文本缩进 2 Char Char + 黑色2 Char"/>
    <w:link w:val="654"/>
    <w:qFormat/>
    <w:locked/>
    <w:uiPriority w:val="0"/>
    <w:rPr>
      <w:rFonts w:ascii="宋体" w:hAnsi="宋体" w:eastAsia="宋体"/>
      <w:color w:val="000000"/>
      <w:szCs w:val="21"/>
      <w:lang w:val="en-US" w:eastAsia="zh-CN" w:bidi="ar-SA"/>
    </w:rPr>
  </w:style>
  <w:style w:type="paragraph" w:customStyle="1" w:styleId="654">
    <w:name w:val="样式 正文文本缩进 2正文文本缩进 2 Char Char Char Char正文文本缩进 2 Char Char + 黑色2"/>
    <w:basedOn w:val="46"/>
    <w:link w:val="653"/>
    <w:qFormat/>
    <w:uiPriority w:val="0"/>
    <w:pPr>
      <w:adjustRightInd w:val="0"/>
      <w:snapToGrid/>
      <w:spacing w:after="0" w:line="320" w:lineRule="exact"/>
      <w:ind w:left="0" w:leftChars="0" w:firstLine="0" w:firstLineChars="0"/>
      <w:jc w:val="center"/>
    </w:pPr>
    <w:rPr>
      <w:color w:val="000000"/>
      <w:kern w:val="0"/>
      <w:sz w:val="20"/>
      <w:szCs w:val="21"/>
    </w:rPr>
  </w:style>
  <w:style w:type="character" w:customStyle="1" w:styleId="655">
    <w:name w:val="Char1 Char Char3"/>
    <w:qFormat/>
    <w:uiPriority w:val="0"/>
    <w:rPr>
      <w:rFonts w:hint="eastAsia" w:ascii="宋体" w:hAnsi="宋体" w:eastAsia="宋体"/>
      <w:b/>
      <w:bCs/>
      <w:kern w:val="2"/>
      <w:sz w:val="32"/>
      <w:szCs w:val="32"/>
      <w:lang w:val="en-US" w:eastAsia="zh-CN" w:bidi="ar-SA"/>
    </w:rPr>
  </w:style>
  <w:style w:type="character" w:customStyle="1" w:styleId="656">
    <w:name w:val="lanmu_title1"/>
    <w:qFormat/>
    <w:uiPriority w:val="0"/>
    <w:rPr>
      <w:b/>
      <w:bCs/>
      <w:color w:val="000000"/>
      <w:sz w:val="24"/>
      <w:szCs w:val="24"/>
    </w:rPr>
  </w:style>
  <w:style w:type="character" w:customStyle="1" w:styleId="657">
    <w:name w:val="样式 标题 1标题 111一、Head 1wsa文章标题b1章标题 1H1PIM 1标书1h1标题 11... Char"/>
    <w:link w:val="257"/>
    <w:qFormat/>
    <w:locked/>
    <w:uiPriority w:val="0"/>
    <w:rPr>
      <w:rFonts w:ascii="黑体" w:hAnsi="黑体" w:eastAsia="宋体"/>
      <w:b/>
      <w:bCs/>
      <w:color w:val="000000"/>
      <w:kern w:val="44"/>
      <w:sz w:val="44"/>
      <w:szCs w:val="44"/>
      <w:lang w:val="en-US" w:eastAsia="zh-CN" w:bidi="ar-SA"/>
    </w:rPr>
  </w:style>
  <w:style w:type="character" w:customStyle="1" w:styleId="658">
    <w:name w:val="样式21 Char"/>
    <w:link w:val="659"/>
    <w:qFormat/>
    <w:locked/>
    <w:uiPriority w:val="0"/>
    <w:rPr>
      <w:rFonts w:ascii="宋体" w:hAnsi="宋体" w:eastAsia="宋体"/>
      <w:b/>
      <w:color w:val="000000"/>
      <w:sz w:val="24"/>
      <w:szCs w:val="24"/>
      <w:lang w:val="en-US" w:eastAsia="zh-CN" w:bidi="ar-SA"/>
    </w:rPr>
  </w:style>
  <w:style w:type="paragraph" w:customStyle="1" w:styleId="659">
    <w:name w:val="样式21"/>
    <w:basedOn w:val="319"/>
    <w:link w:val="658"/>
    <w:qFormat/>
    <w:uiPriority w:val="0"/>
    <w:pPr>
      <w:snapToGrid/>
      <w:spacing w:line="460" w:lineRule="exact"/>
      <w:ind w:firstLine="560" w:firstLineChars="200"/>
    </w:pPr>
    <w:rPr>
      <w:b/>
      <w:snapToGrid/>
      <w:color w:val="000000"/>
      <w:spacing w:val="0"/>
      <w:sz w:val="24"/>
      <w:szCs w:val="24"/>
    </w:rPr>
  </w:style>
  <w:style w:type="character" w:customStyle="1" w:styleId="660">
    <w:name w:val="Char Char23"/>
    <w:qFormat/>
    <w:uiPriority w:val="0"/>
    <w:rPr>
      <w:rFonts w:hint="eastAsia" w:ascii="宋体" w:hAnsi="宋体" w:eastAsia="宋体"/>
      <w:kern w:val="2"/>
      <w:sz w:val="18"/>
      <w:szCs w:val="18"/>
      <w:lang w:val="en-US" w:eastAsia="zh-CN" w:bidi="ar-SA"/>
    </w:rPr>
  </w:style>
  <w:style w:type="character" w:customStyle="1" w:styleId="661">
    <w:name w:val="样式37 Char"/>
    <w:link w:val="202"/>
    <w:qFormat/>
    <w:locked/>
    <w:uiPriority w:val="0"/>
    <w:rPr>
      <w:rFonts w:ascii="Arial" w:hAnsi="Arial" w:eastAsia="宋体" w:cs="Arial"/>
      <w:b/>
      <w:bCs/>
      <w:color w:val="000000"/>
      <w:sz w:val="24"/>
      <w:szCs w:val="24"/>
      <w:lang w:val="en-US" w:eastAsia="zh-CN" w:bidi="ar-SA"/>
    </w:rPr>
  </w:style>
  <w:style w:type="character" w:customStyle="1" w:styleId="662">
    <w:name w:val="报告 Char Char"/>
    <w:qFormat/>
    <w:uiPriority w:val="0"/>
    <w:rPr>
      <w:rFonts w:hint="eastAsia" w:ascii="宋体" w:hAnsi="宋体" w:eastAsia="宋体"/>
      <w:kern w:val="2"/>
      <w:sz w:val="24"/>
      <w:szCs w:val="24"/>
      <w:lang w:val="en-US" w:eastAsia="zh-CN" w:bidi="ar-SA"/>
    </w:rPr>
  </w:style>
  <w:style w:type="character" w:customStyle="1" w:styleId="663">
    <w:name w:val="样式 宋体 四号 黑色"/>
    <w:qFormat/>
    <w:uiPriority w:val="0"/>
    <w:rPr>
      <w:rFonts w:hint="eastAsia" w:ascii="宋体" w:hAnsi="宋体" w:eastAsia="宋体"/>
      <w:color w:val="000000"/>
      <w:sz w:val="28"/>
      <w:szCs w:val="28"/>
      <w:lang w:val="en-US" w:eastAsia="en-US" w:bidi="ar-SA"/>
    </w:rPr>
  </w:style>
  <w:style w:type="character" w:customStyle="1" w:styleId="664">
    <w:name w:val="样式39 Char1"/>
    <w:link w:val="665"/>
    <w:qFormat/>
    <w:locked/>
    <w:uiPriority w:val="0"/>
    <w:rPr>
      <w:rFonts w:ascii="宋体" w:hAnsi="宋体" w:eastAsia="宋体"/>
      <w:b/>
      <w:bCs/>
      <w:color w:val="000000"/>
      <w:sz w:val="24"/>
      <w:szCs w:val="24"/>
      <w:lang w:val="en-US" w:eastAsia="zh-CN" w:bidi="ar-SA"/>
    </w:rPr>
  </w:style>
  <w:style w:type="paragraph" w:customStyle="1" w:styleId="665">
    <w:name w:val="样式39"/>
    <w:basedOn w:val="644"/>
    <w:link w:val="664"/>
    <w:qFormat/>
    <w:uiPriority w:val="0"/>
    <w:rPr>
      <w:color w:val="000000"/>
    </w:rPr>
  </w:style>
  <w:style w:type="character" w:customStyle="1" w:styleId="666">
    <w:name w:val="样式 标题 2 + 仿宋_GB2312 四号 非加粗 Char"/>
    <w:qFormat/>
    <w:uiPriority w:val="0"/>
    <w:rPr>
      <w:rFonts w:hint="eastAsia" w:ascii="仿宋_GB2312" w:eastAsia="仿宋_GB2312"/>
      <w:bCs/>
      <w:kern w:val="2"/>
      <w:sz w:val="28"/>
      <w:szCs w:val="28"/>
      <w:lang w:val="en-US" w:eastAsia="zh-CN" w:bidi="ar-SA"/>
    </w:rPr>
  </w:style>
  <w:style w:type="character" w:customStyle="1" w:styleId="667">
    <w:name w:val="样式40 Char1"/>
    <w:link w:val="213"/>
    <w:qFormat/>
    <w:locked/>
    <w:uiPriority w:val="0"/>
    <w:rPr>
      <w:rFonts w:ascii="宋体" w:hAnsi="宋体" w:eastAsia="宋体"/>
      <w:color w:val="000000"/>
      <w:lang w:val="en-US" w:eastAsia="zh-CN" w:bidi="ar-SA"/>
    </w:rPr>
  </w:style>
  <w:style w:type="character" w:customStyle="1" w:styleId="668">
    <w:name w:val="样式 标题 3 + 小四 非加粗 Char"/>
    <w:qFormat/>
    <w:uiPriority w:val="0"/>
    <w:rPr>
      <w:rFonts w:hint="eastAsia" w:ascii="仿宋_GB2312" w:eastAsia="仿宋_GB2312"/>
      <w:b/>
      <w:bCs/>
      <w:kern w:val="2"/>
      <w:sz w:val="24"/>
      <w:szCs w:val="24"/>
      <w:lang w:val="en-US" w:eastAsia="zh-CN" w:bidi="ar-SA"/>
    </w:rPr>
  </w:style>
  <w:style w:type="character" w:customStyle="1" w:styleId="669">
    <w:name w:val="样式42 Char"/>
    <w:link w:val="670"/>
    <w:qFormat/>
    <w:locked/>
    <w:uiPriority w:val="0"/>
    <w:rPr>
      <w:rFonts w:ascii="楷体_GB2312" w:eastAsia="楷体_GB2312"/>
      <w:b/>
      <w:color w:val="000000"/>
      <w:sz w:val="24"/>
      <w:szCs w:val="24"/>
      <w:lang w:val="en-US" w:eastAsia="zh-CN" w:bidi="ar-SA"/>
    </w:rPr>
  </w:style>
  <w:style w:type="paragraph" w:customStyle="1" w:styleId="670">
    <w:name w:val="样式42"/>
    <w:basedOn w:val="1"/>
    <w:link w:val="669"/>
    <w:qFormat/>
    <w:uiPriority w:val="0"/>
    <w:pPr>
      <w:spacing w:line="460" w:lineRule="exact"/>
      <w:ind w:firstLine="562" w:firstLineChars="200"/>
    </w:pPr>
    <w:rPr>
      <w:rFonts w:ascii="楷体_GB2312" w:eastAsia="楷体_GB2312"/>
      <w:b/>
      <w:color w:val="000000"/>
      <w:kern w:val="0"/>
      <w:sz w:val="24"/>
      <w:szCs w:val="24"/>
    </w:rPr>
  </w:style>
  <w:style w:type="character" w:customStyle="1" w:styleId="671">
    <w:name w:val="样式26 Char"/>
    <w:link w:val="672"/>
    <w:qFormat/>
    <w:locked/>
    <w:uiPriority w:val="0"/>
    <w:rPr>
      <w:rFonts w:ascii="宋体" w:hAnsi="宋体" w:eastAsia="宋体"/>
      <w:color w:val="FF0000"/>
      <w:sz w:val="24"/>
      <w:szCs w:val="24"/>
      <w:lang w:val="en-US" w:eastAsia="zh-CN" w:bidi="ar-SA"/>
    </w:rPr>
  </w:style>
  <w:style w:type="paragraph" w:customStyle="1" w:styleId="672">
    <w:name w:val="样式26"/>
    <w:basedOn w:val="673"/>
    <w:link w:val="671"/>
    <w:qFormat/>
    <w:uiPriority w:val="0"/>
    <w:pPr>
      <w:spacing w:line="240" w:lineRule="atLeast"/>
      <w:ind w:firstLine="200" w:firstLineChars="200"/>
      <w:jc w:val="center"/>
    </w:pPr>
    <w:rPr>
      <w:rFonts w:ascii="宋体" w:hAnsi="宋体"/>
      <w:color w:val="FF0000"/>
      <w:kern w:val="0"/>
      <w:sz w:val="24"/>
      <w:szCs w:val="24"/>
    </w:rPr>
  </w:style>
  <w:style w:type="paragraph" w:customStyle="1" w:styleId="673">
    <w:name w:val="样式6"/>
    <w:basedOn w:val="1"/>
    <w:qFormat/>
    <w:uiPriority w:val="0"/>
    <w:pPr>
      <w:spacing w:line="480" w:lineRule="exact"/>
    </w:pPr>
    <w:rPr>
      <w:sz w:val="28"/>
      <w:szCs w:val="20"/>
    </w:rPr>
  </w:style>
  <w:style w:type="character" w:customStyle="1" w:styleId="674">
    <w:name w:val="样式47 Char"/>
    <w:link w:val="675"/>
    <w:qFormat/>
    <w:locked/>
    <w:uiPriority w:val="0"/>
    <w:rPr>
      <w:rFonts w:ascii="宋体" w:hAnsi="宋体" w:eastAsia="宋体"/>
      <w:sz w:val="24"/>
      <w:szCs w:val="24"/>
      <w:lang w:val="en-US" w:eastAsia="zh-CN" w:bidi="ar-SA"/>
    </w:rPr>
  </w:style>
  <w:style w:type="paragraph" w:customStyle="1" w:styleId="675">
    <w:name w:val="样式47"/>
    <w:basedOn w:val="310"/>
    <w:link w:val="674"/>
    <w:qFormat/>
    <w:uiPriority w:val="0"/>
  </w:style>
  <w:style w:type="character" w:customStyle="1" w:styleId="676">
    <w:name w:val="px14"/>
    <w:qFormat/>
    <w:uiPriority w:val="0"/>
  </w:style>
  <w:style w:type="character" w:customStyle="1" w:styleId="677">
    <w:name w:val="样式 正文文本 2 + 黑色 Char"/>
    <w:link w:val="678"/>
    <w:qFormat/>
    <w:locked/>
    <w:uiPriority w:val="0"/>
    <w:rPr>
      <w:rFonts w:ascii="楷体_GB2312" w:eastAsia="楷体_GB2312"/>
      <w:color w:val="000000"/>
      <w:sz w:val="28"/>
      <w:lang w:val="en-US" w:eastAsia="zh-CN" w:bidi="ar-SA"/>
    </w:rPr>
  </w:style>
  <w:style w:type="paragraph" w:customStyle="1" w:styleId="678">
    <w:name w:val="样式 正文文本 2 + 黑色"/>
    <w:basedOn w:val="66"/>
    <w:link w:val="677"/>
    <w:qFormat/>
    <w:uiPriority w:val="0"/>
    <w:pPr>
      <w:widowControl w:val="0"/>
      <w:shd w:val="clear" w:color="auto" w:fill="auto"/>
      <w:adjustRightInd w:val="0"/>
      <w:spacing w:before="60" w:after="60" w:line="500" w:lineRule="exact"/>
      <w:ind w:firstLine="520" w:firstLineChars="200"/>
      <w:textAlignment w:val="auto"/>
    </w:pPr>
    <w:rPr>
      <w:rFonts w:ascii="楷体_GB2312" w:eastAsia="楷体_GB2312"/>
      <w:b w:val="0"/>
      <w:color w:val="000000"/>
      <w:kern w:val="0"/>
      <w:sz w:val="28"/>
      <w:szCs w:val="20"/>
    </w:rPr>
  </w:style>
  <w:style w:type="character" w:customStyle="1" w:styleId="679">
    <w:name w:val="样式61 Char"/>
    <w:link w:val="159"/>
    <w:qFormat/>
    <w:locked/>
    <w:uiPriority w:val="0"/>
    <w:rPr>
      <w:rFonts w:ascii="黑体" w:hAnsi="黑体" w:eastAsia="黑体"/>
      <w:color w:val="000000"/>
      <w:sz w:val="28"/>
      <w:szCs w:val="28"/>
      <w:lang w:val="en-US" w:eastAsia="zh-CN" w:bidi="ar-SA"/>
    </w:rPr>
  </w:style>
  <w:style w:type="character" w:customStyle="1" w:styleId="680">
    <w:name w:val="样式62 Char"/>
    <w:link w:val="158"/>
    <w:qFormat/>
    <w:locked/>
    <w:uiPriority w:val="0"/>
    <w:rPr>
      <w:rFonts w:ascii="黑体" w:hAnsi="黑体" w:eastAsia="黑体"/>
      <w:b/>
      <w:color w:val="000000"/>
      <w:sz w:val="28"/>
      <w:szCs w:val="28"/>
      <w:lang w:val="en-US" w:eastAsia="zh-CN" w:bidi="ar-SA"/>
    </w:rPr>
  </w:style>
  <w:style w:type="character" w:customStyle="1" w:styleId="681">
    <w:name w:val="EmailStyle21721"/>
    <w:qFormat/>
    <w:uiPriority w:val="0"/>
    <w:rPr>
      <w:rFonts w:hint="default" w:ascii="Arial" w:hAnsi="Arial" w:eastAsia="PMingLiU" w:cs="Arial"/>
      <w:color w:val="000000"/>
      <w:sz w:val="18"/>
    </w:rPr>
  </w:style>
  <w:style w:type="character" w:customStyle="1" w:styleId="682">
    <w:name w:val="样式65 Char"/>
    <w:link w:val="683"/>
    <w:qFormat/>
    <w:locked/>
    <w:uiPriority w:val="0"/>
    <w:rPr>
      <w:rFonts w:ascii="仿宋_GB2312" w:eastAsia="仿宋_GB2312"/>
      <w:sz w:val="24"/>
      <w:szCs w:val="24"/>
      <w:lang w:val="en-US" w:eastAsia="zh-CN" w:bidi="ar-SA"/>
    </w:rPr>
  </w:style>
  <w:style w:type="paragraph" w:customStyle="1" w:styleId="683">
    <w:name w:val="样式65"/>
    <w:basedOn w:val="1"/>
    <w:link w:val="682"/>
    <w:qFormat/>
    <w:uiPriority w:val="0"/>
    <w:pPr>
      <w:spacing w:line="360" w:lineRule="auto"/>
      <w:ind w:firstLine="567" w:firstLineChars="200"/>
    </w:pPr>
    <w:rPr>
      <w:rFonts w:ascii="仿宋_GB2312" w:eastAsia="仿宋_GB2312"/>
      <w:kern w:val="0"/>
      <w:sz w:val="24"/>
      <w:szCs w:val="24"/>
    </w:rPr>
  </w:style>
  <w:style w:type="character" w:customStyle="1" w:styleId="684">
    <w:name w:val="Char Char191"/>
    <w:qFormat/>
    <w:uiPriority w:val="0"/>
    <w:rPr>
      <w:rFonts w:hint="default" w:ascii="Arial Black" w:hAnsi="Arial Black" w:eastAsia="宋体"/>
      <w:b/>
      <w:bCs/>
      <w:kern w:val="44"/>
      <w:sz w:val="44"/>
      <w:szCs w:val="44"/>
      <w:lang w:val="en-US" w:eastAsia="zh-CN" w:bidi="ar-SA"/>
    </w:rPr>
  </w:style>
  <w:style w:type="character" w:customStyle="1" w:styleId="685">
    <w:name w:val="样式175 Char"/>
    <w:link w:val="686"/>
    <w:qFormat/>
    <w:locked/>
    <w:uiPriority w:val="0"/>
    <w:rPr>
      <w:rFonts w:ascii="宋体" w:hAnsi="宋体" w:eastAsia="宋体"/>
      <w:sz w:val="24"/>
      <w:szCs w:val="24"/>
      <w:lang w:val="en-AU" w:eastAsia="zh-CN" w:bidi="ar-SA"/>
    </w:rPr>
  </w:style>
  <w:style w:type="paragraph" w:customStyle="1" w:styleId="686">
    <w:name w:val="样式175"/>
    <w:basedOn w:val="631"/>
    <w:link w:val="685"/>
    <w:qFormat/>
    <w:uiPriority w:val="0"/>
    <w:pPr>
      <w:spacing w:beforeLines="0" w:line="240" w:lineRule="auto"/>
      <w:ind w:firstLine="200"/>
    </w:pPr>
    <w:rPr>
      <w:rFonts w:ascii="宋体" w:hAnsi="宋体" w:eastAsia="宋体"/>
      <w:lang w:val="en-AU"/>
    </w:rPr>
  </w:style>
  <w:style w:type="character" w:customStyle="1" w:styleId="687">
    <w:name w:val="样式73 Char"/>
    <w:link w:val="157"/>
    <w:qFormat/>
    <w:locked/>
    <w:uiPriority w:val="0"/>
    <w:rPr>
      <w:rFonts w:ascii="黑体" w:hAnsi="黑体" w:eastAsia="黑体"/>
      <w:color w:val="000000"/>
      <w:sz w:val="28"/>
      <w:szCs w:val="28"/>
      <w:lang w:val="en-US" w:eastAsia="zh-CN" w:bidi="ar-SA"/>
    </w:rPr>
  </w:style>
  <w:style w:type="character" w:customStyle="1" w:styleId="688">
    <w:name w:val="样式 标题 3 + 宋体1 Char"/>
    <w:qFormat/>
    <w:uiPriority w:val="0"/>
    <w:rPr>
      <w:rFonts w:hint="eastAsia" w:ascii="宋体" w:hAnsi="宋体" w:eastAsia="宋体"/>
      <w:kern w:val="28"/>
      <w:sz w:val="28"/>
      <w:lang w:val="en-US" w:eastAsia="zh-CN" w:bidi="ar-SA"/>
    </w:rPr>
  </w:style>
  <w:style w:type="character" w:customStyle="1" w:styleId="689">
    <w:name w:val="样式77 Char"/>
    <w:link w:val="690"/>
    <w:qFormat/>
    <w:locked/>
    <w:uiPriority w:val="0"/>
    <w:rPr>
      <w:rFonts w:ascii="黑体" w:hAnsi="黑体" w:eastAsia="黑体"/>
      <w:b/>
      <w:bCs/>
      <w:color w:val="000000"/>
      <w:sz w:val="24"/>
      <w:szCs w:val="21"/>
      <w:lang w:val="en-US" w:eastAsia="zh-CN" w:bidi="ar-SA"/>
    </w:rPr>
  </w:style>
  <w:style w:type="paragraph" w:customStyle="1" w:styleId="690">
    <w:name w:val="样式77"/>
    <w:basedOn w:val="665"/>
    <w:link w:val="689"/>
    <w:qFormat/>
    <w:uiPriority w:val="0"/>
    <w:rPr>
      <w:rFonts w:ascii="黑体" w:hAnsi="黑体" w:eastAsia="黑体"/>
      <w:szCs w:val="21"/>
    </w:rPr>
  </w:style>
  <w:style w:type="character" w:customStyle="1" w:styleId="691">
    <w:name w:val="Char Char18"/>
    <w:qFormat/>
    <w:uiPriority w:val="0"/>
    <w:rPr>
      <w:rFonts w:hint="eastAsia" w:ascii="宋体" w:hAnsi="宋体" w:eastAsia="宋体"/>
      <w:bCs/>
      <w:kern w:val="2"/>
      <w:sz w:val="28"/>
      <w:szCs w:val="32"/>
      <w:lang w:val="en-US" w:eastAsia="zh-CN" w:bidi="ar-SA"/>
    </w:rPr>
  </w:style>
  <w:style w:type="character" w:customStyle="1" w:styleId="692">
    <w:name w:val="样式79 Char"/>
    <w:link w:val="693"/>
    <w:qFormat/>
    <w:locked/>
    <w:uiPriority w:val="0"/>
    <w:rPr>
      <w:rFonts w:ascii="黑体" w:hAnsi="黑体" w:eastAsia="黑体"/>
      <w:b/>
      <w:i/>
      <w:color w:val="FF0000"/>
      <w:kern w:val="44"/>
      <w:sz w:val="30"/>
      <w:szCs w:val="30"/>
      <w:lang w:val="en-US" w:eastAsia="zh-CN" w:bidi="ar-SA"/>
    </w:rPr>
  </w:style>
  <w:style w:type="paragraph" w:customStyle="1" w:styleId="693">
    <w:name w:val="样式79"/>
    <w:basedOn w:val="3"/>
    <w:link w:val="692"/>
    <w:qFormat/>
    <w:uiPriority w:val="0"/>
    <w:pPr>
      <w:adjustRightInd w:val="0"/>
      <w:spacing w:before="960" w:after="600" w:line="240" w:lineRule="auto"/>
      <w:ind w:left="-76" w:hanging="284"/>
      <w:jc w:val="center"/>
    </w:pPr>
    <w:rPr>
      <w:rFonts w:ascii="黑体" w:hAnsi="黑体" w:eastAsia="黑体"/>
      <w:bCs/>
      <w:i/>
      <w:color w:val="FF0000"/>
      <w:sz w:val="30"/>
      <w:szCs w:val="30"/>
    </w:rPr>
  </w:style>
  <w:style w:type="character" w:customStyle="1" w:styleId="694">
    <w:name w:val="样式80 Char"/>
    <w:link w:val="695"/>
    <w:qFormat/>
    <w:locked/>
    <w:uiPriority w:val="0"/>
    <w:rPr>
      <w:rFonts w:ascii="黑体" w:hAnsi="黑体" w:eastAsia="黑体"/>
      <w:i/>
      <w:color w:val="000000"/>
      <w:kern w:val="44"/>
      <w:sz w:val="30"/>
      <w:szCs w:val="30"/>
      <w:lang w:val="en-US" w:eastAsia="zh-CN" w:bidi="ar-SA"/>
    </w:rPr>
  </w:style>
  <w:style w:type="paragraph" w:customStyle="1" w:styleId="695">
    <w:name w:val="样式80"/>
    <w:basedOn w:val="693"/>
    <w:link w:val="694"/>
    <w:qFormat/>
    <w:uiPriority w:val="0"/>
    <w:pPr>
      <w:spacing w:after="240" w:line="400" w:lineRule="exact"/>
    </w:pPr>
    <w:rPr>
      <w:b w:val="0"/>
      <w:color w:val="000000"/>
    </w:rPr>
  </w:style>
  <w:style w:type="character" w:customStyle="1" w:styleId="696">
    <w:name w:val="样式81 Char"/>
    <w:link w:val="156"/>
    <w:qFormat/>
    <w:locked/>
    <w:uiPriority w:val="0"/>
    <w:rPr>
      <w:rFonts w:ascii="黑体" w:hAnsi="黑体" w:eastAsia="黑体"/>
      <w:b/>
      <w:color w:val="000000"/>
      <w:sz w:val="28"/>
      <w:szCs w:val="28"/>
      <w:lang w:val="en-US" w:eastAsia="zh-CN" w:bidi="ar-SA"/>
    </w:rPr>
  </w:style>
  <w:style w:type="character" w:customStyle="1" w:styleId="697">
    <w:name w:val="EmailStyle22121"/>
    <w:semiHidden/>
    <w:qFormat/>
    <w:uiPriority w:val="0"/>
    <w:rPr>
      <w:rFonts w:hint="default" w:ascii="Arial" w:hAnsi="Arial" w:eastAsia="宋体" w:cs="Arial"/>
      <w:color w:val="000080"/>
      <w:sz w:val="18"/>
      <w:szCs w:val="20"/>
    </w:rPr>
  </w:style>
  <w:style w:type="character" w:customStyle="1" w:styleId="698">
    <w:name w:val="样式84 Char"/>
    <w:link w:val="201"/>
    <w:qFormat/>
    <w:locked/>
    <w:uiPriority w:val="0"/>
    <w:rPr>
      <w:rFonts w:ascii="Arial" w:hAnsi="Arial" w:eastAsia="黑体" w:cs="Arial"/>
      <w:b/>
      <w:bCs/>
      <w:color w:val="000000"/>
      <w:sz w:val="24"/>
      <w:szCs w:val="24"/>
      <w:lang w:val="en-US" w:eastAsia="zh-CN" w:bidi="ar-SA"/>
    </w:rPr>
  </w:style>
  <w:style w:type="character" w:customStyle="1" w:styleId="699">
    <w:name w:val="Char Char63"/>
    <w:semiHidden/>
    <w:qFormat/>
    <w:uiPriority w:val="0"/>
    <w:rPr>
      <w:rFonts w:hint="eastAsia" w:ascii="宋体" w:hAnsi="宋体" w:eastAsia="宋体"/>
      <w:kern w:val="2"/>
      <w:sz w:val="21"/>
      <w:szCs w:val="24"/>
      <w:lang w:val="en-US" w:eastAsia="zh-CN" w:bidi="ar-SA"/>
    </w:rPr>
  </w:style>
  <w:style w:type="character" w:customStyle="1" w:styleId="700">
    <w:name w:val="小标题 Char"/>
    <w:link w:val="701"/>
    <w:qFormat/>
    <w:locked/>
    <w:uiPriority w:val="0"/>
    <w:rPr>
      <w:rFonts w:ascii="Arial" w:hAnsi="宋体" w:cs="Arial"/>
      <w:b/>
      <w:sz w:val="24"/>
      <w:lang w:bidi="ar-SA"/>
    </w:rPr>
  </w:style>
  <w:style w:type="paragraph" w:customStyle="1" w:styleId="701">
    <w:name w:val="小标题"/>
    <w:basedOn w:val="1"/>
    <w:next w:val="1"/>
    <w:link w:val="700"/>
    <w:semiHidden/>
    <w:qFormat/>
    <w:uiPriority w:val="0"/>
    <w:pPr>
      <w:spacing w:before="120" w:after="120"/>
      <w:ind w:left="425"/>
    </w:pPr>
    <w:rPr>
      <w:rFonts w:ascii="Arial" w:hAnsi="宋体" w:eastAsia="Times New Roman" w:cs="Arial"/>
      <w:b/>
      <w:kern w:val="0"/>
      <w:sz w:val="24"/>
      <w:szCs w:val="20"/>
    </w:rPr>
  </w:style>
  <w:style w:type="character" w:customStyle="1" w:styleId="702">
    <w:name w:val="样式85 Char"/>
    <w:link w:val="703"/>
    <w:qFormat/>
    <w:locked/>
    <w:uiPriority w:val="0"/>
    <w:rPr>
      <w:rFonts w:ascii="黑体" w:hAnsi="黑体" w:eastAsia="黑体"/>
      <w:b/>
      <w:color w:val="000000"/>
      <w:sz w:val="24"/>
      <w:szCs w:val="24"/>
      <w:lang w:val="en-US" w:eastAsia="zh-CN" w:bidi="ar-SA"/>
    </w:rPr>
  </w:style>
  <w:style w:type="paragraph" w:customStyle="1" w:styleId="703">
    <w:name w:val="样式85"/>
    <w:basedOn w:val="503"/>
    <w:link w:val="702"/>
    <w:qFormat/>
    <w:uiPriority w:val="0"/>
    <w:rPr>
      <w:rFonts w:ascii="黑体" w:hAnsi="黑体" w:eastAsia="黑体"/>
      <w:sz w:val="24"/>
      <w:szCs w:val="24"/>
    </w:rPr>
  </w:style>
  <w:style w:type="character" w:customStyle="1" w:styleId="704">
    <w:name w:val="样式88 Char"/>
    <w:link w:val="705"/>
    <w:qFormat/>
    <w:locked/>
    <w:uiPriority w:val="0"/>
    <w:rPr>
      <w:rFonts w:ascii="黑体" w:hAnsi="黑体" w:eastAsia="黑体"/>
      <w:b/>
      <w:color w:val="000000"/>
      <w:sz w:val="28"/>
      <w:szCs w:val="28"/>
      <w:lang w:val="en-US" w:eastAsia="zh-CN" w:bidi="ar-SA"/>
    </w:rPr>
  </w:style>
  <w:style w:type="paragraph" w:customStyle="1" w:styleId="705">
    <w:name w:val="样式88"/>
    <w:basedOn w:val="156"/>
    <w:link w:val="704"/>
    <w:qFormat/>
    <w:uiPriority w:val="0"/>
  </w:style>
  <w:style w:type="character" w:customStyle="1" w:styleId="706">
    <w:name w:val="样式89 Char"/>
    <w:link w:val="707"/>
    <w:qFormat/>
    <w:locked/>
    <w:uiPriority w:val="0"/>
    <w:rPr>
      <w:rFonts w:ascii="黑体" w:hAnsi="黑体" w:eastAsia="黑体"/>
      <w:b/>
      <w:color w:val="000000"/>
      <w:sz w:val="24"/>
      <w:szCs w:val="24"/>
      <w:lang w:val="en-AU" w:eastAsia="zh-CN" w:bidi="ar-SA"/>
    </w:rPr>
  </w:style>
  <w:style w:type="paragraph" w:customStyle="1" w:styleId="707">
    <w:name w:val="样式89"/>
    <w:basedOn w:val="703"/>
    <w:link w:val="706"/>
    <w:qFormat/>
    <w:uiPriority w:val="0"/>
    <w:rPr>
      <w:lang w:val="en-AU"/>
    </w:rPr>
  </w:style>
  <w:style w:type="character" w:customStyle="1" w:styleId="708">
    <w:name w:val="样式106 Char"/>
    <w:link w:val="254"/>
    <w:qFormat/>
    <w:locked/>
    <w:uiPriority w:val="0"/>
    <w:rPr>
      <w:rFonts w:ascii="黑体" w:hAnsi="黑体" w:eastAsia="宋体"/>
      <w:b/>
      <w:bCs/>
      <w:color w:val="000000"/>
      <w:kern w:val="44"/>
      <w:sz w:val="44"/>
      <w:szCs w:val="44"/>
      <w:lang w:val="en-US" w:eastAsia="zh-CN" w:bidi="ar-SA"/>
    </w:rPr>
  </w:style>
  <w:style w:type="character" w:customStyle="1" w:styleId="709">
    <w:name w:val="样式112 Char"/>
    <w:link w:val="710"/>
    <w:qFormat/>
    <w:locked/>
    <w:uiPriority w:val="0"/>
    <w:rPr>
      <w:rFonts w:ascii="仿宋_GB2312" w:eastAsia="仿宋_GB2312"/>
      <w:sz w:val="24"/>
      <w:szCs w:val="24"/>
      <w:lang w:val="en-US" w:eastAsia="zh-CN" w:bidi="ar-SA"/>
    </w:rPr>
  </w:style>
  <w:style w:type="paragraph" w:customStyle="1" w:styleId="710">
    <w:name w:val="样式112"/>
    <w:basedOn w:val="108"/>
    <w:link w:val="709"/>
    <w:qFormat/>
    <w:uiPriority w:val="0"/>
  </w:style>
  <w:style w:type="character" w:customStyle="1" w:styleId="711">
    <w:name w:val="样式118 Char"/>
    <w:link w:val="712"/>
    <w:qFormat/>
    <w:locked/>
    <w:uiPriority w:val="0"/>
    <w:rPr>
      <w:rFonts w:ascii="黑体" w:hAnsi="黑体" w:eastAsia="黑体"/>
      <w:bCs/>
      <w:color w:val="000000"/>
      <w:sz w:val="24"/>
      <w:szCs w:val="24"/>
      <w:lang w:val="en-US" w:eastAsia="zh-CN" w:bidi="ar-SA"/>
    </w:rPr>
  </w:style>
  <w:style w:type="paragraph" w:customStyle="1" w:styleId="712">
    <w:name w:val="样式118"/>
    <w:basedOn w:val="1"/>
    <w:link w:val="711"/>
    <w:qFormat/>
    <w:uiPriority w:val="0"/>
    <w:pPr>
      <w:spacing w:line="520" w:lineRule="exact"/>
    </w:pPr>
    <w:rPr>
      <w:rFonts w:ascii="黑体" w:hAnsi="黑体" w:eastAsia="黑体"/>
      <w:bCs/>
      <w:color w:val="000000"/>
      <w:kern w:val="0"/>
      <w:sz w:val="24"/>
      <w:szCs w:val="24"/>
    </w:rPr>
  </w:style>
  <w:style w:type="character" w:customStyle="1" w:styleId="713">
    <w:name w:val="样式119 Char"/>
    <w:link w:val="714"/>
    <w:qFormat/>
    <w:locked/>
    <w:uiPriority w:val="0"/>
    <w:rPr>
      <w:rFonts w:ascii="仿宋_GB2312" w:eastAsia="仿宋_GB2312"/>
      <w:sz w:val="24"/>
      <w:szCs w:val="24"/>
      <w:lang w:val="en-US" w:eastAsia="zh-CN" w:bidi="ar-SA"/>
    </w:rPr>
  </w:style>
  <w:style w:type="paragraph" w:customStyle="1" w:styleId="714">
    <w:name w:val="样式119"/>
    <w:basedOn w:val="710"/>
    <w:link w:val="713"/>
    <w:qFormat/>
    <w:uiPriority w:val="0"/>
    <w:pPr>
      <w:spacing w:line="520" w:lineRule="exact"/>
    </w:pPr>
  </w:style>
  <w:style w:type="character" w:customStyle="1" w:styleId="715">
    <w:name w:val="td11"/>
    <w:qFormat/>
    <w:uiPriority w:val="0"/>
    <w:rPr>
      <w:rFonts w:hint="default" w:ascii="ˎ̥" w:hAnsi="ˎ̥"/>
      <w:color w:val="000000"/>
      <w:sz w:val="18"/>
      <w:szCs w:val="18"/>
    </w:rPr>
  </w:style>
  <w:style w:type="character" w:customStyle="1" w:styleId="716">
    <w:name w:val="样式124 Char"/>
    <w:link w:val="717"/>
    <w:qFormat/>
    <w:locked/>
    <w:uiPriority w:val="0"/>
    <w:rPr>
      <w:rFonts w:ascii="仿宋_GB2312" w:eastAsia="仿宋_GB2312"/>
      <w:sz w:val="24"/>
      <w:szCs w:val="24"/>
      <w:lang w:val="en-US" w:eastAsia="zh-CN" w:bidi="ar-SA"/>
    </w:rPr>
  </w:style>
  <w:style w:type="paragraph" w:customStyle="1" w:styleId="717">
    <w:name w:val="样式124"/>
    <w:basedOn w:val="303"/>
    <w:link w:val="716"/>
    <w:qFormat/>
    <w:uiPriority w:val="0"/>
  </w:style>
  <w:style w:type="character" w:customStyle="1" w:styleId="718">
    <w:name w:val="copyright1"/>
    <w:qFormat/>
    <w:uiPriority w:val="0"/>
    <w:rPr>
      <w:color w:val="000000"/>
      <w:spacing w:val="360"/>
    </w:rPr>
  </w:style>
  <w:style w:type="character" w:customStyle="1" w:styleId="719">
    <w:name w:val="样式 黑色 首行缩进:  2 字符2 Char"/>
    <w:link w:val="720"/>
    <w:qFormat/>
    <w:locked/>
    <w:uiPriority w:val="0"/>
    <w:rPr>
      <w:rFonts w:ascii="宋体" w:hAnsi="宋体" w:eastAsia="宋体"/>
      <w:color w:val="000000"/>
      <w:sz w:val="28"/>
      <w:lang w:val="en-US" w:eastAsia="zh-CN" w:bidi="ar-SA"/>
    </w:rPr>
  </w:style>
  <w:style w:type="paragraph" w:customStyle="1" w:styleId="720">
    <w:name w:val="样式 黑色 首行缩进:  2 字符2"/>
    <w:basedOn w:val="1"/>
    <w:link w:val="719"/>
    <w:qFormat/>
    <w:uiPriority w:val="0"/>
    <w:pPr>
      <w:spacing w:line="520" w:lineRule="exact"/>
      <w:ind w:firstLine="527" w:firstLineChars="200"/>
    </w:pPr>
    <w:rPr>
      <w:rFonts w:ascii="宋体" w:hAnsi="宋体"/>
      <w:color w:val="000000"/>
      <w:kern w:val="0"/>
      <w:sz w:val="28"/>
      <w:szCs w:val="20"/>
    </w:rPr>
  </w:style>
  <w:style w:type="character" w:customStyle="1" w:styleId="721">
    <w:name w:val="样式 宋体 首行缩进:  2 字符1 Char"/>
    <w:link w:val="722"/>
    <w:qFormat/>
    <w:locked/>
    <w:uiPriority w:val="0"/>
    <w:rPr>
      <w:rFonts w:ascii="宋体" w:hAnsi="宋体" w:eastAsia="宋体"/>
      <w:sz w:val="28"/>
      <w:szCs w:val="28"/>
      <w:lang w:val="en-US" w:eastAsia="zh-CN" w:bidi="ar-SA"/>
    </w:rPr>
  </w:style>
  <w:style w:type="paragraph" w:customStyle="1" w:styleId="722">
    <w:name w:val="样式 宋体 首行缩进:  2 字符1"/>
    <w:basedOn w:val="1"/>
    <w:link w:val="721"/>
    <w:qFormat/>
    <w:uiPriority w:val="0"/>
    <w:pPr>
      <w:spacing w:line="520" w:lineRule="exact"/>
      <w:ind w:firstLine="560" w:firstLineChars="200"/>
    </w:pPr>
    <w:rPr>
      <w:rFonts w:ascii="宋体" w:hAnsi="宋体"/>
      <w:kern w:val="0"/>
      <w:sz w:val="28"/>
      <w:szCs w:val="28"/>
    </w:rPr>
  </w:style>
  <w:style w:type="character" w:customStyle="1" w:styleId="723">
    <w:name w:val="样式 宋体"/>
    <w:qFormat/>
    <w:uiPriority w:val="0"/>
    <w:rPr>
      <w:rFonts w:hint="eastAsia" w:ascii="宋体" w:hAnsi="宋体" w:eastAsia="宋体"/>
      <w:sz w:val="28"/>
    </w:rPr>
  </w:style>
  <w:style w:type="character" w:customStyle="1" w:styleId="724">
    <w:name w:val="样式134 Char"/>
    <w:link w:val="725"/>
    <w:qFormat/>
    <w:locked/>
    <w:uiPriority w:val="0"/>
    <w:rPr>
      <w:rFonts w:ascii="黑体" w:hAnsi="黑体" w:eastAsia="黑体"/>
      <w:b/>
      <w:bCs/>
      <w:color w:val="000000"/>
      <w:sz w:val="24"/>
      <w:szCs w:val="24"/>
      <w:lang w:val="en-US" w:eastAsia="zh-CN" w:bidi="ar-SA"/>
    </w:rPr>
  </w:style>
  <w:style w:type="paragraph" w:customStyle="1" w:styleId="725">
    <w:name w:val="样式134"/>
    <w:basedOn w:val="278"/>
    <w:link w:val="724"/>
    <w:qFormat/>
    <w:uiPriority w:val="0"/>
    <w:rPr>
      <w:b/>
    </w:rPr>
  </w:style>
  <w:style w:type="character" w:customStyle="1" w:styleId="726">
    <w:name w:val="Char Char4"/>
    <w:qFormat/>
    <w:locked/>
    <w:uiPriority w:val="0"/>
    <w:rPr>
      <w:rFonts w:eastAsia="宋体"/>
      <w:kern w:val="2"/>
      <w:sz w:val="28"/>
      <w:szCs w:val="24"/>
      <w:lang w:val="en-US" w:eastAsia="zh-CN" w:bidi="ar-SA"/>
    </w:rPr>
  </w:style>
  <w:style w:type="character" w:customStyle="1" w:styleId="727">
    <w:name w:val="样式142 Char"/>
    <w:link w:val="728"/>
    <w:qFormat/>
    <w:locked/>
    <w:uiPriority w:val="0"/>
    <w:rPr>
      <w:rFonts w:ascii="黑体" w:hAnsi="黑体" w:eastAsia="黑体"/>
      <w:b/>
      <w:bCs/>
      <w:color w:val="000000"/>
      <w:sz w:val="24"/>
      <w:szCs w:val="24"/>
      <w:lang w:val="en-US" w:eastAsia="zh-CN" w:bidi="ar-SA"/>
    </w:rPr>
  </w:style>
  <w:style w:type="paragraph" w:customStyle="1" w:styleId="728">
    <w:name w:val="样式142"/>
    <w:basedOn w:val="277"/>
    <w:link w:val="727"/>
    <w:qFormat/>
    <w:uiPriority w:val="0"/>
    <w:pPr>
      <w:outlineLvl w:val="2"/>
    </w:pPr>
  </w:style>
  <w:style w:type="character" w:customStyle="1" w:styleId="729">
    <w:name w:val="Char Char181"/>
    <w:qFormat/>
    <w:uiPriority w:val="0"/>
    <w:rPr>
      <w:rFonts w:hint="default" w:ascii="Arial" w:hAnsi="Arial" w:eastAsia="宋体" w:cs="Arial"/>
      <w:color w:val="000000"/>
      <w:kern w:val="2"/>
      <w:sz w:val="28"/>
      <w:szCs w:val="36"/>
      <w:lang w:val="en-US" w:eastAsia="zh-CN" w:bidi="ar-SA"/>
    </w:rPr>
  </w:style>
  <w:style w:type="character" w:customStyle="1" w:styleId="730">
    <w:name w:val="宗兴正文 Char"/>
    <w:link w:val="731"/>
    <w:qFormat/>
    <w:locked/>
    <w:uiPriority w:val="0"/>
    <w:rPr>
      <w:rFonts w:ascii="宋体" w:hAnsi="宋体" w:eastAsia="宋体"/>
      <w:sz w:val="24"/>
      <w:szCs w:val="24"/>
      <w:lang w:val="en-US" w:eastAsia="zh-CN" w:bidi="ar-SA"/>
    </w:rPr>
  </w:style>
  <w:style w:type="paragraph" w:customStyle="1" w:styleId="731">
    <w:name w:val="宗兴正文"/>
    <w:basedOn w:val="1"/>
    <w:link w:val="730"/>
    <w:qFormat/>
    <w:uiPriority w:val="0"/>
    <w:pPr>
      <w:spacing w:before="93" w:after="93" w:line="360" w:lineRule="auto"/>
      <w:ind w:firstLine="480" w:firstLineChars="200"/>
      <w:jc w:val="left"/>
    </w:pPr>
    <w:rPr>
      <w:rFonts w:ascii="宋体" w:hAnsi="宋体"/>
      <w:kern w:val="0"/>
      <w:sz w:val="24"/>
      <w:szCs w:val="24"/>
    </w:rPr>
  </w:style>
  <w:style w:type="character" w:customStyle="1" w:styleId="732">
    <w:name w:val="EmailStyle22291"/>
    <w:qFormat/>
    <w:uiPriority w:val="0"/>
    <w:rPr>
      <w:rFonts w:hint="default" w:ascii="Arial" w:hAnsi="Arial" w:eastAsia="PMingLiU" w:cs="Arial"/>
      <w:color w:val="000000"/>
      <w:sz w:val="18"/>
    </w:rPr>
  </w:style>
  <w:style w:type="character" w:customStyle="1" w:styleId="733">
    <w:name w:val="样式321 Char"/>
    <w:link w:val="734"/>
    <w:qFormat/>
    <w:locked/>
    <w:uiPriority w:val="0"/>
    <w:rPr>
      <w:rFonts w:ascii="仿宋_GB2312" w:eastAsia="仿宋_GB2312"/>
      <w:bCs/>
      <w:sz w:val="24"/>
      <w:szCs w:val="24"/>
      <w:lang w:val="en-US" w:eastAsia="zh-CN" w:bidi="ar-SA"/>
    </w:rPr>
  </w:style>
  <w:style w:type="paragraph" w:customStyle="1" w:styleId="734">
    <w:name w:val="样式321"/>
    <w:basedOn w:val="1"/>
    <w:link w:val="733"/>
    <w:qFormat/>
    <w:uiPriority w:val="0"/>
    <w:pPr>
      <w:spacing w:line="520" w:lineRule="exact"/>
      <w:ind w:firstLine="482" w:firstLineChars="200"/>
    </w:pPr>
    <w:rPr>
      <w:rFonts w:ascii="仿宋_GB2312" w:eastAsia="仿宋_GB2312"/>
      <w:bCs/>
      <w:kern w:val="0"/>
      <w:sz w:val="24"/>
      <w:szCs w:val="24"/>
    </w:rPr>
  </w:style>
  <w:style w:type="character" w:customStyle="1" w:styleId="735">
    <w:name w:val="三级标题 Char Char"/>
    <w:qFormat/>
    <w:uiPriority w:val="0"/>
    <w:rPr>
      <w:rFonts w:hint="eastAsia" w:ascii="宋体" w:hAnsi="宋体" w:eastAsia="宋体"/>
      <w:b/>
      <w:bCs/>
      <w:kern w:val="2"/>
      <w:sz w:val="32"/>
      <w:szCs w:val="32"/>
      <w:lang w:val="zh-CN" w:eastAsia="zh-CN" w:bidi="ar-SA"/>
    </w:rPr>
  </w:style>
  <w:style w:type="character" w:customStyle="1" w:styleId="736">
    <w:name w:val="样式 仿宋_GB2312 小四2"/>
    <w:qFormat/>
    <w:uiPriority w:val="0"/>
    <w:rPr>
      <w:rFonts w:hint="default" w:ascii="Times New Roman" w:hAnsi="Times New Roman" w:eastAsia="仿宋_GB2312" w:cs="Times New Roman"/>
      <w:sz w:val="24"/>
      <w:szCs w:val="24"/>
    </w:rPr>
  </w:style>
  <w:style w:type="character" w:customStyle="1" w:styleId="737">
    <w:name w:val="表格 32 Char"/>
    <w:link w:val="738"/>
    <w:qFormat/>
    <w:locked/>
    <w:uiPriority w:val="0"/>
    <w:rPr>
      <w:rFonts w:ascii="宋体" w:hAnsi="宋体" w:eastAsia="宋体"/>
      <w:lang w:val="en-US" w:eastAsia="zh-CN" w:bidi="ar-SA"/>
    </w:rPr>
  </w:style>
  <w:style w:type="paragraph" w:customStyle="1" w:styleId="738">
    <w:name w:val="表格 32"/>
    <w:basedOn w:val="1"/>
    <w:link w:val="737"/>
    <w:qFormat/>
    <w:uiPriority w:val="0"/>
    <w:pPr>
      <w:autoSpaceDE w:val="0"/>
      <w:autoSpaceDN w:val="0"/>
      <w:adjustRightInd w:val="0"/>
      <w:snapToGrid w:val="0"/>
      <w:jc w:val="center"/>
    </w:pPr>
    <w:rPr>
      <w:rFonts w:ascii="宋体" w:hAnsi="宋体"/>
      <w:kern w:val="0"/>
      <w:sz w:val="20"/>
      <w:szCs w:val="20"/>
    </w:rPr>
  </w:style>
  <w:style w:type="character" w:customStyle="1" w:styleId="739">
    <w:name w:val="样式 标题 4标题4款标题款标题1.1.1.1PIM 4H4h4blbbTitre44th levelse... Char"/>
    <w:link w:val="740"/>
    <w:qFormat/>
    <w:locked/>
    <w:uiPriority w:val="0"/>
    <w:rPr>
      <w:rFonts w:ascii="黑体" w:hAnsi="黑体" w:eastAsia="黑体"/>
      <w:bCs/>
      <w:sz w:val="24"/>
      <w:szCs w:val="24"/>
      <w:lang w:val="en-US" w:eastAsia="zh-CN" w:bidi="ar-SA"/>
    </w:rPr>
  </w:style>
  <w:style w:type="paragraph" w:customStyle="1" w:styleId="740">
    <w:name w:val="样式 标题 4标题4款标题款标题1.1.1.1PIM 4H4h4blbbTitre44th levelse..."/>
    <w:basedOn w:val="6"/>
    <w:link w:val="739"/>
    <w:semiHidden/>
    <w:qFormat/>
    <w:uiPriority w:val="0"/>
    <w:pPr>
      <w:widowControl/>
      <w:spacing w:beforeLines="50" w:afterLines="50" w:line="240" w:lineRule="auto"/>
      <w:jc w:val="left"/>
    </w:pPr>
    <w:rPr>
      <w:rFonts w:ascii="黑体" w:hAnsi="黑体" w:eastAsia="黑体"/>
      <w:sz w:val="24"/>
      <w:szCs w:val="24"/>
    </w:rPr>
  </w:style>
  <w:style w:type="character" w:customStyle="1" w:styleId="741">
    <w:name w:val="样式 题注 + 楷体_GB2312 Char"/>
    <w:link w:val="742"/>
    <w:qFormat/>
    <w:locked/>
    <w:uiPriority w:val="0"/>
    <w:rPr>
      <w:rFonts w:ascii="楷体_GB2312" w:hAnsi="楷体_GB2312" w:eastAsia="黑体"/>
      <w:szCs w:val="21"/>
      <w:lang w:val="en-US" w:eastAsia="zh-CN" w:bidi="ar-SA"/>
    </w:rPr>
  </w:style>
  <w:style w:type="paragraph" w:customStyle="1" w:styleId="742">
    <w:name w:val="样式 题注 + 楷体_GB2312"/>
    <w:basedOn w:val="20"/>
    <w:link w:val="741"/>
    <w:semiHidden/>
    <w:qFormat/>
    <w:uiPriority w:val="0"/>
    <w:pPr>
      <w:widowControl/>
      <w:jc w:val="center"/>
    </w:pPr>
    <w:rPr>
      <w:rFonts w:ascii="楷体_GB2312" w:hAnsi="楷体_GB2312"/>
      <w:kern w:val="0"/>
      <w:szCs w:val="21"/>
    </w:rPr>
  </w:style>
  <w:style w:type="character" w:customStyle="1" w:styleId="743">
    <w:name w:val="样式 首行缩进:  2 字符1 Char Char"/>
    <w:link w:val="744"/>
    <w:qFormat/>
    <w:locked/>
    <w:uiPriority w:val="0"/>
    <w:rPr>
      <w:rFonts w:ascii="宋体" w:hAnsi="宋体" w:eastAsia="宋体"/>
      <w:sz w:val="24"/>
      <w:szCs w:val="24"/>
      <w:lang w:val="en-US" w:eastAsia="zh-CN" w:bidi="ar-SA"/>
    </w:rPr>
  </w:style>
  <w:style w:type="paragraph" w:customStyle="1" w:styleId="744">
    <w:name w:val="样式 首行缩进:  2 字符1 Char"/>
    <w:basedOn w:val="1"/>
    <w:link w:val="743"/>
    <w:qFormat/>
    <w:uiPriority w:val="0"/>
    <w:pPr>
      <w:tabs>
        <w:tab w:val="left" w:pos="1094"/>
        <w:tab w:val="left" w:pos="1244"/>
      </w:tabs>
      <w:snapToGrid w:val="0"/>
      <w:spacing w:line="360" w:lineRule="auto"/>
      <w:ind w:firstLine="480" w:firstLineChars="200"/>
    </w:pPr>
    <w:rPr>
      <w:rFonts w:ascii="宋体" w:hAnsi="宋体"/>
      <w:kern w:val="0"/>
      <w:sz w:val="24"/>
      <w:szCs w:val="24"/>
    </w:rPr>
  </w:style>
  <w:style w:type="character" w:customStyle="1" w:styleId="745">
    <w:name w:val="纯文本 Char21"/>
    <w:qFormat/>
    <w:uiPriority w:val="0"/>
    <w:rPr>
      <w:rFonts w:hint="eastAsia" w:ascii="宋体" w:hAnsi="Courier New" w:eastAsia="宋体"/>
      <w:kern w:val="2"/>
      <w:sz w:val="24"/>
      <w:lang w:val="en-US" w:eastAsia="zh-CN" w:bidi="ar-SA"/>
    </w:rPr>
  </w:style>
  <w:style w:type="character" w:customStyle="1" w:styleId="746">
    <w:name w:val="样式 样式 样式 标题 3 + 小四 非加粗 + + Char"/>
    <w:qFormat/>
    <w:uiPriority w:val="0"/>
    <w:rPr>
      <w:rFonts w:hint="eastAsia" w:ascii="仿宋_GB2312" w:eastAsia="仿宋_GB2312"/>
      <w:b/>
      <w:bCs/>
      <w:kern w:val="2"/>
      <w:sz w:val="24"/>
      <w:szCs w:val="24"/>
      <w:lang w:val="en-US" w:eastAsia="zh-CN" w:bidi="ar-SA"/>
    </w:rPr>
  </w:style>
  <w:style w:type="character" w:customStyle="1" w:styleId="747">
    <w:name w:val="f9"/>
    <w:qFormat/>
    <w:uiPriority w:val="0"/>
    <w:rPr>
      <w:rFonts w:hint="default" w:ascii="Times New Roman" w:hAnsi="Times New Roman" w:eastAsia="仿宋_GB2312" w:cs="Times New Roman"/>
      <w:sz w:val="24"/>
    </w:rPr>
  </w:style>
  <w:style w:type="character" w:customStyle="1" w:styleId="748">
    <w:name w:val="Char Char22"/>
    <w:qFormat/>
    <w:uiPriority w:val="0"/>
    <w:rPr>
      <w:rFonts w:hint="eastAsia" w:ascii="宋体" w:hAnsi="宋体" w:eastAsia="宋体"/>
      <w:kern w:val="2"/>
      <w:sz w:val="18"/>
      <w:szCs w:val="18"/>
      <w:lang w:val="en-US" w:eastAsia="zh-CN" w:bidi="ar-SA"/>
    </w:rPr>
  </w:style>
  <w:style w:type="character" w:customStyle="1" w:styleId="749">
    <w:name w:val="标题 4 Char Char Char Char Char Char Char Char Char Char Char Char Char Char Char Char Char Char Char"/>
    <w:qFormat/>
    <w:uiPriority w:val="0"/>
    <w:rPr>
      <w:rFonts w:hint="default" w:ascii="Arial" w:hAnsi="Arial" w:eastAsia="黑体" w:cs="Arial"/>
      <w:b/>
      <w:bCs/>
      <w:snapToGrid/>
      <w:sz w:val="24"/>
      <w:szCs w:val="28"/>
      <w:lang w:val="en-US" w:eastAsia="zh-CN" w:bidi="ar-SA"/>
    </w:rPr>
  </w:style>
  <w:style w:type="character" w:customStyle="1" w:styleId="750">
    <w:name w:val="lff Char"/>
    <w:qFormat/>
    <w:uiPriority w:val="0"/>
    <w:rPr>
      <w:rFonts w:hint="eastAsia" w:ascii="仿宋_GB2312" w:eastAsia="仿宋_GB2312"/>
      <w:color w:val="000000"/>
      <w:kern w:val="2"/>
      <w:sz w:val="21"/>
      <w:szCs w:val="21"/>
      <w:lang w:val="en-US" w:eastAsia="zh-CN" w:bidi="ar-SA"/>
    </w:rPr>
  </w:style>
  <w:style w:type="character" w:customStyle="1" w:styleId="751">
    <w:name w:val="da"/>
    <w:qFormat/>
    <w:uiPriority w:val="0"/>
  </w:style>
  <w:style w:type="character" w:customStyle="1" w:styleId="752">
    <w:name w:val="wenzi"/>
    <w:qFormat/>
    <w:uiPriority w:val="0"/>
  </w:style>
  <w:style w:type="character" w:customStyle="1" w:styleId="753">
    <w:name w:val="样式 仿宋_GB2312 小四 黑色"/>
    <w:qFormat/>
    <w:uiPriority w:val="0"/>
    <w:rPr>
      <w:rFonts w:hint="default" w:ascii="Times New Roman" w:hAnsi="Times New Roman" w:eastAsia="仿宋_GB2312" w:cs="Times New Roman"/>
      <w:color w:val="000000"/>
      <w:sz w:val="24"/>
      <w:szCs w:val="24"/>
    </w:rPr>
  </w:style>
  <w:style w:type="character" w:customStyle="1" w:styleId="754">
    <w:name w:val="iyz5991"/>
    <w:qFormat/>
    <w:uiPriority w:val="0"/>
  </w:style>
  <w:style w:type="character" w:customStyle="1" w:styleId="755">
    <w:name w:val="unnamed21"/>
    <w:qFormat/>
    <w:uiPriority w:val="0"/>
    <w:rPr>
      <w:spacing w:val="330"/>
    </w:rPr>
  </w:style>
  <w:style w:type="character" w:customStyle="1" w:styleId="756">
    <w:name w:val="ch1"/>
    <w:qFormat/>
    <w:uiPriority w:val="0"/>
    <w:rPr>
      <w:sz w:val="18"/>
    </w:rPr>
  </w:style>
  <w:style w:type="character" w:customStyle="1" w:styleId="757">
    <w:name w:val="正文1 Char"/>
    <w:qFormat/>
    <w:uiPriority w:val="0"/>
    <w:rPr>
      <w:rFonts w:hint="eastAsia" w:ascii="宋体" w:hAnsi="Times New Roman" w:eastAsia="宋体" w:cs="Times New Roman"/>
      <w:kern w:val="0"/>
      <w:sz w:val="28"/>
      <w:szCs w:val="20"/>
    </w:rPr>
  </w:style>
  <w:style w:type="character" w:customStyle="1" w:styleId="758">
    <w:name w:val="标题 3 Char Char Char Char Char Char Char Char Char Char Char Char Char Char Char Char"/>
    <w:qFormat/>
    <w:uiPriority w:val="0"/>
    <w:rPr>
      <w:rFonts w:hint="default" w:ascii="Times New Roman" w:hAnsi="Times New Roman" w:eastAsia="仿宋_GB2312" w:cs="Times New Roman"/>
      <w:sz w:val="24"/>
      <w:szCs w:val="32"/>
    </w:rPr>
  </w:style>
  <w:style w:type="character" w:customStyle="1" w:styleId="759">
    <w:name w:val="tit2"/>
    <w:qFormat/>
    <w:uiPriority w:val="0"/>
    <w:rPr>
      <w:b/>
      <w:bCs/>
      <w:sz w:val="48"/>
      <w:szCs w:val="48"/>
    </w:rPr>
  </w:style>
  <w:style w:type="character" w:customStyle="1" w:styleId="760">
    <w:name w:val="1首行缩进 Char"/>
    <w:qFormat/>
    <w:uiPriority w:val="0"/>
    <w:rPr>
      <w:rFonts w:hint="default" w:ascii="Arial" w:hAnsi="Arial" w:eastAsia="宋体" w:cs="Arial"/>
      <w:snapToGrid/>
      <w:sz w:val="28"/>
      <w:szCs w:val="28"/>
      <w:lang w:val="en-US" w:eastAsia="zh-CN" w:bidi="ar-SA"/>
    </w:rPr>
  </w:style>
  <w:style w:type="character" w:customStyle="1" w:styleId="761">
    <w:name w:val="Char Char173"/>
    <w:qFormat/>
    <w:uiPriority w:val="0"/>
    <w:rPr>
      <w:kern w:val="2"/>
      <w:sz w:val="28"/>
      <w:szCs w:val="24"/>
    </w:rPr>
  </w:style>
  <w:style w:type="character" w:customStyle="1" w:styleId="762">
    <w:name w:val="Char4"/>
    <w:qFormat/>
    <w:uiPriority w:val="0"/>
    <w:rPr>
      <w:rFonts w:hint="eastAsia" w:ascii="宋体" w:hAnsi="宋体" w:eastAsia="宋体"/>
      <w:b/>
      <w:bCs/>
      <w:kern w:val="44"/>
      <w:sz w:val="44"/>
      <w:szCs w:val="44"/>
      <w:lang w:val="en-US" w:eastAsia="zh-CN" w:bidi="ar-SA"/>
    </w:rPr>
  </w:style>
  <w:style w:type="character" w:customStyle="1" w:styleId="763">
    <w:name w:val="正文首行缩进 Char1"/>
    <w:qFormat/>
    <w:uiPriority w:val="0"/>
    <w:rPr>
      <w:rFonts w:hint="eastAsia" w:ascii="宋体" w:hAnsi="宋体" w:eastAsia="宋体"/>
      <w:snapToGrid/>
      <w:sz w:val="28"/>
      <w:szCs w:val="24"/>
      <w:lang w:val="en-US" w:eastAsia="zh-CN" w:bidi="ar-SA"/>
    </w:rPr>
  </w:style>
  <w:style w:type="character" w:styleId="764">
    <w:name w:val="Placeholder Text"/>
    <w:semiHidden/>
    <w:qFormat/>
    <w:uiPriority w:val="99"/>
    <w:rPr>
      <w:color w:val="808080"/>
    </w:rPr>
  </w:style>
  <w:style w:type="character" w:customStyle="1" w:styleId="765">
    <w:name w:val="list_title"/>
    <w:qFormat/>
    <w:uiPriority w:val="0"/>
  </w:style>
  <w:style w:type="character" w:customStyle="1" w:styleId="766">
    <w:name w:val="size9"/>
    <w:qFormat/>
    <w:uiPriority w:val="0"/>
  </w:style>
  <w:style w:type="character" w:customStyle="1" w:styleId="767">
    <w:name w:val="list_link"/>
    <w:qFormat/>
    <w:uiPriority w:val="0"/>
  </w:style>
  <w:style w:type="character" w:customStyle="1" w:styleId="768">
    <w:name w:val="Char Char21"/>
    <w:qFormat/>
    <w:uiPriority w:val="0"/>
    <w:rPr>
      <w:rFonts w:hint="eastAsia" w:ascii="宋体" w:hAnsi="宋体" w:eastAsia="宋体"/>
      <w:sz w:val="28"/>
      <w:lang w:val="en-US" w:eastAsia="zh-CN" w:bidi="ar-SA"/>
    </w:rPr>
  </w:style>
  <w:style w:type="character" w:customStyle="1" w:styleId="769">
    <w:name w:val="Char Char171"/>
    <w:qFormat/>
    <w:uiPriority w:val="0"/>
    <w:rPr>
      <w:kern w:val="2"/>
      <w:sz w:val="28"/>
      <w:szCs w:val="24"/>
    </w:rPr>
  </w:style>
  <w:style w:type="character" w:customStyle="1" w:styleId="770">
    <w:name w:val="textindent"/>
    <w:qFormat/>
    <w:uiPriority w:val="0"/>
  </w:style>
  <w:style w:type="character" w:customStyle="1" w:styleId="771">
    <w:name w:val="Char Char133"/>
    <w:qFormat/>
    <w:uiPriority w:val="0"/>
    <w:rPr>
      <w:rFonts w:hint="eastAsia" w:ascii="宋体" w:hAnsi="宋体" w:eastAsia="宋体"/>
      <w:snapToGrid/>
      <w:spacing w:val="8"/>
      <w:kern w:val="2"/>
      <w:sz w:val="18"/>
      <w:szCs w:val="18"/>
      <w:lang w:val="en-US" w:eastAsia="zh-CN" w:bidi="ar-SA"/>
    </w:rPr>
  </w:style>
  <w:style w:type="character" w:customStyle="1" w:styleId="772">
    <w:name w:val="正文四号 Char"/>
    <w:qFormat/>
    <w:uiPriority w:val="0"/>
    <w:rPr>
      <w:rFonts w:hint="eastAsia" w:ascii="宋体" w:hAnsi="宋体" w:eastAsia="宋体" w:cs="宋体"/>
      <w:kern w:val="2"/>
      <w:sz w:val="24"/>
      <w:szCs w:val="24"/>
      <w:lang w:val="en-US" w:eastAsia="zh-CN" w:bidi="ar-SA"/>
    </w:rPr>
  </w:style>
  <w:style w:type="character" w:customStyle="1" w:styleId="773">
    <w:name w:val="正文文本 2 Char1"/>
    <w:qFormat/>
    <w:uiPriority w:val="0"/>
    <w:rPr>
      <w:rFonts w:hint="eastAsia" w:ascii="宋体" w:hAnsi="宋体" w:eastAsia="宋体"/>
      <w:kern w:val="2"/>
      <w:sz w:val="21"/>
      <w:szCs w:val="24"/>
      <w:lang w:val="en-US" w:eastAsia="zh-CN" w:bidi="ar-SA"/>
    </w:rPr>
  </w:style>
  <w:style w:type="character" w:customStyle="1" w:styleId="774">
    <w:name w:val="标题 7 Char1"/>
    <w:qFormat/>
    <w:uiPriority w:val="0"/>
    <w:rPr>
      <w:rFonts w:hint="eastAsia" w:ascii="宋体" w:hAnsi="宋体" w:eastAsia="宋体"/>
      <w:b/>
      <w:sz w:val="24"/>
      <w:lang w:val="en-US" w:eastAsia="zh-CN" w:bidi="ar-SA"/>
    </w:rPr>
  </w:style>
  <w:style w:type="character" w:customStyle="1" w:styleId="775">
    <w:name w:val="listcontents1"/>
    <w:qFormat/>
    <w:uiPriority w:val="0"/>
    <w:rPr>
      <w:color w:val="000000"/>
      <w:spacing w:val="480"/>
      <w:sz w:val="14"/>
      <w:szCs w:val="14"/>
    </w:rPr>
  </w:style>
  <w:style w:type="character" w:customStyle="1" w:styleId="776">
    <w:name w:val="Char Char2"/>
    <w:qFormat/>
    <w:locked/>
    <w:uiPriority w:val="0"/>
    <w:rPr>
      <w:rFonts w:eastAsia="宋体"/>
      <w:kern w:val="2"/>
      <w:sz w:val="18"/>
      <w:szCs w:val="18"/>
      <w:lang w:val="en-US" w:eastAsia="zh-CN" w:bidi="ar-SA"/>
    </w:rPr>
  </w:style>
  <w:style w:type="character" w:customStyle="1" w:styleId="777">
    <w:name w:val="pdf1"/>
    <w:qFormat/>
    <w:uiPriority w:val="0"/>
    <w:rPr>
      <w:vanish/>
    </w:rPr>
  </w:style>
  <w:style w:type="character" w:customStyle="1" w:styleId="778">
    <w:name w:val="zi"/>
    <w:qFormat/>
    <w:uiPriority w:val="0"/>
  </w:style>
  <w:style w:type="character" w:customStyle="1" w:styleId="779">
    <w:name w:val="classification1"/>
    <w:qFormat/>
    <w:uiPriority w:val="0"/>
    <w:rPr>
      <w:vanish/>
    </w:rPr>
  </w:style>
  <w:style w:type="character" w:customStyle="1" w:styleId="780">
    <w:name w:val="keyword1"/>
    <w:qFormat/>
    <w:uiPriority w:val="0"/>
    <w:rPr>
      <w:vanish/>
    </w:rPr>
  </w:style>
  <w:style w:type="character" w:customStyle="1" w:styleId="781">
    <w:name w:val="idnub1"/>
    <w:qFormat/>
    <w:uiPriority w:val="0"/>
    <w:rPr>
      <w:vanish/>
    </w:rPr>
  </w:style>
  <w:style w:type="character" w:customStyle="1" w:styleId="782">
    <w:name w:val="样式34 Char"/>
    <w:qFormat/>
    <w:uiPriority w:val="0"/>
    <w:rPr>
      <w:rFonts w:hint="eastAsia" w:ascii="宋体" w:hAnsi="宋体" w:eastAsia="宋体"/>
      <w:b/>
      <w:i/>
      <w:color w:val="FF0000"/>
      <w:kern w:val="2"/>
      <w:sz w:val="24"/>
      <w:szCs w:val="24"/>
      <w:lang w:val="en-US" w:eastAsia="zh-CN" w:bidi="ar-SA"/>
    </w:rPr>
  </w:style>
  <w:style w:type="character" w:customStyle="1" w:styleId="783">
    <w:name w:val="标题 32 Char"/>
    <w:qFormat/>
    <w:uiPriority w:val="0"/>
    <w:rPr>
      <w:rFonts w:hint="eastAsia" w:ascii="宋体" w:hAnsi="宋体" w:eastAsia="宋体"/>
      <w:b/>
      <w:bCs/>
      <w:kern w:val="2"/>
      <w:sz w:val="32"/>
      <w:szCs w:val="32"/>
      <w:lang w:val="en-US" w:eastAsia="zh-CN" w:bidi="ar-SA"/>
    </w:rPr>
  </w:style>
  <w:style w:type="character" w:customStyle="1" w:styleId="784">
    <w:name w:val="题注 Char Char Char Char Char"/>
    <w:qFormat/>
    <w:uiPriority w:val="0"/>
    <w:rPr>
      <w:rFonts w:hint="default" w:ascii="Arial" w:hAnsi="Arial" w:eastAsia="黑体" w:cs="Arial"/>
      <w:kern w:val="2"/>
      <w:lang w:val="en-US" w:eastAsia="zh-CN" w:bidi="ar-SA"/>
    </w:rPr>
  </w:style>
  <w:style w:type="character" w:customStyle="1" w:styleId="785">
    <w:name w:val="f10wentitle"/>
    <w:qFormat/>
    <w:uiPriority w:val="0"/>
  </w:style>
  <w:style w:type="character" w:customStyle="1" w:styleId="786">
    <w:name w:val="标准 Char"/>
    <w:qFormat/>
    <w:uiPriority w:val="0"/>
    <w:rPr>
      <w:rFonts w:hint="eastAsia" w:ascii="宋体" w:hAnsi="宋体" w:eastAsia="宋体"/>
      <w:snapToGrid/>
      <w:sz w:val="28"/>
      <w:lang w:val="en-US" w:eastAsia="zh-CN" w:bidi="ar-SA"/>
    </w:rPr>
  </w:style>
  <w:style w:type="character" w:customStyle="1" w:styleId="787">
    <w:name w:val="keyword"/>
    <w:qFormat/>
    <w:uiPriority w:val="0"/>
  </w:style>
  <w:style w:type="character" w:customStyle="1" w:styleId="788">
    <w:name w:val="表格正文 Char1"/>
    <w:qFormat/>
    <w:uiPriority w:val="0"/>
    <w:rPr>
      <w:rFonts w:hint="eastAsia" w:ascii="宋体" w:hAnsi="宋体" w:eastAsia="宋体"/>
      <w:snapToGrid/>
      <w:spacing w:val="4"/>
      <w:w w:val="90"/>
      <w:sz w:val="24"/>
      <w:szCs w:val="24"/>
      <w:lang w:val="en-US" w:eastAsia="zh-CN" w:bidi="ar-SA"/>
    </w:rPr>
  </w:style>
  <w:style w:type="character" w:customStyle="1" w:styleId="789">
    <w:name w:val="hangju"/>
    <w:qFormat/>
    <w:uiPriority w:val="0"/>
  </w:style>
  <w:style w:type="character" w:customStyle="1" w:styleId="790">
    <w:name w:val="样式 宋体 四号2"/>
    <w:qFormat/>
    <w:uiPriority w:val="0"/>
    <w:rPr>
      <w:rFonts w:hint="eastAsia" w:ascii="宋体" w:hAnsi="宋体" w:eastAsia="宋体"/>
      <w:sz w:val="26"/>
    </w:rPr>
  </w:style>
  <w:style w:type="character" w:customStyle="1" w:styleId="791">
    <w:name w:val="样式 样式 宋体 四号1 + 四号"/>
    <w:qFormat/>
    <w:uiPriority w:val="0"/>
    <w:rPr>
      <w:rFonts w:hint="eastAsia" w:ascii="宋体" w:hAnsi="宋体" w:eastAsia="宋体"/>
      <w:kern w:val="0"/>
      <w:sz w:val="26"/>
    </w:rPr>
  </w:style>
  <w:style w:type="character" w:customStyle="1" w:styleId="792">
    <w:name w:val="文本框 Char Char"/>
    <w:qFormat/>
    <w:uiPriority w:val="0"/>
    <w:rPr>
      <w:rFonts w:hint="eastAsia" w:ascii="宋体" w:hAnsi="宋体" w:eastAsia="宋体"/>
      <w:kern w:val="2"/>
      <w:sz w:val="21"/>
      <w:szCs w:val="21"/>
      <w:lang w:val="en-US" w:eastAsia="zh-CN" w:bidi="ar-SA"/>
    </w:rPr>
  </w:style>
  <w:style w:type="character" w:customStyle="1" w:styleId="793">
    <w:name w:val="flname7"/>
    <w:qFormat/>
    <w:uiPriority w:val="0"/>
  </w:style>
  <w:style w:type="character" w:customStyle="1" w:styleId="794">
    <w:name w:val="pt91"/>
    <w:qFormat/>
    <w:uiPriority w:val="0"/>
    <w:rPr>
      <w:sz w:val="18"/>
      <w:szCs w:val="18"/>
    </w:rPr>
  </w:style>
  <w:style w:type="character" w:customStyle="1" w:styleId="795">
    <w:name w:val="newsbody"/>
    <w:qFormat/>
    <w:uiPriority w:val="0"/>
  </w:style>
  <w:style w:type="character" w:customStyle="1" w:styleId="796">
    <w:name w:val="articlebody"/>
    <w:qFormat/>
    <w:uiPriority w:val="0"/>
  </w:style>
  <w:style w:type="character" w:customStyle="1" w:styleId="797">
    <w:name w:val="纯文本 Char Char Char1"/>
    <w:qFormat/>
    <w:uiPriority w:val="0"/>
    <w:rPr>
      <w:rFonts w:hint="eastAsia" w:ascii="宋体" w:hAnsi="Courier New" w:eastAsia="宋体"/>
      <w:sz w:val="21"/>
      <w:lang w:val="en-US" w:eastAsia="zh-CN" w:bidi="ar-SA"/>
    </w:rPr>
  </w:style>
  <w:style w:type="character" w:customStyle="1" w:styleId="798">
    <w:name w:val="正文文字 3 Char Char Char1"/>
    <w:qFormat/>
    <w:uiPriority w:val="0"/>
    <w:rPr>
      <w:rFonts w:hint="eastAsia" w:ascii="宋体" w:hAnsi="宋体" w:eastAsia="宋体"/>
      <w:sz w:val="18"/>
      <w:lang w:val="en-US" w:eastAsia="zh-CN" w:bidi="ar-SA"/>
    </w:rPr>
  </w:style>
  <w:style w:type="character" w:customStyle="1" w:styleId="799">
    <w:name w:val="n正文 Char"/>
    <w:link w:val="800"/>
    <w:qFormat/>
    <w:locked/>
    <w:uiPriority w:val="0"/>
    <w:rPr>
      <w:rFonts w:ascii="宋体" w:hAnsi="宋体" w:eastAsia="宋体"/>
      <w:kern w:val="2"/>
      <w:sz w:val="26"/>
      <w:szCs w:val="24"/>
      <w:lang w:bidi="ar-SA"/>
    </w:rPr>
  </w:style>
  <w:style w:type="paragraph" w:customStyle="1" w:styleId="800">
    <w:name w:val="n正文"/>
    <w:basedOn w:val="1"/>
    <w:link w:val="799"/>
    <w:qFormat/>
    <w:uiPriority w:val="0"/>
    <w:pPr>
      <w:spacing w:line="460" w:lineRule="exact"/>
      <w:ind w:firstLine="520" w:firstLineChars="200"/>
    </w:pPr>
    <w:rPr>
      <w:rFonts w:ascii="宋体" w:hAnsi="宋体"/>
      <w:sz w:val="26"/>
      <w:szCs w:val="24"/>
    </w:rPr>
  </w:style>
  <w:style w:type="character" w:customStyle="1" w:styleId="801">
    <w:name w:val="font141"/>
    <w:qFormat/>
    <w:uiPriority w:val="0"/>
    <w:rPr>
      <w:color w:val="000000"/>
      <w:sz w:val="21"/>
      <w:szCs w:val="21"/>
    </w:rPr>
  </w:style>
  <w:style w:type="character" w:customStyle="1" w:styleId="802">
    <w:name w:val="正文文字 3 Char Char Char2"/>
    <w:qFormat/>
    <w:uiPriority w:val="0"/>
    <w:rPr>
      <w:rFonts w:hint="eastAsia" w:ascii="宋体" w:hAnsi="宋体" w:eastAsia="宋体"/>
      <w:kern w:val="2"/>
      <w:sz w:val="16"/>
      <w:szCs w:val="16"/>
      <w:lang w:val="en-US" w:eastAsia="zh-CN" w:bidi="ar-SA"/>
    </w:rPr>
  </w:style>
  <w:style w:type="character" w:customStyle="1" w:styleId="803">
    <w:name w:val="Char Char192"/>
    <w:qFormat/>
    <w:uiPriority w:val="0"/>
    <w:rPr>
      <w:rFonts w:hint="default" w:ascii="Arial Black" w:hAnsi="Arial Black" w:eastAsia="宋体"/>
      <w:b/>
      <w:bCs/>
      <w:kern w:val="44"/>
      <w:sz w:val="44"/>
      <w:szCs w:val="44"/>
      <w:lang w:val="en-US" w:eastAsia="zh-CN" w:bidi="ar-SA"/>
    </w:rPr>
  </w:style>
  <w:style w:type="character" w:customStyle="1" w:styleId="804">
    <w:name w:val="Char Char183"/>
    <w:qFormat/>
    <w:uiPriority w:val="0"/>
    <w:rPr>
      <w:rFonts w:hint="default" w:ascii="Arial" w:hAnsi="Arial" w:eastAsia="宋体" w:cs="Arial"/>
      <w:color w:val="000000"/>
      <w:kern w:val="2"/>
      <w:sz w:val="28"/>
      <w:szCs w:val="36"/>
      <w:lang w:val="en-US" w:eastAsia="zh-CN" w:bidi="ar-SA"/>
    </w:rPr>
  </w:style>
  <w:style w:type="character" w:customStyle="1" w:styleId="805">
    <w:name w:val="Char Char131"/>
    <w:qFormat/>
    <w:uiPriority w:val="0"/>
    <w:rPr>
      <w:rFonts w:hint="eastAsia" w:ascii="宋体" w:hAnsi="宋体" w:eastAsia="宋体"/>
      <w:snapToGrid/>
      <w:spacing w:val="8"/>
      <w:kern w:val="2"/>
      <w:sz w:val="18"/>
      <w:szCs w:val="18"/>
      <w:lang w:val="en-US" w:eastAsia="zh-CN" w:bidi="ar-SA"/>
    </w:rPr>
  </w:style>
  <w:style w:type="character" w:customStyle="1" w:styleId="806">
    <w:name w:val="Char Char32"/>
    <w:semiHidden/>
    <w:qFormat/>
    <w:uiPriority w:val="0"/>
    <w:rPr>
      <w:rFonts w:hint="eastAsia" w:ascii="宋体" w:hAnsi="宋体" w:eastAsia="宋体"/>
      <w:sz w:val="18"/>
      <w:lang w:val="en-US" w:eastAsia="zh-CN" w:bidi="ar-SA"/>
    </w:rPr>
  </w:style>
  <w:style w:type="character" w:customStyle="1" w:styleId="807">
    <w:name w:val="Char Char61"/>
    <w:semiHidden/>
    <w:qFormat/>
    <w:uiPriority w:val="0"/>
    <w:rPr>
      <w:rFonts w:hint="eastAsia" w:ascii="宋体" w:hAnsi="宋体" w:eastAsia="宋体"/>
      <w:kern w:val="2"/>
      <w:sz w:val="21"/>
      <w:szCs w:val="24"/>
      <w:lang w:val="en-US" w:eastAsia="zh-CN" w:bidi="ar-SA"/>
    </w:rPr>
  </w:style>
  <w:style w:type="character" w:customStyle="1" w:styleId="808">
    <w:name w:val="Char Char182"/>
    <w:qFormat/>
    <w:uiPriority w:val="0"/>
    <w:rPr>
      <w:rFonts w:hint="default" w:ascii="Arial" w:hAnsi="Arial" w:eastAsia="宋体" w:cs="Arial"/>
      <w:color w:val="000000"/>
      <w:kern w:val="2"/>
      <w:sz w:val="28"/>
      <w:szCs w:val="36"/>
      <w:lang w:val="en-US" w:eastAsia="zh-CN" w:bidi="ar-SA"/>
    </w:rPr>
  </w:style>
  <w:style w:type="character" w:customStyle="1" w:styleId="809">
    <w:name w:val="Char Char123"/>
    <w:qFormat/>
    <w:uiPriority w:val="0"/>
    <w:rPr>
      <w:rFonts w:hint="eastAsia" w:ascii="仿宋_GB2312" w:hAnsi="宋体" w:eastAsia="仿宋_GB2312"/>
      <w:color w:val="000000"/>
      <w:kern w:val="2"/>
      <w:sz w:val="21"/>
    </w:rPr>
  </w:style>
  <w:style w:type="character" w:customStyle="1" w:styleId="810">
    <w:name w:val="插图标题 Char"/>
    <w:link w:val="811"/>
    <w:qFormat/>
    <w:locked/>
    <w:uiPriority w:val="0"/>
    <w:rPr>
      <w:rFonts w:ascii="宋体" w:hAnsi="宋体" w:eastAsia="宋体"/>
      <w:kern w:val="2"/>
      <w:sz w:val="24"/>
      <w:szCs w:val="24"/>
      <w:lang w:val="en-US" w:eastAsia="zh-CN" w:bidi="ar-SA"/>
    </w:rPr>
  </w:style>
  <w:style w:type="paragraph" w:customStyle="1" w:styleId="811">
    <w:name w:val="插图标题"/>
    <w:basedOn w:val="1"/>
    <w:link w:val="810"/>
    <w:qFormat/>
    <w:uiPriority w:val="0"/>
    <w:pPr>
      <w:adjustRightInd w:val="0"/>
      <w:snapToGrid w:val="0"/>
      <w:spacing w:line="348" w:lineRule="auto"/>
      <w:jc w:val="center"/>
    </w:pPr>
    <w:rPr>
      <w:rFonts w:ascii="宋体" w:hAnsi="宋体"/>
      <w:sz w:val="24"/>
      <w:szCs w:val="24"/>
    </w:rPr>
  </w:style>
  <w:style w:type="character" w:customStyle="1" w:styleId="812">
    <w:name w:val="正文标准 Char"/>
    <w:link w:val="813"/>
    <w:qFormat/>
    <w:locked/>
    <w:uiPriority w:val="0"/>
    <w:rPr>
      <w:rFonts w:ascii="宋体" w:hAnsi="宋体" w:eastAsia="宋体"/>
      <w:spacing w:val="-5"/>
      <w:sz w:val="24"/>
      <w:lang w:val="en-US" w:eastAsia="zh-CN" w:bidi="ar-SA"/>
    </w:rPr>
  </w:style>
  <w:style w:type="paragraph" w:customStyle="1" w:styleId="813">
    <w:name w:val="正文标准"/>
    <w:basedOn w:val="1"/>
    <w:link w:val="812"/>
    <w:qFormat/>
    <w:uiPriority w:val="0"/>
    <w:pPr>
      <w:spacing w:line="360" w:lineRule="auto"/>
      <w:ind w:firstLine="200" w:firstLineChars="200"/>
    </w:pPr>
    <w:rPr>
      <w:rFonts w:ascii="宋体" w:hAnsi="宋体"/>
      <w:spacing w:val="-5"/>
      <w:kern w:val="0"/>
      <w:sz w:val="24"/>
      <w:szCs w:val="20"/>
    </w:rPr>
  </w:style>
  <w:style w:type="character" w:customStyle="1" w:styleId="814">
    <w:name w:val="fontstyle01"/>
    <w:qFormat/>
    <w:uiPriority w:val="0"/>
    <w:rPr>
      <w:rFonts w:hint="eastAsia" w:ascii="黑体" w:hAnsi="黑体" w:eastAsia="黑体"/>
      <w:color w:val="000000"/>
      <w:sz w:val="24"/>
      <w:szCs w:val="24"/>
    </w:rPr>
  </w:style>
  <w:style w:type="character" w:customStyle="1" w:styleId="815">
    <w:name w:val="fontstyle31"/>
    <w:qFormat/>
    <w:uiPriority w:val="0"/>
    <w:rPr>
      <w:rFonts w:hint="default" w:ascii="Times New Roman" w:hAnsi="Times New Roman" w:cs="Times New Roman"/>
      <w:b/>
      <w:bCs/>
      <w:color w:val="000000"/>
      <w:sz w:val="24"/>
      <w:szCs w:val="24"/>
    </w:rPr>
  </w:style>
  <w:style w:type="character" w:customStyle="1" w:styleId="816">
    <w:name w:val="fontstyle11"/>
    <w:qFormat/>
    <w:uiPriority w:val="0"/>
    <w:rPr>
      <w:rFonts w:hint="default" w:ascii="Times New Roman" w:hAnsi="Times New Roman" w:cs="Times New Roman"/>
      <w:color w:val="000000"/>
      <w:sz w:val="28"/>
      <w:szCs w:val="28"/>
    </w:rPr>
  </w:style>
  <w:style w:type="character" w:customStyle="1" w:styleId="817">
    <w:name w:val="Char Char3"/>
    <w:qFormat/>
    <w:locked/>
    <w:uiPriority w:val="0"/>
    <w:rPr>
      <w:rFonts w:eastAsia="宋体"/>
      <w:b/>
      <w:bCs/>
      <w:kern w:val="2"/>
      <w:sz w:val="28"/>
      <w:szCs w:val="28"/>
      <w:lang w:val="en-US" w:eastAsia="zh-CN" w:bidi="ar-SA"/>
    </w:rPr>
  </w:style>
  <w:style w:type="paragraph" w:customStyle="1" w:styleId="818">
    <w:name w:val="日期1"/>
    <w:basedOn w:val="1"/>
    <w:next w:val="1"/>
    <w:qFormat/>
    <w:uiPriority w:val="0"/>
    <w:pPr>
      <w:tabs>
        <w:tab w:val="left" w:pos="1701"/>
      </w:tabs>
      <w:adjustRightInd w:val="0"/>
      <w:spacing w:line="360" w:lineRule="atLeast"/>
    </w:pPr>
    <w:rPr>
      <w:rFonts w:ascii="宋体"/>
      <w:spacing w:val="20"/>
      <w:kern w:val="0"/>
      <w:sz w:val="28"/>
      <w:szCs w:val="20"/>
    </w:rPr>
  </w:style>
  <w:style w:type="paragraph" w:customStyle="1" w:styleId="819">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820">
    <w:name w:val="Char Char1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821">
    <w:name w:val="Char Char Char Char Char Char Char Char Char Char Char Char Char Char Char Char"/>
    <w:basedOn w:val="1"/>
    <w:qFormat/>
    <w:uiPriority w:val="0"/>
    <w:rPr>
      <w:szCs w:val="21"/>
    </w:rPr>
  </w:style>
  <w:style w:type="paragraph" w:customStyle="1" w:styleId="822">
    <w:name w:val="s1"/>
    <w:basedOn w:val="1"/>
    <w:qFormat/>
    <w:uiPriority w:val="0"/>
    <w:pPr>
      <w:widowControl/>
      <w:spacing w:before="100" w:beforeAutospacing="1" w:after="100" w:afterAutospacing="1"/>
      <w:jc w:val="left"/>
    </w:pPr>
    <w:rPr>
      <w:color w:val="000000"/>
      <w:kern w:val="0"/>
      <w:szCs w:val="21"/>
    </w:rPr>
  </w:style>
  <w:style w:type="paragraph" w:customStyle="1" w:styleId="8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16"/>
      <w:szCs w:val="16"/>
    </w:rPr>
  </w:style>
  <w:style w:type="paragraph" w:customStyle="1" w:styleId="824">
    <w:name w:val="reader-word-layer reader-word-s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25">
    <w:name w:val="Q4"/>
    <w:basedOn w:val="6"/>
    <w:qFormat/>
    <w:uiPriority w:val="0"/>
    <w:pPr>
      <w:spacing w:line="360" w:lineRule="auto"/>
      <w:ind w:left="242" w:hanging="242" w:hangingChars="242"/>
    </w:pPr>
    <w:rPr>
      <w:b/>
    </w:rPr>
  </w:style>
  <w:style w:type="paragraph" w:customStyle="1" w:styleId="826">
    <w:name w:val="样式 kk5 + 段前: 0.4 行 段后: 0.4 行"/>
    <w:basedOn w:val="827"/>
    <w:qFormat/>
    <w:uiPriority w:val="0"/>
    <w:pPr>
      <w:tabs>
        <w:tab w:val="left" w:pos="1008"/>
      </w:tabs>
      <w:spacing w:before="0" w:beforeLines="0" w:after="0" w:afterLines="0"/>
      <w:ind w:firstLine="200" w:firstLineChars="200"/>
    </w:pPr>
    <w:rPr>
      <w:rFonts w:cs="宋体"/>
      <w:szCs w:val="20"/>
    </w:rPr>
  </w:style>
  <w:style w:type="paragraph" w:customStyle="1" w:styleId="827">
    <w:name w:val="kk5"/>
    <w:basedOn w:val="7"/>
    <w:qFormat/>
    <w:uiPriority w:val="0"/>
    <w:pPr>
      <w:tabs>
        <w:tab w:val="clear" w:pos="-108"/>
      </w:tabs>
      <w:snapToGrid/>
      <w:spacing w:before="214" w:beforeLines="40" w:after="214" w:afterLines="40" w:line="500" w:lineRule="exact"/>
      <w:ind w:left="0" w:firstLine="0" w:firstLineChars="0"/>
    </w:pPr>
    <w:rPr>
      <w:rFonts w:ascii="Arial Narrow"/>
      <w:b w:val="0"/>
      <w:sz w:val="24"/>
      <w:szCs w:val="28"/>
    </w:rPr>
  </w:style>
  <w:style w:type="paragraph" w:customStyle="1" w:styleId="828">
    <w:name w:val="Char Char Char Char Char Char1 Char7"/>
    <w:basedOn w:val="1"/>
    <w:qFormat/>
    <w:uiPriority w:val="0"/>
    <w:rPr>
      <w:rFonts w:eastAsia="仿宋_GB2312"/>
      <w:b/>
      <w:sz w:val="24"/>
      <w:szCs w:val="24"/>
    </w:rPr>
  </w:style>
  <w:style w:type="paragraph" w:customStyle="1" w:styleId="829">
    <w:name w:val="xl12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830">
    <w:name w:val="xl126"/>
    <w:basedOn w:val="1"/>
    <w:qFormat/>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kern w:val="0"/>
      <w:sz w:val="20"/>
      <w:szCs w:val="20"/>
    </w:rPr>
  </w:style>
  <w:style w:type="paragraph" w:customStyle="1" w:styleId="831">
    <w:name w:val="样式 标题 1 + 宋体1"/>
    <w:basedOn w:val="3"/>
    <w:qFormat/>
    <w:uiPriority w:val="0"/>
    <w:pPr>
      <w:widowControl/>
      <w:tabs>
        <w:tab w:val="left" w:pos="425"/>
        <w:tab w:val="left" w:pos="1740"/>
        <w:tab w:val="right" w:pos="8640"/>
      </w:tabs>
      <w:overflowPunct w:val="0"/>
      <w:autoSpaceDE w:val="0"/>
      <w:autoSpaceDN w:val="0"/>
      <w:adjustRightInd w:val="0"/>
      <w:spacing w:before="120" w:after="120" w:line="440" w:lineRule="exact"/>
      <w:ind w:left="-76" w:hanging="284"/>
      <w:jc w:val="left"/>
    </w:pPr>
    <w:rPr>
      <w:rFonts w:ascii="宋体" w:hAnsi="宋体"/>
      <w:kern w:val="28"/>
      <w:sz w:val="30"/>
    </w:rPr>
  </w:style>
  <w:style w:type="paragraph" w:customStyle="1" w:styleId="832">
    <w:name w:val="！标题4 Alt+4"/>
    <w:basedOn w:val="833"/>
    <w:next w:val="834"/>
    <w:qFormat/>
    <w:uiPriority w:val="0"/>
    <w:pPr>
      <w:tabs>
        <w:tab w:val="left" w:pos="0"/>
      </w:tabs>
      <w:ind w:firstLine="100" w:firstLineChars="100"/>
      <w:outlineLvl w:val="3"/>
    </w:pPr>
  </w:style>
  <w:style w:type="paragraph" w:customStyle="1" w:styleId="833">
    <w:name w:val="！标题3 Alt+3"/>
    <w:basedOn w:val="1"/>
    <w:next w:val="834"/>
    <w:qFormat/>
    <w:uiPriority w:val="0"/>
    <w:pPr>
      <w:tabs>
        <w:tab w:val="left" w:pos="0"/>
      </w:tabs>
      <w:spacing w:beforeLines="50" w:line="360" w:lineRule="auto"/>
      <w:outlineLvl w:val="2"/>
    </w:pPr>
    <w:rPr>
      <w:rFonts w:eastAsia="黑体"/>
      <w:sz w:val="28"/>
      <w:szCs w:val="28"/>
    </w:rPr>
  </w:style>
  <w:style w:type="paragraph" w:customStyle="1" w:styleId="834">
    <w:name w:val="！正文 Alt+0"/>
    <w:basedOn w:val="1"/>
    <w:qFormat/>
    <w:uiPriority w:val="0"/>
    <w:pPr>
      <w:spacing w:beforeLines="50" w:line="360" w:lineRule="auto"/>
      <w:ind w:firstLine="200" w:firstLineChars="200"/>
    </w:pPr>
    <w:rPr>
      <w:sz w:val="28"/>
      <w:szCs w:val="28"/>
    </w:rPr>
  </w:style>
  <w:style w:type="paragraph" w:customStyle="1" w:styleId="835">
    <w:name w:val="Char Char Char4"/>
    <w:basedOn w:val="1"/>
    <w:qFormat/>
    <w:uiPriority w:val="0"/>
    <w:pPr>
      <w:widowControl/>
      <w:spacing w:after="160" w:line="240" w:lineRule="exact"/>
      <w:jc w:val="left"/>
    </w:pPr>
    <w:rPr>
      <w:rFonts w:ascii="Verdana" w:hAnsi="Verdana"/>
      <w:kern w:val="0"/>
      <w:szCs w:val="20"/>
      <w:lang w:eastAsia="en-US"/>
    </w:rPr>
  </w:style>
  <w:style w:type="paragraph" w:customStyle="1" w:styleId="836">
    <w:name w:val="Char Char Char1 Char Char Char Char Char Char Char Char Char Char5"/>
    <w:basedOn w:val="1"/>
    <w:qFormat/>
    <w:uiPriority w:val="0"/>
    <w:rPr>
      <w:szCs w:val="24"/>
    </w:rPr>
  </w:style>
  <w:style w:type="paragraph" w:customStyle="1" w:styleId="837">
    <w:name w:val="正文缩进2"/>
    <w:basedOn w:val="1"/>
    <w:next w:val="41"/>
    <w:qFormat/>
    <w:uiPriority w:val="0"/>
    <w:pPr>
      <w:snapToGrid w:val="0"/>
      <w:spacing w:line="360" w:lineRule="auto"/>
      <w:ind w:left="280" w:firstLine="590" w:firstLineChars="200"/>
      <w:jc w:val="right"/>
    </w:pPr>
    <w:rPr>
      <w:rFonts w:ascii="宋体" w:hAnsi="Courier New"/>
      <w:sz w:val="28"/>
      <w:szCs w:val="20"/>
    </w:rPr>
  </w:style>
  <w:style w:type="paragraph" w:customStyle="1" w:styleId="838">
    <w:name w:val="正文首行缩进5"/>
    <w:basedOn w:val="31"/>
    <w:qFormat/>
    <w:uiPriority w:val="0"/>
    <w:pPr>
      <w:adjustRightInd w:val="0"/>
      <w:spacing w:before="0" w:line="312" w:lineRule="auto"/>
      <w:ind w:left="0" w:firstLine="567"/>
    </w:pPr>
    <w:rPr>
      <w:rFonts w:hint="eastAsia" w:ascii="Times New Roman" w:hAnsi="Times New Roman"/>
      <w:sz w:val="28"/>
      <w:szCs w:val="20"/>
      <w:lang w:eastAsia="zh-CN"/>
    </w:rPr>
  </w:style>
  <w:style w:type="paragraph" w:customStyle="1" w:styleId="839">
    <w:name w:val="font1"/>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840">
    <w:name w:val="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841">
    <w:name w:val="样式 标题 3 + 段前: 6 磅 段后: 0 磅2"/>
    <w:basedOn w:val="5"/>
    <w:qFormat/>
    <w:uiPriority w:val="0"/>
    <w:pPr>
      <w:tabs>
        <w:tab w:val="left" w:pos="180"/>
        <w:tab w:val="left" w:pos="1742"/>
      </w:tabs>
      <w:autoSpaceDE w:val="0"/>
      <w:autoSpaceDN w:val="0"/>
      <w:adjustRightInd w:val="0"/>
      <w:spacing w:line="300" w:lineRule="auto"/>
      <w:ind w:left="714" w:right="240" w:rightChars="100" w:hanging="357"/>
    </w:pPr>
    <w:rPr>
      <w:rFonts w:ascii="宋体" w:hAnsi="宋体" w:cs="宋体"/>
      <w:b/>
      <w:spacing w:val="8"/>
      <w:szCs w:val="20"/>
    </w:rPr>
  </w:style>
  <w:style w:type="paragraph" w:customStyle="1" w:styleId="842">
    <w:name w:val="表格，内容"/>
    <w:basedOn w:val="1"/>
    <w:qFormat/>
    <w:uiPriority w:val="0"/>
    <w:pPr>
      <w:jc w:val="center"/>
    </w:pPr>
    <w:rPr>
      <w:spacing w:val="10"/>
      <w:kern w:val="44"/>
      <w:szCs w:val="24"/>
    </w:rPr>
  </w:style>
  <w:style w:type="paragraph" w:customStyle="1" w:styleId="843">
    <w:name w:val="字元 字元 Char Char 字元 字元11"/>
    <w:basedOn w:val="1"/>
    <w:qFormat/>
    <w:uiPriority w:val="0"/>
    <w:rPr>
      <w:sz w:val="24"/>
      <w:szCs w:val="24"/>
    </w:rPr>
  </w:style>
  <w:style w:type="paragraph" w:customStyle="1" w:styleId="844">
    <w:name w:val="文档结构图4"/>
    <w:basedOn w:val="1"/>
    <w:qFormat/>
    <w:uiPriority w:val="0"/>
    <w:pPr>
      <w:shd w:val="clear" w:color="auto" w:fill="000080"/>
      <w:adjustRightInd w:val="0"/>
      <w:spacing w:line="360" w:lineRule="atLeast"/>
      <w:jc w:val="left"/>
    </w:pPr>
    <w:rPr>
      <w:rFonts w:eastAsia="Wingdings"/>
      <w:kern w:val="0"/>
      <w:sz w:val="24"/>
      <w:szCs w:val="20"/>
    </w:rPr>
  </w:style>
  <w:style w:type="paragraph" w:customStyle="1" w:styleId="845">
    <w:name w:val="样式34"/>
    <w:basedOn w:val="673"/>
    <w:qFormat/>
    <w:uiPriority w:val="0"/>
    <w:pPr>
      <w:spacing w:line="240" w:lineRule="atLeast"/>
      <w:jc w:val="center"/>
    </w:pPr>
    <w:rPr>
      <w:i/>
      <w:color w:val="FF0000"/>
      <w:kern w:val="0"/>
      <w:sz w:val="24"/>
      <w:szCs w:val="24"/>
    </w:rPr>
  </w:style>
  <w:style w:type="paragraph" w:customStyle="1" w:styleId="846">
    <w:name w:val="Char Char Char Char Char Char Char Char Char2 Char1"/>
    <w:basedOn w:val="1"/>
    <w:next w:val="1"/>
    <w:qFormat/>
    <w:uiPriority w:val="0"/>
    <w:pPr>
      <w:pBdr>
        <w:right w:val="single" w:color="auto" w:sz="12" w:space="4"/>
      </w:pBdr>
      <w:spacing w:line="360" w:lineRule="auto"/>
      <w:ind w:firstLine="200" w:firstLineChars="200"/>
    </w:pPr>
    <w:rPr>
      <w:rFonts w:ascii="宋体" w:hAnsi="宋体" w:cs="宋体"/>
      <w:sz w:val="24"/>
      <w:szCs w:val="24"/>
    </w:rPr>
  </w:style>
  <w:style w:type="paragraph" w:customStyle="1" w:styleId="847">
    <w:name w:val="reader-word-layer reader-word-s53-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48">
    <w:name w:val="xl67"/>
    <w:basedOn w:val="1"/>
    <w:qFormat/>
    <w:uiPriority w:val="0"/>
    <w:pPr>
      <w:widowControl/>
      <w:pBdr>
        <w:left w:val="single" w:color="auto" w:sz="4" w:space="0"/>
        <w:bottom w:val="single" w:color="auto" w:sz="4" w:space="0"/>
      </w:pBdr>
      <w:spacing w:before="100" w:beforeAutospacing="1" w:after="100" w:afterAutospacing="1"/>
      <w:jc w:val="right"/>
    </w:pPr>
    <w:rPr>
      <w:rFonts w:ascii="宋体" w:hAnsi="宋体"/>
      <w:b/>
      <w:bCs/>
      <w:kern w:val="0"/>
      <w:sz w:val="16"/>
      <w:szCs w:val="16"/>
    </w:rPr>
  </w:style>
  <w:style w:type="paragraph" w:customStyle="1" w:styleId="849">
    <w:name w:val="Char"/>
    <w:basedOn w:val="23"/>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850">
    <w:name w:val="字元 字元1"/>
    <w:basedOn w:val="1"/>
    <w:qFormat/>
    <w:uiPriority w:val="0"/>
    <w:rPr>
      <w:szCs w:val="24"/>
    </w:rPr>
  </w:style>
  <w:style w:type="paragraph" w:customStyle="1" w:styleId="851">
    <w:name w:val="样式 Times New Roman 四号 段前: 0 磅 段后: 0 磅"/>
    <w:basedOn w:val="1"/>
    <w:qFormat/>
    <w:uiPriority w:val="0"/>
    <w:pPr>
      <w:adjustRightInd w:val="0"/>
      <w:snapToGrid w:val="0"/>
      <w:spacing w:line="500" w:lineRule="atLeast"/>
      <w:ind w:firstLine="560" w:firstLineChars="200"/>
    </w:pPr>
    <w:rPr>
      <w:rFonts w:hAnsi="宋体"/>
      <w:bCs/>
      <w:sz w:val="28"/>
      <w:szCs w:val="24"/>
    </w:rPr>
  </w:style>
  <w:style w:type="paragraph" w:customStyle="1" w:styleId="852">
    <w:name w:val="列出段落4"/>
    <w:basedOn w:val="1"/>
    <w:qFormat/>
    <w:uiPriority w:val="0"/>
    <w:pPr>
      <w:spacing w:line="460" w:lineRule="atLeast"/>
      <w:ind w:firstLine="420" w:firstLineChars="200"/>
    </w:pPr>
    <w:rPr>
      <w:rFonts w:ascii="宋体"/>
      <w:bCs/>
      <w:kern w:val="44"/>
      <w:szCs w:val="44"/>
    </w:rPr>
  </w:style>
  <w:style w:type="paragraph" w:customStyle="1" w:styleId="853">
    <w:name w:val="样式75"/>
    <w:basedOn w:val="854"/>
    <w:qFormat/>
    <w:uiPriority w:val="0"/>
  </w:style>
  <w:style w:type="paragraph" w:customStyle="1" w:styleId="854">
    <w:name w:val="样式74"/>
    <w:basedOn w:val="257"/>
    <w:qFormat/>
    <w:uiPriority w:val="0"/>
  </w:style>
  <w:style w:type="paragraph" w:customStyle="1" w:styleId="855">
    <w:name w:val="xl91"/>
    <w:basedOn w:val="1"/>
    <w:qFormat/>
    <w:uiPriority w:val="0"/>
    <w:pPr>
      <w:widowControl/>
      <w:pBdr>
        <w:left w:val="single" w:color="auto" w:sz="4" w:space="0"/>
        <w:bottom w:val="single" w:color="auto" w:sz="4" w:space="0"/>
      </w:pBdr>
      <w:spacing w:before="100" w:beforeAutospacing="1" w:after="100" w:afterAutospacing="1"/>
      <w:jc w:val="right"/>
    </w:pPr>
    <w:rPr>
      <w:rFonts w:ascii="Arial Unicode MS" w:hAnsi="Arial Unicode MS"/>
      <w:kern w:val="0"/>
      <w:sz w:val="20"/>
      <w:szCs w:val="20"/>
    </w:rPr>
  </w:style>
  <w:style w:type="paragraph" w:customStyle="1" w:styleId="856">
    <w:name w:val="Char Char Char Char Char2 Char3"/>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857">
    <w:name w:val="批注主题1"/>
    <w:basedOn w:val="25"/>
    <w:next w:val="25"/>
    <w:qFormat/>
    <w:uiPriority w:val="0"/>
    <w:rPr>
      <w:rFonts w:eastAsia="Times New Roman"/>
      <w:b/>
      <w:bCs/>
      <w:sz w:val="24"/>
      <w:szCs w:val="24"/>
    </w:rPr>
  </w:style>
  <w:style w:type="paragraph" w:customStyle="1" w:styleId="858">
    <w:name w:val="样式69"/>
    <w:basedOn w:val="859"/>
    <w:qFormat/>
    <w:uiPriority w:val="0"/>
    <w:rPr>
      <w:b w:val="0"/>
      <w:szCs w:val="24"/>
    </w:rPr>
  </w:style>
  <w:style w:type="paragraph" w:customStyle="1" w:styleId="859">
    <w:name w:val="样式67"/>
    <w:basedOn w:val="502"/>
    <w:qFormat/>
    <w:uiPriority w:val="0"/>
  </w:style>
  <w:style w:type="paragraph" w:customStyle="1" w:styleId="860">
    <w:name w:val="wdjh"/>
    <w:basedOn w:val="1"/>
    <w:qFormat/>
    <w:uiPriority w:val="0"/>
    <w:pPr>
      <w:widowControl/>
      <w:spacing w:before="100" w:beforeAutospacing="1" w:after="100" w:afterAutospacing="1" w:line="360" w:lineRule="atLeast"/>
      <w:ind w:firstLine="480" w:firstLineChars="200"/>
      <w:jc w:val="left"/>
    </w:pPr>
    <w:rPr>
      <w:rFonts w:eastAsia="Arial Unicode MS"/>
      <w:color w:val="333333"/>
      <w:kern w:val="0"/>
      <w:sz w:val="24"/>
      <w:szCs w:val="20"/>
    </w:rPr>
  </w:style>
  <w:style w:type="paragraph" w:customStyle="1" w:styleId="861">
    <w:name w:val="样式 文章1 + 首行缩进:  6 字符"/>
    <w:basedOn w:val="1"/>
    <w:qFormat/>
    <w:uiPriority w:val="0"/>
    <w:pPr>
      <w:spacing w:line="600" w:lineRule="exact"/>
      <w:ind w:firstLine="200" w:firstLineChars="200"/>
    </w:pPr>
    <w:rPr>
      <w:sz w:val="28"/>
      <w:szCs w:val="20"/>
    </w:rPr>
  </w:style>
  <w:style w:type="paragraph" w:customStyle="1" w:styleId="862">
    <w:name w:val="样式 标题 3 + 段前: 6 磅 段后: 0 磅"/>
    <w:basedOn w:val="5"/>
    <w:qFormat/>
    <w:uiPriority w:val="0"/>
    <w:pPr>
      <w:tabs>
        <w:tab w:val="left" w:pos="1742"/>
      </w:tabs>
      <w:autoSpaceDE w:val="0"/>
      <w:autoSpaceDN w:val="0"/>
      <w:adjustRightInd w:val="0"/>
      <w:spacing w:line="300" w:lineRule="auto"/>
      <w:ind w:right="240" w:rightChars="100"/>
    </w:pPr>
    <w:rPr>
      <w:rFonts w:ascii="宋体" w:hAnsi="宋体" w:cs="宋体"/>
      <w:b/>
      <w:spacing w:val="8"/>
      <w:szCs w:val="20"/>
    </w:rPr>
  </w:style>
  <w:style w:type="paragraph" w:customStyle="1" w:styleId="863">
    <w:name w:val="二级无标题条"/>
    <w:basedOn w:val="1"/>
    <w:qFormat/>
    <w:uiPriority w:val="0"/>
    <w:rPr>
      <w:szCs w:val="24"/>
    </w:rPr>
  </w:style>
  <w:style w:type="paragraph" w:customStyle="1" w:styleId="864">
    <w:name w:val="样式 标题 4 + 宋体 段前: 6 磅 段后: 6 磅 行距: 1.5 倍行距"/>
    <w:basedOn w:val="6"/>
    <w:qFormat/>
    <w:uiPriority w:val="0"/>
    <w:pPr>
      <w:tabs>
        <w:tab w:val="left" w:pos="864"/>
      </w:tabs>
      <w:snapToGrid w:val="0"/>
      <w:spacing w:before="120" w:after="120"/>
      <w:ind w:left="864" w:hanging="864"/>
    </w:pPr>
    <w:rPr>
      <w:rFonts w:ascii="宋体" w:hAnsi="宋体" w:cs="宋体"/>
      <w:bCs/>
      <w:sz w:val="24"/>
      <w:lang w:val="zh-CN"/>
    </w:rPr>
  </w:style>
  <w:style w:type="paragraph" w:customStyle="1" w:styleId="865">
    <w:name w:val="Char Char Char Char Char Char Char Char Char Char Char Char Char4"/>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866">
    <w:name w:val="正文文本 22"/>
    <w:basedOn w:val="1"/>
    <w:qFormat/>
    <w:uiPriority w:val="0"/>
    <w:pPr>
      <w:tabs>
        <w:tab w:val="left" w:pos="1701"/>
      </w:tabs>
      <w:autoSpaceDE w:val="0"/>
      <w:autoSpaceDN w:val="0"/>
      <w:adjustRightInd w:val="0"/>
      <w:spacing w:line="364" w:lineRule="auto"/>
      <w:jc w:val="center"/>
    </w:pPr>
    <w:rPr>
      <w:spacing w:val="10"/>
      <w:kern w:val="10"/>
      <w:sz w:val="24"/>
      <w:szCs w:val="20"/>
    </w:rPr>
  </w:style>
  <w:style w:type="paragraph" w:customStyle="1" w:styleId="867">
    <w:name w:val="Char Char18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868">
    <w:name w:val="表格 33"/>
    <w:basedOn w:val="869"/>
    <w:qFormat/>
    <w:uiPriority w:val="0"/>
    <w:rPr>
      <w:sz w:val="21"/>
    </w:rPr>
  </w:style>
  <w:style w:type="paragraph" w:customStyle="1" w:styleId="869">
    <w:name w:val="表格 31"/>
    <w:qFormat/>
    <w:uiPriority w:val="0"/>
    <w:pPr>
      <w:widowControl w:val="0"/>
      <w:autoSpaceDE w:val="0"/>
      <w:autoSpaceDN w:val="0"/>
      <w:adjustRightInd w:val="0"/>
      <w:jc w:val="center"/>
    </w:pPr>
    <w:rPr>
      <w:rFonts w:ascii="Times New Roman" w:hAnsi="Times New Roman" w:eastAsia="楷体" w:cs="Times New Roman"/>
      <w:sz w:val="28"/>
      <w:lang w:val="en-US" w:eastAsia="zh-CN" w:bidi="ar-SA"/>
    </w:rPr>
  </w:style>
  <w:style w:type="paragraph" w:customStyle="1" w:styleId="870">
    <w:name w:val="font16"/>
    <w:basedOn w:val="1"/>
    <w:qFormat/>
    <w:uiPriority w:val="0"/>
    <w:pPr>
      <w:widowControl/>
      <w:spacing w:before="100" w:beforeAutospacing="1" w:after="100" w:afterAutospacing="1"/>
      <w:jc w:val="left"/>
    </w:pPr>
    <w:rPr>
      <w:b/>
      <w:bCs/>
      <w:kern w:val="0"/>
      <w:sz w:val="16"/>
      <w:szCs w:val="16"/>
    </w:rPr>
  </w:style>
  <w:style w:type="paragraph" w:customStyle="1" w:styleId="871">
    <w:name w:val="标题4"/>
    <w:basedOn w:val="1"/>
    <w:link w:val="1972"/>
    <w:qFormat/>
    <w:uiPriority w:val="0"/>
    <w:pPr>
      <w:widowControl/>
      <w:autoSpaceDE w:val="0"/>
      <w:autoSpaceDN w:val="0"/>
      <w:adjustRightInd w:val="0"/>
      <w:snapToGrid w:val="0"/>
      <w:spacing w:beforeLines="50" w:afterLines="50" w:line="360" w:lineRule="auto"/>
      <w:ind w:firstLine="480" w:firstLineChars="295"/>
      <w:textAlignment w:val="baseline"/>
    </w:pPr>
    <w:rPr>
      <w:rFonts w:ascii="宋体" w:hAnsi="宋体"/>
      <w:kern w:val="0"/>
      <w:sz w:val="28"/>
      <w:szCs w:val="20"/>
    </w:rPr>
  </w:style>
  <w:style w:type="paragraph" w:customStyle="1" w:styleId="872">
    <w:name w:val="title3"/>
    <w:basedOn w:val="1"/>
    <w:qFormat/>
    <w:uiPriority w:val="0"/>
    <w:pPr>
      <w:spacing w:before="50" w:beforeLines="50" w:line="480" w:lineRule="atLeast"/>
    </w:pPr>
    <w:rPr>
      <w:b/>
      <w:sz w:val="28"/>
      <w:szCs w:val="24"/>
    </w:rPr>
  </w:style>
  <w:style w:type="paragraph" w:customStyle="1" w:styleId="873">
    <w:name w:val="样式 标题 4H4PIM 4h4blbbTitre44th levelsect 1.2.3.4Ref Head...3"/>
    <w:basedOn w:val="1"/>
    <w:qFormat/>
    <w:uiPriority w:val="0"/>
    <w:pPr>
      <w:keepNext/>
      <w:keepLines/>
      <w:widowControl/>
      <w:spacing w:before="60" w:after="60" w:line="520" w:lineRule="exact"/>
      <w:ind w:firstLine="510" w:firstLineChars="200"/>
      <w:jc w:val="left"/>
      <w:outlineLvl w:val="3"/>
    </w:pPr>
    <w:rPr>
      <w:rFonts w:ascii="Arial" w:hAnsi="Arial"/>
      <w:b/>
      <w:color w:val="000000"/>
      <w:kern w:val="0"/>
      <w:sz w:val="24"/>
      <w:szCs w:val="20"/>
    </w:rPr>
  </w:style>
  <w:style w:type="paragraph" w:customStyle="1" w:styleId="874">
    <w:name w:val="!标题2"/>
    <w:basedOn w:val="1"/>
    <w:next w:val="1"/>
    <w:qFormat/>
    <w:uiPriority w:val="0"/>
    <w:pPr>
      <w:widowControl/>
      <w:spacing w:before="25" w:beforeLines="25" w:line="360" w:lineRule="auto"/>
      <w:jc w:val="left"/>
      <w:textAlignment w:val="baseline"/>
      <w:outlineLvl w:val="1"/>
    </w:pPr>
    <w:rPr>
      <w:rFonts w:ascii="Arial" w:hAnsi="Arial" w:eastAsia="黑体"/>
      <w:b/>
      <w:color w:val="000000"/>
      <w:kern w:val="0"/>
      <w:sz w:val="32"/>
      <w:szCs w:val="32"/>
      <w:u w:color="000000"/>
    </w:rPr>
  </w:style>
  <w:style w:type="paragraph" w:customStyle="1" w:styleId="875">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76">
    <w:name w:val="环保节标题"/>
    <w:basedOn w:val="1"/>
    <w:qFormat/>
    <w:uiPriority w:val="0"/>
    <w:pPr>
      <w:keepNext/>
      <w:keepLines/>
      <w:adjustRightInd w:val="0"/>
      <w:spacing w:before="260" w:after="260" w:line="416" w:lineRule="atLeast"/>
      <w:ind w:firstLine="200" w:firstLineChars="200"/>
      <w:jc w:val="left"/>
      <w:textAlignment w:val="baseline"/>
      <w:outlineLvl w:val="2"/>
    </w:pPr>
    <w:rPr>
      <w:kern w:val="0"/>
      <w:sz w:val="24"/>
      <w:szCs w:val="24"/>
    </w:rPr>
  </w:style>
  <w:style w:type="paragraph" w:customStyle="1" w:styleId="877">
    <w:name w:val="列表延续 5"/>
    <w:basedOn w:val="1"/>
    <w:qFormat/>
    <w:uiPriority w:val="0"/>
    <w:pPr>
      <w:autoSpaceDE w:val="0"/>
      <w:autoSpaceDN w:val="0"/>
      <w:adjustRightInd w:val="0"/>
      <w:spacing w:after="120" w:line="400" w:lineRule="exact"/>
      <w:ind w:left="1260"/>
      <w:jc w:val="left"/>
    </w:pPr>
    <w:rPr>
      <w:rFonts w:ascii="宋体" w:hAnsi="Tms Rmn"/>
      <w:spacing w:val="-5"/>
      <w:kern w:val="0"/>
      <w:sz w:val="26"/>
      <w:szCs w:val="20"/>
    </w:rPr>
  </w:style>
  <w:style w:type="paragraph" w:customStyle="1" w:styleId="878">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kern w:val="0"/>
      <w:sz w:val="24"/>
      <w:szCs w:val="24"/>
    </w:rPr>
  </w:style>
  <w:style w:type="paragraph" w:customStyle="1" w:styleId="879">
    <w:name w:val="表后空行"/>
    <w:basedOn w:val="1"/>
    <w:qFormat/>
    <w:uiPriority w:val="0"/>
    <w:pPr>
      <w:overflowPunct w:val="0"/>
      <w:adjustRightInd w:val="0"/>
      <w:textAlignment w:val="baseline"/>
    </w:pPr>
    <w:rPr>
      <w:kern w:val="28"/>
      <w:sz w:val="10"/>
      <w:szCs w:val="20"/>
    </w:rPr>
  </w:style>
  <w:style w:type="paragraph" w:customStyle="1" w:styleId="880">
    <w:name w:val="xl87"/>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kern w:val="0"/>
      <w:sz w:val="22"/>
      <w:szCs w:val="20"/>
    </w:rPr>
  </w:style>
  <w:style w:type="paragraph" w:customStyle="1" w:styleId="881">
    <w:name w:val="样式 标题 2 + 四号 非加粗"/>
    <w:basedOn w:val="4"/>
    <w:qFormat/>
    <w:uiPriority w:val="0"/>
    <w:rPr>
      <w:rFonts w:ascii="Arial" w:hAnsi="Arial" w:eastAsia="黑体"/>
      <w:bCs/>
    </w:rPr>
  </w:style>
  <w:style w:type="paragraph" w:customStyle="1" w:styleId="882">
    <w:name w:val="font12"/>
    <w:basedOn w:val="1"/>
    <w:qFormat/>
    <w:uiPriority w:val="0"/>
    <w:pPr>
      <w:widowControl/>
      <w:spacing w:before="100" w:beforeAutospacing="1" w:after="100" w:afterAutospacing="1"/>
      <w:jc w:val="left"/>
    </w:pPr>
    <w:rPr>
      <w:rFonts w:ascii="宋体" w:hAnsi="宋体"/>
      <w:b/>
      <w:bCs/>
      <w:kern w:val="0"/>
      <w:sz w:val="16"/>
      <w:szCs w:val="16"/>
    </w:rPr>
  </w:style>
  <w:style w:type="paragraph" w:customStyle="1" w:styleId="883">
    <w:name w:val="reader-word-layer reader-word-s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4">
    <w:name w:val="表格名称"/>
    <w:basedOn w:val="885"/>
    <w:qFormat/>
    <w:uiPriority w:val="0"/>
    <w:pPr>
      <w:widowControl w:val="0"/>
      <w:pBdr>
        <w:left w:val="none" w:color="auto" w:sz="0" w:space="0"/>
        <w:bottom w:val="none" w:color="auto" w:sz="0" w:space="0"/>
        <w:right w:val="none" w:color="auto" w:sz="0" w:space="0"/>
      </w:pBdr>
      <w:tabs>
        <w:tab w:val="left" w:pos="-24"/>
      </w:tabs>
      <w:snapToGrid w:val="0"/>
      <w:spacing w:before="0" w:beforeAutospacing="0" w:after="0" w:afterAutospacing="0" w:line="460" w:lineRule="exact"/>
      <w:ind w:firstLine="480" w:firstLineChars="200"/>
      <w:textAlignment w:val="baseline"/>
      <w:outlineLvl w:val="4"/>
    </w:pPr>
    <w:rPr>
      <w:rFonts w:ascii="宋体" w:hAnsi="宋体"/>
      <w:b/>
      <w:bCs/>
      <w:color w:val="3366FF"/>
      <w:sz w:val="24"/>
      <w:szCs w:val="20"/>
      <w:u w:color="000000"/>
    </w:rPr>
  </w:style>
  <w:style w:type="paragraph" w:customStyle="1" w:styleId="885">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886">
    <w:name w:val="01"/>
    <w:basedOn w:val="41"/>
    <w:qFormat/>
    <w:uiPriority w:val="0"/>
    <w:pPr>
      <w:spacing w:line="480" w:lineRule="auto"/>
    </w:pPr>
    <w:rPr>
      <w:rFonts w:ascii="Times New Roman" w:hAnsi="Times New Roman" w:eastAsia="黑体" w:cs="Times New Roman"/>
      <w:b/>
      <w:sz w:val="28"/>
      <w:szCs w:val="24"/>
    </w:rPr>
  </w:style>
  <w:style w:type="paragraph" w:customStyle="1" w:styleId="887">
    <w:name w:val="右齐"/>
    <w:basedOn w:val="888"/>
    <w:qFormat/>
    <w:uiPriority w:val="0"/>
    <w:pPr>
      <w:jc w:val="right"/>
    </w:pPr>
    <w:rPr>
      <w:rFonts w:ascii="仿宋_GB2312" w:eastAsia="仿宋_GB2312"/>
    </w:rPr>
  </w:style>
  <w:style w:type="paragraph" w:customStyle="1" w:styleId="888">
    <w:name w:val="表格中"/>
    <w:basedOn w:val="1"/>
    <w:qFormat/>
    <w:uiPriority w:val="0"/>
    <w:pPr>
      <w:spacing w:line="280" w:lineRule="exact"/>
      <w:jc w:val="center"/>
    </w:pPr>
    <w:rPr>
      <w:rFonts w:ascii="宋体"/>
      <w:color w:val="000000"/>
      <w:sz w:val="18"/>
      <w:szCs w:val="30"/>
      <w:lang w:bidi="he-IL"/>
    </w:rPr>
  </w:style>
  <w:style w:type="paragraph" w:customStyle="1" w:styleId="889">
    <w:name w:val="Char2 Char Char Char Char Char Char Char Char Char"/>
    <w:basedOn w:val="1"/>
    <w:next w:val="1"/>
    <w:qFormat/>
    <w:uiPriority w:val="0"/>
    <w:pPr>
      <w:spacing w:line="360" w:lineRule="auto"/>
      <w:ind w:firstLine="200" w:firstLineChars="200"/>
    </w:pPr>
    <w:rPr>
      <w:rFonts w:ascii="宋体" w:hAnsi="宋体" w:cs="宋体"/>
      <w:sz w:val="24"/>
      <w:szCs w:val="24"/>
    </w:rPr>
  </w:style>
  <w:style w:type="paragraph" w:customStyle="1" w:styleId="89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16"/>
      <w:szCs w:val="16"/>
    </w:rPr>
  </w:style>
  <w:style w:type="paragraph" w:customStyle="1" w:styleId="891">
    <w:name w:val="Char Char Char Char Char Char Char Char Char"/>
    <w:basedOn w:val="1"/>
    <w:next w:val="2"/>
    <w:qFormat/>
    <w:uiPriority w:val="0"/>
    <w:rPr>
      <w:sz w:val="28"/>
      <w:szCs w:val="28"/>
    </w:rPr>
  </w:style>
  <w:style w:type="paragraph" w:customStyle="1" w:styleId="892">
    <w:name w:val="6表格"/>
    <w:basedOn w:val="1"/>
    <w:qFormat/>
    <w:uiPriority w:val="0"/>
    <w:pPr>
      <w:adjustRightInd w:val="0"/>
      <w:snapToGrid w:val="0"/>
      <w:spacing w:before="60" w:line="240" w:lineRule="atLeast"/>
      <w:jc w:val="center"/>
    </w:pPr>
    <w:rPr>
      <w:snapToGrid w:val="0"/>
      <w:kern w:val="0"/>
      <w:szCs w:val="20"/>
    </w:rPr>
  </w:style>
  <w:style w:type="paragraph" w:customStyle="1" w:styleId="893">
    <w:name w:val="reader-word-layer reader-word-s58-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4">
    <w:name w:val="xl4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895">
    <w:name w:val="title4"/>
    <w:basedOn w:val="1"/>
    <w:qFormat/>
    <w:uiPriority w:val="0"/>
    <w:pPr>
      <w:tabs>
        <w:tab w:val="left" w:pos="1287"/>
      </w:tabs>
      <w:spacing w:before="50" w:beforeLines="50" w:line="480" w:lineRule="atLeast"/>
      <w:ind w:firstLine="567"/>
    </w:pPr>
    <w:rPr>
      <w:b/>
      <w:sz w:val="28"/>
      <w:szCs w:val="24"/>
    </w:rPr>
  </w:style>
  <w:style w:type="paragraph" w:customStyle="1" w:styleId="896">
    <w:name w:val="wtext"/>
    <w:basedOn w:val="1"/>
    <w:qFormat/>
    <w:uiPriority w:val="0"/>
    <w:pPr>
      <w:widowControl/>
      <w:snapToGrid w:val="0"/>
      <w:spacing w:before="100" w:beforeAutospacing="1" w:after="100" w:afterAutospacing="1" w:line="360" w:lineRule="auto"/>
      <w:jc w:val="left"/>
    </w:pPr>
    <w:rPr>
      <w:rFonts w:ascii="Arial Unicode MS" w:hAnsi="Arial Unicode MS" w:eastAsia="Arial Unicode MS"/>
      <w:kern w:val="0"/>
      <w:sz w:val="28"/>
      <w:szCs w:val="24"/>
    </w:rPr>
  </w:style>
  <w:style w:type="paragraph" w:customStyle="1" w:styleId="897">
    <w:name w:val="样式 小四 行距: 2 倍行距 首行缩进:  2 字符"/>
    <w:basedOn w:val="1"/>
    <w:qFormat/>
    <w:uiPriority w:val="0"/>
    <w:pPr>
      <w:spacing w:line="360" w:lineRule="auto"/>
      <w:ind w:firstLine="480" w:firstLineChars="200"/>
      <w:jc w:val="left"/>
    </w:pPr>
    <w:rPr>
      <w:color w:val="0000FF"/>
      <w:sz w:val="24"/>
      <w:szCs w:val="21"/>
    </w:rPr>
  </w:style>
  <w:style w:type="paragraph" w:customStyle="1" w:styleId="898">
    <w:name w:val="表格1粗"/>
    <w:basedOn w:val="899"/>
    <w:qFormat/>
    <w:uiPriority w:val="0"/>
    <w:pPr>
      <w:ind w:left="210" w:leftChars="100" w:right="210" w:rightChars="100"/>
    </w:pPr>
    <w:rPr>
      <w:b/>
      <w:iCs/>
      <w:color w:val="000000"/>
      <w:kern w:val="2"/>
    </w:rPr>
  </w:style>
  <w:style w:type="paragraph" w:customStyle="1" w:styleId="899">
    <w:name w:val="表格1"/>
    <w:basedOn w:val="1"/>
    <w:qFormat/>
    <w:uiPriority w:val="0"/>
    <w:pPr>
      <w:jc w:val="center"/>
    </w:pPr>
    <w:rPr>
      <w:rFonts w:ascii="宋体" w:hAnsi="宋体"/>
      <w:kern w:val="0"/>
      <w:szCs w:val="21"/>
    </w:rPr>
  </w:style>
  <w:style w:type="paragraph" w:customStyle="1" w:styleId="900">
    <w:name w:val="正文11"/>
    <w:basedOn w:val="1"/>
    <w:qFormat/>
    <w:uiPriority w:val="0"/>
    <w:pPr>
      <w:adjustRightInd w:val="0"/>
      <w:spacing w:line="500" w:lineRule="exact"/>
      <w:ind w:firstLine="540" w:firstLineChars="225"/>
    </w:pPr>
    <w:rPr>
      <w:kern w:val="0"/>
      <w:sz w:val="24"/>
      <w:szCs w:val="20"/>
    </w:rPr>
  </w:style>
  <w:style w:type="paragraph" w:customStyle="1" w:styleId="901">
    <w:name w:val="样式1-1级项目编号"/>
    <w:basedOn w:val="1"/>
    <w:qFormat/>
    <w:uiPriority w:val="0"/>
    <w:pPr>
      <w:tabs>
        <w:tab w:val="left" w:pos="482"/>
      </w:tabs>
      <w:adjustRightInd w:val="0"/>
      <w:snapToGrid w:val="0"/>
      <w:spacing w:line="380" w:lineRule="exact"/>
      <w:ind w:left="482"/>
      <w:textAlignment w:val="center"/>
    </w:pPr>
    <w:rPr>
      <w:snapToGrid w:val="0"/>
      <w:kern w:val="0"/>
      <w:sz w:val="24"/>
      <w:szCs w:val="20"/>
    </w:rPr>
  </w:style>
  <w:style w:type="paragraph" w:customStyle="1" w:styleId="902">
    <w:name w:val="Char Char Char"/>
    <w:basedOn w:val="1"/>
    <w:qFormat/>
    <w:uiPriority w:val="0"/>
    <w:rPr>
      <w:rFonts w:ascii="Tahoma" w:hAnsi="Tahoma"/>
      <w:sz w:val="24"/>
      <w:szCs w:val="20"/>
    </w:rPr>
  </w:style>
  <w:style w:type="paragraph" w:customStyle="1" w:styleId="903">
    <w:name w:val="xl28"/>
    <w:basedOn w:val="1"/>
    <w:qFormat/>
    <w:uiPriority w:val="0"/>
    <w:pPr>
      <w:widowControl/>
      <w:pBdr>
        <w:left w:val="single" w:color="auto" w:sz="4" w:space="0"/>
        <w:bottom w:val="single" w:color="auto" w:sz="4" w:space="0"/>
        <w:right w:val="single" w:color="auto" w:sz="4" w:space="0"/>
      </w:pBdr>
      <w:snapToGrid w:val="0"/>
      <w:spacing w:before="100" w:beforeAutospacing="1" w:after="100" w:afterAutospacing="1" w:line="360" w:lineRule="auto"/>
      <w:jc w:val="center"/>
      <w:textAlignment w:val="center"/>
    </w:pPr>
    <w:rPr>
      <w:rFonts w:ascii="宋体" w:hAnsi="宋体"/>
      <w:kern w:val="0"/>
      <w:szCs w:val="21"/>
    </w:rPr>
  </w:style>
  <w:style w:type="paragraph" w:customStyle="1" w:styleId="90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5">
    <w:name w:val="字元 字元11"/>
    <w:basedOn w:val="1"/>
    <w:qFormat/>
    <w:uiPriority w:val="0"/>
    <w:rPr>
      <w:szCs w:val="24"/>
    </w:rPr>
  </w:style>
  <w:style w:type="paragraph" w:customStyle="1" w:styleId="906">
    <w:name w:val="目录3"/>
    <w:basedOn w:val="1"/>
    <w:next w:val="1"/>
    <w:qFormat/>
    <w:uiPriority w:val="0"/>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907">
    <w:name w:val="hp2"/>
    <w:basedOn w:val="4"/>
    <w:qFormat/>
    <w:uiPriority w:val="0"/>
    <w:pPr>
      <w:spacing w:line="500" w:lineRule="exact"/>
    </w:pPr>
    <w:rPr>
      <w:rFonts w:ascii="Arial Narrow" w:hAnsi="Arial Narrow" w:eastAsia="汉鼎简书宋"/>
      <w:b w:val="0"/>
    </w:rPr>
  </w:style>
  <w:style w:type="paragraph" w:customStyle="1" w:styleId="908">
    <w:name w:val="xl92"/>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909">
    <w:name w:val="样式 标题 2节标题 1.11.1标题2Se + 黑体 四号 非加粗 黑色"/>
    <w:basedOn w:val="5"/>
    <w:qFormat/>
    <w:uiPriority w:val="0"/>
    <w:pPr>
      <w:spacing w:line="360" w:lineRule="auto"/>
    </w:pPr>
    <w:rPr>
      <w:rFonts w:ascii="黑体" w:hAnsi="黑体"/>
      <w:bCs/>
      <w:color w:val="000000"/>
      <w:sz w:val="24"/>
      <w:szCs w:val="24"/>
    </w:rPr>
  </w:style>
  <w:style w:type="paragraph" w:customStyle="1" w:styleId="910">
    <w:name w:val="Char2 Char Char Char"/>
    <w:basedOn w:val="1"/>
    <w:qFormat/>
    <w:uiPriority w:val="0"/>
    <w:rPr>
      <w:sz w:val="30"/>
      <w:szCs w:val="30"/>
    </w:rPr>
  </w:style>
  <w:style w:type="paragraph" w:customStyle="1" w:styleId="911">
    <w:name w:val="reader-word-layer reader-word-s53-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2">
    <w:name w:val="表头 Char Char Char"/>
    <w:basedOn w:val="8"/>
    <w:next w:val="1"/>
    <w:qFormat/>
    <w:uiPriority w:val="0"/>
    <w:pPr>
      <w:keepNext w:val="0"/>
      <w:tabs>
        <w:tab w:val="left" w:pos="780"/>
        <w:tab w:val="clear" w:pos="-108"/>
      </w:tabs>
      <w:adjustRightInd w:val="0"/>
      <w:spacing w:before="120" w:after="156" w:afterLines="50" w:line="400" w:lineRule="exact"/>
      <w:ind w:left="780" w:hanging="360" w:firstLineChars="0"/>
      <w:jc w:val="center"/>
    </w:pPr>
    <w:rPr>
      <w:rFonts w:ascii="楷体_GB2312" w:hAnsi="宋体" w:eastAsia="楷体_GB2312"/>
      <w:snapToGrid w:val="0"/>
      <w:sz w:val="24"/>
    </w:rPr>
  </w:style>
  <w:style w:type="paragraph" w:customStyle="1" w:styleId="913">
    <w:name w:val="xl71"/>
    <w:basedOn w:val="1"/>
    <w:qFormat/>
    <w:uiPriority w:val="0"/>
    <w:pPr>
      <w:widowControl/>
      <w:spacing w:before="100" w:beforeAutospacing="1" w:after="100" w:afterAutospacing="1"/>
      <w:jc w:val="right"/>
    </w:pPr>
    <w:rPr>
      <w:rFonts w:ascii="宋体" w:hAnsi="宋体"/>
      <w:b/>
      <w:bCs/>
      <w:kern w:val="0"/>
      <w:sz w:val="24"/>
      <w:szCs w:val="24"/>
    </w:rPr>
  </w:style>
  <w:style w:type="paragraph" w:customStyle="1" w:styleId="914">
    <w:name w:val="b1"/>
    <w:basedOn w:val="1"/>
    <w:qFormat/>
    <w:uiPriority w:val="0"/>
    <w:pPr>
      <w:widowControl/>
      <w:spacing w:before="100" w:beforeAutospacing="1" w:after="100" w:afterAutospacing="1" w:line="270" w:lineRule="atLeast"/>
      <w:jc w:val="left"/>
    </w:pPr>
    <w:rPr>
      <w:rFonts w:hint="eastAsia" w:ascii="宋体" w:hAnsi="宋体"/>
      <w:color w:val="000000"/>
      <w:kern w:val="0"/>
      <w:sz w:val="18"/>
      <w:szCs w:val="20"/>
    </w:rPr>
  </w:style>
  <w:style w:type="paragraph" w:customStyle="1" w:styleId="915">
    <w:name w:val="日期2"/>
    <w:basedOn w:val="1"/>
    <w:next w:val="1"/>
    <w:qFormat/>
    <w:uiPriority w:val="0"/>
    <w:pPr>
      <w:adjustRightInd w:val="0"/>
      <w:textAlignment w:val="baseline"/>
    </w:pPr>
    <w:rPr>
      <w:szCs w:val="20"/>
    </w:rPr>
  </w:style>
  <w:style w:type="paragraph" w:customStyle="1" w:styleId="916">
    <w:name w:val="xl6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b/>
      <w:bCs/>
      <w:kern w:val="0"/>
      <w:sz w:val="16"/>
      <w:szCs w:val="16"/>
    </w:r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16"/>
      <w:szCs w:val="16"/>
    </w:rPr>
  </w:style>
  <w:style w:type="paragraph" w:customStyle="1" w:styleId="918">
    <w:name w:val="自定义正文"/>
    <w:basedOn w:val="1"/>
    <w:qFormat/>
    <w:uiPriority w:val="0"/>
    <w:pPr>
      <w:adjustRightInd w:val="0"/>
      <w:snapToGrid w:val="0"/>
      <w:spacing w:line="360" w:lineRule="auto"/>
      <w:ind w:firstLine="560" w:firstLineChars="200"/>
      <w:textAlignment w:val="baseline"/>
    </w:pPr>
    <w:rPr>
      <w:rFonts w:ascii="宋体" w:hAnsi="宋体"/>
      <w:kern w:val="0"/>
      <w:sz w:val="28"/>
      <w:szCs w:val="20"/>
    </w:rPr>
  </w:style>
  <w:style w:type="paragraph" w:customStyle="1" w:styleId="919">
    <w:name w:val="样式 样式 样式 样式 左侧:  0.99 厘米 + 首行缩进:  2 字符 + 首行缩进:  2 字符 + 首行缩进:  2...."/>
    <w:basedOn w:val="1"/>
    <w:qFormat/>
    <w:uiPriority w:val="0"/>
    <w:pPr>
      <w:spacing w:line="360" w:lineRule="auto"/>
      <w:ind w:firstLine="200" w:firstLineChars="200"/>
    </w:pPr>
    <w:rPr>
      <w:sz w:val="28"/>
      <w:szCs w:val="20"/>
    </w:rPr>
  </w:style>
  <w:style w:type="paragraph" w:customStyle="1" w:styleId="920">
    <w:name w:val="目录标题"/>
    <w:basedOn w:val="1"/>
    <w:next w:val="1"/>
    <w:qFormat/>
    <w:uiPriority w:val="0"/>
    <w:pPr>
      <w:widowControl/>
      <w:spacing w:before="215" w:after="419" w:line="436" w:lineRule="atLeast"/>
      <w:ind w:firstLine="419"/>
      <w:jc w:val="center"/>
      <w:textAlignment w:val="baseline"/>
    </w:pPr>
    <w:rPr>
      <w:rFonts w:ascii="Arial" w:eastAsia="黑体"/>
      <w:color w:val="000000"/>
      <w:spacing w:val="283"/>
      <w:kern w:val="0"/>
      <w:sz w:val="42"/>
      <w:szCs w:val="20"/>
      <w:u w:color="000000"/>
    </w:rPr>
  </w:style>
  <w:style w:type="paragraph" w:customStyle="1" w:styleId="921">
    <w:name w:val="樣式3"/>
    <w:basedOn w:val="1"/>
    <w:qFormat/>
    <w:uiPriority w:val="0"/>
    <w:pPr>
      <w:adjustRightInd w:val="0"/>
      <w:snapToGrid w:val="0"/>
      <w:spacing w:line="240" w:lineRule="exact"/>
    </w:pPr>
    <w:rPr>
      <w:spacing w:val="-20"/>
      <w:sz w:val="28"/>
      <w:szCs w:val="28"/>
    </w:rPr>
  </w:style>
  <w:style w:type="paragraph" w:customStyle="1" w:styleId="922">
    <w:name w:val="章标题"/>
    <w:basedOn w:val="1"/>
    <w:next w:val="923"/>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923">
    <w:name w:val="节标题"/>
    <w:basedOn w:val="1"/>
    <w:next w:val="924"/>
    <w:qFormat/>
    <w:uiPriority w:val="0"/>
    <w:pPr>
      <w:widowControl/>
      <w:spacing w:line="289" w:lineRule="atLeast"/>
      <w:jc w:val="center"/>
      <w:textAlignment w:val="baseline"/>
    </w:pPr>
    <w:rPr>
      <w:color w:val="000000"/>
      <w:kern w:val="0"/>
      <w:sz w:val="28"/>
      <w:szCs w:val="20"/>
      <w:u w:color="000000"/>
    </w:rPr>
  </w:style>
  <w:style w:type="paragraph" w:customStyle="1" w:styleId="924">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925">
    <w:name w:val="xl3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926">
    <w:name w:val="表格数字"/>
    <w:basedOn w:val="1"/>
    <w:qFormat/>
    <w:uiPriority w:val="0"/>
    <w:pPr>
      <w:jc w:val="right"/>
    </w:pPr>
    <w:rPr>
      <w:snapToGrid w:val="0"/>
      <w:kern w:val="0"/>
      <w:szCs w:val="21"/>
    </w:rPr>
  </w:style>
  <w:style w:type="paragraph" w:customStyle="1" w:styleId="927">
    <w:name w:val="图号"/>
    <w:basedOn w:val="56"/>
    <w:qFormat/>
    <w:uiPriority w:val="0"/>
    <w:pPr>
      <w:snapToGrid/>
      <w:spacing w:line="529" w:lineRule="exact"/>
      <w:ind w:left="198"/>
      <w:jc w:val="both"/>
      <w:textAlignment w:val="baseline"/>
    </w:pPr>
    <w:rPr>
      <w:rFonts w:ascii="Times New Roman" w:hAnsi="Times New Roman"/>
      <w:b/>
      <w:bCs/>
      <w:color w:val="auto"/>
      <w:kern w:val="32"/>
      <w:sz w:val="24"/>
    </w:rPr>
  </w:style>
  <w:style w:type="paragraph" w:customStyle="1" w:styleId="928">
    <w:name w:val="标准"/>
    <w:basedOn w:val="1"/>
    <w:qFormat/>
    <w:uiPriority w:val="0"/>
    <w:pPr>
      <w:adjustRightInd w:val="0"/>
      <w:spacing w:line="360" w:lineRule="auto"/>
      <w:jc w:val="center"/>
      <w:textAlignment w:val="baseline"/>
    </w:pPr>
    <w:rPr>
      <w:kern w:val="0"/>
      <w:szCs w:val="20"/>
    </w:rPr>
  </w:style>
  <w:style w:type="paragraph" w:customStyle="1" w:styleId="929">
    <w:name w:val="样式157"/>
    <w:basedOn w:val="1"/>
    <w:qFormat/>
    <w:uiPriority w:val="0"/>
    <w:pPr>
      <w:adjustRightInd w:val="0"/>
      <w:spacing w:line="300" w:lineRule="exact"/>
      <w:jc w:val="center"/>
    </w:pPr>
    <w:rPr>
      <w:bCs/>
      <w:color w:val="000000"/>
      <w:kern w:val="0"/>
      <w:szCs w:val="21"/>
    </w:rPr>
  </w:style>
  <w:style w:type="paragraph" w:customStyle="1" w:styleId="930">
    <w:name w:val="正文文本 21"/>
    <w:basedOn w:val="1"/>
    <w:qFormat/>
    <w:uiPriority w:val="0"/>
    <w:pPr>
      <w:adjustRightInd w:val="0"/>
      <w:spacing w:line="360" w:lineRule="auto"/>
      <w:ind w:firstLine="567"/>
      <w:jc w:val="left"/>
      <w:textAlignment w:val="baseline"/>
    </w:pPr>
    <w:rPr>
      <w:sz w:val="28"/>
      <w:szCs w:val="20"/>
    </w:rPr>
  </w:style>
  <w:style w:type="paragraph" w:customStyle="1" w:styleId="931">
    <w:name w:val="表"/>
    <w:basedOn w:val="1"/>
    <w:next w:val="1"/>
    <w:qFormat/>
    <w:uiPriority w:val="0"/>
    <w:pPr>
      <w:adjustRightInd w:val="0"/>
      <w:spacing w:before="120"/>
      <w:jc w:val="center"/>
      <w:textAlignment w:val="baseline"/>
    </w:pPr>
    <w:rPr>
      <w:kern w:val="0"/>
      <w:szCs w:val="20"/>
    </w:rPr>
  </w:style>
  <w:style w:type="paragraph" w:customStyle="1" w:styleId="932">
    <w:name w:val="样式 图号 + 宋体"/>
    <w:basedOn w:val="927"/>
    <w:qFormat/>
    <w:uiPriority w:val="0"/>
    <w:pPr>
      <w:ind w:firstLine="200" w:firstLineChars="200"/>
    </w:pPr>
    <w:rPr>
      <w:rFonts w:ascii="宋体" w:hAnsi="宋体"/>
    </w:rPr>
  </w:style>
  <w:style w:type="paragraph" w:customStyle="1" w:styleId="933">
    <w:name w:val="reader-word-layer reader-word-s58-7 reader-word-s58-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34">
    <w:name w:val="xl9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935">
    <w:name w:val="Char Char Char Char Char Char Char Char Char Char Char Char Char Char Char Char1"/>
    <w:basedOn w:val="1"/>
    <w:qFormat/>
    <w:uiPriority w:val="0"/>
    <w:rPr>
      <w:szCs w:val="21"/>
    </w:rPr>
  </w:style>
  <w:style w:type="paragraph" w:customStyle="1" w:styleId="936">
    <w:name w:val="Char6"/>
    <w:basedOn w:val="1"/>
    <w:qFormat/>
    <w:uiPriority w:val="0"/>
    <w:pPr>
      <w:spacing w:line="360" w:lineRule="auto"/>
      <w:ind w:firstLine="200" w:firstLineChars="200"/>
    </w:pPr>
    <w:rPr>
      <w:rFonts w:ascii="宋体" w:hAnsi="宋体" w:cs="宋体"/>
      <w:sz w:val="28"/>
      <w:szCs w:val="24"/>
    </w:rPr>
  </w:style>
  <w:style w:type="paragraph" w:customStyle="1" w:styleId="937">
    <w:name w:val="!表格(alt+t)"/>
    <w:next w:val="1"/>
    <w:qFormat/>
    <w:uiPriority w:val="0"/>
    <w:pPr>
      <w:adjustRightInd w:val="0"/>
      <w:spacing w:line="280" w:lineRule="atLeast"/>
      <w:jc w:val="center"/>
      <w:textAlignment w:val="center"/>
    </w:pPr>
    <w:rPr>
      <w:rFonts w:ascii="Times New Roman" w:hAnsi="Times New Roman" w:eastAsia="宋体" w:cs="Times New Roman"/>
      <w:sz w:val="21"/>
      <w:szCs w:val="18"/>
      <w:lang w:val="en-US" w:eastAsia="zh-CN" w:bidi="ar-SA"/>
    </w:rPr>
  </w:style>
  <w:style w:type="paragraph" w:customStyle="1" w:styleId="938">
    <w:name w:val="xl23"/>
    <w:basedOn w:val="1"/>
    <w:qFormat/>
    <w:uiPriority w:val="0"/>
    <w:pPr>
      <w:widowControl/>
      <w:spacing w:before="100" w:beforeAutospacing="1" w:after="100" w:afterAutospacing="1"/>
      <w:jc w:val="left"/>
    </w:pPr>
    <w:rPr>
      <w:rFonts w:eastAsia="Arial Unicode MS"/>
      <w:kern w:val="0"/>
      <w:sz w:val="24"/>
      <w:szCs w:val="24"/>
    </w:rPr>
  </w:style>
  <w:style w:type="paragraph" w:customStyle="1" w:styleId="939">
    <w:name w:val="样式83"/>
    <w:basedOn w:val="1"/>
    <w:qFormat/>
    <w:uiPriority w:val="0"/>
    <w:pPr>
      <w:adjustRightInd w:val="0"/>
      <w:spacing w:line="320" w:lineRule="exact"/>
      <w:jc w:val="center"/>
    </w:pPr>
    <w:rPr>
      <w:rFonts w:eastAsia="仿宋_GB2312"/>
      <w:color w:val="000000"/>
      <w:kern w:val="0"/>
      <w:szCs w:val="20"/>
    </w:rPr>
  </w:style>
  <w:style w:type="paragraph" w:customStyle="1" w:styleId="940">
    <w:name w:val="表目录"/>
    <w:basedOn w:val="1"/>
    <w:qFormat/>
    <w:uiPriority w:val="0"/>
    <w:pPr>
      <w:adjustRightInd w:val="0"/>
      <w:snapToGrid w:val="0"/>
      <w:spacing w:line="360" w:lineRule="auto"/>
    </w:pPr>
    <w:rPr>
      <w:rFonts w:ascii="黑体" w:hAnsi="宋体" w:eastAsia="黑体"/>
      <w:szCs w:val="21"/>
    </w:rPr>
  </w:style>
  <w:style w:type="paragraph" w:customStyle="1" w:styleId="941">
    <w:name w:val="样式 样式 四号 行距: 1.5 倍行距 首行缩进:  2 字符1 + 首行缩进:  2 字符"/>
    <w:basedOn w:val="1"/>
    <w:qFormat/>
    <w:uiPriority w:val="0"/>
    <w:pPr>
      <w:spacing w:line="360" w:lineRule="auto"/>
      <w:ind w:firstLine="480" w:firstLineChars="200"/>
    </w:pPr>
    <w:rPr>
      <w:kern w:val="0"/>
      <w:sz w:val="28"/>
      <w:szCs w:val="20"/>
    </w:rPr>
  </w:style>
  <w:style w:type="paragraph" w:customStyle="1" w:styleId="942">
    <w:name w:val="font9"/>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943">
    <w:name w:val="表芯"/>
    <w:basedOn w:val="1"/>
    <w:next w:val="1"/>
    <w:qFormat/>
    <w:uiPriority w:val="0"/>
    <w:pPr>
      <w:keepNext/>
      <w:adjustRightInd w:val="0"/>
      <w:spacing w:before="20" w:line="0" w:lineRule="atLeast"/>
      <w:jc w:val="center"/>
      <w:textAlignment w:val="baseline"/>
    </w:pPr>
    <w:rPr>
      <w:rFonts w:ascii="宋体" w:hAnsi="宋体"/>
      <w:bCs/>
      <w:kern w:val="21"/>
      <w:szCs w:val="20"/>
    </w:rPr>
  </w:style>
  <w:style w:type="paragraph" w:customStyle="1" w:styleId="944">
    <w:name w:val="xl12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945">
    <w:name w:val="font7"/>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946">
    <w:name w:val="表中文字"/>
    <w:basedOn w:val="1"/>
    <w:qFormat/>
    <w:uiPriority w:val="0"/>
    <w:pPr>
      <w:adjustRightInd w:val="0"/>
      <w:snapToGrid w:val="0"/>
      <w:jc w:val="center"/>
    </w:pPr>
    <w:rPr>
      <w:szCs w:val="24"/>
    </w:rPr>
  </w:style>
  <w:style w:type="paragraph" w:customStyle="1" w:styleId="947">
    <w:name w:val="环评"/>
    <w:basedOn w:val="1"/>
    <w:qFormat/>
    <w:uiPriority w:val="0"/>
    <w:pPr>
      <w:spacing w:before="60" w:after="60" w:line="360" w:lineRule="exact"/>
    </w:pPr>
    <w:rPr>
      <w:rFonts w:eastAsia="仿宋_GB2312"/>
      <w:bCs/>
      <w:sz w:val="24"/>
      <w:szCs w:val="24"/>
    </w:rPr>
  </w:style>
  <w:style w:type="paragraph" w:customStyle="1" w:styleId="948">
    <w:name w:val="默认段落字体 Para Char Char Char Char"/>
    <w:basedOn w:val="1"/>
    <w:qFormat/>
    <w:uiPriority w:val="0"/>
    <w:rPr>
      <w:szCs w:val="21"/>
    </w:rPr>
  </w:style>
  <w:style w:type="paragraph" w:customStyle="1" w:styleId="949">
    <w:name w:val="Char17"/>
    <w:basedOn w:val="1"/>
    <w:qFormat/>
    <w:uiPriority w:val="0"/>
    <w:rPr>
      <w:rFonts w:ascii="仿宋_GB2312" w:eastAsia="仿宋_GB2312"/>
      <w:b/>
      <w:sz w:val="32"/>
      <w:szCs w:val="32"/>
    </w:rPr>
  </w:style>
  <w:style w:type="paragraph" w:customStyle="1" w:styleId="950">
    <w:name w:val="图名表名"/>
    <w:basedOn w:val="1"/>
    <w:qFormat/>
    <w:uiPriority w:val="0"/>
    <w:pPr>
      <w:tabs>
        <w:tab w:val="left" w:pos="900"/>
      </w:tabs>
      <w:adjustRightInd w:val="0"/>
      <w:snapToGrid w:val="0"/>
      <w:spacing w:line="348" w:lineRule="auto"/>
      <w:jc w:val="center"/>
      <w:textAlignment w:val="baseline"/>
    </w:pPr>
    <w:rPr>
      <w:b/>
      <w:spacing w:val="10"/>
      <w:kern w:val="0"/>
      <w:sz w:val="24"/>
      <w:szCs w:val="20"/>
    </w:rPr>
  </w:style>
  <w:style w:type="paragraph" w:customStyle="1" w:styleId="951">
    <w:name w:val="表、图名"/>
    <w:basedOn w:val="1"/>
    <w:qFormat/>
    <w:uiPriority w:val="0"/>
    <w:pPr>
      <w:adjustRightInd w:val="0"/>
      <w:snapToGrid w:val="0"/>
      <w:ind w:left="-6" w:firstLine="370" w:firstLineChars="154"/>
    </w:pPr>
    <w:rPr>
      <w:rFonts w:hAnsi="宋体"/>
      <w:sz w:val="24"/>
      <w:szCs w:val="24"/>
    </w:rPr>
  </w:style>
  <w:style w:type="paragraph" w:customStyle="1" w:styleId="952">
    <w:name w:val="图表说明"/>
    <w:basedOn w:val="953"/>
    <w:qFormat/>
    <w:uiPriority w:val="0"/>
    <w:pPr>
      <w:keepNext/>
      <w:tabs>
        <w:tab w:val="left" w:pos="0"/>
        <w:tab w:val="left" w:pos="142"/>
        <w:tab w:val="left" w:pos="5670"/>
      </w:tabs>
      <w:spacing w:line="400" w:lineRule="exact"/>
      <w:ind w:firstLine="3600" w:firstLineChars="1500"/>
    </w:pPr>
    <w:rPr>
      <w:rFonts w:hAnsi="Times New Roman"/>
      <w:b/>
    </w:rPr>
  </w:style>
  <w:style w:type="paragraph" w:customStyle="1" w:styleId="953">
    <w:name w:val="自正文1"/>
    <w:basedOn w:val="1"/>
    <w:qFormat/>
    <w:uiPriority w:val="0"/>
    <w:pPr>
      <w:tabs>
        <w:tab w:val="left" w:pos="5670"/>
      </w:tabs>
      <w:adjustRightInd w:val="0"/>
      <w:snapToGrid w:val="0"/>
      <w:textAlignment w:val="baseline"/>
    </w:pPr>
    <w:rPr>
      <w:rFonts w:hAnsi="宋体"/>
      <w:kern w:val="24"/>
      <w:sz w:val="18"/>
      <w:szCs w:val="18"/>
    </w:rPr>
  </w:style>
  <w:style w:type="paragraph" w:customStyle="1" w:styleId="954">
    <w:name w:val="reader-word-layer reader-word-s1-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55">
    <w:name w:val="已访问的超级链接"/>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6">
    <w:name w:val="样式 小四 段前: 7.8 磅 段后: 7.8 磅 行距: 1.5 倍行距"/>
    <w:basedOn w:val="1"/>
    <w:qFormat/>
    <w:uiPriority w:val="0"/>
    <w:pPr>
      <w:spacing w:before="156" w:after="156" w:line="360" w:lineRule="auto"/>
      <w:ind w:firstLine="536" w:firstLineChars="200"/>
    </w:pPr>
    <w:rPr>
      <w:rFonts w:cs="宋体"/>
      <w:color w:val="FF0000"/>
      <w:spacing w:val="15"/>
      <w:sz w:val="24"/>
      <w:szCs w:val="24"/>
    </w:rPr>
  </w:style>
  <w:style w:type="paragraph" w:customStyle="1" w:styleId="957">
    <w:name w:val="样式 标题 2 + 段前: 0.5 行 段后: 0.5 行"/>
    <w:basedOn w:val="4"/>
    <w:qFormat/>
    <w:uiPriority w:val="0"/>
    <w:pPr>
      <w:autoSpaceDE w:val="0"/>
      <w:autoSpaceDN w:val="0"/>
      <w:adjustRightInd w:val="0"/>
      <w:spacing w:before="120" w:after="120" w:line="560" w:lineRule="exact"/>
      <w:jc w:val="left"/>
    </w:pPr>
    <w:rPr>
      <w:rFonts w:eastAsia="黑体"/>
      <w:bCs/>
      <w:sz w:val="30"/>
    </w:rPr>
  </w:style>
  <w:style w:type="paragraph" w:customStyle="1" w:styleId="958">
    <w:name w:val="段落"/>
    <w:basedOn w:val="1"/>
    <w:qFormat/>
    <w:uiPriority w:val="0"/>
    <w:pPr>
      <w:spacing w:line="360" w:lineRule="auto"/>
      <w:ind w:firstLine="200" w:firstLineChars="200"/>
    </w:pPr>
    <w:rPr>
      <w:sz w:val="24"/>
      <w:szCs w:val="24"/>
    </w:rPr>
  </w:style>
  <w:style w:type="paragraph" w:customStyle="1" w:styleId="959">
    <w:name w:val="02"/>
    <w:basedOn w:val="4"/>
    <w:qFormat/>
    <w:uiPriority w:val="0"/>
    <w:pPr>
      <w:spacing w:line="480" w:lineRule="auto"/>
    </w:pPr>
    <w:rPr>
      <w:b w:val="0"/>
      <w:color w:val="333333"/>
      <w:sz w:val="24"/>
    </w:rPr>
  </w:style>
  <w:style w:type="paragraph" w:customStyle="1" w:styleId="960">
    <w:name w:val="TOC 标题1"/>
    <w:basedOn w:val="3"/>
    <w:next w:val="1"/>
    <w:qFormat/>
    <w:uiPriority w:val="0"/>
    <w:pPr>
      <w:widowControl/>
      <w:spacing w:before="480" w:line="276" w:lineRule="auto"/>
      <w:jc w:val="left"/>
      <w:outlineLvl w:val="9"/>
    </w:pPr>
    <w:rPr>
      <w:rFonts w:ascii="Cambria" w:hAnsi="Cambria"/>
      <w:color w:val="365F91"/>
      <w:szCs w:val="28"/>
    </w:rPr>
  </w:style>
  <w:style w:type="paragraph" w:customStyle="1" w:styleId="961">
    <w:name w:val="reader-word-layer reader-word-s53-3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62">
    <w:name w:val="文章副标题"/>
    <w:basedOn w:val="1"/>
    <w:next w:val="922"/>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963">
    <w:name w:val="样式 首行缩进:  2 字符 段前: 0.3 行"/>
    <w:basedOn w:val="1"/>
    <w:qFormat/>
    <w:uiPriority w:val="0"/>
    <w:pPr>
      <w:autoSpaceDE w:val="0"/>
      <w:autoSpaceDN w:val="0"/>
      <w:adjustRightInd w:val="0"/>
      <w:snapToGrid w:val="0"/>
      <w:spacing w:line="360" w:lineRule="auto"/>
      <w:ind w:firstLine="480" w:firstLineChars="200"/>
    </w:pPr>
    <w:rPr>
      <w:rFonts w:cs="宋体"/>
      <w:bCs/>
      <w:color w:val="000000"/>
      <w:sz w:val="24"/>
      <w:szCs w:val="24"/>
    </w:rPr>
  </w:style>
  <w:style w:type="paragraph" w:customStyle="1" w:styleId="96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16"/>
      <w:szCs w:val="16"/>
    </w:rPr>
  </w:style>
  <w:style w:type="paragraph" w:customStyle="1" w:styleId="965">
    <w:name w:val="！标题2 Alt+2"/>
    <w:basedOn w:val="1"/>
    <w:next w:val="834"/>
    <w:qFormat/>
    <w:uiPriority w:val="0"/>
    <w:pPr>
      <w:tabs>
        <w:tab w:val="left" w:pos="0"/>
      </w:tabs>
      <w:spacing w:beforeLines="100" w:line="360" w:lineRule="auto"/>
      <w:outlineLvl w:val="1"/>
    </w:pPr>
    <w:rPr>
      <w:rFonts w:eastAsia="黑体"/>
      <w:sz w:val="30"/>
      <w:szCs w:val="30"/>
    </w:rPr>
  </w:style>
  <w:style w:type="paragraph" w:customStyle="1" w:styleId="966">
    <w:name w:val="表格题目"/>
    <w:basedOn w:val="1"/>
    <w:qFormat/>
    <w:uiPriority w:val="0"/>
    <w:pPr>
      <w:adjustRightInd w:val="0"/>
      <w:spacing w:before="156" w:beforeLines="50" w:after="156" w:afterLines="50"/>
      <w:ind w:left="470" w:leftChars="224" w:firstLine="1878" w:firstLineChars="797"/>
    </w:pPr>
    <w:rPr>
      <w:rFonts w:ascii="宋体"/>
      <w:b/>
      <w:bCs/>
      <w:sz w:val="24"/>
      <w:szCs w:val="20"/>
    </w:rPr>
  </w:style>
  <w:style w:type="paragraph" w:customStyle="1" w:styleId="967">
    <w:name w:val="标题2"/>
    <w:basedOn w:val="968"/>
    <w:link w:val="1971"/>
    <w:qFormat/>
    <w:uiPriority w:val="0"/>
  </w:style>
  <w:style w:type="paragraph" w:customStyle="1" w:styleId="968">
    <w:name w:val="样式 样式 标题 2节标题 1.11.1标题2Se + 黑体 四号 非加粗 黑色 段前: 0 磅 段后: 0 磅 行... + ..."/>
    <w:basedOn w:val="969"/>
    <w:qFormat/>
    <w:uiPriority w:val="0"/>
  </w:style>
  <w:style w:type="paragraph" w:customStyle="1" w:styleId="969">
    <w:name w:val="样式 标题 2节标题 1.11.1标题2Se + 黑体 四号 非加粗 黑色 段前: 0 磅 段后: 0 磅 行..."/>
    <w:basedOn w:val="4"/>
    <w:qFormat/>
    <w:uiPriority w:val="0"/>
    <w:pPr>
      <w:spacing w:line="360" w:lineRule="auto"/>
    </w:pPr>
    <w:rPr>
      <w:rFonts w:ascii="宋体" w:hAnsi="Arial" w:cs="宋体"/>
      <w:b w:val="0"/>
      <w:bCs/>
      <w:color w:val="000000"/>
      <w:szCs w:val="28"/>
    </w:rPr>
  </w:style>
  <w:style w:type="paragraph" w:customStyle="1" w:styleId="970">
    <w:name w:val="Char Char Char Char"/>
    <w:basedOn w:val="1"/>
    <w:qFormat/>
    <w:uiPriority w:val="0"/>
    <w:rPr>
      <w:rFonts w:ascii="仿宋_GB2312" w:eastAsia="仿宋_GB2312"/>
      <w:b/>
      <w:sz w:val="32"/>
      <w:szCs w:val="32"/>
    </w:rPr>
  </w:style>
  <w:style w:type="paragraph" w:customStyle="1" w:styleId="971">
    <w:name w:val="hb1"/>
    <w:basedOn w:val="3"/>
    <w:qFormat/>
    <w:uiPriority w:val="0"/>
    <w:pPr>
      <w:adjustRightInd w:val="0"/>
      <w:spacing w:line="578" w:lineRule="atLeast"/>
      <w:jc w:val="center"/>
      <w:textAlignment w:val="baseline"/>
    </w:pPr>
    <w:rPr>
      <w:rFonts w:ascii="黑体" w:hAnsi="宋体" w:eastAsia="黑体" w:cs="黑体"/>
      <w:sz w:val="32"/>
      <w:szCs w:val="32"/>
    </w:rPr>
  </w:style>
  <w:style w:type="paragraph" w:customStyle="1" w:styleId="972">
    <w:name w:val="reader-word-layer reader-word-s1-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73">
    <w:name w:val="xl93"/>
    <w:basedOn w:val="1"/>
    <w:qFormat/>
    <w:uiPriority w:val="0"/>
    <w:pPr>
      <w:widowControl/>
      <w:pBdr>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0"/>
      <w:szCs w:val="20"/>
    </w:rPr>
  </w:style>
  <w:style w:type="paragraph" w:customStyle="1" w:styleId="974">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975">
    <w:name w:val="font15"/>
    <w:basedOn w:val="1"/>
    <w:qFormat/>
    <w:uiPriority w:val="0"/>
    <w:pPr>
      <w:widowControl/>
      <w:spacing w:before="100" w:beforeAutospacing="1" w:after="100" w:afterAutospacing="1"/>
      <w:jc w:val="left"/>
    </w:pPr>
    <w:rPr>
      <w:kern w:val="0"/>
      <w:sz w:val="12"/>
      <w:szCs w:val="12"/>
    </w:rPr>
  </w:style>
  <w:style w:type="paragraph" w:customStyle="1" w:styleId="976">
    <w:name w:val="xl114"/>
    <w:basedOn w:val="1"/>
    <w:qFormat/>
    <w:uiPriority w:val="0"/>
    <w:pPr>
      <w:widowControl/>
      <w:pBdr>
        <w:top w:val="single" w:color="auto" w:sz="4" w:space="0"/>
        <w:bottom w:val="single" w:color="auto" w:sz="8" w:space="0"/>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977">
    <w:name w:val="二级标题 Char Char Char"/>
    <w:basedOn w:val="1"/>
    <w:next w:val="1"/>
    <w:qFormat/>
    <w:uiPriority w:val="0"/>
    <w:pPr>
      <w:spacing w:line="529" w:lineRule="exact"/>
      <w:ind w:firstLine="200" w:firstLineChars="200"/>
    </w:pPr>
    <w:rPr>
      <w:rFonts w:ascii="宋体" w:hAnsi="宋体" w:cs="宋体"/>
      <w:sz w:val="24"/>
      <w:szCs w:val="24"/>
    </w:rPr>
  </w:style>
  <w:style w:type="paragraph" w:customStyle="1" w:styleId="978">
    <w:name w:val="样式 正文格式 + 首行缩进:  2 字符 右侧:  0.15 厘米 行距: 固定值 22 磅"/>
    <w:basedOn w:val="1"/>
    <w:qFormat/>
    <w:uiPriority w:val="0"/>
    <w:pPr>
      <w:spacing w:line="440" w:lineRule="exact"/>
      <w:ind w:right="85" w:firstLine="560" w:firstLineChars="200"/>
    </w:pPr>
    <w:rPr>
      <w:rFonts w:cs="宋体"/>
      <w:sz w:val="24"/>
      <w:szCs w:val="20"/>
    </w:rPr>
  </w:style>
  <w:style w:type="paragraph" w:customStyle="1" w:styleId="979">
    <w:name w:val="alt+2 节"/>
    <w:basedOn w:val="4"/>
    <w:next w:val="1"/>
    <w:qFormat/>
    <w:uiPriority w:val="0"/>
    <w:pPr>
      <w:widowControl/>
      <w:spacing w:beforeLines="50" w:after="50" w:afterLines="50" w:line="500" w:lineRule="exact"/>
      <w:jc w:val="left"/>
      <w:textAlignment w:val="baseline"/>
    </w:pPr>
    <w:rPr>
      <w:rFonts w:ascii="黑体" w:hAnsi="Arial"/>
      <w:b w:val="0"/>
      <w:szCs w:val="28"/>
      <w:u w:color="000000"/>
    </w:rPr>
  </w:style>
  <w:style w:type="paragraph" w:customStyle="1" w:styleId="980">
    <w:name w:val="Char4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981">
    <w:name w:val="xl117"/>
    <w:basedOn w:val="1"/>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982">
    <w:name w:val="reader-word-layer reader-word-s58-8 reader-word-s58-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83">
    <w:name w:val="表头文字"/>
    <w:basedOn w:val="1"/>
    <w:qFormat/>
    <w:uiPriority w:val="0"/>
    <w:pPr>
      <w:tabs>
        <w:tab w:val="left" w:pos="1260"/>
      </w:tabs>
      <w:adjustRightInd w:val="0"/>
      <w:snapToGrid w:val="0"/>
      <w:spacing w:line="360" w:lineRule="auto"/>
      <w:jc w:val="center"/>
    </w:pPr>
    <w:rPr>
      <w:rFonts w:ascii="宋体" w:hAnsi="宋体" w:eastAsia="黑体"/>
      <w:position w:val="-6"/>
      <w:sz w:val="24"/>
      <w:szCs w:val="28"/>
    </w:rPr>
  </w:style>
  <w:style w:type="paragraph" w:customStyle="1" w:styleId="984">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985">
    <w:name w:val="xl52"/>
    <w:basedOn w:val="1"/>
    <w:qFormat/>
    <w:uiPriority w:val="0"/>
    <w:pPr>
      <w:widowControl/>
      <w:pBdr>
        <w:left w:val="single" w:color="auto" w:sz="8" w:space="0"/>
        <w:bottom w:val="single" w:color="auto" w:sz="8" w:space="0"/>
      </w:pBdr>
      <w:snapToGrid w:val="0"/>
      <w:spacing w:before="100" w:beforeAutospacing="1" w:after="100" w:afterAutospacing="1" w:line="360" w:lineRule="auto"/>
      <w:textAlignment w:val="top"/>
    </w:pPr>
    <w:rPr>
      <w:rFonts w:ascii="宋体" w:hAnsi="宋体"/>
      <w:kern w:val="0"/>
      <w:szCs w:val="21"/>
    </w:rPr>
  </w:style>
  <w:style w:type="paragraph" w:customStyle="1" w:styleId="986">
    <w:name w:val="自制正文1"/>
    <w:basedOn w:val="1"/>
    <w:next w:val="1"/>
    <w:qFormat/>
    <w:uiPriority w:val="0"/>
    <w:pPr>
      <w:adjustRightInd w:val="0"/>
      <w:snapToGrid w:val="0"/>
      <w:spacing w:line="360" w:lineRule="auto"/>
      <w:ind w:firstLine="480" w:firstLineChars="200"/>
    </w:pPr>
    <w:rPr>
      <w:sz w:val="24"/>
      <w:szCs w:val="24"/>
    </w:rPr>
  </w:style>
  <w:style w:type="paragraph" w:customStyle="1" w:styleId="987">
    <w:name w:val="样式 表文字 +"/>
    <w:basedOn w:val="988"/>
    <w:next w:val="988"/>
    <w:qFormat/>
    <w:uiPriority w:val="0"/>
    <w:pPr>
      <w:topLinePunct/>
      <w:spacing w:line="240" w:lineRule="exact"/>
      <w:ind w:firstLine="0" w:firstLineChars="0"/>
      <w:jc w:val="center"/>
      <w:textAlignment w:val="baseline"/>
    </w:pPr>
    <w:rPr>
      <w:rFonts w:ascii="Times New Roman" w:hAnsi="Times New Roman" w:cs="宋体"/>
      <w:kern w:val="2"/>
      <w:sz w:val="21"/>
    </w:rPr>
  </w:style>
  <w:style w:type="paragraph" w:customStyle="1" w:styleId="988">
    <w:name w:val="表文字"/>
    <w:basedOn w:val="1"/>
    <w:next w:val="1"/>
    <w:qFormat/>
    <w:uiPriority w:val="0"/>
    <w:pPr>
      <w:adjustRightInd w:val="0"/>
      <w:spacing w:line="0" w:lineRule="atLeast"/>
      <w:ind w:firstLine="200" w:firstLineChars="200"/>
      <w:jc w:val="left"/>
    </w:pPr>
    <w:rPr>
      <w:rFonts w:ascii="宋体" w:hAnsi="宋体"/>
      <w:kern w:val="0"/>
      <w:sz w:val="18"/>
      <w:szCs w:val="20"/>
    </w:rPr>
  </w:style>
  <w:style w:type="paragraph" w:customStyle="1" w:styleId="989">
    <w:name w:val="纯文本1"/>
    <w:basedOn w:val="1"/>
    <w:qFormat/>
    <w:uiPriority w:val="0"/>
    <w:pPr>
      <w:adjustRightInd w:val="0"/>
      <w:textAlignment w:val="baseline"/>
    </w:pPr>
    <w:rPr>
      <w:rFonts w:ascii="宋体"/>
      <w:kern w:val="0"/>
      <w:szCs w:val="20"/>
    </w:rPr>
  </w:style>
  <w:style w:type="paragraph" w:customStyle="1" w:styleId="990">
    <w:name w:val="Char Char Char Char Char Char Char Char Char2 Char"/>
    <w:basedOn w:val="1"/>
    <w:next w:val="1"/>
    <w:qFormat/>
    <w:uiPriority w:val="0"/>
    <w:pPr>
      <w:pBdr>
        <w:right w:val="single" w:color="auto" w:sz="12" w:space="4"/>
      </w:pBdr>
      <w:spacing w:line="360" w:lineRule="auto"/>
      <w:ind w:firstLine="200" w:firstLineChars="200"/>
    </w:pPr>
    <w:rPr>
      <w:rFonts w:ascii="宋体" w:hAnsi="宋体" w:cs="宋体"/>
      <w:sz w:val="24"/>
      <w:szCs w:val="24"/>
    </w:rPr>
  </w:style>
  <w:style w:type="paragraph" w:customStyle="1" w:styleId="99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2"/>
      <w:szCs w:val="12"/>
    </w:rPr>
  </w:style>
  <w:style w:type="paragraph" w:customStyle="1" w:styleId="992">
    <w:name w:val="样式 标题 4 +"/>
    <w:basedOn w:val="1"/>
    <w:qFormat/>
    <w:uiPriority w:val="0"/>
    <w:pPr>
      <w:keepNext/>
      <w:keepLines/>
      <w:tabs>
        <w:tab w:val="left" w:pos="964"/>
      </w:tabs>
      <w:adjustRightInd w:val="0"/>
      <w:snapToGrid w:val="0"/>
      <w:spacing w:before="120" w:after="120" w:line="360" w:lineRule="auto"/>
      <w:ind w:left="964" w:hanging="964" w:firstLineChars="200"/>
      <w:outlineLvl w:val="3"/>
    </w:pPr>
    <w:rPr>
      <w:rFonts w:ascii="Arial" w:hAnsi="Arial" w:eastAsia="黑体"/>
      <w:b/>
      <w:bCs/>
      <w:kern w:val="0"/>
      <w:sz w:val="28"/>
      <w:szCs w:val="28"/>
    </w:rPr>
  </w:style>
  <w:style w:type="paragraph" w:customStyle="1" w:styleId="993">
    <w:name w:val="reader-word-layer reader-word-s53-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94">
    <w:name w:val="b2"/>
    <w:basedOn w:val="1"/>
    <w:qFormat/>
    <w:uiPriority w:val="0"/>
    <w:pPr>
      <w:widowControl/>
      <w:spacing w:before="100" w:beforeAutospacing="1" w:after="100" w:afterAutospacing="1" w:line="315" w:lineRule="atLeast"/>
      <w:jc w:val="left"/>
    </w:pPr>
    <w:rPr>
      <w:rFonts w:hint="eastAsia" w:ascii="宋体" w:hAnsi="宋体"/>
      <w:color w:val="000000"/>
      <w:kern w:val="0"/>
      <w:szCs w:val="20"/>
    </w:rPr>
  </w:style>
  <w:style w:type="paragraph" w:customStyle="1" w:styleId="995">
    <w:name w:val="reader-word-layer reader-word-s1-3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96">
    <w:name w:val="reader-word-layer reader-word-s58-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97">
    <w:name w:val="样式 标题 1 + 行距: 多倍行距 2.5 字行"/>
    <w:basedOn w:val="3"/>
    <w:qFormat/>
    <w:uiPriority w:val="0"/>
    <w:pPr>
      <w:spacing w:before="400" w:line="600" w:lineRule="auto"/>
      <w:jc w:val="center"/>
    </w:pPr>
    <w:rPr>
      <w:rFonts w:eastAsia="黑体"/>
      <w:bCs/>
      <w:sz w:val="32"/>
    </w:rPr>
  </w:style>
  <w:style w:type="paragraph" w:customStyle="1" w:styleId="998">
    <w:name w:val="xl120"/>
    <w:basedOn w:val="1"/>
    <w:qFormat/>
    <w:uiPriority w:val="0"/>
    <w:pPr>
      <w:widowControl/>
      <w:pBdr>
        <w:bottom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999">
    <w:name w:val="xl104"/>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00">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001">
    <w:name w:val="font14"/>
    <w:basedOn w:val="1"/>
    <w:qFormat/>
    <w:uiPriority w:val="0"/>
    <w:pPr>
      <w:widowControl/>
      <w:spacing w:before="100" w:beforeAutospacing="1" w:after="100" w:afterAutospacing="1"/>
      <w:jc w:val="left"/>
    </w:pPr>
    <w:rPr>
      <w:rFonts w:ascii="Arial Narrow" w:hAnsi="Arial Narrow"/>
      <w:kern w:val="0"/>
      <w:sz w:val="16"/>
      <w:szCs w:val="16"/>
    </w:rPr>
  </w:style>
  <w:style w:type="paragraph" w:customStyle="1" w:styleId="1002">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16"/>
      <w:szCs w:val="16"/>
    </w:rPr>
  </w:style>
  <w:style w:type="paragraph" w:customStyle="1" w:styleId="1003">
    <w:name w:val="样式7"/>
    <w:basedOn w:val="72"/>
    <w:qFormat/>
    <w:uiPriority w:val="0"/>
    <w:pPr>
      <w:spacing w:before="120" w:after="120" w:line="500" w:lineRule="exact"/>
      <w:jc w:val="left"/>
    </w:pPr>
    <w:rPr>
      <w:rFonts w:ascii="黑体" w:hAnsi="宋体" w:eastAsia="黑体" w:cs="Arial"/>
      <w:bCs/>
    </w:rPr>
  </w:style>
  <w:style w:type="paragraph" w:customStyle="1" w:styleId="1004">
    <w:name w:val="Table Paragraph"/>
    <w:basedOn w:val="1"/>
    <w:qFormat/>
    <w:uiPriority w:val="1"/>
    <w:pPr>
      <w:autoSpaceDE w:val="0"/>
      <w:autoSpaceDN w:val="0"/>
      <w:jc w:val="center"/>
    </w:pPr>
    <w:rPr>
      <w:rFonts w:ascii="宋体" w:hAnsi="宋体" w:cs="宋体"/>
      <w:kern w:val="0"/>
      <w:sz w:val="22"/>
      <w:lang w:eastAsia="en-US"/>
    </w:rPr>
  </w:style>
  <w:style w:type="paragraph" w:customStyle="1" w:styleId="1005">
    <w:name w:val="xl60"/>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kern w:val="0"/>
      <w:sz w:val="16"/>
      <w:szCs w:val="16"/>
    </w:rPr>
  </w:style>
  <w:style w:type="paragraph" w:customStyle="1" w:styleId="1006">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kern w:val="0"/>
      <w:sz w:val="16"/>
      <w:szCs w:val="16"/>
    </w:rPr>
  </w:style>
  <w:style w:type="paragraph" w:customStyle="1" w:styleId="1007">
    <w:name w:val="reader-word-layer reader-word-s53-3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08">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09">
    <w:name w:val="样式 标题 2 + 行距: 单倍行距"/>
    <w:basedOn w:val="4"/>
    <w:qFormat/>
    <w:uiPriority w:val="0"/>
    <w:rPr>
      <w:rFonts w:ascii="Arial" w:hAnsi="Arial" w:eastAsia="黑体" w:cs="宋体"/>
    </w:rPr>
  </w:style>
  <w:style w:type="paragraph" w:customStyle="1" w:styleId="1010">
    <w:name w:val="xl8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1011">
    <w:name w:val="xl76"/>
    <w:basedOn w:val="1"/>
    <w:qFormat/>
    <w:uiPriority w:val="0"/>
    <w:pPr>
      <w:widowControl/>
      <w:pBdr>
        <w:top w:val="single" w:color="auto" w:sz="4" w:space="0"/>
        <w:left w:val="single" w:color="auto" w:sz="4" w:space="0"/>
      </w:pBdr>
      <w:spacing w:before="100" w:beforeAutospacing="1" w:after="100" w:afterAutospacing="1"/>
      <w:jc w:val="right"/>
    </w:pPr>
    <w:rPr>
      <w:rFonts w:ascii="宋体" w:hAnsi="宋体"/>
      <w:kern w:val="0"/>
      <w:sz w:val="16"/>
      <w:szCs w:val="16"/>
    </w:rPr>
  </w:style>
  <w:style w:type="paragraph" w:customStyle="1" w:styleId="1012">
    <w:name w:val="表文字（小行距）"/>
    <w:basedOn w:val="988"/>
    <w:qFormat/>
    <w:uiPriority w:val="0"/>
    <w:pPr>
      <w:widowControl/>
      <w:adjustRightInd/>
      <w:spacing w:line="240" w:lineRule="exact"/>
      <w:ind w:firstLine="0" w:firstLineChars="0"/>
    </w:pPr>
    <w:rPr>
      <w:rFonts w:ascii="Times New Roman" w:hAnsi="Times New Roman"/>
      <w:sz w:val="21"/>
      <w:szCs w:val="21"/>
    </w:rPr>
  </w:style>
  <w:style w:type="paragraph" w:customStyle="1" w:styleId="1013">
    <w:name w:val="二级目录"/>
    <w:basedOn w:val="1"/>
    <w:qFormat/>
    <w:uiPriority w:val="0"/>
    <w:pPr>
      <w:jc w:val="left"/>
      <w:outlineLvl w:val="1"/>
    </w:pPr>
    <w:rPr>
      <w:kern w:val="0"/>
      <w:sz w:val="28"/>
      <w:szCs w:val="24"/>
    </w:rPr>
  </w:style>
  <w:style w:type="paragraph" w:customStyle="1" w:styleId="1014">
    <w:name w:val="xl48"/>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1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16">
    <w:name w:val="reader-word-layer reader-word-s58-2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17">
    <w:name w:val="Normal_0"/>
    <w:qFormat/>
    <w:uiPriority w:val="0"/>
    <w:rPr>
      <w:rFonts w:ascii="Times New Roman" w:hAnsi="Times New Roman" w:eastAsia="宋体" w:cs="Times New Roman"/>
      <w:sz w:val="24"/>
      <w:szCs w:val="24"/>
      <w:lang w:val="en-US" w:eastAsia="zh-CN" w:bidi="ar-SA"/>
    </w:rPr>
  </w:style>
  <w:style w:type="paragraph" w:customStyle="1" w:styleId="1018">
    <w:name w:val="reader-word-layer reader-word-s53-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19">
    <w:name w:val="xl81"/>
    <w:basedOn w:val="1"/>
    <w:qFormat/>
    <w:uiPriority w:val="0"/>
    <w:pPr>
      <w:widowControl/>
      <w:spacing w:before="100" w:beforeAutospacing="1" w:after="100" w:afterAutospacing="1"/>
      <w:jc w:val="left"/>
    </w:pPr>
    <w:rPr>
      <w:rFonts w:ascii="宋体" w:hAnsi="宋体"/>
      <w:b/>
      <w:bCs/>
      <w:kern w:val="0"/>
      <w:sz w:val="16"/>
      <w:szCs w:val="16"/>
    </w:rPr>
  </w:style>
  <w:style w:type="paragraph" w:customStyle="1" w:styleId="1020">
    <w:name w:val="reader-word-layer reader-word-s55-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21">
    <w:name w:val="样式170"/>
    <w:basedOn w:val="1"/>
    <w:qFormat/>
    <w:uiPriority w:val="0"/>
    <w:pPr>
      <w:keepNext/>
      <w:keepLines/>
      <w:spacing w:before="120" w:after="120"/>
      <w:outlineLvl w:val="1"/>
    </w:pPr>
    <w:rPr>
      <w:rFonts w:eastAsia="黑体"/>
      <w:color w:val="000000"/>
      <w:sz w:val="28"/>
      <w:szCs w:val="28"/>
    </w:rPr>
  </w:style>
  <w:style w:type="paragraph" w:customStyle="1" w:styleId="1022">
    <w:name w:val="!标题4(alt+4)"/>
    <w:basedOn w:val="1"/>
    <w:qFormat/>
    <w:uiPriority w:val="0"/>
    <w:pPr>
      <w:spacing w:line="420" w:lineRule="exact"/>
      <w:outlineLvl w:val="3"/>
    </w:pPr>
    <w:rPr>
      <w:sz w:val="24"/>
      <w:szCs w:val="20"/>
    </w:rPr>
  </w:style>
  <w:style w:type="paragraph" w:customStyle="1" w:styleId="1023">
    <w:name w:val="样式 首行缩进:  2.01 字符"/>
    <w:basedOn w:val="1"/>
    <w:qFormat/>
    <w:uiPriority w:val="0"/>
    <w:pPr>
      <w:spacing w:line="440" w:lineRule="exact"/>
      <w:ind w:firstLine="200" w:firstLineChars="200"/>
    </w:pPr>
    <w:rPr>
      <w:sz w:val="24"/>
      <w:szCs w:val="20"/>
    </w:rPr>
  </w:style>
  <w:style w:type="paragraph" w:customStyle="1" w:styleId="1024">
    <w:name w:val="样式 标题 1 + 黑体 三号 非加粗 段前: 0 磅 段后: 0 磅 行距: 1.5 倍行距"/>
    <w:basedOn w:val="3"/>
    <w:qFormat/>
    <w:uiPriority w:val="0"/>
    <w:pPr>
      <w:spacing w:line="360" w:lineRule="auto"/>
    </w:pPr>
    <w:rPr>
      <w:rFonts w:ascii="宋体" w:cs="宋体"/>
      <w:bCs/>
      <w:sz w:val="30"/>
      <w:szCs w:val="30"/>
    </w:rPr>
  </w:style>
  <w:style w:type="paragraph" w:customStyle="1" w:styleId="1025">
    <w:name w:val="xl5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026">
    <w:name w:val="样式 表头小四 + 段前: 0.3 行"/>
    <w:basedOn w:val="1"/>
    <w:qFormat/>
    <w:uiPriority w:val="0"/>
    <w:pPr>
      <w:tabs>
        <w:tab w:val="center" w:pos="4320"/>
        <w:tab w:val="right" w:pos="8460"/>
      </w:tabs>
      <w:adjustRightInd w:val="0"/>
      <w:snapToGrid w:val="0"/>
    </w:pPr>
    <w:rPr>
      <w:rFonts w:cs="宋体"/>
      <w:b/>
      <w:bCs/>
      <w:sz w:val="24"/>
      <w:szCs w:val="20"/>
    </w:rPr>
  </w:style>
  <w:style w:type="paragraph" w:customStyle="1" w:styleId="1027">
    <w:name w:val="!章名(alt+m)"/>
    <w:next w:val="1"/>
    <w:qFormat/>
    <w:uiPriority w:val="0"/>
    <w:pPr>
      <w:spacing w:line="500" w:lineRule="exact"/>
      <w:jc w:val="center"/>
      <w:outlineLvl w:val="0"/>
    </w:pPr>
    <w:rPr>
      <w:rFonts w:ascii="Arial" w:hAnsi="Arial" w:eastAsia="黑体" w:cs="Times New Roman"/>
      <w:spacing w:val="-5"/>
      <w:sz w:val="32"/>
      <w:lang w:val="en-US" w:eastAsia="zh-CN" w:bidi="ar-SA"/>
    </w:rPr>
  </w:style>
  <w:style w:type="paragraph" w:customStyle="1" w:styleId="1028">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1029">
    <w:name w:val="样式 宋体 12 磅 首行缩进:  2 字符"/>
    <w:basedOn w:val="1"/>
    <w:qFormat/>
    <w:uiPriority w:val="0"/>
    <w:pPr>
      <w:spacing w:line="500" w:lineRule="exact"/>
      <w:ind w:firstLine="200" w:firstLineChars="200"/>
    </w:pPr>
    <w:rPr>
      <w:rFonts w:ascii="宋体" w:hAnsi="宋体"/>
      <w:sz w:val="26"/>
      <w:szCs w:val="20"/>
    </w:rPr>
  </w:style>
  <w:style w:type="paragraph" w:customStyle="1" w:styleId="1030">
    <w:name w:val="正文1 Char Char Char"/>
    <w:basedOn w:val="1"/>
    <w:qFormat/>
    <w:uiPriority w:val="0"/>
    <w:pPr>
      <w:spacing w:line="560" w:lineRule="exact"/>
      <w:ind w:firstLine="200" w:firstLineChars="200"/>
    </w:pPr>
    <w:rPr>
      <w:rFonts w:ascii="宋体" w:hAnsi="宋体" w:cs="宋体"/>
      <w:sz w:val="24"/>
      <w:szCs w:val="24"/>
    </w:rPr>
  </w:style>
  <w:style w:type="paragraph" w:customStyle="1" w:styleId="1031">
    <w:name w:val="Char Char Char Char Char Char1 Char Char Char Char Char Char Char Char Char1 Char Char Char Char Char Char Char Char Char Char Char Char Char"/>
    <w:basedOn w:val="1"/>
    <w:qFormat/>
    <w:uiPriority w:val="0"/>
    <w:pPr>
      <w:widowControl/>
      <w:jc w:val="left"/>
    </w:pPr>
    <w:rPr>
      <w:rFonts w:ascii="宋体" w:hAnsi="宋体" w:cs="宋体"/>
      <w:kern w:val="0"/>
      <w:sz w:val="24"/>
      <w:szCs w:val="24"/>
    </w:rPr>
  </w:style>
  <w:style w:type="paragraph" w:customStyle="1" w:styleId="1032">
    <w:name w:val="二章正文"/>
    <w:basedOn w:val="1"/>
    <w:qFormat/>
    <w:uiPriority w:val="0"/>
    <w:pPr>
      <w:spacing w:line="0" w:lineRule="atLeast"/>
      <w:jc w:val="right"/>
    </w:pPr>
    <w:rPr>
      <w:rFonts w:ascii="宋体" w:hAnsi="宋体"/>
      <w:szCs w:val="20"/>
    </w:rPr>
  </w:style>
  <w:style w:type="paragraph" w:customStyle="1" w:styleId="1033">
    <w:name w:val="样式 首行缩进:  2 字符 行距: 1.5 倍行距"/>
    <w:basedOn w:val="1"/>
    <w:qFormat/>
    <w:uiPriority w:val="0"/>
    <w:pPr>
      <w:spacing w:line="400" w:lineRule="exact"/>
      <w:ind w:firstLine="200" w:firstLineChars="200"/>
    </w:pPr>
    <w:rPr>
      <w:sz w:val="28"/>
      <w:szCs w:val="20"/>
    </w:rPr>
  </w:style>
  <w:style w:type="paragraph" w:customStyle="1" w:styleId="1034">
    <w:name w:val="Char Char Char Char Char Char Char Char Char Char"/>
    <w:basedOn w:val="1"/>
    <w:qFormat/>
    <w:uiPriority w:val="0"/>
    <w:rPr>
      <w:szCs w:val="24"/>
    </w:rPr>
  </w:style>
  <w:style w:type="paragraph" w:customStyle="1" w:styleId="1035">
    <w:name w:val="Char2 Char Char Char Char Char Char Char Char Char1"/>
    <w:basedOn w:val="1"/>
    <w:next w:val="1"/>
    <w:qFormat/>
    <w:uiPriority w:val="0"/>
    <w:pPr>
      <w:spacing w:line="360" w:lineRule="auto"/>
      <w:ind w:firstLine="200" w:firstLineChars="200"/>
    </w:pPr>
    <w:rPr>
      <w:rFonts w:ascii="宋体" w:hAnsi="宋体" w:cs="宋体"/>
      <w:sz w:val="24"/>
      <w:szCs w:val="24"/>
    </w:rPr>
  </w:style>
  <w:style w:type="paragraph" w:customStyle="1" w:styleId="1036">
    <w:name w:val="样式 标题 3 + 段前: 0.25 行 段后: 0.25 行"/>
    <w:basedOn w:val="5"/>
    <w:qFormat/>
    <w:uiPriority w:val="0"/>
    <w:pPr>
      <w:spacing w:before="60" w:after="60" w:line="500" w:lineRule="exact"/>
    </w:pPr>
    <w:rPr>
      <w:rFonts w:ascii="黑体" w:eastAsia="黑体"/>
      <w:bCs/>
      <w:sz w:val="24"/>
      <w:szCs w:val="20"/>
    </w:rPr>
  </w:style>
  <w:style w:type="paragraph" w:customStyle="1" w:styleId="1037">
    <w:name w:val="xl44"/>
    <w:basedOn w:val="1"/>
    <w:qFormat/>
    <w:uiPriority w:val="0"/>
    <w:pPr>
      <w:widowControl/>
      <w:pBdr>
        <w:right w:val="single" w:color="auto" w:sz="4" w:space="0"/>
      </w:pBdr>
      <w:snapToGrid w:val="0"/>
      <w:spacing w:before="100" w:after="100" w:line="360" w:lineRule="auto"/>
      <w:jc w:val="center"/>
    </w:pPr>
    <w:rPr>
      <w:rFonts w:ascii="宋体" w:hAnsi="宋体"/>
      <w:kern w:val="0"/>
      <w:sz w:val="28"/>
      <w:szCs w:val="20"/>
    </w:rPr>
  </w:style>
  <w:style w:type="paragraph" w:customStyle="1" w:styleId="1038">
    <w:name w:val="目录2"/>
    <w:basedOn w:val="1"/>
    <w:next w:val="1"/>
    <w:qFormat/>
    <w:uiPriority w:val="0"/>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1039">
    <w:name w:val="xl10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04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b/>
      <w:bCs/>
      <w:kern w:val="0"/>
      <w:sz w:val="24"/>
      <w:szCs w:val="24"/>
    </w:rPr>
  </w:style>
  <w:style w:type="paragraph" w:customStyle="1" w:styleId="1041">
    <w:name w:val="表格2"/>
    <w:basedOn w:val="1"/>
    <w:link w:val="1934"/>
    <w:qFormat/>
    <w:uiPriority w:val="0"/>
    <w:pPr>
      <w:jc w:val="center"/>
    </w:pPr>
    <w:rPr>
      <w:color w:val="000000"/>
      <w:szCs w:val="20"/>
    </w:rPr>
  </w:style>
  <w:style w:type="paragraph" w:customStyle="1" w:styleId="1042">
    <w:name w:val="xl4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43">
    <w:name w:val="样式 正文文本缩进 3 + 黑色 首行缩进:  0.72 厘米 段前: 9 磅"/>
    <w:basedOn w:val="1"/>
    <w:qFormat/>
    <w:uiPriority w:val="0"/>
    <w:pPr>
      <w:adjustRightInd w:val="0"/>
      <w:spacing w:before="120" w:line="360" w:lineRule="exact"/>
      <w:jc w:val="center"/>
    </w:pPr>
    <w:rPr>
      <w:rFonts w:cs="宋体"/>
      <w:b/>
      <w:bCs/>
      <w:color w:val="000000"/>
      <w:kern w:val="0"/>
      <w:sz w:val="24"/>
      <w:szCs w:val="24"/>
    </w:rPr>
  </w:style>
  <w:style w:type="paragraph" w:customStyle="1" w:styleId="1044">
    <w:name w:val="环保章标题"/>
    <w:basedOn w:val="5"/>
    <w:qFormat/>
    <w:uiPriority w:val="0"/>
    <w:pPr>
      <w:adjustRightInd w:val="0"/>
      <w:spacing w:line="416" w:lineRule="atLeast"/>
      <w:ind w:firstLine="200" w:firstLineChars="200"/>
      <w:jc w:val="left"/>
      <w:textAlignment w:val="baseline"/>
    </w:pPr>
    <w:rPr>
      <w:b/>
      <w:szCs w:val="28"/>
    </w:rPr>
  </w:style>
  <w:style w:type="paragraph" w:customStyle="1" w:styleId="1045">
    <w:name w:val="图表名称"/>
    <w:basedOn w:val="1"/>
    <w:qFormat/>
    <w:uiPriority w:val="0"/>
    <w:pPr>
      <w:autoSpaceDE w:val="0"/>
      <w:autoSpaceDN w:val="0"/>
      <w:adjustRightInd w:val="0"/>
      <w:snapToGrid w:val="0"/>
      <w:spacing w:beforeLines="50" w:afterLines="50" w:line="360" w:lineRule="auto"/>
      <w:ind w:firstLine="2933" w:firstLineChars="1490"/>
      <w:jc w:val="left"/>
      <w:textAlignment w:val="baseline"/>
    </w:pPr>
    <w:rPr>
      <w:rFonts w:ascii="宋体" w:hAnsi="宋体"/>
      <w:b/>
      <w:bCs/>
      <w:kern w:val="0"/>
      <w:szCs w:val="20"/>
    </w:rPr>
  </w:style>
  <w:style w:type="paragraph" w:customStyle="1" w:styleId="1046">
    <w:name w:val="xl99"/>
    <w:basedOn w:val="1"/>
    <w:qFormat/>
    <w:uiPriority w:val="0"/>
    <w:pPr>
      <w:widowControl/>
      <w:pBdr>
        <w:top w:val="single" w:color="auto" w:sz="4" w:space="0"/>
        <w:bottom w:val="single" w:color="auto" w:sz="8" w:space="0"/>
      </w:pBdr>
      <w:shd w:val="clear" w:color="auto" w:fill="FFCC99"/>
      <w:spacing w:before="100" w:beforeAutospacing="1" w:after="100" w:afterAutospacing="1"/>
      <w:jc w:val="center"/>
    </w:pPr>
    <w:rPr>
      <w:rFonts w:ascii="Arial Unicode MS" w:hAnsi="Arial Unicode MS"/>
      <w:kern w:val="0"/>
      <w:sz w:val="20"/>
      <w:szCs w:val="20"/>
    </w:rPr>
  </w:style>
  <w:style w:type="paragraph" w:customStyle="1" w:styleId="1047">
    <w:name w:val="正文 + 宋体"/>
    <w:basedOn w:val="1"/>
    <w:qFormat/>
    <w:uiPriority w:val="0"/>
    <w:pPr>
      <w:adjustRightInd w:val="0"/>
      <w:spacing w:line="520" w:lineRule="exact"/>
      <w:ind w:firstLine="200" w:firstLineChars="200"/>
      <w:jc w:val="left"/>
      <w:textAlignment w:val="baseline"/>
    </w:pPr>
    <w:rPr>
      <w:rFonts w:ascii="宋体" w:hAnsi="宋体" w:cs="宋体"/>
      <w:kern w:val="0"/>
      <w:sz w:val="24"/>
      <w:szCs w:val="24"/>
    </w:rPr>
  </w:style>
  <w:style w:type="paragraph" w:customStyle="1" w:styleId="1048">
    <w:name w:val="xl340"/>
    <w:basedOn w:val="1"/>
    <w:qFormat/>
    <w:uiPriority w:val="0"/>
    <w:pPr>
      <w:widowControl/>
      <w:snapToGrid w:val="0"/>
      <w:spacing w:before="100" w:after="100" w:line="360" w:lineRule="auto"/>
      <w:ind w:firstLine="590" w:firstLineChars="200"/>
      <w:textAlignment w:val="center"/>
    </w:pPr>
    <w:rPr>
      <w:rFonts w:ascii="宋体" w:hAnsi="宋体"/>
      <w:kern w:val="0"/>
      <w:sz w:val="28"/>
      <w:szCs w:val="20"/>
    </w:rPr>
  </w:style>
  <w:style w:type="paragraph" w:customStyle="1" w:styleId="1049">
    <w:name w:val="reader-word-layer reader-word-s55-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50">
    <w:name w:val="5"/>
    <w:basedOn w:val="1"/>
    <w:next w:val="19"/>
    <w:qFormat/>
    <w:uiPriority w:val="0"/>
    <w:pPr>
      <w:spacing w:line="360" w:lineRule="auto"/>
      <w:ind w:firstLine="200" w:firstLineChars="200"/>
    </w:pPr>
    <w:rPr>
      <w:sz w:val="24"/>
      <w:szCs w:val="20"/>
    </w:rPr>
  </w:style>
  <w:style w:type="paragraph" w:customStyle="1" w:styleId="1051">
    <w:name w:val="xl11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052">
    <w:name w:val="xl4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53">
    <w:name w:val="xl129"/>
    <w:basedOn w:val="1"/>
    <w:qFormat/>
    <w:uiPriority w:val="0"/>
    <w:pPr>
      <w:widowControl/>
      <w:pBdr>
        <w:top w:val="single" w:color="auto" w:sz="8" w:space="0"/>
        <w:bottom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054">
    <w:name w:val="样式 正文缩进正文（首行缩进两字） + 段后: 0.1 行"/>
    <w:basedOn w:val="1"/>
    <w:semiHidden/>
    <w:qFormat/>
    <w:uiPriority w:val="0"/>
    <w:pPr>
      <w:widowControl/>
      <w:spacing w:beforeLines="50" w:line="400" w:lineRule="exact"/>
      <w:ind w:firstLine="480" w:firstLineChars="200"/>
    </w:pPr>
    <w:rPr>
      <w:rFonts w:ascii="仿宋_GB2312" w:hAnsi="宋体" w:eastAsia="仿宋_GB2312" w:cs="Arial"/>
      <w:color w:val="000000"/>
      <w:kern w:val="0"/>
      <w:sz w:val="24"/>
      <w:szCs w:val="20"/>
      <w:lang w:val="zh-CN"/>
    </w:rPr>
  </w:style>
  <w:style w:type="paragraph" w:customStyle="1" w:styleId="1055">
    <w:name w:val="BBT"/>
    <w:basedOn w:val="1"/>
    <w:qFormat/>
    <w:uiPriority w:val="0"/>
    <w:pPr>
      <w:adjustRightInd w:val="0"/>
      <w:snapToGrid w:val="0"/>
      <w:spacing w:before="50" w:beforeLines="50" w:after="50" w:afterLines="50"/>
      <w:jc w:val="center"/>
    </w:pPr>
    <w:rPr>
      <w:rFonts w:ascii="宋体" w:hAnsi="宋体" w:eastAsia="黑体"/>
      <w:spacing w:val="6"/>
      <w:sz w:val="24"/>
      <w:szCs w:val="20"/>
    </w:rPr>
  </w:style>
  <w:style w:type="paragraph" w:customStyle="1" w:styleId="1056">
    <w:name w:val="7"/>
    <w:basedOn w:val="1"/>
    <w:next w:val="19"/>
    <w:qFormat/>
    <w:uiPriority w:val="0"/>
    <w:pPr>
      <w:ind w:firstLine="420"/>
    </w:pPr>
    <w:rPr>
      <w:szCs w:val="20"/>
    </w:rPr>
  </w:style>
  <w:style w:type="paragraph" w:customStyle="1" w:styleId="1057">
    <w:name w:val="xl113"/>
    <w:basedOn w:val="1"/>
    <w:qFormat/>
    <w:uiPriority w:val="0"/>
    <w:pPr>
      <w:widowControl/>
      <w:pBdr>
        <w:top w:val="single" w:color="auto" w:sz="4" w:space="0"/>
        <w:left w:val="single" w:color="auto" w:sz="4" w:space="0"/>
        <w:bottom w:val="single" w:color="auto" w:sz="8" w:space="0"/>
      </w:pBdr>
      <w:spacing w:before="100" w:beforeAutospacing="1" w:after="100" w:afterAutospacing="1"/>
      <w:jc w:val="right"/>
    </w:pPr>
    <w:rPr>
      <w:rFonts w:ascii="Arial Unicode MS" w:hAnsi="Arial Unicode MS"/>
      <w:kern w:val="0"/>
      <w:sz w:val="20"/>
      <w:szCs w:val="20"/>
    </w:rPr>
  </w:style>
  <w:style w:type="paragraph" w:customStyle="1" w:styleId="1058">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1059">
    <w:name w:val="xl3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18"/>
      <w:szCs w:val="18"/>
    </w:rPr>
  </w:style>
  <w:style w:type="paragraph" w:customStyle="1" w:styleId="1060">
    <w:name w:val="wg"/>
    <w:basedOn w:val="1"/>
    <w:qFormat/>
    <w:uiPriority w:val="0"/>
    <w:rPr>
      <w:sz w:val="28"/>
      <w:szCs w:val="20"/>
    </w:rPr>
  </w:style>
  <w:style w:type="paragraph" w:customStyle="1" w:styleId="1061">
    <w:name w:val="样式 首行缩进:  2 字符1"/>
    <w:basedOn w:val="1"/>
    <w:qFormat/>
    <w:uiPriority w:val="0"/>
    <w:pPr>
      <w:spacing w:before="120" w:line="400" w:lineRule="exact"/>
      <w:ind w:firstLine="200" w:firstLineChars="200"/>
    </w:pPr>
    <w:rPr>
      <w:sz w:val="28"/>
      <w:szCs w:val="20"/>
    </w:rPr>
  </w:style>
  <w:style w:type="paragraph" w:customStyle="1" w:styleId="1062">
    <w:name w:val="表格_dg"/>
    <w:basedOn w:val="1"/>
    <w:qFormat/>
    <w:uiPriority w:val="0"/>
    <w:pPr>
      <w:adjustRightInd w:val="0"/>
      <w:spacing w:line="360" w:lineRule="exact"/>
      <w:jc w:val="center"/>
      <w:textAlignment w:val="center"/>
    </w:pPr>
    <w:rPr>
      <w:kern w:val="0"/>
      <w:szCs w:val="20"/>
    </w:rPr>
  </w:style>
  <w:style w:type="paragraph" w:customStyle="1" w:styleId="1063">
    <w:name w:val="正文2000"/>
    <w:basedOn w:val="1"/>
    <w:qFormat/>
    <w:uiPriority w:val="0"/>
    <w:pPr>
      <w:snapToGrid w:val="0"/>
      <w:spacing w:line="360" w:lineRule="auto"/>
      <w:ind w:firstLine="480" w:firstLineChars="200"/>
    </w:pPr>
    <w:rPr>
      <w:kern w:val="0"/>
      <w:sz w:val="24"/>
      <w:szCs w:val="20"/>
    </w:rPr>
  </w:style>
  <w:style w:type="paragraph" w:customStyle="1" w:styleId="1064">
    <w:name w:val="样式 首行缩进:  2 字符 行距: 固定值 15 磅"/>
    <w:basedOn w:val="1"/>
    <w:qFormat/>
    <w:uiPriority w:val="0"/>
    <w:pPr>
      <w:spacing w:line="400" w:lineRule="exact"/>
      <w:ind w:firstLine="560" w:firstLineChars="200"/>
    </w:pPr>
    <w:rPr>
      <w:sz w:val="28"/>
      <w:szCs w:val="28"/>
    </w:rPr>
  </w:style>
  <w:style w:type="paragraph" w:customStyle="1" w:styleId="1065">
    <w:name w:val="普通(网站)1"/>
    <w:basedOn w:val="1"/>
    <w:qFormat/>
    <w:uiPriority w:val="0"/>
    <w:pPr>
      <w:widowControl/>
      <w:spacing w:before="100" w:beforeAutospacing="1" w:after="100" w:afterAutospacing="1"/>
      <w:jc w:val="left"/>
    </w:pPr>
    <w:rPr>
      <w:rFonts w:ascii="宋体" w:hAnsi="宋体"/>
      <w:sz w:val="24"/>
      <w:szCs w:val="20"/>
    </w:rPr>
  </w:style>
  <w:style w:type="paragraph" w:customStyle="1" w:styleId="1066">
    <w:name w:val="样式 五号 居中 行距: 单倍行距"/>
    <w:basedOn w:val="1"/>
    <w:qFormat/>
    <w:uiPriority w:val="0"/>
    <w:pPr>
      <w:adjustRightInd w:val="0"/>
      <w:snapToGrid w:val="0"/>
      <w:jc w:val="center"/>
    </w:pPr>
    <w:rPr>
      <w:rFonts w:cs="宋体"/>
      <w:kern w:val="0"/>
      <w:szCs w:val="21"/>
    </w:rPr>
  </w:style>
  <w:style w:type="paragraph" w:customStyle="1" w:styleId="1067">
    <w:name w:val="标题 3 + 行距: 正文"/>
    <w:basedOn w:val="5"/>
    <w:qFormat/>
    <w:uiPriority w:val="0"/>
    <w:pPr>
      <w:spacing w:line="360" w:lineRule="auto"/>
    </w:pPr>
    <w:rPr>
      <w:b/>
    </w:rPr>
  </w:style>
  <w:style w:type="paragraph" w:customStyle="1" w:styleId="1068">
    <w:name w:val="图表"/>
    <w:basedOn w:val="1"/>
    <w:qFormat/>
    <w:uiPriority w:val="0"/>
    <w:pPr>
      <w:spacing w:line="400" w:lineRule="exact"/>
      <w:jc w:val="center"/>
    </w:pPr>
    <w:rPr>
      <w:kern w:val="0"/>
      <w:szCs w:val="24"/>
    </w:rPr>
  </w:style>
  <w:style w:type="paragraph" w:customStyle="1" w:styleId="1069">
    <w:name w:val="样式110"/>
    <w:basedOn w:val="1"/>
    <w:qFormat/>
    <w:uiPriority w:val="0"/>
    <w:pPr>
      <w:adjustRightInd w:val="0"/>
      <w:spacing w:line="300" w:lineRule="exact"/>
      <w:jc w:val="center"/>
    </w:pPr>
    <w:rPr>
      <w:rFonts w:eastAsia="仿宋_GB2312"/>
      <w:bCs/>
      <w:color w:val="000000"/>
      <w:kern w:val="0"/>
      <w:szCs w:val="21"/>
    </w:rPr>
  </w:style>
  <w:style w:type="paragraph" w:customStyle="1" w:styleId="1070">
    <w:name w:val="xl11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71">
    <w:name w:val="Char Char Char Char Char Char Char Char Char Char Char Char Char Char Char2 Char"/>
    <w:basedOn w:val="1"/>
    <w:qFormat/>
    <w:uiPriority w:val="0"/>
    <w:rPr>
      <w:rFonts w:ascii="仿宋_GB2312" w:eastAsia="仿宋_GB2312"/>
      <w:b/>
      <w:sz w:val="32"/>
      <w:szCs w:val="32"/>
    </w:rPr>
  </w:style>
  <w:style w:type="paragraph" w:customStyle="1" w:styleId="1072">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73">
    <w:name w:val="样式 样式 正文文本缩进 2 + 黑色 + 宋体"/>
    <w:basedOn w:val="340"/>
    <w:qFormat/>
    <w:uiPriority w:val="0"/>
  </w:style>
  <w:style w:type="paragraph" w:customStyle="1" w:styleId="1074">
    <w:name w:val="xl103"/>
    <w:basedOn w:val="1"/>
    <w:qFormat/>
    <w:uiPriority w:val="0"/>
    <w:pPr>
      <w:widowControl/>
      <w:pBdr>
        <w:top w:val="single" w:color="auto" w:sz="4" w:space="0"/>
        <w:bottom w:val="single" w:color="auto" w:sz="8" w:space="0"/>
        <w:right w:val="single" w:color="auto" w:sz="4" w:space="0"/>
      </w:pBdr>
      <w:shd w:val="clear" w:color="auto" w:fill="FFFF00"/>
      <w:spacing w:before="100" w:beforeAutospacing="1" w:after="100" w:afterAutospacing="1"/>
      <w:jc w:val="left"/>
    </w:pPr>
    <w:rPr>
      <w:rFonts w:ascii="Arial Unicode MS" w:hAnsi="Arial Unicode MS"/>
      <w:kern w:val="0"/>
      <w:sz w:val="20"/>
      <w:szCs w:val="20"/>
    </w:rPr>
  </w:style>
  <w:style w:type="paragraph" w:customStyle="1" w:styleId="1075">
    <w:name w:val="表格字"/>
    <w:basedOn w:val="1"/>
    <w:qFormat/>
    <w:uiPriority w:val="0"/>
    <w:pPr>
      <w:spacing w:line="300" w:lineRule="atLeast"/>
      <w:jc w:val="center"/>
    </w:pPr>
    <w:rPr>
      <w:rFonts w:ascii="宋体" w:hAnsi="宋体"/>
      <w:szCs w:val="24"/>
    </w:rPr>
  </w:style>
  <w:style w:type="paragraph" w:customStyle="1" w:styleId="1076">
    <w:name w:val="表格1 Char"/>
    <w:basedOn w:val="1"/>
    <w:qFormat/>
    <w:uiPriority w:val="0"/>
    <w:pPr>
      <w:adjustRightInd w:val="0"/>
      <w:spacing w:line="360" w:lineRule="atLeast"/>
      <w:jc w:val="center"/>
    </w:pPr>
    <w:rPr>
      <w:rFonts w:ascii="CG Times (WN)"/>
      <w:b/>
      <w:kern w:val="0"/>
      <w:sz w:val="24"/>
      <w:szCs w:val="20"/>
    </w:rPr>
  </w:style>
  <w:style w:type="paragraph" w:customStyle="1" w:styleId="1077">
    <w:name w:val="font0"/>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1078">
    <w:name w:val="xl88"/>
    <w:basedOn w:val="1"/>
    <w:qFormat/>
    <w:uiPriority w:val="0"/>
    <w:pPr>
      <w:widowControl/>
      <w:pBdr>
        <w:bottom w:val="single" w:color="000000" w:sz="4" w:space="0"/>
        <w:right w:val="single" w:color="auto" w:sz="4" w:space="0"/>
      </w:pBdr>
      <w:spacing w:before="100" w:beforeAutospacing="1" w:after="100" w:afterAutospacing="1"/>
      <w:jc w:val="center"/>
    </w:pPr>
    <w:rPr>
      <w:rFonts w:ascii="Arial Unicode MS" w:hAnsi="Arial Unicode MS"/>
      <w:kern w:val="0"/>
      <w:sz w:val="22"/>
      <w:szCs w:val="20"/>
    </w:rPr>
  </w:style>
  <w:style w:type="paragraph" w:customStyle="1" w:styleId="1079">
    <w:name w:val="表号"/>
    <w:basedOn w:val="1"/>
    <w:qFormat/>
    <w:uiPriority w:val="0"/>
    <w:pPr>
      <w:ind w:firstLine="420" w:firstLineChars="200"/>
    </w:pPr>
    <w:rPr>
      <w:rFonts w:ascii="黑体"/>
      <w:snapToGrid w:val="0"/>
      <w:kern w:val="0"/>
      <w:szCs w:val="24"/>
    </w:rPr>
  </w:style>
  <w:style w:type="paragraph" w:customStyle="1" w:styleId="1080">
    <w:name w:val="样式 样式 01 + 三号 灰色-80% 居中 行距: 单倍行距 + 段前: 1 行"/>
    <w:basedOn w:val="1"/>
    <w:qFormat/>
    <w:uiPriority w:val="0"/>
    <w:pPr>
      <w:spacing w:before="100" w:beforeLines="100"/>
      <w:jc w:val="center"/>
    </w:pPr>
    <w:rPr>
      <w:rFonts w:eastAsia="黑体" w:cs="宋体"/>
      <w:b/>
      <w:bCs/>
      <w:color w:val="333333"/>
      <w:sz w:val="32"/>
      <w:szCs w:val="20"/>
    </w:rPr>
  </w:style>
  <w:style w:type="paragraph" w:customStyle="1" w:styleId="1081">
    <w:name w:val="font8"/>
    <w:basedOn w:val="1"/>
    <w:qFormat/>
    <w:uiPriority w:val="0"/>
    <w:pPr>
      <w:widowControl/>
      <w:spacing w:before="100" w:beforeAutospacing="1" w:after="100" w:afterAutospacing="1"/>
      <w:jc w:val="left"/>
    </w:pPr>
    <w:rPr>
      <w:rFonts w:hint="eastAsia" w:ascii="宋体" w:hAnsi="宋体"/>
      <w:color w:val="000000"/>
      <w:kern w:val="0"/>
      <w:sz w:val="18"/>
      <w:szCs w:val="18"/>
    </w:rPr>
  </w:style>
  <w:style w:type="paragraph" w:customStyle="1" w:styleId="1082">
    <w:name w:val="Char2"/>
    <w:basedOn w:val="1"/>
    <w:qFormat/>
    <w:uiPriority w:val="0"/>
    <w:pPr>
      <w:spacing w:line="360" w:lineRule="auto"/>
      <w:ind w:firstLine="200" w:firstLineChars="200"/>
    </w:pPr>
    <w:rPr>
      <w:rFonts w:ascii="宋体" w:hAnsi="宋体" w:cs="宋体"/>
      <w:sz w:val="28"/>
      <w:szCs w:val="24"/>
    </w:rPr>
  </w:style>
  <w:style w:type="paragraph" w:customStyle="1" w:styleId="1083">
    <w:name w:val="xl53"/>
    <w:basedOn w:val="1"/>
    <w:qFormat/>
    <w:uiPriority w:val="0"/>
    <w:pPr>
      <w:widowControl/>
      <w:spacing w:before="100" w:beforeAutospacing="1" w:after="100" w:afterAutospacing="1"/>
      <w:jc w:val="center"/>
    </w:pPr>
    <w:rPr>
      <w:kern w:val="0"/>
      <w:sz w:val="16"/>
      <w:szCs w:val="16"/>
    </w:rPr>
  </w:style>
  <w:style w:type="paragraph" w:customStyle="1" w:styleId="1084">
    <w:name w:val="!标题1(alt+1)"/>
    <w:basedOn w:val="1027"/>
    <w:next w:val="1"/>
    <w:qFormat/>
    <w:uiPriority w:val="0"/>
    <w:pPr>
      <w:spacing w:before="100" w:after="300" w:line="600" w:lineRule="exact"/>
      <w:ind w:left="482"/>
    </w:pPr>
  </w:style>
  <w:style w:type="paragraph" w:customStyle="1" w:styleId="1085">
    <w:name w:val="表题"/>
    <w:basedOn w:val="1"/>
    <w:next w:val="1"/>
    <w:link w:val="2081"/>
    <w:qFormat/>
    <w:uiPriority w:val="0"/>
    <w:pPr>
      <w:snapToGrid w:val="0"/>
      <w:jc w:val="center"/>
    </w:pPr>
    <w:rPr>
      <w:b/>
      <w:kern w:val="0"/>
      <w:sz w:val="24"/>
    </w:rPr>
  </w:style>
  <w:style w:type="paragraph" w:customStyle="1" w:styleId="1086">
    <w:name w:val="框图文字1"/>
    <w:basedOn w:val="1"/>
    <w:qFormat/>
    <w:uiPriority w:val="0"/>
    <w:pPr>
      <w:adjustRightInd w:val="0"/>
      <w:snapToGrid w:val="0"/>
      <w:spacing w:before="78"/>
      <w:jc w:val="center"/>
    </w:pPr>
    <w:rPr>
      <w:sz w:val="18"/>
      <w:szCs w:val="20"/>
    </w:rPr>
  </w:style>
  <w:style w:type="paragraph" w:customStyle="1" w:styleId="1087">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16"/>
      <w:szCs w:val="16"/>
    </w:rPr>
  </w:style>
  <w:style w:type="paragraph" w:customStyle="1" w:styleId="1088">
    <w:name w:val="font6"/>
    <w:basedOn w:val="1"/>
    <w:qFormat/>
    <w:uiPriority w:val="0"/>
    <w:pPr>
      <w:widowControl/>
      <w:spacing w:before="100" w:beforeAutospacing="1" w:after="100" w:afterAutospacing="1"/>
      <w:jc w:val="left"/>
    </w:pPr>
    <w:rPr>
      <w:kern w:val="0"/>
      <w:sz w:val="18"/>
      <w:szCs w:val="18"/>
    </w:rPr>
  </w:style>
  <w:style w:type="paragraph" w:customStyle="1" w:styleId="1089">
    <w:name w:val="xl94"/>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90">
    <w:name w:val="表格文字块"/>
    <w:basedOn w:val="36"/>
    <w:qFormat/>
    <w:uiPriority w:val="0"/>
    <w:pPr>
      <w:keepNext/>
      <w:snapToGrid w:val="0"/>
      <w:spacing w:after="0"/>
      <w:ind w:left="0" w:leftChars="0" w:right="0" w:rightChars="0" w:firstLine="200" w:firstLineChars="200"/>
      <w:jc w:val="center"/>
    </w:pPr>
    <w:rPr>
      <w:rFonts w:eastAsia="楷体_GB2312"/>
      <w:snapToGrid w:val="0"/>
      <w:kern w:val="0"/>
      <w:sz w:val="24"/>
      <w:szCs w:val="20"/>
    </w:rPr>
  </w:style>
  <w:style w:type="paragraph" w:customStyle="1" w:styleId="1091">
    <w:name w:val="表内字"/>
    <w:basedOn w:val="130"/>
    <w:semiHidden/>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092">
    <w:name w:val="样式 !正文(alt+c) + 首行缩进:  2 字符"/>
    <w:basedOn w:val="397"/>
    <w:qFormat/>
    <w:uiPriority w:val="0"/>
    <w:pPr>
      <w:spacing w:line="440" w:lineRule="exact"/>
      <w:jc w:val="left"/>
    </w:pPr>
    <w:rPr>
      <w:color w:val="000000"/>
    </w:rPr>
  </w:style>
  <w:style w:type="paragraph" w:customStyle="1" w:styleId="1093">
    <w:name w:val="xl110"/>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94">
    <w:name w:val="xl5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eastAsia="Arial Unicode MS"/>
      <w:kern w:val="0"/>
      <w:sz w:val="28"/>
      <w:szCs w:val="20"/>
    </w:rPr>
  </w:style>
  <w:style w:type="paragraph" w:customStyle="1" w:styleId="1095">
    <w:name w:val="xl89"/>
    <w:basedOn w:val="1"/>
    <w:qFormat/>
    <w:uiPriority w:val="0"/>
    <w:pPr>
      <w:widowControl/>
      <w:pBdr>
        <w:bottom w:val="single" w:color="auto" w:sz="4" w:space="0"/>
      </w:pBdr>
      <w:shd w:val="clear" w:color="auto" w:fill="FFCC99"/>
      <w:spacing w:before="100" w:beforeAutospacing="1" w:after="100" w:afterAutospacing="1"/>
      <w:jc w:val="center"/>
    </w:pPr>
    <w:rPr>
      <w:rFonts w:ascii="Arial Unicode MS" w:hAnsi="Arial Unicode MS"/>
      <w:kern w:val="0"/>
      <w:sz w:val="20"/>
      <w:szCs w:val="20"/>
    </w:rPr>
  </w:style>
  <w:style w:type="paragraph" w:customStyle="1" w:styleId="1096">
    <w:name w:val="xl86"/>
    <w:basedOn w:val="1"/>
    <w:qFormat/>
    <w:uiPriority w:val="0"/>
    <w:pPr>
      <w:widowControl/>
      <w:pBdr>
        <w:top w:val="single" w:color="auto" w:sz="4" w:space="0"/>
        <w:left w:val="single" w:color="000000" w:sz="4" w:space="0"/>
        <w:bottom w:val="single" w:color="auto" w:sz="4" w:space="0"/>
      </w:pBdr>
      <w:spacing w:before="100" w:beforeAutospacing="1" w:after="100" w:afterAutospacing="1"/>
      <w:jc w:val="center"/>
    </w:pPr>
    <w:rPr>
      <w:rFonts w:ascii="Arial Unicode MS" w:hAnsi="Arial Unicode MS"/>
      <w:kern w:val="0"/>
      <w:sz w:val="22"/>
      <w:szCs w:val="20"/>
    </w:rPr>
  </w:style>
  <w:style w:type="paragraph" w:customStyle="1" w:styleId="1097">
    <w:name w:val="xl22"/>
    <w:basedOn w:val="1"/>
    <w:qFormat/>
    <w:uiPriority w:val="0"/>
    <w:pPr>
      <w:widowControl/>
      <w:pBdr>
        <w:bottom w:val="single" w:color="auto" w:sz="4" w:space="0"/>
        <w:right w:val="single" w:color="auto" w:sz="4" w:space="0"/>
      </w:pBdr>
      <w:spacing w:before="100" w:beforeAutospacing="1" w:after="100" w:afterAutospacing="1" w:line="440" w:lineRule="exact"/>
      <w:ind w:firstLine="200" w:firstLineChars="200"/>
    </w:pPr>
    <w:rPr>
      <w:rFonts w:eastAsia="Times New Roman"/>
      <w:kern w:val="0"/>
      <w:sz w:val="24"/>
      <w:szCs w:val="20"/>
    </w:rPr>
  </w:style>
  <w:style w:type="paragraph" w:customStyle="1" w:styleId="1098">
    <w:name w:val="大足正文"/>
    <w:basedOn w:val="1"/>
    <w:qFormat/>
    <w:uiPriority w:val="0"/>
    <w:pPr>
      <w:widowControl/>
      <w:wordWrap w:val="0"/>
      <w:spacing w:after="100" w:line="288" w:lineRule="auto"/>
      <w:ind w:left="350" w:leftChars="350" w:firstLine="200" w:firstLineChars="200"/>
      <w:jc w:val="left"/>
    </w:pPr>
    <w:rPr>
      <w:rFonts w:eastAsia="方正仿宋简体"/>
      <w:kern w:val="0"/>
      <w:sz w:val="24"/>
      <w:szCs w:val="24"/>
    </w:rPr>
  </w:style>
  <w:style w:type="paragraph" w:customStyle="1" w:styleId="1099">
    <w:name w:val="样式 标题 4(一)条，(一) + (西文) Arial Narrow (中文) 汉鼎简书宋"/>
    <w:basedOn w:val="6"/>
    <w:qFormat/>
    <w:uiPriority w:val="0"/>
    <w:pPr>
      <w:spacing w:line="500" w:lineRule="exact"/>
    </w:pPr>
    <w:rPr>
      <w:rFonts w:ascii="Arial Narrow" w:hAnsi="Arial Narrow" w:eastAsia="汉鼎简书宋"/>
      <w:bCs/>
      <w:color w:val="008000"/>
      <w:sz w:val="24"/>
    </w:rPr>
  </w:style>
  <w:style w:type="paragraph" w:customStyle="1" w:styleId="1100">
    <w:name w:val="Char16"/>
    <w:basedOn w:val="1"/>
    <w:next w:val="1"/>
    <w:qFormat/>
    <w:uiPriority w:val="0"/>
    <w:pPr>
      <w:spacing w:line="529" w:lineRule="exact"/>
      <w:ind w:firstLine="200" w:firstLineChars="200"/>
    </w:pPr>
    <w:rPr>
      <w:rFonts w:ascii="宋体" w:hAnsi="宋体" w:cs="宋体"/>
      <w:sz w:val="24"/>
      <w:szCs w:val="24"/>
    </w:rPr>
  </w:style>
  <w:style w:type="paragraph" w:customStyle="1" w:styleId="1101">
    <w:name w:val="Text1"/>
    <w:basedOn w:val="1"/>
    <w:qFormat/>
    <w:uiPriority w:val="0"/>
    <w:pPr>
      <w:widowControl/>
      <w:spacing w:before="240"/>
      <w:jc w:val="left"/>
    </w:pPr>
    <w:rPr>
      <w:rFonts w:ascii="L Helvetica Light" w:hAnsi="L Helvetica Light"/>
      <w:kern w:val="0"/>
      <w:szCs w:val="24"/>
      <w:lang w:val="en-AU"/>
    </w:rPr>
  </w:style>
  <w:style w:type="paragraph" w:customStyle="1" w:styleId="1102">
    <w:name w:val="分标题"/>
    <w:basedOn w:val="1"/>
    <w:next w:val="1"/>
    <w:qFormat/>
    <w:uiPriority w:val="0"/>
    <w:pPr>
      <w:widowControl/>
      <w:tabs>
        <w:tab w:val="left" w:pos="793"/>
      </w:tabs>
      <w:spacing w:before="50" w:beforeLines="50" w:line="480" w:lineRule="atLeast"/>
      <w:ind w:firstLine="560" w:firstLineChars="200"/>
    </w:pPr>
    <w:rPr>
      <w:rFonts w:ascii="宋体"/>
      <w:color w:val="000000"/>
      <w:sz w:val="28"/>
      <w:szCs w:val="20"/>
    </w:rPr>
  </w:style>
  <w:style w:type="paragraph" w:customStyle="1" w:styleId="1103">
    <w:name w:val="样式 标题 5前言 + (中文) 汉鼎简书宋"/>
    <w:basedOn w:val="7"/>
    <w:qFormat/>
    <w:uiPriority w:val="0"/>
    <w:pPr>
      <w:tabs>
        <w:tab w:val="clear" w:pos="-108"/>
      </w:tabs>
      <w:snapToGrid/>
      <w:spacing w:before="0" w:after="0" w:line="500" w:lineRule="exact"/>
      <w:ind w:left="0" w:firstLine="0" w:firstLineChars="0"/>
    </w:pPr>
    <w:rPr>
      <w:rFonts w:ascii="Arial Narrow" w:hAnsi="Arial Narrow" w:eastAsia="汉鼎简书宋"/>
      <w:b w:val="0"/>
      <w:sz w:val="24"/>
    </w:rPr>
  </w:style>
  <w:style w:type="paragraph" w:customStyle="1" w:styleId="1104">
    <w:name w:val="xl3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05">
    <w:name w:val="标题1q"/>
    <w:basedOn w:val="3"/>
    <w:qFormat/>
    <w:uiPriority w:val="0"/>
    <w:pPr>
      <w:tabs>
        <w:tab w:val="left" w:pos="2322"/>
      </w:tabs>
      <w:spacing w:line="360" w:lineRule="auto"/>
      <w:ind w:left="431" w:firstLine="200" w:firstLineChars="200"/>
      <w:jc w:val="center"/>
    </w:pPr>
    <w:rPr>
      <w:rFonts w:ascii="Tahoma" w:hAnsi="Tahoma"/>
      <w:b w:val="0"/>
      <w:bCs/>
      <w:kern w:val="2"/>
      <w:sz w:val="24"/>
    </w:rPr>
  </w:style>
  <w:style w:type="paragraph" w:customStyle="1" w:styleId="110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07">
    <w:name w:val="表体"/>
    <w:basedOn w:val="41"/>
    <w:qFormat/>
    <w:uiPriority w:val="0"/>
    <w:pPr>
      <w:overflowPunct w:val="0"/>
      <w:adjustRightInd w:val="0"/>
      <w:spacing w:line="360" w:lineRule="auto"/>
      <w:ind w:left="-80" w:leftChars="-38" w:right="-71" w:rightChars="-34" w:firstLine="480" w:firstLineChars="200"/>
      <w:textAlignment w:val="baseline"/>
    </w:pPr>
    <w:rPr>
      <w:rFonts w:ascii="Times New Roman" w:hAnsi="Times New Roman" w:cs="Times New Roman"/>
      <w:bCs/>
      <w:kern w:val="24"/>
      <w:sz w:val="24"/>
      <w:szCs w:val="24"/>
      <w:lang w:val="en-AU"/>
    </w:rPr>
  </w:style>
  <w:style w:type="paragraph" w:customStyle="1" w:styleId="1108">
    <w:name w:val="注角"/>
    <w:basedOn w:val="1"/>
    <w:next w:val="1"/>
    <w:qFormat/>
    <w:uiPriority w:val="0"/>
    <w:pPr>
      <w:spacing w:line="340" w:lineRule="exact"/>
      <w:jc w:val="left"/>
    </w:pPr>
    <w:rPr>
      <w:szCs w:val="20"/>
    </w:rPr>
  </w:style>
  <w:style w:type="paragraph" w:customStyle="1" w:styleId="1109">
    <w:name w:val="xl125"/>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kern w:val="0"/>
      <w:sz w:val="20"/>
      <w:szCs w:val="20"/>
    </w:rPr>
  </w:style>
  <w:style w:type="paragraph" w:customStyle="1" w:styleId="1110">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111">
    <w:name w:val="正文 + Times New Roman"/>
    <w:basedOn w:val="1"/>
    <w:qFormat/>
    <w:uiPriority w:val="0"/>
    <w:pPr>
      <w:adjustRightInd w:val="0"/>
      <w:snapToGrid w:val="0"/>
      <w:spacing w:line="500" w:lineRule="exact"/>
      <w:ind w:firstLine="480" w:firstLineChars="200"/>
    </w:pPr>
    <w:rPr>
      <w:kern w:val="0"/>
      <w:sz w:val="24"/>
      <w:szCs w:val="20"/>
    </w:rPr>
  </w:style>
  <w:style w:type="paragraph" w:customStyle="1" w:styleId="1112">
    <w:name w:val="reader-word-layer reader-word-s1-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13">
    <w:name w:val="样式 四号 行距: 1.5 倍行距 首行缩进:  2 字符1"/>
    <w:basedOn w:val="1"/>
    <w:qFormat/>
    <w:uiPriority w:val="0"/>
    <w:pPr>
      <w:spacing w:line="360" w:lineRule="auto"/>
      <w:ind w:firstLine="560" w:firstLineChars="200"/>
    </w:pPr>
    <w:rPr>
      <w:rFonts w:cs="宋体"/>
      <w:kern w:val="0"/>
      <w:sz w:val="24"/>
      <w:szCs w:val="20"/>
    </w:rPr>
  </w:style>
  <w:style w:type="paragraph" w:customStyle="1" w:styleId="1114">
    <w:name w:val="xl124"/>
    <w:basedOn w:val="1"/>
    <w:qFormat/>
    <w:uiPriority w:val="0"/>
    <w:pPr>
      <w:widowControl/>
      <w:pBdr>
        <w:top w:val="single" w:color="auto" w:sz="4" w:space="0"/>
        <w:bottom w:val="single" w:color="auto" w:sz="8" w:space="0"/>
      </w:pBdr>
      <w:spacing w:before="100" w:beforeAutospacing="1" w:after="100" w:afterAutospacing="1"/>
      <w:jc w:val="left"/>
    </w:pPr>
    <w:rPr>
      <w:rFonts w:ascii="Arial Unicode MS" w:hAnsi="Arial Unicode MS"/>
      <w:kern w:val="0"/>
      <w:sz w:val="20"/>
      <w:szCs w:val="20"/>
    </w:rPr>
  </w:style>
  <w:style w:type="paragraph" w:customStyle="1" w:styleId="1115">
    <w:name w:val="!标题3(alt+3)"/>
    <w:next w:val="1"/>
    <w:qFormat/>
    <w:uiPriority w:val="0"/>
    <w:pPr>
      <w:spacing w:before="93" w:beforeLines="30" w:after="62" w:afterLines="20" w:line="500" w:lineRule="exact"/>
      <w:outlineLvl w:val="2"/>
    </w:pPr>
    <w:rPr>
      <w:rFonts w:ascii="Times New Roman" w:hAnsi="Times New Roman" w:eastAsia="黑体" w:cs="Times New Roman"/>
      <w:kern w:val="2"/>
      <w:sz w:val="24"/>
      <w:lang w:val="en-US" w:eastAsia="zh-CN" w:bidi="ar-SA"/>
    </w:rPr>
  </w:style>
  <w:style w:type="paragraph" w:customStyle="1" w:styleId="1116">
    <w:name w:val="xl102"/>
    <w:basedOn w:val="1"/>
    <w:qFormat/>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kern w:val="0"/>
      <w:sz w:val="20"/>
      <w:szCs w:val="20"/>
    </w:rPr>
  </w:style>
  <w:style w:type="paragraph" w:customStyle="1" w:styleId="1117">
    <w:name w:val="font"/>
    <w:basedOn w:val="1"/>
    <w:qFormat/>
    <w:uiPriority w:val="0"/>
    <w:pPr>
      <w:widowControl/>
      <w:spacing w:before="100" w:beforeAutospacing="1" w:after="100" w:afterAutospacing="1" w:line="270" w:lineRule="atLeast"/>
      <w:jc w:val="left"/>
    </w:pPr>
    <w:rPr>
      <w:rFonts w:hint="eastAsia" w:ascii="宋体" w:hAnsi="宋体"/>
      <w:kern w:val="0"/>
      <w:sz w:val="24"/>
      <w:szCs w:val="20"/>
    </w:rPr>
  </w:style>
  <w:style w:type="paragraph" w:customStyle="1" w:styleId="1118">
    <w:name w:val="xl49"/>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19">
    <w:name w:val="样式 样式 小四 段前: 7.8 磅 段后: 7.8 磅 行距: 1.5 倍行距 + 首行缩进:  2 字符"/>
    <w:basedOn w:val="1"/>
    <w:qFormat/>
    <w:uiPriority w:val="0"/>
    <w:pPr>
      <w:tabs>
        <w:tab w:val="left" w:pos="3720"/>
      </w:tabs>
      <w:autoSpaceDE w:val="0"/>
      <w:autoSpaceDN w:val="0"/>
      <w:adjustRightInd w:val="0"/>
      <w:snapToGrid w:val="0"/>
      <w:spacing w:line="360" w:lineRule="auto"/>
      <w:textAlignment w:val="bottom"/>
    </w:pPr>
    <w:rPr>
      <w:sz w:val="24"/>
      <w:szCs w:val="24"/>
    </w:rPr>
  </w:style>
  <w:style w:type="paragraph" w:customStyle="1" w:styleId="1120">
    <w:name w:val="xl38"/>
    <w:basedOn w:val="1"/>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center"/>
      <w:textAlignment w:val="center"/>
    </w:pPr>
    <w:rPr>
      <w:rFonts w:ascii="Arial Unicode MS" w:hAnsi="Arial Unicode MS"/>
      <w:kern w:val="0"/>
      <w:sz w:val="18"/>
      <w:szCs w:val="18"/>
    </w:rPr>
  </w:style>
  <w:style w:type="paragraph" w:customStyle="1" w:styleId="1121">
    <w:name w:val="Char5"/>
    <w:basedOn w:val="23"/>
    <w:qFormat/>
    <w:uiPriority w:val="0"/>
    <w:pPr>
      <w:shd w:val="clear" w:color="auto" w:fill="000080"/>
      <w:adjustRightInd w:val="0"/>
      <w:jc w:val="left"/>
      <w:outlineLvl w:val="3"/>
    </w:pPr>
    <w:rPr>
      <w:rFonts w:ascii="Tahoma" w:hAnsi="Tahoma"/>
      <w:b/>
      <w:szCs w:val="28"/>
    </w:rPr>
  </w:style>
  <w:style w:type="paragraph" w:customStyle="1" w:styleId="1122">
    <w:name w:val="!标题2(alt+2)"/>
    <w:next w:val="1"/>
    <w:qFormat/>
    <w:uiPriority w:val="0"/>
    <w:pPr>
      <w:spacing w:before="40" w:after="120" w:line="500" w:lineRule="exact"/>
      <w:outlineLvl w:val="1"/>
    </w:pPr>
    <w:rPr>
      <w:rFonts w:ascii="Times New Roman" w:hAnsi="Times New Roman" w:eastAsia="宋体" w:cs="Times New Roman"/>
      <w:kern w:val="2"/>
      <w:sz w:val="30"/>
      <w:lang w:val="en-US" w:eastAsia="zh-CN" w:bidi="ar-SA"/>
    </w:rPr>
  </w:style>
  <w:style w:type="paragraph" w:customStyle="1" w:styleId="1123">
    <w:name w:val="xl10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124">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kern w:val="0"/>
      <w:szCs w:val="21"/>
    </w:rPr>
  </w:style>
  <w:style w:type="paragraph" w:customStyle="1" w:styleId="1125">
    <w:name w:val="表头样式"/>
    <w:basedOn w:val="1"/>
    <w:qFormat/>
    <w:uiPriority w:val="0"/>
    <w:pPr>
      <w:spacing w:beforeLines="30" w:afterLines="20"/>
      <w:jc w:val="center"/>
    </w:pPr>
    <w:rPr>
      <w:rFonts w:eastAsia="黑体"/>
      <w:sz w:val="28"/>
      <w:szCs w:val="24"/>
    </w:rPr>
  </w:style>
  <w:style w:type="paragraph" w:customStyle="1" w:styleId="1126">
    <w:name w:val="Char Char Char Char1"/>
    <w:basedOn w:val="1"/>
    <w:qFormat/>
    <w:uiPriority w:val="0"/>
    <w:pPr>
      <w:adjustRightInd w:val="0"/>
      <w:snapToGrid w:val="0"/>
      <w:spacing w:line="360" w:lineRule="auto"/>
      <w:ind w:firstLine="200" w:firstLineChars="200"/>
      <w:jc w:val="left"/>
    </w:pPr>
    <w:rPr>
      <w:rFonts w:ascii="仿宋_GB2312" w:hAnsi="仿宋_GB2312" w:eastAsia="仿宋_GB2312"/>
      <w:sz w:val="24"/>
      <w:szCs w:val="20"/>
    </w:rPr>
  </w:style>
  <w:style w:type="paragraph" w:customStyle="1" w:styleId="1127">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Arial Unicode MS" w:hAnsi="Arial Unicode MS"/>
      <w:kern w:val="0"/>
      <w:sz w:val="18"/>
      <w:szCs w:val="18"/>
    </w:rPr>
  </w:style>
  <w:style w:type="paragraph" w:customStyle="1" w:styleId="112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6"/>
      <w:szCs w:val="16"/>
    </w:rPr>
  </w:style>
  <w:style w:type="paragraph" w:customStyle="1" w:styleId="1129">
    <w:name w:val="正式文本"/>
    <w:basedOn w:val="1"/>
    <w:qFormat/>
    <w:uiPriority w:val="0"/>
    <w:pPr>
      <w:spacing w:line="500" w:lineRule="exact"/>
      <w:ind w:firstLine="200" w:firstLineChars="200"/>
    </w:pPr>
    <w:rPr>
      <w:rFonts w:ascii="Arial Narrow" w:hAnsi="Arial Narrow" w:eastAsia="汉鼎简书宋"/>
      <w:sz w:val="24"/>
      <w:szCs w:val="24"/>
    </w:rPr>
  </w:style>
  <w:style w:type="paragraph" w:customStyle="1" w:styleId="1130">
    <w:name w:val="Char51"/>
    <w:basedOn w:val="23"/>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1131">
    <w:name w:val="Char Char Char Char Char Char Char Char Char Char6"/>
    <w:basedOn w:val="1"/>
    <w:qFormat/>
    <w:uiPriority w:val="0"/>
    <w:pPr>
      <w:tabs>
        <w:tab w:val="left" w:pos="1701"/>
      </w:tabs>
    </w:pPr>
    <w:rPr>
      <w:rFonts w:ascii="宋体" w:hAnsi="宋体" w:cs="宋体"/>
      <w:color w:val="000000"/>
      <w:szCs w:val="21"/>
    </w:rPr>
  </w:style>
  <w:style w:type="paragraph" w:customStyle="1" w:styleId="1132">
    <w:name w:val="默认段落"/>
    <w:basedOn w:val="1"/>
    <w:qFormat/>
    <w:uiPriority w:val="0"/>
    <w:pPr>
      <w:spacing w:line="460" w:lineRule="exact"/>
      <w:ind w:firstLine="480" w:firstLineChars="200"/>
      <w:jc w:val="left"/>
    </w:pPr>
    <w:rPr>
      <w:rFonts w:ascii="宋体" w:hAnsi="宋体" w:cs="宋体"/>
      <w:kern w:val="0"/>
      <w:sz w:val="24"/>
      <w:szCs w:val="20"/>
    </w:rPr>
  </w:style>
  <w:style w:type="paragraph" w:customStyle="1" w:styleId="1133">
    <w:name w:val="xl100"/>
    <w:basedOn w:val="1"/>
    <w:qFormat/>
    <w:uiPriority w:val="0"/>
    <w:pPr>
      <w:widowControl/>
      <w:pBdr>
        <w:top w:val="single" w:color="auto" w:sz="4" w:space="0"/>
        <w:left w:val="single" w:color="auto" w:sz="4" w:space="0"/>
        <w:bottom w:val="single" w:color="auto" w:sz="8" w:space="0"/>
      </w:pBdr>
      <w:shd w:val="clear" w:color="auto" w:fill="FFFF00"/>
      <w:spacing w:before="100" w:beforeAutospacing="1" w:after="100" w:afterAutospacing="1"/>
      <w:jc w:val="right"/>
    </w:pPr>
    <w:rPr>
      <w:rFonts w:ascii="Arial Unicode MS" w:hAnsi="Arial Unicode MS"/>
      <w:kern w:val="0"/>
      <w:sz w:val="20"/>
      <w:szCs w:val="20"/>
    </w:rPr>
  </w:style>
  <w:style w:type="paragraph" w:customStyle="1" w:styleId="1134">
    <w:name w:val="!表标题(alt+h)"/>
    <w:next w:val="1"/>
    <w:qFormat/>
    <w:uiPriority w:val="0"/>
    <w:pPr>
      <w:spacing w:before="120" w:after="80" w:line="360" w:lineRule="exact"/>
      <w:jc w:val="center"/>
      <w:outlineLvl w:val="4"/>
    </w:pPr>
    <w:rPr>
      <w:rFonts w:ascii="Times New Roman" w:hAnsi="Times New Roman" w:eastAsia="黑体" w:cs="Times New Roman"/>
      <w:sz w:val="24"/>
      <w:lang w:val="en-US" w:eastAsia="zh-CN" w:bidi="ar-SA"/>
    </w:rPr>
  </w:style>
  <w:style w:type="paragraph" w:customStyle="1" w:styleId="1135">
    <w:name w:val="reader-word-layer reader-word-s1-1 reader-word-s1-5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36">
    <w:name w:val="_Style 527"/>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7">
    <w:name w:val="xl101"/>
    <w:basedOn w:val="1"/>
    <w:qFormat/>
    <w:uiPriority w:val="0"/>
    <w:pPr>
      <w:widowControl/>
      <w:pBdr>
        <w:top w:val="single" w:color="auto" w:sz="4" w:space="0"/>
        <w:left w:val="single" w:color="auto" w:sz="4" w:space="0"/>
        <w:bottom w:val="single" w:color="auto" w:sz="8" w:space="0"/>
      </w:pBdr>
      <w:spacing w:before="100" w:beforeAutospacing="1" w:after="100" w:afterAutospacing="1"/>
      <w:jc w:val="right"/>
    </w:pPr>
    <w:rPr>
      <w:rFonts w:ascii="Arial Unicode MS" w:hAnsi="Arial Unicode MS"/>
      <w:kern w:val="0"/>
      <w:sz w:val="20"/>
      <w:szCs w:val="20"/>
    </w:rPr>
  </w:style>
  <w:style w:type="paragraph" w:customStyle="1" w:styleId="1138">
    <w:name w:val="xl39"/>
    <w:basedOn w:val="1"/>
    <w:qFormat/>
    <w:uiPriority w:val="0"/>
    <w:pPr>
      <w:widowControl/>
      <w:pBdr>
        <w:top w:val="single" w:color="auto" w:sz="4" w:space="0"/>
        <w:left w:val="single" w:color="auto" w:sz="8" w:space="0"/>
        <w:bottom w:val="single" w:color="auto" w:sz="4" w:space="0"/>
        <w:right w:val="single" w:color="auto" w:sz="4" w:space="0"/>
      </w:pBdr>
      <w:shd w:val="clear" w:color="auto" w:fill="FFFF00"/>
      <w:spacing w:before="100" w:beforeAutospacing="1" w:after="100" w:afterAutospacing="1"/>
      <w:jc w:val="center"/>
      <w:textAlignment w:val="center"/>
    </w:pPr>
    <w:rPr>
      <w:rFonts w:ascii="Arial Unicode MS" w:hAnsi="Arial Unicode MS"/>
      <w:kern w:val="0"/>
      <w:sz w:val="18"/>
      <w:szCs w:val="18"/>
    </w:rPr>
  </w:style>
  <w:style w:type="paragraph" w:customStyle="1" w:styleId="1139">
    <w:name w:val="目录4"/>
    <w:basedOn w:val="1"/>
    <w:next w:val="1"/>
    <w:qFormat/>
    <w:uiPriority w:val="0"/>
    <w:pPr>
      <w:widowControl/>
      <w:tabs>
        <w:tab w:val="left" w:leader="dot" w:pos="8503"/>
      </w:tabs>
      <w:spacing w:line="317" w:lineRule="atLeast"/>
      <w:ind w:left="419" w:firstLine="629"/>
      <w:textAlignment w:val="baseline"/>
    </w:pPr>
    <w:rPr>
      <w:color w:val="000000"/>
      <w:kern w:val="0"/>
      <w:szCs w:val="20"/>
      <w:u w:color="000000"/>
    </w:rPr>
  </w:style>
  <w:style w:type="paragraph" w:customStyle="1" w:styleId="1140">
    <w:name w:val="reader-word-layer reader-word-s55-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41">
    <w:name w:val="reader-word-layer reader-word-s58-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42">
    <w:name w:val="xl47"/>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4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kern w:val="0"/>
      <w:sz w:val="16"/>
      <w:szCs w:val="16"/>
    </w:rPr>
  </w:style>
  <w:style w:type="paragraph" w:customStyle="1" w:styleId="1144">
    <w:name w:val="table1"/>
    <w:basedOn w:val="1"/>
    <w:qFormat/>
    <w:uiPriority w:val="0"/>
    <w:pPr>
      <w:adjustRightInd w:val="0"/>
      <w:spacing w:line="240" w:lineRule="atLeast"/>
      <w:jc w:val="center"/>
      <w:textAlignment w:val="baseline"/>
    </w:pPr>
    <w:rPr>
      <w:rFonts w:eastAsia="黑体"/>
      <w:kern w:val="0"/>
      <w:sz w:val="24"/>
      <w:szCs w:val="20"/>
    </w:rPr>
  </w:style>
  <w:style w:type="paragraph" w:customStyle="1" w:styleId="1145">
    <w:name w:val="Char61"/>
    <w:basedOn w:val="1"/>
    <w:qFormat/>
    <w:uiPriority w:val="0"/>
    <w:pPr>
      <w:spacing w:line="360" w:lineRule="auto"/>
      <w:ind w:firstLine="200" w:firstLineChars="200"/>
    </w:pPr>
    <w:rPr>
      <w:rFonts w:ascii="宋体" w:hAnsi="宋体" w:cs="宋体"/>
      <w:sz w:val="28"/>
      <w:szCs w:val="24"/>
    </w:rPr>
  </w:style>
  <w:style w:type="paragraph" w:customStyle="1" w:styleId="1146">
    <w:name w:val="表文"/>
    <w:basedOn w:val="1"/>
    <w:qFormat/>
    <w:uiPriority w:val="0"/>
    <w:pPr>
      <w:overflowPunct w:val="0"/>
      <w:jc w:val="center"/>
      <w:textAlignment w:val="baseline"/>
    </w:pPr>
    <w:rPr>
      <w:sz w:val="28"/>
      <w:szCs w:val="20"/>
    </w:rPr>
  </w:style>
  <w:style w:type="paragraph" w:customStyle="1" w:styleId="1147">
    <w:name w:val="正文 首行缩进:  2 字符"/>
    <w:basedOn w:val="1"/>
    <w:qFormat/>
    <w:uiPriority w:val="0"/>
    <w:pPr>
      <w:ind w:firstLine="579" w:firstLineChars="200"/>
    </w:pPr>
    <w:rPr>
      <w:rFonts w:cs="Arial"/>
      <w:sz w:val="28"/>
      <w:szCs w:val="28"/>
    </w:rPr>
  </w:style>
  <w:style w:type="paragraph" w:customStyle="1" w:styleId="1148">
    <w:name w:val="xl108"/>
    <w:basedOn w:val="1"/>
    <w:qFormat/>
    <w:uiPriority w:val="0"/>
    <w:pPr>
      <w:widowControl/>
      <w:pBdr>
        <w:left w:val="single" w:color="auto" w:sz="4" w:space="0"/>
        <w:bottom w:val="single" w:color="auto" w:sz="4" w:space="0"/>
      </w:pBdr>
      <w:spacing w:before="100" w:beforeAutospacing="1" w:after="100" w:afterAutospacing="1"/>
      <w:jc w:val="right"/>
    </w:pPr>
    <w:rPr>
      <w:rFonts w:ascii="Arial Unicode MS" w:hAnsi="Arial Unicode MS"/>
      <w:kern w:val="0"/>
      <w:sz w:val="20"/>
      <w:szCs w:val="20"/>
    </w:rPr>
  </w:style>
  <w:style w:type="paragraph" w:customStyle="1" w:styleId="1149">
    <w:name w:val="3"/>
    <w:basedOn w:val="1"/>
    <w:next w:val="31"/>
    <w:qFormat/>
    <w:uiPriority w:val="0"/>
    <w:pPr>
      <w:snapToGrid w:val="0"/>
      <w:spacing w:after="120" w:line="360" w:lineRule="auto"/>
      <w:ind w:firstLine="752" w:firstLineChars="295"/>
    </w:pPr>
    <w:rPr>
      <w:rFonts w:ascii="宋体" w:hAnsi="宋体"/>
      <w:sz w:val="28"/>
      <w:szCs w:val="24"/>
    </w:rPr>
  </w:style>
  <w:style w:type="paragraph" w:customStyle="1" w:styleId="1150">
    <w:name w:val="xl11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151">
    <w:name w:val="+正文"/>
    <w:basedOn w:val="1"/>
    <w:qFormat/>
    <w:uiPriority w:val="0"/>
    <w:pPr>
      <w:spacing w:beforeLines="30" w:line="360" w:lineRule="auto"/>
      <w:ind w:firstLine="202" w:firstLineChars="202"/>
    </w:pPr>
    <w:rPr>
      <w:sz w:val="28"/>
      <w:szCs w:val="28"/>
    </w:rPr>
  </w:style>
  <w:style w:type="paragraph" w:customStyle="1" w:styleId="1152">
    <w:name w:val="reader-word-layer reader-word-s1-1 reader-word-s1-6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53">
    <w:name w:val="Char2 Char Char Char Char Char Char Char Char Char Char Char Char"/>
    <w:basedOn w:val="1"/>
    <w:next w:val="1"/>
    <w:qFormat/>
    <w:uiPriority w:val="0"/>
    <w:pPr>
      <w:spacing w:line="360" w:lineRule="auto"/>
      <w:ind w:firstLine="200" w:firstLineChars="200"/>
    </w:pPr>
    <w:rPr>
      <w:rFonts w:ascii="宋体" w:hAnsi="宋体" w:cs="宋体"/>
      <w:sz w:val="24"/>
      <w:szCs w:val="24"/>
    </w:rPr>
  </w:style>
  <w:style w:type="paragraph" w:customStyle="1" w:styleId="1154">
    <w:name w:val="文章总标题"/>
    <w:basedOn w:val="1"/>
    <w:next w:val="962"/>
    <w:qFormat/>
    <w:uiPriority w:val="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1155">
    <w:name w:val="reader-word-layer reader-word-s1-7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56">
    <w:name w:val="reader-word-layer reader-word-s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57">
    <w:name w:val="文本"/>
    <w:basedOn w:val="1"/>
    <w:qFormat/>
    <w:uiPriority w:val="0"/>
    <w:pPr>
      <w:adjustRightInd w:val="0"/>
      <w:snapToGrid w:val="0"/>
      <w:spacing w:line="500" w:lineRule="exact"/>
      <w:ind w:firstLine="560" w:firstLineChars="200"/>
      <w:jc w:val="left"/>
    </w:pPr>
    <w:rPr>
      <w:rFonts w:ascii="宋体" w:hAnsi="宋体" w:cs="宋体"/>
      <w:sz w:val="28"/>
      <w:szCs w:val="28"/>
    </w:rPr>
  </w:style>
  <w:style w:type="paragraph" w:customStyle="1" w:styleId="1158">
    <w:name w:val="简单回函地址"/>
    <w:basedOn w:val="1"/>
    <w:qFormat/>
    <w:uiPriority w:val="0"/>
    <w:rPr>
      <w:sz w:val="28"/>
      <w:szCs w:val="28"/>
    </w:rPr>
  </w:style>
  <w:style w:type="paragraph" w:customStyle="1" w:styleId="1159">
    <w:name w:val="1"/>
    <w:basedOn w:val="1"/>
    <w:next w:val="41"/>
    <w:qFormat/>
    <w:uiPriority w:val="0"/>
    <w:rPr>
      <w:rFonts w:ascii="宋体" w:hAnsi="Courier New" w:cs="Courier New"/>
      <w:szCs w:val="21"/>
    </w:rPr>
  </w:style>
  <w:style w:type="paragraph" w:customStyle="1" w:styleId="1160">
    <w:name w:val="正文2"/>
    <w:basedOn w:val="1"/>
    <w:qFormat/>
    <w:uiPriority w:val="0"/>
    <w:pPr>
      <w:spacing w:line="360" w:lineRule="auto"/>
      <w:jc w:val="center"/>
    </w:pPr>
    <w:rPr>
      <w:rFonts w:ascii="黑体" w:eastAsia="黑体"/>
      <w:bCs/>
      <w:color w:val="000000"/>
      <w:sz w:val="24"/>
      <w:szCs w:val="20"/>
      <w:lang w:bidi="he-IL"/>
    </w:rPr>
  </w:style>
  <w:style w:type="paragraph" w:customStyle="1" w:styleId="1161">
    <w:name w:val="正文段落"/>
    <w:basedOn w:val="1"/>
    <w:qFormat/>
    <w:uiPriority w:val="0"/>
    <w:pPr>
      <w:topLinePunct/>
      <w:autoSpaceDN w:val="0"/>
      <w:adjustRightInd w:val="0"/>
      <w:spacing w:line="500" w:lineRule="exact"/>
      <w:ind w:right="210" w:rightChars="100" w:firstLine="480" w:firstLineChars="200"/>
      <w:textAlignment w:val="baseline"/>
    </w:pPr>
    <w:rPr>
      <w:rFonts w:ascii="宋体" w:hAnsi="宋体" w:eastAsia="汉鼎简书宋"/>
      <w:kern w:val="0"/>
      <w:sz w:val="24"/>
      <w:szCs w:val="24"/>
    </w:rPr>
  </w:style>
  <w:style w:type="paragraph" w:customStyle="1" w:styleId="1162">
    <w:name w:val="样式 样式 标题 3 + 黑体 小三 非加粗 + Times New Roman"/>
    <w:basedOn w:val="1"/>
    <w:qFormat/>
    <w:uiPriority w:val="0"/>
    <w:pPr>
      <w:keepNext/>
      <w:keepLines/>
      <w:spacing w:before="60" w:after="60" w:line="500" w:lineRule="atLeast"/>
      <w:outlineLvl w:val="2"/>
    </w:pPr>
    <w:rPr>
      <w:rFonts w:eastAsia="黑体"/>
      <w:sz w:val="28"/>
      <w:szCs w:val="32"/>
    </w:rPr>
  </w:style>
  <w:style w:type="paragraph" w:customStyle="1" w:styleId="1163">
    <w:name w:val="Char Char Char Char Char Char Char8"/>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164">
    <w:name w:val="a"/>
    <w:basedOn w:val="3"/>
    <w:qFormat/>
    <w:uiPriority w:val="0"/>
    <w:pPr>
      <w:adjustRightInd w:val="0"/>
      <w:spacing w:before="100" w:beforeLines="100" w:after="100" w:afterLines="100" w:line="240" w:lineRule="auto"/>
      <w:textAlignment w:val="baseline"/>
    </w:pPr>
    <w:rPr>
      <w:rFonts w:eastAsia="黑体"/>
      <w:bCs/>
      <w:sz w:val="36"/>
    </w:rPr>
  </w:style>
  <w:style w:type="paragraph" w:customStyle="1" w:styleId="1165">
    <w:name w:val="表文 Char Char"/>
    <w:basedOn w:val="1"/>
    <w:qFormat/>
    <w:uiPriority w:val="0"/>
    <w:pPr>
      <w:overflowPunct w:val="0"/>
      <w:adjustRightInd w:val="0"/>
      <w:snapToGrid w:val="0"/>
      <w:jc w:val="center"/>
      <w:textAlignment w:val="baseline"/>
    </w:pPr>
    <w:rPr>
      <w:szCs w:val="20"/>
    </w:rPr>
  </w:style>
  <w:style w:type="paragraph" w:customStyle="1" w:styleId="1166">
    <w:name w:val="xl42"/>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67">
    <w:name w:val="Char5 Char Char Char"/>
    <w:basedOn w:val="23"/>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1168">
    <w:name w:val="样式10"/>
    <w:basedOn w:val="41"/>
    <w:qFormat/>
    <w:uiPriority w:val="0"/>
    <w:pPr>
      <w:spacing w:after="120" w:line="500" w:lineRule="exact"/>
      <w:ind w:firstLine="200" w:firstLineChars="200"/>
    </w:pPr>
    <w:rPr>
      <w:rFonts w:ascii="黑体" w:eastAsia="黑体" w:cs="黑体"/>
      <w:b/>
      <w:bCs/>
      <w:sz w:val="32"/>
      <w:szCs w:val="32"/>
    </w:rPr>
  </w:style>
  <w:style w:type="paragraph" w:customStyle="1" w:styleId="1169">
    <w:name w:val="页脚1"/>
    <w:basedOn w:val="1"/>
    <w:qFormat/>
    <w:uiPriority w:val="0"/>
    <w:pPr>
      <w:tabs>
        <w:tab w:val="center" w:pos="4153"/>
        <w:tab w:val="right" w:pos="8306"/>
      </w:tabs>
      <w:snapToGrid w:val="0"/>
      <w:spacing w:line="360" w:lineRule="auto"/>
      <w:jc w:val="left"/>
    </w:pPr>
    <w:rPr>
      <w:rFonts w:cs="Calibri"/>
      <w:sz w:val="18"/>
      <w:szCs w:val="18"/>
    </w:rPr>
  </w:style>
  <w:style w:type="paragraph" w:customStyle="1" w:styleId="1170">
    <w:name w:val="Char Char1 Char Char Char1"/>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171">
    <w:name w:val="xl59"/>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16"/>
      <w:szCs w:val="16"/>
    </w:rPr>
  </w:style>
  <w:style w:type="paragraph" w:customStyle="1" w:styleId="1172">
    <w:name w:val="表中"/>
    <w:basedOn w:val="1"/>
    <w:qFormat/>
    <w:uiPriority w:val="0"/>
    <w:pPr>
      <w:spacing w:line="280" w:lineRule="exact"/>
      <w:jc w:val="center"/>
    </w:pPr>
    <w:rPr>
      <w:rFonts w:ascii="仿宋_GB2312" w:eastAsia="仿宋_GB2312"/>
      <w:color w:val="000000"/>
      <w:sz w:val="18"/>
      <w:szCs w:val="20"/>
      <w:lang w:bidi="he-IL"/>
    </w:rPr>
  </w:style>
  <w:style w:type="paragraph" w:customStyle="1" w:styleId="1173">
    <w:name w:val="indent"/>
    <w:basedOn w:val="1"/>
    <w:qFormat/>
    <w:uiPriority w:val="0"/>
    <w:pPr>
      <w:widowControl/>
      <w:spacing w:before="100" w:beforeAutospacing="1" w:after="100" w:afterAutospacing="1"/>
      <w:ind w:firstLine="525"/>
      <w:jc w:val="left"/>
    </w:pPr>
    <w:rPr>
      <w:rFonts w:ascii="宋体" w:hAnsi="宋体" w:cs="宋体"/>
      <w:kern w:val="0"/>
      <w:sz w:val="24"/>
      <w:szCs w:val="24"/>
    </w:rPr>
  </w:style>
  <w:style w:type="paragraph" w:customStyle="1" w:styleId="1174">
    <w:name w:val="1正文段落"/>
    <w:basedOn w:val="1"/>
    <w:qFormat/>
    <w:uiPriority w:val="0"/>
    <w:pPr>
      <w:spacing w:line="360" w:lineRule="auto"/>
      <w:ind w:firstLine="480" w:firstLineChars="200"/>
      <w:jc w:val="left"/>
    </w:pPr>
    <w:rPr>
      <w:snapToGrid w:val="0"/>
      <w:kern w:val="0"/>
      <w:sz w:val="24"/>
      <w:szCs w:val="24"/>
    </w:rPr>
  </w:style>
  <w:style w:type="paragraph" w:customStyle="1" w:styleId="1175">
    <w:name w:val="reader-word-layer reader-word-s58-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76">
    <w:name w:val="xl2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77">
    <w:name w:val="xl62"/>
    <w:basedOn w:val="1"/>
    <w:qFormat/>
    <w:uiPriority w:val="0"/>
    <w:pPr>
      <w:widowControl/>
      <w:pBdr>
        <w:left w:val="single" w:color="auto" w:sz="8" w:space="0"/>
        <w:right w:val="single" w:color="auto" w:sz="4" w:space="0"/>
      </w:pBdr>
      <w:spacing w:before="100" w:after="100"/>
      <w:jc w:val="center"/>
    </w:pPr>
    <w:rPr>
      <w:rFonts w:ascii="Arial Unicode MS" w:hAnsi="Arial Unicode MS" w:cs="Arial Unicode MS"/>
      <w:color w:val="000000"/>
      <w:kern w:val="0"/>
      <w:sz w:val="28"/>
      <w:szCs w:val="24"/>
    </w:rPr>
  </w:style>
  <w:style w:type="paragraph" w:customStyle="1" w:styleId="1178">
    <w:name w:val="reader-word-layer reader-word-s53-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79">
    <w:name w:val="NOTE"/>
    <w:basedOn w:val="1"/>
    <w:qFormat/>
    <w:uiPriority w:val="0"/>
    <w:pPr>
      <w:adjustRightInd w:val="0"/>
      <w:spacing w:line="420" w:lineRule="atLeast"/>
      <w:ind w:left="567" w:hanging="567"/>
      <w:textAlignment w:val="baseline"/>
    </w:pPr>
    <w:rPr>
      <w:rFonts w:ascii="宋体"/>
      <w:spacing w:val="30"/>
      <w:kern w:val="0"/>
      <w:szCs w:val="20"/>
    </w:rPr>
  </w:style>
  <w:style w:type="paragraph" w:customStyle="1" w:styleId="1180">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1181">
    <w:name w:val="报告书正文"/>
    <w:basedOn w:val="46"/>
    <w:qFormat/>
    <w:uiPriority w:val="0"/>
    <w:pPr>
      <w:snapToGrid w:val="0"/>
      <w:spacing w:line="460" w:lineRule="exact"/>
      <w:ind w:firstLine="480" w:firstLineChars="200"/>
      <w:textAlignment w:val="baseline"/>
    </w:pPr>
    <w:rPr>
      <w:kern w:val="0"/>
      <w:sz w:val="24"/>
      <w:szCs w:val="20"/>
    </w:rPr>
  </w:style>
  <w:style w:type="paragraph" w:customStyle="1" w:styleId="1182">
    <w:name w:val="font13"/>
    <w:basedOn w:val="1"/>
    <w:qFormat/>
    <w:uiPriority w:val="0"/>
    <w:pPr>
      <w:widowControl/>
      <w:spacing w:before="100" w:beforeAutospacing="1" w:after="100" w:afterAutospacing="1"/>
      <w:jc w:val="left"/>
    </w:pPr>
    <w:rPr>
      <w:rFonts w:ascii="Arial Narrow" w:hAnsi="Arial Narrow"/>
      <w:kern w:val="0"/>
      <w:sz w:val="16"/>
      <w:szCs w:val="16"/>
    </w:rPr>
  </w:style>
  <w:style w:type="paragraph" w:customStyle="1" w:styleId="1183">
    <w:name w:val="公司使用模版"/>
    <w:basedOn w:val="1184"/>
    <w:qFormat/>
    <w:uiPriority w:val="0"/>
  </w:style>
  <w:style w:type="paragraph" w:customStyle="1" w:styleId="1184">
    <w:name w:val="hp1"/>
    <w:basedOn w:val="3"/>
    <w:qFormat/>
    <w:uiPriority w:val="0"/>
    <w:pPr>
      <w:adjustRightInd w:val="0"/>
      <w:spacing w:line="578" w:lineRule="atLeast"/>
      <w:jc w:val="center"/>
      <w:textAlignment w:val="baseline"/>
    </w:pPr>
    <w:rPr>
      <w:rFonts w:ascii="黑体" w:hAnsi="宋体" w:eastAsia="黑体"/>
      <w:bCs/>
      <w:sz w:val="32"/>
      <w:szCs w:val="28"/>
    </w:rPr>
  </w:style>
  <w:style w:type="paragraph" w:customStyle="1" w:styleId="1185">
    <w:name w:val="xl46"/>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86">
    <w:name w:val="向喜琼表格文字"/>
    <w:basedOn w:val="1"/>
    <w:next w:val="1"/>
    <w:qFormat/>
    <w:uiPriority w:val="0"/>
    <w:pPr>
      <w:adjustRightInd w:val="0"/>
      <w:snapToGrid w:val="0"/>
      <w:jc w:val="center"/>
    </w:pPr>
    <w:rPr>
      <w:bCs/>
      <w:sz w:val="24"/>
      <w:szCs w:val="24"/>
    </w:rPr>
  </w:style>
  <w:style w:type="paragraph" w:customStyle="1" w:styleId="1187">
    <w:name w:val="表注"/>
    <w:basedOn w:val="1"/>
    <w:qFormat/>
    <w:uiPriority w:val="0"/>
    <w:pPr>
      <w:keepLines/>
      <w:overflowPunct w:val="0"/>
      <w:adjustRightInd w:val="0"/>
      <w:spacing w:before="60" w:line="288" w:lineRule="auto"/>
      <w:ind w:left="737" w:hanging="397" w:firstLineChars="200"/>
      <w:textAlignment w:val="baseline"/>
    </w:pPr>
    <w:rPr>
      <w:rFonts w:ascii="宋体"/>
      <w:color w:val="FF0000"/>
      <w:kern w:val="28"/>
      <w:szCs w:val="20"/>
    </w:rPr>
  </w:style>
  <w:style w:type="paragraph" w:customStyle="1" w:styleId="1188">
    <w:name w:val="xl90"/>
    <w:basedOn w:val="1"/>
    <w:qFormat/>
    <w:uiPriority w:val="0"/>
    <w:pPr>
      <w:widowControl/>
      <w:pBdr>
        <w:left w:val="single" w:color="auto" w:sz="4" w:space="0"/>
        <w:bottom w:val="single" w:color="auto" w:sz="4" w:space="0"/>
      </w:pBdr>
      <w:shd w:val="clear" w:color="auto" w:fill="FFFF00"/>
      <w:spacing w:before="100" w:beforeAutospacing="1" w:after="100" w:afterAutospacing="1"/>
      <w:jc w:val="right"/>
    </w:pPr>
    <w:rPr>
      <w:rFonts w:ascii="Arial Unicode MS" w:hAnsi="Arial Unicode MS"/>
      <w:kern w:val="0"/>
      <w:sz w:val="20"/>
      <w:szCs w:val="20"/>
    </w:rPr>
  </w:style>
  <w:style w:type="paragraph" w:customStyle="1" w:styleId="1189">
    <w:name w:val="表格表头"/>
    <w:basedOn w:val="1"/>
    <w:qFormat/>
    <w:uiPriority w:val="0"/>
    <w:pPr>
      <w:tabs>
        <w:tab w:val="left" w:pos="1701"/>
      </w:tabs>
      <w:adjustRightInd w:val="0"/>
      <w:snapToGrid w:val="0"/>
      <w:spacing w:line="348" w:lineRule="auto"/>
      <w:ind w:firstLine="560" w:firstLineChars="200"/>
      <w:jc w:val="center"/>
    </w:pPr>
    <w:rPr>
      <w:rFonts w:ascii="宋体"/>
      <w:b/>
      <w:kern w:val="0"/>
      <w:sz w:val="24"/>
      <w:szCs w:val="20"/>
    </w:rPr>
  </w:style>
  <w:style w:type="paragraph" w:customStyle="1" w:styleId="1190">
    <w:name w:val="正文3"/>
    <w:basedOn w:val="1"/>
    <w:qFormat/>
    <w:uiPriority w:val="0"/>
    <w:pPr>
      <w:spacing w:line="360" w:lineRule="auto"/>
      <w:jc w:val="center"/>
    </w:pPr>
    <w:rPr>
      <w:rFonts w:ascii="黑体" w:eastAsia="黑体"/>
      <w:bCs/>
      <w:color w:val="000000"/>
      <w:sz w:val="28"/>
      <w:szCs w:val="20"/>
      <w:lang w:bidi="he-IL"/>
    </w:rPr>
  </w:style>
  <w:style w:type="paragraph" w:customStyle="1" w:styleId="1191">
    <w:name w:val="Para 0 bullet"/>
    <w:basedOn w:val="1"/>
    <w:qFormat/>
    <w:uiPriority w:val="0"/>
    <w:pPr>
      <w:widowControl/>
      <w:tabs>
        <w:tab w:val="left" w:pos="397"/>
      </w:tabs>
      <w:spacing w:after="60" w:line="300" w:lineRule="auto"/>
      <w:ind w:left="397" w:hanging="397"/>
      <w:jc w:val="left"/>
    </w:pPr>
    <w:rPr>
      <w:color w:val="000000"/>
      <w:kern w:val="0"/>
      <w:sz w:val="22"/>
      <w:lang w:val="en-GB" w:eastAsia="en-US"/>
    </w:rPr>
  </w:style>
  <w:style w:type="table" w:customStyle="1" w:styleId="1192">
    <w:name w:val="1 武两表格"/>
    <w:basedOn w:val="77"/>
    <w:qFormat/>
    <w:uiPriority w:val="99"/>
    <w:pPr>
      <w:adjustRightInd w:val="0"/>
      <w:snapToGrid w:val="0"/>
      <w:jc w:val="center"/>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paragraph" w:customStyle="1" w:styleId="1193">
    <w:name w:val="Char Char Char Char Char Char Char Char Char Char Char Char Char Char Char Char Char Char Char Char Char Char"/>
    <w:basedOn w:val="1"/>
    <w:qFormat/>
    <w:uiPriority w:val="0"/>
    <w:rPr>
      <w:rFonts w:ascii="宋体" w:hAnsi="宋体" w:eastAsia="仿宋_GB2312" w:cs="Courier New"/>
      <w:sz w:val="32"/>
      <w:szCs w:val="32"/>
    </w:rPr>
  </w:style>
  <w:style w:type="paragraph" w:customStyle="1" w:styleId="1194">
    <w:name w:val="reader-word-layer reader-word-s1-7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95">
    <w:name w:val="签字页"/>
    <w:basedOn w:val="1"/>
    <w:qFormat/>
    <w:uiPriority w:val="0"/>
    <w:pPr>
      <w:widowControl/>
      <w:tabs>
        <w:tab w:val="left" w:pos="-24"/>
      </w:tabs>
      <w:spacing w:line="0" w:lineRule="atLeast"/>
      <w:jc w:val="center"/>
      <w:textAlignment w:val="baseline"/>
    </w:pPr>
    <w:rPr>
      <w:rFonts w:ascii="宋体" w:hAnsi="宋体"/>
      <w:b/>
      <w:bCs/>
      <w:color w:val="000000"/>
      <w:kern w:val="0"/>
      <w:szCs w:val="20"/>
      <w:u w:color="000000"/>
    </w:rPr>
  </w:style>
  <w:style w:type="paragraph" w:customStyle="1" w:styleId="1196">
    <w:name w:val="xl6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16"/>
      <w:szCs w:val="16"/>
    </w:rPr>
  </w:style>
  <w:style w:type="paragraph" w:customStyle="1" w:styleId="1197">
    <w:name w:val="hb2"/>
    <w:basedOn w:val="4"/>
    <w:qFormat/>
    <w:uiPriority w:val="0"/>
    <w:pPr>
      <w:adjustRightInd w:val="0"/>
      <w:spacing w:line="500" w:lineRule="exact"/>
      <w:ind w:firstLine="490"/>
      <w:jc w:val="left"/>
      <w:textAlignment w:val="baseline"/>
    </w:pPr>
    <w:rPr>
      <w:rFonts w:ascii="Arial Narrow" w:hAnsi="Arial Narrow" w:eastAsia="汉鼎简书宋"/>
      <w:bCs/>
      <w:szCs w:val="28"/>
    </w:rPr>
  </w:style>
  <w:style w:type="paragraph" w:customStyle="1" w:styleId="1198">
    <w:name w:val="Char Char Char2 Char Char"/>
    <w:basedOn w:val="1"/>
    <w:qFormat/>
    <w:uiPriority w:val="0"/>
    <w:pPr>
      <w:spacing w:line="360" w:lineRule="auto"/>
      <w:ind w:firstLine="200" w:firstLineChars="200"/>
    </w:pPr>
    <w:rPr>
      <w:rFonts w:ascii="宋体" w:hAnsi="宋体" w:cs="宋体"/>
      <w:sz w:val="24"/>
      <w:szCs w:val="24"/>
    </w:rPr>
  </w:style>
  <w:style w:type="paragraph" w:customStyle="1" w:styleId="1199">
    <w:name w:val="gg_body"/>
    <w:basedOn w:val="1"/>
    <w:qFormat/>
    <w:uiPriority w:val="0"/>
    <w:pPr>
      <w:spacing w:line="440" w:lineRule="exact"/>
      <w:ind w:firstLine="200" w:firstLineChars="200"/>
    </w:pPr>
    <w:rPr>
      <w:rFonts w:ascii="宋体" w:hAnsi="宋体"/>
      <w:sz w:val="24"/>
      <w:szCs w:val="20"/>
    </w:rPr>
  </w:style>
  <w:style w:type="paragraph" w:customStyle="1" w:styleId="1200">
    <w:name w:val="xl29"/>
    <w:basedOn w:val="1"/>
    <w:qFormat/>
    <w:uiPriority w:val="0"/>
    <w:pPr>
      <w:widowControl/>
      <w:pBdr>
        <w:left w:val="single" w:color="auto" w:sz="8" w:space="0"/>
        <w:bottom w:val="single" w:color="auto" w:sz="8" w:space="0"/>
        <w:right w:val="single" w:color="auto" w:sz="4" w:space="0"/>
      </w:pBdr>
      <w:spacing w:before="100" w:after="100"/>
      <w:jc w:val="center"/>
    </w:pPr>
    <w:rPr>
      <w:rFonts w:ascii="Arial Unicode MS" w:hAnsi="Arial Unicode MS" w:eastAsia="Arial Unicode MS"/>
      <w:color w:val="000000"/>
      <w:kern w:val="0"/>
      <w:szCs w:val="20"/>
    </w:rPr>
  </w:style>
  <w:style w:type="paragraph" w:customStyle="1" w:styleId="1201">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Arial Unicode MS" w:hAnsi="Arial Unicode MS"/>
      <w:kern w:val="0"/>
      <w:sz w:val="18"/>
      <w:szCs w:val="18"/>
    </w:rPr>
  </w:style>
  <w:style w:type="paragraph" w:customStyle="1" w:styleId="1202">
    <w:name w:val="Char5 Char Char Char1"/>
    <w:basedOn w:val="23"/>
    <w:qFormat/>
    <w:uiPriority w:val="0"/>
    <w:pPr>
      <w:shd w:val="clear" w:color="auto" w:fill="000080"/>
      <w:adjustRightInd w:val="0"/>
      <w:spacing w:line="436" w:lineRule="exact"/>
      <w:ind w:left="357"/>
      <w:jc w:val="left"/>
      <w:outlineLvl w:val="3"/>
    </w:pPr>
    <w:rPr>
      <w:rFonts w:hint="eastAsia" w:ascii="Tahoma" w:hAnsi="Tahoma"/>
      <w:b/>
      <w:sz w:val="24"/>
      <w:szCs w:val="28"/>
    </w:rPr>
  </w:style>
  <w:style w:type="paragraph" w:customStyle="1" w:styleId="1203">
    <w:name w:val="正文文字2"/>
    <w:basedOn w:val="1"/>
    <w:qFormat/>
    <w:uiPriority w:val="0"/>
    <w:pPr>
      <w:spacing w:line="360" w:lineRule="auto"/>
      <w:ind w:firstLine="480" w:firstLineChars="200"/>
    </w:pPr>
    <w:rPr>
      <w:sz w:val="24"/>
      <w:szCs w:val="24"/>
    </w:rPr>
  </w:style>
  <w:style w:type="paragraph" w:customStyle="1" w:styleId="1204">
    <w:name w:val="HP3"/>
    <w:qFormat/>
    <w:uiPriority w:val="0"/>
    <w:rPr>
      <w:rFonts w:ascii="宋体" w:hAnsi="宋体" w:eastAsia="宋体" w:cs="Times New Roman"/>
      <w:b/>
      <w:kern w:val="2"/>
      <w:sz w:val="24"/>
      <w:szCs w:val="24"/>
      <w:lang w:val="en-US" w:eastAsia="zh-CN" w:bidi="ar-SA"/>
    </w:rPr>
  </w:style>
  <w:style w:type="paragraph" w:customStyle="1" w:styleId="1205">
    <w:name w:val="xl34"/>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206">
    <w:name w:val="图中文字"/>
    <w:basedOn w:val="1"/>
    <w:qFormat/>
    <w:uiPriority w:val="0"/>
    <w:pPr>
      <w:tabs>
        <w:tab w:val="left" w:pos="1701"/>
      </w:tabs>
      <w:adjustRightInd w:val="0"/>
      <w:snapToGrid w:val="0"/>
      <w:ind w:firstLine="420" w:firstLineChars="200"/>
      <w:jc w:val="left"/>
    </w:pPr>
    <w:rPr>
      <w:szCs w:val="24"/>
    </w:rPr>
  </w:style>
  <w:style w:type="paragraph" w:customStyle="1" w:styleId="1207">
    <w:name w:val="reader-word-layer reader-word-s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08">
    <w:name w:val="样式 左侧:  0.85 厘米 首行缩进:  0 字符"/>
    <w:basedOn w:val="1"/>
    <w:qFormat/>
    <w:uiPriority w:val="0"/>
    <w:pPr>
      <w:topLinePunct/>
      <w:spacing w:line="529" w:lineRule="exact"/>
      <w:ind w:left="480"/>
    </w:pPr>
    <w:rPr>
      <w:rFonts w:eastAsia="汉鼎简书宋" w:cs="宋体"/>
      <w:sz w:val="24"/>
      <w:szCs w:val="20"/>
    </w:rPr>
  </w:style>
  <w:style w:type="paragraph" w:customStyle="1" w:styleId="1209">
    <w:name w:val="表内文字"/>
    <w:basedOn w:val="1"/>
    <w:qFormat/>
    <w:uiPriority w:val="0"/>
    <w:pPr>
      <w:widowControl/>
      <w:autoSpaceDE w:val="0"/>
      <w:autoSpaceDN w:val="0"/>
      <w:adjustRightInd w:val="0"/>
      <w:snapToGrid w:val="0"/>
      <w:spacing w:line="360" w:lineRule="auto"/>
      <w:jc w:val="center"/>
      <w:textAlignment w:val="baseline"/>
    </w:pPr>
    <w:rPr>
      <w:rFonts w:ascii="宋体" w:hAnsi="宋体"/>
      <w:kern w:val="0"/>
      <w:szCs w:val="20"/>
    </w:rPr>
  </w:style>
  <w:style w:type="paragraph" w:customStyle="1" w:styleId="1210">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211">
    <w:name w:val="正文01"/>
    <w:basedOn w:val="1"/>
    <w:link w:val="2084"/>
    <w:qFormat/>
    <w:uiPriority w:val="0"/>
    <w:pPr>
      <w:spacing w:before="60" w:line="460" w:lineRule="exact"/>
      <w:ind w:firstLine="200" w:firstLineChars="200"/>
    </w:pPr>
    <w:rPr>
      <w:bCs/>
      <w:sz w:val="24"/>
      <w:szCs w:val="24"/>
    </w:rPr>
  </w:style>
  <w:style w:type="paragraph" w:customStyle="1" w:styleId="1212">
    <w:name w:val="表标题"/>
    <w:basedOn w:val="74"/>
    <w:qFormat/>
    <w:uiPriority w:val="0"/>
    <w:pPr>
      <w:spacing w:after="0"/>
      <w:ind w:firstLine="0" w:firstLineChars="0"/>
      <w:jc w:val="center"/>
    </w:pPr>
    <w:rPr>
      <w:rFonts w:ascii="宋体" w:hAnsi="宋体"/>
    </w:rPr>
  </w:style>
  <w:style w:type="paragraph" w:customStyle="1" w:styleId="1213">
    <w:name w:val="hb3"/>
    <w:basedOn w:val="5"/>
    <w:qFormat/>
    <w:uiPriority w:val="0"/>
    <w:pPr>
      <w:adjustRightInd w:val="0"/>
      <w:spacing w:before="60" w:after="60" w:line="500" w:lineRule="exact"/>
      <w:textAlignment w:val="baseline"/>
      <w:outlineLvl w:val="9"/>
    </w:pPr>
    <w:rPr>
      <w:rFonts w:ascii="宋体" w:hAnsi="宋体"/>
      <w:sz w:val="24"/>
    </w:rPr>
  </w:style>
  <w:style w:type="paragraph" w:customStyle="1" w:styleId="1214">
    <w:name w:val="页眉3"/>
    <w:basedOn w:val="1"/>
    <w:qFormat/>
    <w:uiPriority w:val="0"/>
    <w:pPr>
      <w:pBdr>
        <w:bottom w:val="single" w:color="auto" w:sz="6" w:space="1"/>
      </w:pBdr>
      <w:tabs>
        <w:tab w:val="center" w:pos="4153"/>
        <w:tab w:val="right" w:pos="8306"/>
      </w:tabs>
      <w:snapToGrid w:val="0"/>
      <w:jc w:val="center"/>
    </w:pPr>
    <w:rPr>
      <w:rFonts w:cs="Calibri"/>
      <w:sz w:val="18"/>
      <w:szCs w:val="18"/>
    </w:rPr>
  </w:style>
  <w:style w:type="paragraph" w:customStyle="1" w:styleId="1215">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16"/>
      <w:szCs w:val="16"/>
    </w:rPr>
  </w:style>
  <w:style w:type="paragraph" w:customStyle="1" w:styleId="1216">
    <w:name w:val="CM2"/>
    <w:basedOn w:val="1"/>
    <w:next w:val="1"/>
    <w:qFormat/>
    <w:uiPriority w:val="0"/>
    <w:pPr>
      <w:autoSpaceDE w:val="0"/>
      <w:autoSpaceDN w:val="0"/>
      <w:adjustRightInd w:val="0"/>
      <w:spacing w:line="468" w:lineRule="atLeast"/>
      <w:jc w:val="left"/>
    </w:pPr>
    <w:rPr>
      <w:kern w:val="0"/>
      <w:sz w:val="24"/>
      <w:szCs w:val="24"/>
    </w:rPr>
  </w:style>
  <w:style w:type="paragraph" w:customStyle="1" w:styleId="1217">
    <w:name w:val="xl109"/>
    <w:basedOn w:val="1"/>
    <w:qFormat/>
    <w:uiPriority w:val="0"/>
    <w:pPr>
      <w:widowControl/>
      <w:pBdr>
        <w:bottom w:val="single" w:color="auto" w:sz="4" w:space="0"/>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1218">
    <w:name w:val="8"/>
    <w:basedOn w:val="1"/>
    <w:next w:val="19"/>
    <w:qFormat/>
    <w:uiPriority w:val="0"/>
    <w:pPr>
      <w:spacing w:line="500" w:lineRule="exact"/>
      <w:ind w:firstLine="200" w:firstLineChars="200"/>
    </w:pPr>
    <w:rPr>
      <w:sz w:val="24"/>
      <w:szCs w:val="20"/>
    </w:rPr>
  </w:style>
  <w:style w:type="paragraph" w:customStyle="1" w:styleId="1219">
    <w:name w:val="样式22"/>
    <w:basedOn w:val="1"/>
    <w:qFormat/>
    <w:uiPriority w:val="0"/>
    <w:pPr>
      <w:adjustRightInd w:val="0"/>
      <w:snapToGrid w:val="0"/>
      <w:spacing w:line="348" w:lineRule="auto"/>
      <w:ind w:firstLine="520" w:firstLineChars="200"/>
    </w:pPr>
    <w:rPr>
      <w:sz w:val="28"/>
      <w:szCs w:val="28"/>
    </w:rPr>
  </w:style>
  <w:style w:type="paragraph" w:customStyle="1" w:styleId="1220">
    <w:name w:val="reader-word-layer reader-word-s58-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1">
    <w:name w:val="Char Char Char Char Char Char1 Char"/>
    <w:basedOn w:val="1"/>
    <w:qFormat/>
    <w:uiPriority w:val="0"/>
    <w:rPr>
      <w:szCs w:val="21"/>
    </w:rPr>
  </w:style>
  <w:style w:type="paragraph" w:customStyle="1" w:styleId="122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223">
    <w:name w:val="样式 样式 宋体 小四 行距: 1.5 倍行距 + Times New Roman 黑色 首行缩进:  2 字符"/>
    <w:basedOn w:val="523"/>
    <w:qFormat/>
    <w:uiPriority w:val="0"/>
    <w:rPr>
      <w:rFonts w:ascii="Times New Roman" w:hAnsi="Times New Roman"/>
      <w:color w:val="000000"/>
    </w:rPr>
  </w:style>
  <w:style w:type="paragraph" w:customStyle="1" w:styleId="1224">
    <w:name w:val="样式 行距: 最小值 20 磅"/>
    <w:basedOn w:val="1"/>
    <w:next w:val="31"/>
    <w:qFormat/>
    <w:uiPriority w:val="0"/>
    <w:pPr>
      <w:adjustRightInd w:val="0"/>
      <w:spacing w:line="400" w:lineRule="atLeast"/>
      <w:ind w:firstLine="200" w:firstLineChars="200"/>
      <w:jc w:val="left"/>
      <w:textAlignment w:val="baseline"/>
    </w:pPr>
    <w:rPr>
      <w:kern w:val="0"/>
      <w:sz w:val="24"/>
      <w:szCs w:val="24"/>
    </w:rPr>
  </w:style>
  <w:style w:type="paragraph" w:customStyle="1" w:styleId="1225">
    <w:name w:val="目录1"/>
    <w:basedOn w:val="1"/>
    <w:next w:val="1"/>
    <w:qFormat/>
    <w:uiPriority w:val="0"/>
    <w:pPr>
      <w:widowControl/>
      <w:tabs>
        <w:tab w:val="left" w:leader="dot" w:pos="8503"/>
      </w:tabs>
      <w:spacing w:after="102" w:line="215" w:lineRule="atLeast"/>
      <w:ind w:firstLine="419"/>
      <w:jc w:val="left"/>
      <w:textAlignment w:val="baseline"/>
    </w:pPr>
    <w:rPr>
      <w:color w:val="000000"/>
      <w:kern w:val="0"/>
      <w:szCs w:val="20"/>
      <w:u w:color="000000"/>
    </w:rPr>
  </w:style>
  <w:style w:type="paragraph" w:customStyle="1" w:styleId="1226">
    <w:name w:val="Char1 Char Char Char"/>
    <w:basedOn w:val="23"/>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227">
    <w:name w:val="纯文本2"/>
    <w:basedOn w:val="1"/>
    <w:qFormat/>
    <w:uiPriority w:val="0"/>
    <w:pPr>
      <w:adjustRightInd w:val="0"/>
      <w:textAlignment w:val="baseline"/>
    </w:pPr>
    <w:rPr>
      <w:rFonts w:ascii="宋体"/>
      <w:kern w:val="0"/>
      <w:szCs w:val="20"/>
    </w:rPr>
  </w:style>
  <w:style w:type="paragraph" w:customStyle="1" w:styleId="1228">
    <w:name w:val="xl5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1229">
    <w:name w:val="xl139"/>
    <w:basedOn w:val="1"/>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center"/>
    </w:pPr>
    <w:rPr>
      <w:rFonts w:ascii="Arial Unicode MS" w:hAnsi="Arial Unicode MS" w:cs="Arial Unicode MS"/>
      <w:color w:val="FF0000"/>
      <w:kern w:val="0"/>
      <w:sz w:val="20"/>
      <w:szCs w:val="20"/>
    </w:rPr>
  </w:style>
  <w:style w:type="paragraph" w:customStyle="1" w:styleId="1230">
    <w:name w:val="xl10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231">
    <w:name w:val="reader-word-layer reader-word-s58-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32">
    <w:name w:val="正文文本 23"/>
    <w:basedOn w:val="1"/>
    <w:qFormat/>
    <w:uiPriority w:val="0"/>
    <w:pPr>
      <w:adjustRightInd w:val="0"/>
      <w:spacing w:line="360" w:lineRule="auto"/>
      <w:ind w:firstLine="567"/>
      <w:jc w:val="left"/>
      <w:textAlignment w:val="baseline"/>
    </w:pPr>
    <w:rPr>
      <w:sz w:val="28"/>
      <w:szCs w:val="20"/>
    </w:rPr>
  </w:style>
  <w:style w:type="paragraph" w:customStyle="1" w:styleId="1233">
    <w:name w:val="text"/>
    <w:basedOn w:val="1"/>
    <w:qFormat/>
    <w:uiPriority w:val="0"/>
    <w:pPr>
      <w:widowControl/>
      <w:pBdr>
        <w:top w:val="single" w:color="9CDB73" w:sz="6" w:space="0"/>
        <w:left w:val="single" w:color="9CDB73" w:sz="6" w:space="0"/>
        <w:bottom w:val="single" w:color="9CDB73" w:sz="6" w:space="0"/>
        <w:right w:val="single" w:color="9CDB73" w:sz="6" w:space="0"/>
      </w:pBdr>
      <w:shd w:val="clear" w:color="auto" w:fill="F8FFE8"/>
      <w:spacing w:before="100" w:beforeAutospacing="1" w:after="100" w:afterAutospacing="1" w:line="320" w:lineRule="atLeast"/>
      <w:jc w:val="left"/>
    </w:pPr>
    <w:rPr>
      <w:rFonts w:hint="eastAsia" w:ascii="宋体" w:hAnsi="宋体"/>
      <w:kern w:val="0"/>
      <w:sz w:val="18"/>
      <w:szCs w:val="20"/>
    </w:rPr>
  </w:style>
  <w:style w:type="paragraph" w:customStyle="1" w:styleId="1234">
    <w:name w:val="b"/>
    <w:basedOn w:val="4"/>
    <w:qFormat/>
    <w:uiPriority w:val="0"/>
    <w:pPr>
      <w:widowControl/>
      <w:adjustRightInd w:val="0"/>
      <w:spacing w:before="50" w:beforeLines="50" w:after="50" w:afterLines="50"/>
      <w:textAlignment w:val="baseline"/>
    </w:pPr>
    <w:rPr>
      <w:rFonts w:eastAsia="仿宋_GB2312"/>
      <w:b w:val="0"/>
      <w:color w:val="000000"/>
    </w:rPr>
  </w:style>
  <w:style w:type="paragraph" w:customStyle="1" w:styleId="1235">
    <w:name w:val="Char2 Char Char Char Char Char Char Char Char Char Char Char Char1"/>
    <w:basedOn w:val="1"/>
    <w:next w:val="1"/>
    <w:qFormat/>
    <w:uiPriority w:val="0"/>
    <w:pPr>
      <w:spacing w:line="360" w:lineRule="auto"/>
      <w:ind w:firstLine="200" w:firstLineChars="200"/>
    </w:pPr>
    <w:rPr>
      <w:rFonts w:ascii="宋体" w:hAnsi="宋体" w:cs="宋体"/>
      <w:sz w:val="24"/>
      <w:szCs w:val="24"/>
    </w:rPr>
  </w:style>
  <w:style w:type="paragraph" w:customStyle="1" w:styleId="1236">
    <w:name w:val="font10"/>
    <w:basedOn w:val="1"/>
    <w:qFormat/>
    <w:uiPriority w:val="0"/>
    <w:pPr>
      <w:widowControl/>
      <w:spacing w:before="100" w:beforeAutospacing="1" w:after="100" w:afterAutospacing="1"/>
      <w:jc w:val="left"/>
    </w:pPr>
    <w:rPr>
      <w:rFonts w:ascii="宋体" w:hAnsi="宋体"/>
      <w:kern w:val="0"/>
      <w:sz w:val="16"/>
      <w:szCs w:val="16"/>
    </w:rPr>
  </w:style>
  <w:style w:type="paragraph" w:customStyle="1" w:styleId="1237">
    <w:name w:val="xl45"/>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238">
    <w:name w:val="正文首行缩进2字符"/>
    <w:qFormat/>
    <w:uiPriority w:val="0"/>
    <w:pPr>
      <w:widowControl w:val="0"/>
      <w:tabs>
        <w:tab w:val="left" w:pos="2910"/>
      </w:tabs>
      <w:spacing w:line="360" w:lineRule="auto"/>
      <w:ind w:firstLine="420" w:firstLineChars="150"/>
      <w:jc w:val="both"/>
    </w:pPr>
    <w:rPr>
      <w:rFonts w:ascii="Times New Roman" w:hAnsi="Times New Roman" w:eastAsia="宋体" w:cs="Times New Roman"/>
      <w:sz w:val="28"/>
      <w:szCs w:val="28"/>
      <w:lang w:val="en-US" w:eastAsia="zh-CN" w:bidi="ar-SA"/>
    </w:rPr>
  </w:style>
  <w:style w:type="paragraph" w:customStyle="1" w:styleId="1239">
    <w:name w:val="xl122"/>
    <w:basedOn w:val="1"/>
    <w:qFormat/>
    <w:uiPriority w:val="0"/>
    <w:pPr>
      <w:widowControl/>
      <w:pBdr>
        <w:top w:val="single" w:color="auto" w:sz="4" w:space="0"/>
        <w:bottom w:val="single" w:color="auto" w:sz="4" w:space="0"/>
      </w:pBdr>
      <w:spacing w:before="100" w:beforeAutospacing="1" w:after="100" w:afterAutospacing="1"/>
      <w:jc w:val="right"/>
    </w:pPr>
    <w:rPr>
      <w:rFonts w:ascii="Arial Unicode MS" w:hAnsi="Arial Unicode MS"/>
      <w:kern w:val="0"/>
      <w:sz w:val="20"/>
      <w:szCs w:val="20"/>
    </w:rPr>
  </w:style>
  <w:style w:type="paragraph" w:customStyle="1" w:styleId="124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12"/>
      <w:szCs w:val="12"/>
    </w:rPr>
  </w:style>
  <w:style w:type="paragraph" w:customStyle="1" w:styleId="1241">
    <w:name w:val="xl56"/>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16"/>
      <w:szCs w:val="16"/>
    </w:rPr>
  </w:style>
  <w:style w:type="paragraph" w:customStyle="1" w:styleId="1242">
    <w:name w:val="批注框文本 Char Char"/>
    <w:basedOn w:val="1"/>
    <w:qFormat/>
    <w:uiPriority w:val="0"/>
    <w:pPr>
      <w:spacing w:line="440" w:lineRule="exact"/>
      <w:ind w:firstLine="200" w:firstLineChars="200"/>
    </w:pPr>
    <w:rPr>
      <w:sz w:val="18"/>
      <w:szCs w:val="20"/>
    </w:rPr>
  </w:style>
  <w:style w:type="paragraph" w:customStyle="1" w:styleId="1243">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4"/>
      <w:szCs w:val="24"/>
    </w:rPr>
  </w:style>
  <w:style w:type="paragraph" w:customStyle="1" w:styleId="1244">
    <w:name w:val="表样式"/>
    <w:basedOn w:val="1"/>
    <w:qFormat/>
    <w:uiPriority w:val="0"/>
    <w:pPr>
      <w:jc w:val="center"/>
    </w:pPr>
    <w:rPr>
      <w:rFonts w:ascii="仿宋_GB2312" w:eastAsia="黑体"/>
      <w:szCs w:val="24"/>
    </w:rPr>
  </w:style>
  <w:style w:type="paragraph" w:customStyle="1" w:styleId="1245">
    <w:name w:val="xl66"/>
    <w:basedOn w:val="1"/>
    <w:qFormat/>
    <w:uiPriority w:val="0"/>
    <w:pPr>
      <w:widowControl/>
      <w:pBdr>
        <w:top w:val="single" w:color="auto" w:sz="4" w:space="0"/>
        <w:left w:val="single" w:color="auto" w:sz="4" w:space="0"/>
      </w:pBdr>
      <w:spacing w:before="100" w:beforeAutospacing="1" w:after="100" w:afterAutospacing="1"/>
      <w:jc w:val="right"/>
    </w:pPr>
    <w:rPr>
      <w:rFonts w:ascii="宋体" w:hAnsi="宋体"/>
      <w:b/>
      <w:bCs/>
      <w:kern w:val="0"/>
      <w:sz w:val="16"/>
      <w:szCs w:val="16"/>
    </w:rPr>
  </w:style>
  <w:style w:type="paragraph" w:customStyle="1" w:styleId="1246">
    <w:name w:val="！标题1 Alt+1"/>
    <w:basedOn w:val="1"/>
    <w:next w:val="834"/>
    <w:qFormat/>
    <w:uiPriority w:val="0"/>
    <w:pPr>
      <w:shd w:val="pct10" w:color="auto" w:fill="auto"/>
      <w:tabs>
        <w:tab w:val="left" w:pos="0"/>
      </w:tabs>
      <w:spacing w:beforeLines="100"/>
      <w:jc w:val="center"/>
      <w:outlineLvl w:val="0"/>
    </w:pPr>
    <w:rPr>
      <w:rFonts w:eastAsia="黑体"/>
      <w:spacing w:val="20"/>
      <w:w w:val="110"/>
      <w:sz w:val="32"/>
      <w:szCs w:val="32"/>
    </w:rPr>
  </w:style>
  <w:style w:type="paragraph" w:customStyle="1" w:styleId="1247">
    <w:name w:val="投标表格五号"/>
    <w:basedOn w:val="1"/>
    <w:qFormat/>
    <w:uiPriority w:val="0"/>
    <w:pPr>
      <w:jc w:val="left"/>
    </w:pPr>
    <w:rPr>
      <w:rFonts w:ascii="Verdana" w:hAnsi="Verdana"/>
      <w:szCs w:val="28"/>
    </w:rPr>
  </w:style>
  <w:style w:type="paragraph" w:customStyle="1" w:styleId="1248">
    <w:name w:val="图形中文字"/>
    <w:basedOn w:val="1"/>
    <w:qFormat/>
    <w:uiPriority w:val="0"/>
    <w:pPr>
      <w:autoSpaceDE w:val="0"/>
      <w:autoSpaceDN w:val="0"/>
      <w:adjustRightInd w:val="0"/>
      <w:jc w:val="center"/>
    </w:pPr>
    <w:rPr>
      <w:rFonts w:ascii="宋体" w:hAnsi="Tms Rmn"/>
      <w:kern w:val="0"/>
      <w:sz w:val="24"/>
      <w:szCs w:val="20"/>
    </w:rPr>
  </w:style>
  <w:style w:type="paragraph" w:customStyle="1" w:styleId="1249">
    <w:name w:val="样式9"/>
    <w:basedOn w:val="1"/>
    <w:qFormat/>
    <w:uiPriority w:val="0"/>
    <w:pPr>
      <w:spacing w:before="120" w:after="120" w:line="500" w:lineRule="exact"/>
    </w:pPr>
    <w:rPr>
      <w:rFonts w:ascii="黑体" w:hAnsi="宋体" w:eastAsia="黑体"/>
      <w:b/>
      <w:bCs/>
      <w:sz w:val="44"/>
      <w:szCs w:val="24"/>
    </w:rPr>
  </w:style>
  <w:style w:type="paragraph" w:customStyle="1" w:styleId="1250">
    <w:name w:val="pra"/>
    <w:basedOn w:val="1"/>
    <w:qFormat/>
    <w:uiPriority w:val="0"/>
    <w:pPr>
      <w:widowControl/>
      <w:spacing w:before="100" w:beforeAutospacing="1" w:after="100" w:afterAutospacing="1" w:line="440" w:lineRule="exact"/>
      <w:ind w:firstLine="480" w:firstLineChars="200"/>
      <w:jc w:val="left"/>
    </w:pPr>
    <w:rPr>
      <w:rFonts w:ascii="Arial Unicode MS" w:hAnsi="Arial Unicode MS" w:eastAsia="Arial Unicode MS"/>
      <w:kern w:val="0"/>
      <w:sz w:val="24"/>
      <w:szCs w:val="20"/>
    </w:rPr>
  </w:style>
  <w:style w:type="paragraph" w:customStyle="1" w:styleId="1251">
    <w:name w:val="reader-word-layer reader-word-s58-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52">
    <w:name w:val="xl78"/>
    <w:basedOn w:val="1"/>
    <w:qFormat/>
    <w:uiPriority w:val="0"/>
    <w:pPr>
      <w:widowControl/>
      <w:spacing w:before="100" w:beforeAutospacing="1" w:after="100" w:afterAutospacing="1"/>
      <w:jc w:val="left"/>
    </w:pPr>
    <w:rPr>
      <w:rFonts w:ascii="宋体" w:hAnsi="宋体"/>
      <w:kern w:val="0"/>
      <w:sz w:val="16"/>
      <w:szCs w:val="16"/>
    </w:rPr>
  </w:style>
  <w:style w:type="paragraph" w:customStyle="1" w:styleId="1253">
    <w:name w:val="Para 2 bullet"/>
    <w:basedOn w:val="1"/>
    <w:qFormat/>
    <w:uiPriority w:val="0"/>
    <w:pPr>
      <w:widowControl/>
      <w:spacing w:after="60" w:line="300" w:lineRule="auto"/>
      <w:jc w:val="left"/>
    </w:pPr>
    <w:rPr>
      <w:color w:val="000000"/>
      <w:kern w:val="0"/>
      <w:sz w:val="22"/>
      <w:lang w:val="en-GB" w:eastAsia="en-US"/>
    </w:rPr>
  </w:style>
  <w:style w:type="paragraph" w:customStyle="1" w:styleId="1254">
    <w:name w:val="reader-word-layer reader-word-s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55">
    <w:name w:val="Char Char Char1 Char"/>
    <w:basedOn w:val="1"/>
    <w:next w:val="1"/>
    <w:qFormat/>
    <w:uiPriority w:val="0"/>
    <w:pPr>
      <w:spacing w:line="360" w:lineRule="auto"/>
      <w:ind w:firstLine="200" w:firstLineChars="200"/>
    </w:pPr>
    <w:rPr>
      <w:rFonts w:ascii="宋体" w:hAnsi="宋体" w:cs="宋体"/>
      <w:sz w:val="24"/>
      <w:szCs w:val="24"/>
    </w:rPr>
  </w:style>
  <w:style w:type="paragraph" w:customStyle="1" w:styleId="1256">
    <w:name w:val="reader-word-layer reader-word-s1-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57">
    <w:name w:val="xl6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16"/>
      <w:szCs w:val="16"/>
    </w:rPr>
  </w:style>
  <w:style w:type="paragraph" w:customStyle="1" w:styleId="1258">
    <w:name w:val="表格项目名称(五号)"/>
    <w:basedOn w:val="1"/>
    <w:qFormat/>
    <w:uiPriority w:val="0"/>
    <w:pPr>
      <w:jc w:val="center"/>
    </w:pPr>
    <w:rPr>
      <w:snapToGrid w:val="0"/>
      <w:kern w:val="0"/>
      <w:szCs w:val="28"/>
    </w:rPr>
  </w:style>
  <w:style w:type="paragraph" w:customStyle="1" w:styleId="1259">
    <w:name w:val="表格居中"/>
    <w:qFormat/>
    <w:uiPriority w:val="0"/>
    <w:pPr>
      <w:widowControl w:val="0"/>
      <w:jc w:val="center"/>
    </w:pPr>
    <w:rPr>
      <w:rFonts w:ascii="宋体" w:hAnsi="Arial" w:eastAsia="宋体" w:cs="Times New Roman"/>
      <w:kern w:val="2"/>
      <w:sz w:val="21"/>
      <w:lang w:val="en-US" w:eastAsia="zh-CN" w:bidi="ar-SA"/>
    </w:rPr>
  </w:style>
  <w:style w:type="paragraph" w:customStyle="1" w:styleId="1260">
    <w:name w:val="reader-word-layer reader-word-s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61">
    <w:name w:val="4"/>
    <w:basedOn w:val="1"/>
    <w:next w:val="19"/>
    <w:qFormat/>
    <w:uiPriority w:val="0"/>
    <w:pPr>
      <w:ind w:firstLine="420"/>
    </w:pPr>
    <w:rPr>
      <w:szCs w:val="20"/>
    </w:rPr>
  </w:style>
  <w:style w:type="paragraph" w:customStyle="1" w:styleId="1262">
    <w:name w:val="图片格式"/>
    <w:basedOn w:val="1"/>
    <w:next w:val="1"/>
    <w:qFormat/>
    <w:uiPriority w:val="0"/>
    <w:pPr>
      <w:spacing w:line="348" w:lineRule="auto"/>
      <w:jc w:val="center"/>
    </w:pPr>
    <w:rPr>
      <w:sz w:val="24"/>
      <w:szCs w:val="24"/>
    </w:rPr>
  </w:style>
  <w:style w:type="paragraph" w:customStyle="1" w:styleId="1263">
    <w:name w:val="Char Char Char1 Char1"/>
    <w:basedOn w:val="1"/>
    <w:next w:val="1"/>
    <w:qFormat/>
    <w:uiPriority w:val="0"/>
    <w:pPr>
      <w:spacing w:line="360" w:lineRule="auto"/>
      <w:ind w:firstLine="200" w:firstLineChars="200"/>
    </w:pPr>
    <w:rPr>
      <w:rFonts w:ascii="宋体" w:hAnsi="宋体" w:cs="宋体"/>
      <w:sz w:val="24"/>
      <w:szCs w:val="24"/>
    </w:rPr>
  </w:style>
  <w:style w:type="paragraph" w:customStyle="1" w:styleId="1264">
    <w:name w:val="font11"/>
    <w:basedOn w:val="1"/>
    <w:qFormat/>
    <w:uiPriority w:val="0"/>
    <w:pPr>
      <w:widowControl/>
      <w:spacing w:before="100" w:beforeAutospacing="1" w:after="100" w:afterAutospacing="1"/>
      <w:jc w:val="left"/>
    </w:pPr>
    <w:rPr>
      <w:b/>
      <w:bCs/>
      <w:kern w:val="0"/>
      <w:sz w:val="16"/>
      <w:szCs w:val="16"/>
    </w:rPr>
  </w:style>
  <w:style w:type="paragraph" w:customStyle="1" w:styleId="1265">
    <w:name w:val="图表头"/>
    <w:basedOn w:val="1"/>
    <w:next w:val="1"/>
    <w:qFormat/>
    <w:uiPriority w:val="0"/>
    <w:pPr>
      <w:tabs>
        <w:tab w:val="left" w:pos="360"/>
      </w:tabs>
      <w:spacing w:before="234" w:beforeLines="75" w:after="78" w:afterLines="25" w:line="460" w:lineRule="exact"/>
      <w:jc w:val="center"/>
    </w:pPr>
    <w:rPr>
      <w:rFonts w:ascii="宋体" w:hAnsi="宋体" w:eastAsia="黑体"/>
      <w:sz w:val="24"/>
      <w:szCs w:val="20"/>
    </w:rPr>
  </w:style>
  <w:style w:type="paragraph" w:customStyle="1" w:styleId="1266">
    <w:name w:val="Char Char Char Char8"/>
    <w:basedOn w:val="1"/>
    <w:qFormat/>
    <w:uiPriority w:val="0"/>
    <w:rPr>
      <w:szCs w:val="24"/>
    </w:rPr>
  </w:style>
  <w:style w:type="paragraph" w:customStyle="1" w:styleId="1267">
    <w:name w:val="表1"/>
    <w:basedOn w:val="31"/>
    <w:qFormat/>
    <w:uiPriority w:val="0"/>
    <w:pPr>
      <w:autoSpaceDE w:val="0"/>
      <w:autoSpaceDN w:val="0"/>
      <w:adjustRightInd w:val="0"/>
      <w:spacing w:before="60" w:line="288" w:lineRule="auto"/>
      <w:ind w:left="0"/>
      <w:jc w:val="center"/>
    </w:pPr>
    <w:rPr>
      <w:rFonts w:ascii="Times New Roman" w:hAnsi="Times New Roman"/>
      <w:color w:val="000000"/>
      <w:kern w:val="2"/>
      <w:szCs w:val="20"/>
      <w:lang w:eastAsia="zh-CN"/>
    </w:rPr>
  </w:style>
  <w:style w:type="paragraph" w:customStyle="1" w:styleId="1268">
    <w:name w:val="xl127"/>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269">
    <w:name w:val="xl115"/>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270">
    <w:name w:val="reader-word-layer reader-word-s58-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1">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1272">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273">
    <w:name w:val="reader-word-layer reader-word-s55-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4">
    <w:name w:val="reader-word-layer reader-word-s53-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5">
    <w:name w:val="reader-word-layer reader-word-s53-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6">
    <w:name w:val="reader-word-layer reader-word-s53-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7">
    <w:name w:val="reader-word-layer reader-word-s53-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8">
    <w:name w:val="reader-word-layer reader-word-s16-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9">
    <w:name w:val="reader-word-layer reader-word-s16-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0">
    <w:name w:val="reader-word-layer reader-word-s16-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1">
    <w:name w:val="reader-word-layer reader-word-s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2">
    <w:name w:val="reader-word-layer reader-word-s1-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3">
    <w:name w:val="吴用表格"/>
    <w:basedOn w:val="1"/>
    <w:qFormat/>
    <w:uiPriority w:val="0"/>
    <w:pPr>
      <w:spacing w:line="320" w:lineRule="exact"/>
      <w:jc w:val="center"/>
    </w:pPr>
    <w:rPr>
      <w:rFonts w:ascii="Arial" w:hAnsi="Arial" w:cs="Arial"/>
      <w:szCs w:val="21"/>
    </w:rPr>
  </w:style>
  <w:style w:type="paragraph" w:customStyle="1" w:styleId="1284">
    <w:name w:val="Char1 Char Char Char1"/>
    <w:basedOn w:val="1"/>
    <w:qFormat/>
    <w:uiPriority w:val="0"/>
    <w:pPr>
      <w:widowControl/>
      <w:spacing w:after="160" w:line="240" w:lineRule="exact"/>
      <w:jc w:val="left"/>
    </w:pPr>
    <w:rPr>
      <w:szCs w:val="24"/>
    </w:rPr>
  </w:style>
  <w:style w:type="paragraph" w:customStyle="1" w:styleId="1285">
    <w:name w:val="标准样式"/>
    <w:link w:val="2087"/>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1286">
    <w:name w:val="标准样式1"/>
    <w:basedOn w:val="1"/>
    <w:qFormat/>
    <w:uiPriority w:val="0"/>
    <w:pPr>
      <w:spacing w:line="600" w:lineRule="exact"/>
      <w:ind w:firstLine="567"/>
    </w:pPr>
    <w:rPr>
      <w:rFonts w:ascii="宋体"/>
      <w:sz w:val="28"/>
      <w:szCs w:val="20"/>
    </w:rPr>
  </w:style>
  <w:style w:type="paragraph" w:customStyle="1" w:styleId="1287">
    <w:name w:val="Char1 Char Char Char2"/>
    <w:basedOn w:val="1"/>
    <w:qFormat/>
    <w:uiPriority w:val="0"/>
    <w:rPr>
      <w:rFonts w:ascii="Tahoma" w:hAnsi="Tahoma"/>
      <w:sz w:val="24"/>
      <w:szCs w:val="20"/>
    </w:rPr>
  </w:style>
  <w:style w:type="paragraph" w:customStyle="1" w:styleId="1288">
    <w:name w:val="默认段落字体 Para Char Char Char Char Char Char Char Char Char Char Char Char Char Char Char Char Char"/>
    <w:basedOn w:val="1"/>
    <w:qFormat/>
    <w:uiPriority w:val="0"/>
    <w:rPr>
      <w:szCs w:val="24"/>
    </w:rPr>
  </w:style>
  <w:style w:type="paragraph" w:customStyle="1" w:styleId="1289">
    <w:name w:val="Char Char Char Char Char Char Char Char Char Char Char Char Char Char Char Char Char Char Char Char Char Char1"/>
    <w:basedOn w:val="1"/>
    <w:qFormat/>
    <w:uiPriority w:val="0"/>
    <w:rPr>
      <w:rFonts w:ascii="宋体" w:hAnsi="宋体" w:eastAsia="仿宋_GB2312" w:cs="Courier New"/>
      <w:sz w:val="32"/>
      <w:szCs w:val="32"/>
    </w:rPr>
  </w:style>
  <w:style w:type="paragraph" w:customStyle="1" w:styleId="1290">
    <w:name w:val="修订1"/>
    <w:semiHidden/>
    <w:qFormat/>
    <w:uiPriority w:val="0"/>
    <w:rPr>
      <w:rFonts w:ascii="Times New Roman" w:hAnsi="Times New Roman" w:eastAsia="宋体" w:cs="Times New Roman"/>
      <w:kern w:val="2"/>
      <w:sz w:val="21"/>
      <w:szCs w:val="22"/>
      <w:lang w:val="en-US" w:eastAsia="zh-CN" w:bidi="ar-SA"/>
    </w:rPr>
  </w:style>
  <w:style w:type="paragraph" w:customStyle="1" w:styleId="1291">
    <w:name w:val="标题2-hao"/>
    <w:qFormat/>
    <w:uiPriority w:val="0"/>
    <w:pPr>
      <w:adjustRightInd w:val="0"/>
      <w:snapToGrid w:val="0"/>
      <w:spacing w:line="348" w:lineRule="auto"/>
      <w:outlineLvl w:val="1"/>
    </w:pPr>
    <w:rPr>
      <w:rFonts w:ascii="Times New Roman" w:hAnsi="Times New Roman" w:eastAsia="宋体" w:cs="Times New Roman"/>
      <w:b/>
      <w:sz w:val="28"/>
      <w:szCs w:val="28"/>
      <w:lang w:val="en-US" w:eastAsia="zh-CN" w:bidi="ar-SA"/>
    </w:rPr>
  </w:style>
  <w:style w:type="paragraph" w:customStyle="1" w:styleId="1292">
    <w:name w:val="表头-hao"/>
    <w:qFormat/>
    <w:uiPriority w:val="0"/>
    <w:pPr>
      <w:widowControl w:val="0"/>
      <w:adjustRightInd w:val="0"/>
      <w:snapToGrid w:val="0"/>
      <w:jc w:val="center"/>
    </w:pPr>
    <w:rPr>
      <w:rFonts w:ascii="Times New Roman" w:hAnsi="Times New Roman" w:eastAsia="宋体" w:cs="Times New Roman"/>
      <w:b/>
      <w:color w:val="000000"/>
      <w:kern w:val="2"/>
      <w:sz w:val="24"/>
      <w:szCs w:val="24"/>
      <w:lang w:val="en-US" w:eastAsia="zh-CN" w:bidi="ar-SA"/>
    </w:rPr>
  </w:style>
  <w:style w:type="paragraph" w:customStyle="1" w:styleId="1293">
    <w:name w:val="Char Char Char Char Char Char Char Char Char Char Char Char Char Char Char2 Char1"/>
    <w:basedOn w:val="1"/>
    <w:qFormat/>
    <w:uiPriority w:val="0"/>
    <w:rPr>
      <w:rFonts w:ascii="仿宋_GB2312" w:eastAsia="仿宋_GB2312"/>
      <w:b/>
      <w:sz w:val="32"/>
      <w:szCs w:val="32"/>
    </w:rPr>
  </w:style>
  <w:style w:type="paragraph" w:customStyle="1" w:styleId="1294">
    <w:name w:val="Char4 Char Char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295">
    <w:name w:val="Char Char Char Char11"/>
    <w:basedOn w:val="1"/>
    <w:qFormat/>
    <w:uiPriority w:val="0"/>
    <w:pPr>
      <w:widowControl/>
      <w:tabs>
        <w:tab w:val="left" w:pos="1701"/>
      </w:tabs>
      <w:spacing w:after="160" w:line="240" w:lineRule="exact"/>
      <w:jc w:val="left"/>
    </w:pPr>
    <w:rPr>
      <w:rFonts w:ascii="Arial" w:hAnsi="Arial" w:eastAsia="Times New Roman" w:cs="Verdana"/>
      <w:b/>
      <w:kern w:val="0"/>
      <w:sz w:val="24"/>
      <w:szCs w:val="20"/>
      <w:lang w:eastAsia="en-US"/>
    </w:rPr>
  </w:style>
  <w:style w:type="paragraph" w:customStyle="1" w:styleId="1296">
    <w:name w:val="Char Char Char2 Char Char1"/>
    <w:basedOn w:val="1"/>
    <w:qFormat/>
    <w:uiPriority w:val="0"/>
    <w:pPr>
      <w:spacing w:line="360" w:lineRule="auto"/>
      <w:ind w:firstLine="200" w:firstLineChars="200"/>
    </w:pPr>
    <w:rPr>
      <w:rFonts w:ascii="宋体" w:hAnsi="宋体" w:cs="宋体"/>
      <w:sz w:val="24"/>
      <w:szCs w:val="24"/>
    </w:rPr>
  </w:style>
  <w:style w:type="paragraph" w:customStyle="1" w:styleId="1297">
    <w:name w:val="Char2 Char Char Char1"/>
    <w:basedOn w:val="1"/>
    <w:qFormat/>
    <w:uiPriority w:val="0"/>
    <w:rPr>
      <w:sz w:val="30"/>
      <w:szCs w:val="30"/>
    </w:rPr>
  </w:style>
  <w:style w:type="paragraph" w:customStyle="1" w:styleId="1298">
    <w:name w:val="表格头"/>
    <w:qFormat/>
    <w:uiPriority w:val="0"/>
    <w:pPr>
      <w:adjustRightInd w:val="0"/>
      <w:snapToGrid w:val="0"/>
      <w:spacing w:line="348" w:lineRule="auto"/>
      <w:jc w:val="center"/>
    </w:pPr>
    <w:rPr>
      <w:rFonts w:ascii="Times New Roman" w:hAnsi="Times New Roman" w:eastAsia="宋体" w:cs="Times New Roman"/>
      <w:sz w:val="24"/>
      <w:szCs w:val="24"/>
      <w:lang w:val="en-US" w:eastAsia="zh-CN" w:bidi="ar-SA"/>
    </w:rPr>
  </w:style>
  <w:style w:type="paragraph" w:customStyle="1" w:styleId="1299">
    <w:name w:val="Char Char Char Char Char Char1 Char Char Char Char Char Char Char Char Char1 Char Char Char Char Char Char Char Char Char Char Char Char Char1"/>
    <w:basedOn w:val="1"/>
    <w:qFormat/>
    <w:uiPriority w:val="0"/>
    <w:pPr>
      <w:widowControl/>
      <w:jc w:val="left"/>
    </w:pPr>
    <w:rPr>
      <w:rFonts w:ascii="宋体" w:hAnsi="宋体" w:cs="宋体"/>
      <w:kern w:val="0"/>
      <w:sz w:val="24"/>
      <w:szCs w:val="24"/>
    </w:rPr>
  </w:style>
  <w:style w:type="paragraph" w:customStyle="1" w:styleId="1300">
    <w:name w:val="Char1 Char Char Char11"/>
    <w:basedOn w:val="1"/>
    <w:qFormat/>
    <w:uiPriority w:val="0"/>
    <w:pPr>
      <w:widowControl/>
      <w:spacing w:after="160" w:line="240" w:lineRule="exact"/>
      <w:jc w:val="left"/>
    </w:pPr>
    <w:rPr>
      <w:szCs w:val="24"/>
    </w:rPr>
  </w:style>
  <w:style w:type="paragraph" w:customStyle="1" w:styleId="1301">
    <w:name w:val="样式 列表 Char + 居中"/>
    <w:basedOn w:val="57"/>
    <w:qFormat/>
    <w:uiPriority w:val="0"/>
    <w:pPr>
      <w:tabs>
        <w:tab w:val="left" w:pos="780"/>
      </w:tabs>
      <w:snapToGrid w:val="0"/>
      <w:ind w:left="0" w:firstLine="0"/>
      <w:jc w:val="center"/>
    </w:pPr>
    <w:rPr>
      <w:kern w:val="0"/>
      <w:sz w:val="21"/>
      <w:szCs w:val="21"/>
    </w:rPr>
  </w:style>
  <w:style w:type="paragraph" w:customStyle="1" w:styleId="1302">
    <w:name w:val="样式 列表 + 首行缩进:  0.74 厘米"/>
    <w:basedOn w:val="57"/>
    <w:qFormat/>
    <w:uiPriority w:val="0"/>
    <w:pPr>
      <w:adjustRightInd w:val="0"/>
      <w:snapToGrid w:val="0"/>
      <w:ind w:left="0" w:firstLine="0"/>
    </w:pPr>
    <w:rPr>
      <w:sz w:val="21"/>
      <w:szCs w:val="20"/>
    </w:rPr>
  </w:style>
  <w:style w:type="paragraph" w:customStyle="1" w:styleId="1303">
    <w:name w:val="正文图小五"/>
    <w:basedOn w:val="1"/>
    <w:qFormat/>
    <w:uiPriority w:val="0"/>
    <w:pPr>
      <w:snapToGrid w:val="0"/>
      <w:spacing w:line="240" w:lineRule="atLeast"/>
      <w:jc w:val="center"/>
    </w:pPr>
    <w:rPr>
      <w:rFonts w:ascii="Arial" w:hAnsi="Arial" w:cs="Arial"/>
      <w:spacing w:val="6"/>
      <w:sz w:val="18"/>
      <w:szCs w:val="20"/>
    </w:rPr>
  </w:style>
  <w:style w:type="paragraph" w:customStyle="1" w:styleId="1304">
    <w:name w:val="_Style 1"/>
    <w:basedOn w:val="1"/>
    <w:qFormat/>
    <w:uiPriority w:val="0"/>
    <w:pPr>
      <w:ind w:firstLine="420" w:firstLineChars="200"/>
    </w:pPr>
    <w:rPr>
      <w:szCs w:val="24"/>
    </w:rPr>
  </w:style>
  <w:style w:type="paragraph" w:customStyle="1" w:styleId="1305">
    <w:name w:val="p0"/>
    <w:basedOn w:val="1"/>
    <w:qFormat/>
    <w:uiPriority w:val="0"/>
    <w:pPr>
      <w:widowControl/>
      <w:spacing w:line="590" w:lineRule="atLeast"/>
      <w:ind w:left="1" w:firstLine="200" w:firstLineChars="200"/>
    </w:pPr>
    <w:rPr>
      <w:color w:val="000000"/>
      <w:kern w:val="0"/>
      <w:sz w:val="24"/>
      <w:szCs w:val="21"/>
    </w:rPr>
  </w:style>
  <w:style w:type="paragraph" w:customStyle="1" w:styleId="1306">
    <w:name w:val="CC Char Char Char Char Char Char"/>
    <w:basedOn w:val="46"/>
    <w:next w:val="46"/>
    <w:semiHidden/>
    <w:qFormat/>
    <w:uiPriority w:val="0"/>
    <w:pPr>
      <w:snapToGrid/>
      <w:ind w:left="630" w:leftChars="100" w:right="100" w:rightChars="100" w:firstLine="0" w:firstLineChars="0"/>
    </w:pPr>
    <w:rPr>
      <w:rFonts w:hint="eastAsia" w:ascii="Times New Roman" w:hAnsi="Times New Roman"/>
      <w:szCs w:val="28"/>
    </w:rPr>
  </w:style>
  <w:style w:type="paragraph" w:customStyle="1" w:styleId="1307">
    <w:name w:val="表格尾格式"/>
    <w:basedOn w:val="1"/>
    <w:qFormat/>
    <w:uiPriority w:val="0"/>
    <w:pPr>
      <w:tabs>
        <w:tab w:val="left" w:pos="1701"/>
      </w:tabs>
      <w:adjustRightInd w:val="0"/>
      <w:snapToGrid w:val="0"/>
      <w:spacing w:line="240" w:lineRule="exact"/>
      <w:ind w:left="561"/>
      <w:jc w:val="left"/>
    </w:pPr>
    <w:rPr>
      <w:sz w:val="10"/>
      <w:szCs w:val="24"/>
    </w:rPr>
  </w:style>
  <w:style w:type="paragraph" w:customStyle="1" w:styleId="1308">
    <w:name w:val="列项——"/>
    <w:qFormat/>
    <w:uiPriority w:val="0"/>
    <w:pPr>
      <w:widowControl w:val="0"/>
      <w:tabs>
        <w:tab w:val="left" w:pos="630"/>
      </w:tabs>
      <w:ind w:left="630" w:hanging="630"/>
      <w:jc w:val="both"/>
    </w:pPr>
    <w:rPr>
      <w:rFonts w:ascii="宋体" w:hAnsi="Times New Roman" w:eastAsia="宋体" w:cs="Times New Roman"/>
      <w:sz w:val="21"/>
      <w:lang w:val="en-US" w:eastAsia="zh-CN" w:bidi="ar-SA"/>
    </w:rPr>
  </w:style>
  <w:style w:type="paragraph" w:customStyle="1" w:styleId="1309">
    <w:name w:val="AFTERTITLE"/>
    <w:basedOn w:val="1"/>
    <w:qFormat/>
    <w:uiPriority w:val="0"/>
    <w:pPr>
      <w:widowControl/>
      <w:tabs>
        <w:tab w:val="left" w:pos="1701"/>
      </w:tabs>
      <w:spacing w:line="360" w:lineRule="atLeast"/>
      <w:ind w:firstLine="200" w:firstLineChars="200"/>
      <w:jc w:val="center"/>
    </w:pPr>
    <w:rPr>
      <w:b/>
      <w:caps/>
      <w:kern w:val="0"/>
      <w:sz w:val="24"/>
      <w:szCs w:val="20"/>
      <w:lang w:val="fr-FR"/>
    </w:rPr>
  </w:style>
  <w:style w:type="paragraph" w:customStyle="1" w:styleId="1310">
    <w:name w:val="表格文字居中"/>
    <w:basedOn w:val="1"/>
    <w:link w:val="1982"/>
    <w:qFormat/>
    <w:uiPriority w:val="0"/>
    <w:pPr>
      <w:tabs>
        <w:tab w:val="left" w:pos="1701"/>
      </w:tabs>
      <w:snapToGrid w:val="0"/>
      <w:spacing w:beforeLines="20" w:line="288" w:lineRule="auto"/>
      <w:jc w:val="center"/>
    </w:pPr>
    <w:rPr>
      <w:szCs w:val="20"/>
    </w:rPr>
  </w:style>
  <w:style w:type="paragraph" w:customStyle="1" w:styleId="1311">
    <w:name w:val="正文表格"/>
    <w:basedOn w:val="1"/>
    <w:qFormat/>
    <w:uiPriority w:val="0"/>
    <w:pPr>
      <w:keepNext/>
      <w:keepLines/>
      <w:tabs>
        <w:tab w:val="left" w:pos="1701"/>
      </w:tabs>
      <w:overflowPunct w:val="0"/>
      <w:adjustRightInd w:val="0"/>
      <w:spacing w:before="80"/>
      <w:jc w:val="center"/>
    </w:pPr>
    <w:rPr>
      <w:kern w:val="0"/>
      <w:sz w:val="28"/>
      <w:szCs w:val="20"/>
    </w:rPr>
  </w:style>
  <w:style w:type="paragraph" w:customStyle="1" w:styleId="1312">
    <w:name w:val="表头格式"/>
    <w:basedOn w:val="1"/>
    <w:next w:val="222"/>
    <w:qFormat/>
    <w:uiPriority w:val="0"/>
    <w:pPr>
      <w:tabs>
        <w:tab w:val="left" w:pos="1701"/>
      </w:tabs>
      <w:autoSpaceDE w:val="0"/>
      <w:autoSpaceDN w:val="0"/>
      <w:adjustRightInd w:val="0"/>
      <w:snapToGrid w:val="0"/>
      <w:spacing w:line="348" w:lineRule="auto"/>
      <w:jc w:val="center"/>
    </w:pPr>
    <w:rPr>
      <w:b/>
      <w:kern w:val="0"/>
      <w:sz w:val="24"/>
      <w:szCs w:val="20"/>
    </w:rPr>
  </w:style>
  <w:style w:type="paragraph" w:customStyle="1" w:styleId="1313">
    <w:name w:val="报告书"/>
    <w:basedOn w:val="1"/>
    <w:qFormat/>
    <w:uiPriority w:val="0"/>
    <w:pPr>
      <w:tabs>
        <w:tab w:val="left" w:pos="1701"/>
      </w:tabs>
      <w:autoSpaceDE w:val="0"/>
      <w:autoSpaceDN w:val="0"/>
      <w:adjustRightInd w:val="0"/>
      <w:spacing w:line="360" w:lineRule="auto"/>
      <w:ind w:firstLine="505"/>
      <w:jc w:val="left"/>
    </w:pPr>
    <w:rPr>
      <w:kern w:val="0"/>
      <w:sz w:val="24"/>
      <w:szCs w:val="20"/>
    </w:rPr>
  </w:style>
  <w:style w:type="paragraph" w:customStyle="1" w:styleId="1314">
    <w:name w:val="表格文字2"/>
    <w:basedOn w:val="1"/>
    <w:qFormat/>
    <w:uiPriority w:val="0"/>
    <w:pPr>
      <w:tabs>
        <w:tab w:val="left" w:pos="1701"/>
      </w:tabs>
      <w:adjustRightInd w:val="0"/>
      <w:snapToGrid w:val="0"/>
      <w:ind w:left="-105" w:leftChars="-50" w:right="-105" w:rightChars="-50"/>
      <w:jc w:val="center"/>
    </w:pPr>
    <w:rPr>
      <w:rFonts w:eastAsia="仿宋_GB2312"/>
      <w:szCs w:val="21"/>
    </w:rPr>
  </w:style>
  <w:style w:type="paragraph" w:customStyle="1" w:styleId="1315">
    <w:name w:val="样式 题注 + 首行缩进:  2 字符1"/>
    <w:basedOn w:val="20"/>
    <w:qFormat/>
    <w:uiPriority w:val="0"/>
    <w:pPr>
      <w:keepNext/>
      <w:tabs>
        <w:tab w:val="left" w:pos="1701"/>
      </w:tabs>
      <w:spacing w:after="160"/>
      <w:ind w:firstLine="200" w:firstLineChars="200"/>
    </w:pPr>
    <w:rPr>
      <w:rFonts w:cs="Arial"/>
      <w:kern w:val="0"/>
      <w:sz w:val="21"/>
      <w:szCs w:val="20"/>
    </w:rPr>
  </w:style>
  <w:style w:type="paragraph" w:customStyle="1" w:styleId="1316">
    <w:name w:val="样式 标题 2 + 宋体 小四"/>
    <w:basedOn w:val="4"/>
    <w:qFormat/>
    <w:uiPriority w:val="0"/>
    <w:pPr>
      <w:tabs>
        <w:tab w:val="left" w:pos="567"/>
        <w:tab w:val="left" w:pos="1701"/>
      </w:tabs>
      <w:spacing w:line="288" w:lineRule="auto"/>
      <w:ind w:firstLine="200" w:firstLineChars="200"/>
    </w:pPr>
    <w:rPr>
      <w:rFonts w:ascii="宋体" w:hAnsi="宋体"/>
      <w:sz w:val="24"/>
      <w:szCs w:val="24"/>
    </w:rPr>
  </w:style>
  <w:style w:type="paragraph" w:customStyle="1" w:styleId="1317">
    <w:name w:val="样式 正文缩进正文（首行缩进两字）正文（首行缩进两字） Char Char Char Char Char Char Char..."/>
    <w:basedOn w:val="19"/>
    <w:qFormat/>
    <w:uiPriority w:val="0"/>
    <w:pPr>
      <w:tabs>
        <w:tab w:val="left" w:pos="1701"/>
        <w:tab w:val="left" w:pos="3360"/>
      </w:tabs>
      <w:adjustRightInd w:val="0"/>
      <w:snapToGrid w:val="0"/>
      <w:spacing w:line="360" w:lineRule="auto"/>
      <w:ind w:firstLine="560"/>
      <w:jc w:val="center"/>
    </w:pPr>
    <w:rPr>
      <w:rFonts w:eastAsia="Times New Roman"/>
      <w:color w:val="FF0000"/>
      <w:sz w:val="28"/>
      <w:szCs w:val="28"/>
    </w:rPr>
  </w:style>
  <w:style w:type="paragraph" w:customStyle="1" w:styleId="1318">
    <w:name w:val="正文图"/>
    <w:basedOn w:val="1"/>
    <w:qFormat/>
    <w:uiPriority w:val="0"/>
    <w:pPr>
      <w:tabs>
        <w:tab w:val="left" w:pos="1701"/>
      </w:tabs>
      <w:adjustRightInd w:val="0"/>
      <w:snapToGrid w:val="0"/>
      <w:spacing w:before="40"/>
      <w:jc w:val="center"/>
    </w:pPr>
    <w:rPr>
      <w:rFonts w:ascii="宋体"/>
      <w:kern w:val="0"/>
      <w:sz w:val="24"/>
      <w:szCs w:val="20"/>
    </w:rPr>
  </w:style>
  <w:style w:type="paragraph" w:customStyle="1" w:styleId="1319">
    <w:name w:val="正文图小四"/>
    <w:basedOn w:val="1"/>
    <w:qFormat/>
    <w:uiPriority w:val="0"/>
    <w:pPr>
      <w:tabs>
        <w:tab w:val="left" w:pos="1701"/>
      </w:tabs>
      <w:adjustRightInd w:val="0"/>
      <w:snapToGrid w:val="0"/>
      <w:jc w:val="center"/>
    </w:pPr>
    <w:rPr>
      <w:rFonts w:ascii="宋体"/>
      <w:kern w:val="0"/>
      <w:sz w:val="24"/>
      <w:szCs w:val="24"/>
    </w:rPr>
  </w:style>
  <w:style w:type="paragraph" w:customStyle="1" w:styleId="1320">
    <w:name w:val="样式 小四 首行缩进:  2.5 字符"/>
    <w:basedOn w:val="1"/>
    <w:qFormat/>
    <w:uiPriority w:val="0"/>
    <w:pPr>
      <w:tabs>
        <w:tab w:val="left" w:pos="1701"/>
      </w:tabs>
      <w:ind w:firstLine="200" w:firstLineChars="200"/>
    </w:pPr>
    <w:rPr>
      <w:sz w:val="24"/>
      <w:szCs w:val="20"/>
    </w:rPr>
  </w:style>
  <w:style w:type="paragraph" w:customStyle="1" w:styleId="1321">
    <w:name w:val="样式2 Char Char"/>
    <w:basedOn w:val="19"/>
    <w:qFormat/>
    <w:uiPriority w:val="0"/>
    <w:pPr>
      <w:widowControl/>
      <w:tabs>
        <w:tab w:val="left" w:pos="1701"/>
        <w:tab w:val="left" w:pos="3360"/>
      </w:tabs>
      <w:adjustRightInd w:val="0"/>
      <w:snapToGrid w:val="0"/>
      <w:spacing w:line="360" w:lineRule="auto"/>
      <w:ind w:left="-2" w:leftChars="-1" w:firstLine="567" w:firstLineChars="0"/>
    </w:pPr>
    <w:rPr>
      <w:rFonts w:ascii="Arial" w:hAnsi="Arial" w:eastAsia="Times New Roman" w:cs="Arial"/>
      <w:bCs/>
      <w:spacing w:val="6"/>
      <w:szCs w:val="24"/>
    </w:rPr>
  </w:style>
  <w:style w:type="paragraph" w:customStyle="1" w:styleId="1322">
    <w:name w:val="正文仿宋"/>
    <w:basedOn w:val="1"/>
    <w:qFormat/>
    <w:uiPriority w:val="0"/>
    <w:pPr>
      <w:tabs>
        <w:tab w:val="left" w:pos="1701"/>
      </w:tabs>
      <w:adjustRightInd w:val="0"/>
      <w:snapToGrid w:val="0"/>
      <w:spacing w:line="360" w:lineRule="auto"/>
      <w:ind w:firstLine="567"/>
    </w:pPr>
    <w:rPr>
      <w:rFonts w:eastAsia="仿宋_GB2312"/>
      <w:kern w:val="0"/>
      <w:sz w:val="24"/>
      <w:szCs w:val="20"/>
    </w:rPr>
  </w:style>
  <w:style w:type="paragraph" w:customStyle="1" w:styleId="1323">
    <w:name w:val=".."/>
    <w:basedOn w:val="101"/>
    <w:next w:val="101"/>
    <w:qFormat/>
    <w:uiPriority w:val="0"/>
    <w:rPr>
      <w:rFonts w:cs="Times New Roman"/>
      <w:color w:val="auto"/>
      <w:sz w:val="20"/>
    </w:rPr>
  </w:style>
  <w:style w:type="paragraph" w:customStyle="1" w:styleId="1324">
    <w:name w:val="正文图五左"/>
    <w:basedOn w:val="1"/>
    <w:qFormat/>
    <w:uiPriority w:val="0"/>
    <w:pPr>
      <w:tabs>
        <w:tab w:val="left" w:pos="1701"/>
      </w:tabs>
      <w:adjustRightInd w:val="0"/>
      <w:snapToGrid w:val="0"/>
      <w:jc w:val="center"/>
    </w:pPr>
    <w:rPr>
      <w:rFonts w:ascii="仿宋_GB2312" w:hAnsi="华文宋体" w:eastAsia="仿宋_GB2312"/>
      <w:spacing w:val="6"/>
      <w:sz w:val="18"/>
      <w:szCs w:val="18"/>
    </w:rPr>
  </w:style>
  <w:style w:type="paragraph" w:customStyle="1" w:styleId="1325">
    <w:name w:val="正文图五"/>
    <w:basedOn w:val="1"/>
    <w:qFormat/>
    <w:uiPriority w:val="0"/>
    <w:pPr>
      <w:tabs>
        <w:tab w:val="left" w:pos="1701"/>
      </w:tabs>
      <w:adjustRightInd w:val="0"/>
      <w:snapToGrid w:val="0"/>
      <w:jc w:val="center"/>
    </w:pPr>
    <w:rPr>
      <w:rFonts w:ascii="仿宋_GB2312" w:hAnsi="华文宋体" w:eastAsia="仿宋_GB2312"/>
      <w:spacing w:val="6"/>
      <w:sz w:val="18"/>
      <w:szCs w:val="18"/>
    </w:rPr>
  </w:style>
  <w:style w:type="paragraph" w:customStyle="1" w:styleId="1326">
    <w:name w:val="生物附录"/>
    <w:qFormat/>
    <w:uiPriority w:val="0"/>
    <w:pPr>
      <w:jc w:val="both"/>
    </w:pPr>
    <w:rPr>
      <w:rFonts w:ascii="Times New Roman" w:hAnsi="Times New Roman" w:eastAsia="宋体" w:cs="Times New Roman"/>
      <w:b/>
      <w:spacing w:val="20"/>
      <w:sz w:val="28"/>
      <w:lang w:val="en-US" w:eastAsia="zh-CN" w:bidi="ar-SA"/>
    </w:rPr>
  </w:style>
  <w:style w:type="paragraph" w:customStyle="1" w:styleId="1327">
    <w:name w:val="正文（首行缩进两字） Char Char Char Char Char"/>
    <w:basedOn w:val="1"/>
    <w:next w:val="19"/>
    <w:qFormat/>
    <w:uiPriority w:val="0"/>
    <w:pPr>
      <w:tabs>
        <w:tab w:val="left" w:pos="1701"/>
      </w:tabs>
      <w:ind w:firstLine="420" w:firstLineChars="200"/>
    </w:pPr>
    <w:rPr>
      <w:sz w:val="24"/>
      <w:szCs w:val="24"/>
    </w:rPr>
  </w:style>
  <w:style w:type="paragraph" w:customStyle="1" w:styleId="1328">
    <w:name w:val="样式 正文文本缩进特点标题表内左齐 + 首行缩进:  2 字符"/>
    <w:basedOn w:val="32"/>
    <w:qFormat/>
    <w:uiPriority w:val="0"/>
    <w:pPr>
      <w:tabs>
        <w:tab w:val="left" w:pos="1701"/>
      </w:tabs>
      <w:spacing w:after="0"/>
      <w:ind w:left="0" w:leftChars="0" w:firstLine="200" w:firstLineChars="200"/>
    </w:pPr>
    <w:rPr>
      <w:rFonts w:hint="eastAsia" w:ascii="Times New Roman" w:hAnsi="Times New Roman" w:eastAsia="仿宋_GB2312"/>
      <w:color w:val="000000"/>
      <w:spacing w:val="4"/>
      <w:kern w:val="0"/>
      <w:sz w:val="24"/>
    </w:rPr>
  </w:style>
  <w:style w:type="paragraph" w:customStyle="1" w:styleId="1329">
    <w:name w:val="样式 标题 2 + 加粗 行距: 1.5 倍行距"/>
    <w:basedOn w:val="4"/>
    <w:qFormat/>
    <w:uiPriority w:val="0"/>
    <w:pPr>
      <w:tabs>
        <w:tab w:val="left" w:pos="567"/>
        <w:tab w:val="left" w:pos="1701"/>
      </w:tabs>
      <w:spacing w:line="360" w:lineRule="auto"/>
    </w:pPr>
    <w:rPr>
      <w:rFonts w:eastAsia="仿宋_GB2312"/>
      <w:sz w:val="24"/>
    </w:rPr>
  </w:style>
  <w:style w:type="paragraph" w:customStyle="1" w:styleId="1330">
    <w:name w:val="框图sq"/>
    <w:basedOn w:val="1"/>
    <w:qFormat/>
    <w:uiPriority w:val="0"/>
    <w:pPr>
      <w:tabs>
        <w:tab w:val="left" w:pos="1701"/>
      </w:tabs>
      <w:adjustRightInd w:val="0"/>
      <w:spacing w:line="0" w:lineRule="atLeast"/>
    </w:pPr>
    <w:rPr>
      <w:rFonts w:ascii="宋体"/>
      <w:kern w:val="0"/>
      <w:szCs w:val="20"/>
    </w:rPr>
  </w:style>
  <w:style w:type="paragraph" w:customStyle="1" w:styleId="1331">
    <w:name w:val="样式 正文文本缩进正文文字缩进特点标题表内左齐 + (中文) 仿宋_GB2312 11 磅 两端对齐 行距: 1.5..."/>
    <w:basedOn w:val="32"/>
    <w:qFormat/>
    <w:uiPriority w:val="0"/>
    <w:pPr>
      <w:tabs>
        <w:tab w:val="left" w:pos="1701"/>
      </w:tabs>
      <w:autoSpaceDE w:val="0"/>
      <w:autoSpaceDN w:val="0"/>
      <w:spacing w:after="0"/>
      <w:ind w:left="0" w:leftChars="0" w:firstLine="440" w:firstLineChars="200"/>
    </w:pPr>
    <w:rPr>
      <w:rFonts w:hint="eastAsia" w:ascii="Times New Roman" w:hAnsi="Times New Roman" w:eastAsia="仿宋_GB2312"/>
      <w:kern w:val="0"/>
      <w:sz w:val="22"/>
    </w:rPr>
  </w:style>
  <w:style w:type="paragraph" w:customStyle="1" w:styleId="1332">
    <w:name w:val="样式 正文文本缩进正文文字缩进特点标题表内左齐 + (中文) 仿宋_GB2312 11 磅 两端对齐 行距: 1.5...1"/>
    <w:basedOn w:val="32"/>
    <w:qFormat/>
    <w:uiPriority w:val="0"/>
    <w:pPr>
      <w:tabs>
        <w:tab w:val="left" w:pos="1701"/>
      </w:tabs>
      <w:autoSpaceDE w:val="0"/>
      <w:autoSpaceDN w:val="0"/>
      <w:spacing w:after="0"/>
      <w:ind w:left="0" w:leftChars="0" w:firstLine="440" w:firstLineChars="200"/>
    </w:pPr>
    <w:rPr>
      <w:rFonts w:hint="eastAsia" w:ascii="Times New Roman" w:hAnsi="Times New Roman" w:eastAsia="仿宋_GB2312"/>
      <w:kern w:val="0"/>
      <w:sz w:val="22"/>
    </w:rPr>
  </w:style>
  <w:style w:type="paragraph" w:customStyle="1" w:styleId="1333">
    <w:name w:val="样式 正文文字缩进 3 + (西文) Times New Roman (中文) 仿宋_GB2312 11 磅"/>
    <w:basedOn w:val="75"/>
    <w:next w:val="1332"/>
    <w:qFormat/>
    <w:uiPriority w:val="0"/>
    <w:pPr>
      <w:tabs>
        <w:tab w:val="left" w:pos="1701"/>
      </w:tabs>
      <w:snapToGrid w:val="0"/>
      <w:spacing w:after="0" w:line="312" w:lineRule="auto"/>
      <w:ind w:left="0" w:leftChars="0" w:firstLine="330" w:firstLineChars="150"/>
    </w:pPr>
    <w:rPr>
      <w:rFonts w:hint="eastAsia" w:hAnsi="Arial" w:eastAsia="仿宋_GB2312"/>
      <w:spacing w:val="6"/>
      <w:kern w:val="0"/>
      <w:sz w:val="22"/>
      <w:szCs w:val="24"/>
    </w:rPr>
  </w:style>
  <w:style w:type="paragraph" w:customStyle="1" w:styleId="1334">
    <w:name w:val="样式 正文文本缩进正文文字缩进特点标题表内左齐 + (中文) 仿宋_GB2312 11.5 磅 两端对齐 行距: 1..."/>
    <w:basedOn w:val="1"/>
    <w:qFormat/>
    <w:uiPriority w:val="0"/>
    <w:pPr>
      <w:widowControl/>
      <w:tabs>
        <w:tab w:val="left" w:pos="1701"/>
      </w:tabs>
      <w:spacing w:line="360" w:lineRule="auto"/>
      <w:ind w:firstLine="460" w:firstLineChars="200"/>
    </w:pPr>
    <w:rPr>
      <w:rFonts w:eastAsia="仿宋_GB2312"/>
      <w:kern w:val="0"/>
      <w:sz w:val="23"/>
      <w:szCs w:val="20"/>
    </w:rPr>
  </w:style>
  <w:style w:type="paragraph" w:customStyle="1" w:styleId="1335">
    <w:name w:val="标题正文"/>
    <w:basedOn w:val="1"/>
    <w:qFormat/>
    <w:uiPriority w:val="0"/>
    <w:pPr>
      <w:tabs>
        <w:tab w:val="left" w:pos="1701"/>
      </w:tabs>
      <w:spacing w:line="360" w:lineRule="auto"/>
      <w:ind w:firstLine="480" w:firstLineChars="200"/>
    </w:pPr>
    <w:rPr>
      <w:rFonts w:eastAsia="仿宋_GB2312"/>
      <w:sz w:val="24"/>
      <w:szCs w:val="20"/>
    </w:rPr>
  </w:style>
  <w:style w:type="paragraph" w:customStyle="1" w:styleId="1336">
    <w:name w:val="表 头"/>
    <w:basedOn w:val="1"/>
    <w:qFormat/>
    <w:uiPriority w:val="0"/>
    <w:pPr>
      <w:tabs>
        <w:tab w:val="left" w:pos="7245"/>
      </w:tabs>
      <w:adjustRightInd w:val="0"/>
      <w:spacing w:before="100" w:after="100" w:line="240" w:lineRule="atLeast"/>
      <w:jc w:val="center"/>
    </w:pPr>
    <w:rPr>
      <w:rFonts w:ascii="Arial" w:eastAsia="黑体" w:cs="Arial"/>
      <w:sz w:val="24"/>
      <w:szCs w:val="21"/>
    </w:rPr>
  </w:style>
  <w:style w:type="paragraph" w:customStyle="1" w:styleId="1337">
    <w:name w:val="样式 表头 + 两端对齐"/>
    <w:basedOn w:val="1"/>
    <w:qFormat/>
    <w:uiPriority w:val="0"/>
    <w:pPr>
      <w:keepNext/>
      <w:keepLines/>
      <w:tabs>
        <w:tab w:val="left" w:pos="1701"/>
      </w:tabs>
      <w:adjustRightInd w:val="0"/>
      <w:snapToGrid w:val="0"/>
      <w:spacing w:before="60" w:line="360" w:lineRule="auto"/>
      <w:ind w:firstLine="200" w:firstLineChars="200"/>
    </w:pPr>
    <w:rPr>
      <w:rFonts w:eastAsia="仿宋_GB2312"/>
      <w:kern w:val="0"/>
      <w:sz w:val="24"/>
      <w:szCs w:val="20"/>
    </w:rPr>
  </w:style>
  <w:style w:type="paragraph" w:customStyle="1" w:styleId="1338">
    <w:name w:val="样式 表格文字 + 五号 黑色"/>
    <w:basedOn w:val="603"/>
    <w:qFormat/>
    <w:uiPriority w:val="0"/>
    <w:pPr>
      <w:framePr w:wrap="around"/>
      <w:widowControl w:val="0"/>
      <w:overflowPunct/>
      <w:autoSpaceDE/>
      <w:autoSpaceDN/>
      <w:spacing w:beforeLines="20" w:line="240" w:lineRule="atLeast"/>
    </w:pPr>
    <w:rPr>
      <w:szCs w:val="21"/>
    </w:rPr>
  </w:style>
  <w:style w:type="paragraph" w:customStyle="1" w:styleId="1339">
    <w:name w:val="bw1"/>
    <w:basedOn w:val="1"/>
    <w:qFormat/>
    <w:uiPriority w:val="0"/>
    <w:pPr>
      <w:tabs>
        <w:tab w:val="left" w:pos="1701"/>
      </w:tabs>
      <w:adjustRightInd w:val="0"/>
      <w:snapToGrid w:val="0"/>
      <w:spacing w:line="240" w:lineRule="atLeast"/>
      <w:ind w:left="-57" w:right="-57"/>
      <w:jc w:val="center"/>
    </w:pPr>
    <w:rPr>
      <w:rFonts w:ascii="Arial Narrow" w:hAnsi="Arial Narrow" w:eastAsia="楷体_GB2312"/>
      <w:w w:val="90"/>
      <w:sz w:val="18"/>
      <w:szCs w:val="20"/>
    </w:rPr>
  </w:style>
  <w:style w:type="paragraph" w:customStyle="1" w:styleId="1340">
    <w:name w:val="Date1"/>
    <w:basedOn w:val="1"/>
    <w:next w:val="1"/>
    <w:qFormat/>
    <w:uiPriority w:val="0"/>
    <w:pPr>
      <w:tabs>
        <w:tab w:val="left" w:pos="1701"/>
      </w:tabs>
      <w:adjustRightInd w:val="0"/>
      <w:spacing w:line="360" w:lineRule="atLeast"/>
    </w:pPr>
    <w:rPr>
      <w:rFonts w:ascii="宋体" w:eastAsia="Wingdings"/>
      <w:spacing w:val="20"/>
      <w:kern w:val="0"/>
      <w:sz w:val="28"/>
      <w:szCs w:val="20"/>
    </w:rPr>
  </w:style>
  <w:style w:type="paragraph" w:customStyle="1" w:styleId="1341">
    <w:name w:val="图表标题"/>
    <w:basedOn w:val="1"/>
    <w:link w:val="2020"/>
    <w:qFormat/>
    <w:uiPriority w:val="0"/>
    <w:pPr>
      <w:tabs>
        <w:tab w:val="left" w:pos="1701"/>
      </w:tabs>
      <w:adjustRightInd w:val="0"/>
      <w:snapToGrid w:val="0"/>
      <w:spacing w:before="60" w:line="348" w:lineRule="auto"/>
      <w:jc w:val="center"/>
    </w:pPr>
    <w:rPr>
      <w:kern w:val="0"/>
      <w:sz w:val="24"/>
      <w:szCs w:val="20"/>
    </w:rPr>
  </w:style>
  <w:style w:type="paragraph" w:customStyle="1" w:styleId="1342">
    <w:name w:val="样式 表标题 + 段前: 0.5 行"/>
    <w:basedOn w:val="1212"/>
    <w:qFormat/>
    <w:uiPriority w:val="0"/>
    <w:pPr>
      <w:keepNext/>
      <w:keepLines/>
      <w:tabs>
        <w:tab w:val="left" w:pos="1701"/>
      </w:tabs>
      <w:adjustRightInd w:val="0"/>
      <w:snapToGrid w:val="0"/>
      <w:spacing w:beforeLines="50" w:line="348" w:lineRule="auto"/>
    </w:pPr>
    <w:rPr>
      <w:rFonts w:hint="eastAsia" w:ascii="Times New Roman" w:hAnsi="Times New Roman"/>
      <w:kern w:val="0"/>
      <w:sz w:val="24"/>
    </w:rPr>
  </w:style>
  <w:style w:type="paragraph" w:customStyle="1" w:styleId="1343">
    <w:name w:val="bt1"/>
    <w:basedOn w:val="1"/>
    <w:qFormat/>
    <w:uiPriority w:val="0"/>
    <w:pPr>
      <w:tabs>
        <w:tab w:val="left" w:pos="1701"/>
      </w:tabs>
      <w:snapToGrid w:val="0"/>
      <w:spacing w:before="240" w:line="380" w:lineRule="atLeast"/>
      <w:ind w:firstLine="1201" w:firstLineChars="491"/>
    </w:pPr>
    <w:rPr>
      <w:rFonts w:ascii="Arial Narrow" w:hAnsi="Arial Narrow" w:eastAsia="黑体"/>
      <w:spacing w:val="-4"/>
      <w:w w:val="90"/>
      <w:sz w:val="28"/>
      <w:szCs w:val="28"/>
    </w:rPr>
  </w:style>
  <w:style w:type="paragraph" w:customStyle="1" w:styleId="1344">
    <w:name w:val="样式 标题 1 + 仿宋_GB2312 加粗 首行缩进:  2 字符"/>
    <w:basedOn w:val="3"/>
    <w:qFormat/>
    <w:uiPriority w:val="0"/>
    <w:pPr>
      <w:tabs>
        <w:tab w:val="left" w:pos="1701"/>
      </w:tabs>
      <w:adjustRightInd w:val="0"/>
      <w:spacing w:line="360" w:lineRule="auto"/>
      <w:ind w:firstLine="562" w:firstLineChars="200"/>
    </w:pPr>
    <w:rPr>
      <w:rFonts w:ascii="仿宋_GB2312" w:eastAsia="Times New Roman"/>
    </w:rPr>
  </w:style>
  <w:style w:type="paragraph" w:customStyle="1" w:styleId="1345">
    <w:name w:val="文本框五号 Char"/>
    <w:qFormat/>
    <w:uiPriority w:val="0"/>
    <w:pPr>
      <w:jc w:val="center"/>
    </w:pPr>
    <w:rPr>
      <w:rFonts w:ascii="Times New Roman" w:hAnsi="Times New Roman" w:eastAsia="仿宋_GB2312" w:cs="Times New Roman"/>
      <w:kern w:val="2"/>
      <w:sz w:val="21"/>
      <w:szCs w:val="21"/>
      <w:lang w:val="en-US" w:eastAsia="zh-CN" w:bidi="ar-SA"/>
    </w:rPr>
  </w:style>
  <w:style w:type="paragraph" w:customStyle="1" w:styleId="1346">
    <w:name w:val="文本框5号两端齐"/>
    <w:basedOn w:val="1345"/>
    <w:qFormat/>
    <w:uiPriority w:val="0"/>
    <w:pPr>
      <w:jc w:val="both"/>
    </w:pPr>
    <w:rPr>
      <w:sz w:val="15"/>
      <w:szCs w:val="15"/>
    </w:rPr>
  </w:style>
  <w:style w:type="paragraph" w:customStyle="1" w:styleId="1347">
    <w:name w:val="正文单倍行距"/>
    <w:basedOn w:val="1"/>
    <w:qFormat/>
    <w:uiPriority w:val="0"/>
    <w:pPr>
      <w:tabs>
        <w:tab w:val="left" w:pos="1701"/>
        <w:tab w:val="left" w:pos="8640"/>
      </w:tabs>
      <w:adjustRightInd w:val="0"/>
      <w:snapToGrid w:val="0"/>
      <w:spacing w:line="360" w:lineRule="auto"/>
      <w:jc w:val="center"/>
    </w:pPr>
    <w:rPr>
      <w:rFonts w:eastAsia="仿宋_GB2312"/>
      <w:sz w:val="18"/>
      <w:szCs w:val="18"/>
    </w:rPr>
  </w:style>
  <w:style w:type="paragraph" w:customStyle="1" w:styleId="1348">
    <w:name w:val="正文文字 3"/>
    <w:basedOn w:val="1"/>
    <w:next w:val="101"/>
    <w:qFormat/>
    <w:uiPriority w:val="0"/>
    <w:pPr>
      <w:autoSpaceDE w:val="0"/>
      <w:autoSpaceDN w:val="0"/>
      <w:adjustRightInd w:val="0"/>
      <w:jc w:val="left"/>
    </w:pPr>
    <w:rPr>
      <w:rFonts w:ascii="宋体"/>
      <w:kern w:val="0"/>
      <w:sz w:val="24"/>
      <w:szCs w:val="20"/>
    </w:rPr>
  </w:style>
  <w:style w:type="paragraph" w:customStyle="1" w:styleId="1349">
    <w:name w:val="纯文本12"/>
    <w:basedOn w:val="1"/>
    <w:qFormat/>
    <w:uiPriority w:val="0"/>
    <w:rPr>
      <w:rFonts w:ascii="宋体" w:hAnsi="Courier New"/>
      <w:szCs w:val="20"/>
    </w:rPr>
  </w:style>
  <w:style w:type="paragraph" w:customStyle="1" w:styleId="1350">
    <w:name w:val="码头表"/>
    <w:basedOn w:val="1"/>
    <w:qFormat/>
    <w:uiPriority w:val="0"/>
    <w:pPr>
      <w:tabs>
        <w:tab w:val="left" w:pos="1701"/>
      </w:tabs>
      <w:jc w:val="center"/>
    </w:pPr>
    <w:rPr>
      <w:rFonts w:eastAsia="仿宋_GB2312"/>
      <w:color w:val="FF6600"/>
      <w:szCs w:val="24"/>
    </w:rPr>
  </w:style>
  <w:style w:type="paragraph" w:customStyle="1" w:styleId="1351">
    <w:name w:val="湛江码头表"/>
    <w:basedOn w:val="1"/>
    <w:qFormat/>
    <w:uiPriority w:val="0"/>
    <w:pPr>
      <w:tabs>
        <w:tab w:val="left" w:pos="1701"/>
      </w:tabs>
      <w:jc w:val="center"/>
    </w:pPr>
    <w:rPr>
      <w:rFonts w:eastAsia="仿宋_GB2312"/>
      <w:kern w:val="0"/>
      <w:szCs w:val="24"/>
      <w:lang w:eastAsia="zh-TW"/>
    </w:rPr>
  </w:style>
  <w:style w:type="paragraph" w:customStyle="1" w:styleId="1352">
    <w:name w:val="注："/>
    <w:next w:val="1"/>
    <w:qFormat/>
    <w:uiPriority w:val="0"/>
    <w:pPr>
      <w:widowControl w:val="0"/>
      <w:tabs>
        <w:tab w:val="left" w:pos="360"/>
      </w:tabs>
      <w:autoSpaceDE w:val="0"/>
      <w:autoSpaceDN w:val="0"/>
      <w:ind w:left="360" w:hanging="360"/>
      <w:jc w:val="both"/>
    </w:pPr>
    <w:rPr>
      <w:rFonts w:ascii="宋体" w:hAnsi="Times New Roman" w:eastAsia="宋体" w:cs="Times New Roman"/>
      <w:sz w:val="18"/>
      <w:lang w:val="en-US" w:eastAsia="zh-CN" w:bidi="ar-SA"/>
    </w:rPr>
  </w:style>
  <w:style w:type="paragraph" w:customStyle="1" w:styleId="1353">
    <w:name w:val="文本框五号1.5倍行距"/>
    <w:basedOn w:val="1345"/>
    <w:qFormat/>
    <w:uiPriority w:val="0"/>
    <w:pPr>
      <w:spacing w:line="360" w:lineRule="auto"/>
    </w:pPr>
  </w:style>
  <w:style w:type="paragraph" w:customStyle="1" w:styleId="1354">
    <w:name w:val="表格文字五"/>
    <w:basedOn w:val="1"/>
    <w:qFormat/>
    <w:uiPriority w:val="0"/>
    <w:pPr>
      <w:tabs>
        <w:tab w:val="left" w:pos="1701"/>
      </w:tabs>
      <w:adjustRightInd w:val="0"/>
      <w:snapToGrid w:val="0"/>
      <w:spacing w:beforeLines="20" w:line="312" w:lineRule="auto"/>
    </w:pPr>
    <w:rPr>
      <w:rFonts w:eastAsia="仿宋_GB2312"/>
      <w:szCs w:val="21"/>
    </w:rPr>
  </w:style>
  <w:style w:type="paragraph" w:customStyle="1" w:styleId="1355">
    <w:name w:val="样式 图表 + 首行缩进:  2 字符1"/>
    <w:basedOn w:val="1"/>
    <w:qFormat/>
    <w:uiPriority w:val="0"/>
    <w:pPr>
      <w:tabs>
        <w:tab w:val="left" w:pos="1701"/>
      </w:tabs>
      <w:adjustRightInd w:val="0"/>
      <w:snapToGrid w:val="0"/>
      <w:spacing w:beforeLines="20"/>
      <w:ind w:left="-105" w:leftChars="-50" w:right="-105" w:rightChars="-50"/>
      <w:jc w:val="center"/>
    </w:pPr>
    <w:rPr>
      <w:rFonts w:eastAsia="仿宋_GB2312"/>
      <w:color w:val="000000"/>
      <w:szCs w:val="24"/>
    </w:rPr>
  </w:style>
  <w:style w:type="paragraph" w:customStyle="1" w:styleId="1356">
    <w:name w:val="表名称"/>
    <w:basedOn w:val="1"/>
    <w:qFormat/>
    <w:uiPriority w:val="0"/>
    <w:pPr>
      <w:tabs>
        <w:tab w:val="left" w:pos="-120"/>
        <w:tab w:val="left" w:pos="1701"/>
      </w:tabs>
      <w:overflowPunct w:val="0"/>
      <w:topLinePunct/>
      <w:autoSpaceDE w:val="0"/>
      <w:adjustRightInd w:val="0"/>
      <w:snapToGrid w:val="0"/>
      <w:spacing w:before="240" w:after="120" w:line="240" w:lineRule="atLeast"/>
      <w:jc w:val="left"/>
    </w:pPr>
    <w:rPr>
      <w:rFonts w:eastAsia="仿宋_GB2312"/>
      <w:spacing w:val="16"/>
      <w:kern w:val="0"/>
      <w:sz w:val="24"/>
      <w:szCs w:val="24"/>
    </w:rPr>
  </w:style>
  <w:style w:type="paragraph" w:customStyle="1" w:styleId="1357">
    <w:name w:val="样式 样式4 + 字距调整小四"/>
    <w:basedOn w:val="1"/>
    <w:qFormat/>
    <w:uiPriority w:val="0"/>
    <w:pPr>
      <w:tabs>
        <w:tab w:val="left" w:pos="1701"/>
      </w:tabs>
    </w:pPr>
    <w:rPr>
      <w:rFonts w:ascii="Arial" w:hAnsi="Arial" w:eastAsia="楷体_GB2312" w:cs="Arial"/>
      <w:kern w:val="24"/>
      <w:sz w:val="24"/>
      <w:szCs w:val="24"/>
    </w:rPr>
  </w:style>
  <w:style w:type="paragraph" w:customStyle="1" w:styleId="1358">
    <w:name w:val="表格五中"/>
    <w:qFormat/>
    <w:uiPriority w:val="0"/>
    <w:pPr>
      <w:adjustRightInd w:val="0"/>
      <w:snapToGrid w:val="0"/>
      <w:spacing w:line="240" w:lineRule="atLeast"/>
      <w:jc w:val="center"/>
    </w:pPr>
    <w:rPr>
      <w:rFonts w:ascii="Times New Roman" w:hAnsi="Times New Roman" w:eastAsia="宋体" w:cs="Times New Roman"/>
      <w:sz w:val="21"/>
      <w:lang w:val="en-US" w:eastAsia="zh-CN" w:bidi="ar-SA"/>
    </w:rPr>
  </w:style>
  <w:style w:type="paragraph" w:customStyle="1" w:styleId="1359">
    <w:name w:val="lff"/>
    <w:basedOn w:val="74"/>
    <w:qFormat/>
    <w:uiPriority w:val="0"/>
    <w:pPr>
      <w:tabs>
        <w:tab w:val="left" w:pos="1701"/>
      </w:tabs>
      <w:adjustRightInd w:val="0"/>
      <w:snapToGrid w:val="0"/>
      <w:spacing w:after="0" w:line="360" w:lineRule="auto"/>
      <w:ind w:firstLine="200" w:firstLineChars="200"/>
    </w:pPr>
    <w:rPr>
      <w:rFonts w:hint="eastAsia" w:ascii="宋体" w:hAnsi="宋体" w:eastAsia="仿宋_GB2312"/>
      <w:color w:val="000000"/>
      <w:sz w:val="21"/>
      <w:szCs w:val="21"/>
    </w:rPr>
  </w:style>
  <w:style w:type="paragraph" w:customStyle="1" w:styleId="1360">
    <w:name w:val="编号4号"/>
    <w:basedOn w:val="1"/>
    <w:qFormat/>
    <w:uiPriority w:val="0"/>
    <w:pPr>
      <w:widowControl/>
      <w:tabs>
        <w:tab w:val="left" w:pos="1701"/>
      </w:tabs>
      <w:snapToGrid w:val="0"/>
      <w:spacing w:line="312" w:lineRule="auto"/>
    </w:pPr>
    <w:rPr>
      <w:rFonts w:ascii="Arial" w:hAnsi="Arial" w:cs="Arial"/>
      <w:szCs w:val="24"/>
    </w:rPr>
  </w:style>
  <w:style w:type="paragraph" w:customStyle="1" w:styleId="1361">
    <w:name w:val="表内"/>
    <w:basedOn w:val="1"/>
    <w:next w:val="1"/>
    <w:qFormat/>
    <w:uiPriority w:val="0"/>
    <w:pPr>
      <w:tabs>
        <w:tab w:val="left" w:pos="1701"/>
      </w:tabs>
      <w:adjustRightInd w:val="0"/>
      <w:snapToGrid w:val="0"/>
      <w:spacing w:before="120" w:after="120" w:line="288" w:lineRule="auto"/>
      <w:jc w:val="center"/>
    </w:pPr>
    <w:rPr>
      <w:szCs w:val="20"/>
    </w:rPr>
  </w:style>
  <w:style w:type="paragraph" w:customStyle="1" w:styleId="1362">
    <w:name w:val="9"/>
    <w:basedOn w:val="1"/>
    <w:next w:val="46"/>
    <w:qFormat/>
    <w:uiPriority w:val="0"/>
    <w:pPr>
      <w:tabs>
        <w:tab w:val="left" w:pos="1701"/>
      </w:tabs>
      <w:adjustRightInd w:val="0"/>
      <w:spacing w:line="520" w:lineRule="exact"/>
      <w:ind w:firstLine="200" w:firstLineChars="200"/>
    </w:pPr>
    <w:rPr>
      <w:sz w:val="28"/>
      <w:szCs w:val="24"/>
    </w:rPr>
  </w:style>
  <w:style w:type="paragraph" w:customStyle="1" w:styleId="1363">
    <w:name w:val="tit"/>
    <w:basedOn w:val="1"/>
    <w:qFormat/>
    <w:uiPriority w:val="0"/>
    <w:pPr>
      <w:tabs>
        <w:tab w:val="left" w:pos="1701"/>
      </w:tabs>
      <w:adjustRightInd w:val="0"/>
      <w:snapToGrid w:val="0"/>
      <w:jc w:val="center"/>
    </w:pPr>
    <w:rPr>
      <w:kern w:val="0"/>
      <w:szCs w:val="20"/>
    </w:rPr>
  </w:style>
  <w:style w:type="paragraph" w:customStyle="1" w:styleId="1364">
    <w:name w:val="Body Text 21"/>
    <w:basedOn w:val="1"/>
    <w:qFormat/>
    <w:uiPriority w:val="0"/>
    <w:pPr>
      <w:tabs>
        <w:tab w:val="left" w:pos="1701"/>
      </w:tabs>
      <w:adjustRightInd w:val="0"/>
      <w:spacing w:line="312" w:lineRule="auto"/>
    </w:pPr>
    <w:rPr>
      <w:kern w:val="0"/>
      <w:szCs w:val="20"/>
    </w:rPr>
  </w:style>
  <w:style w:type="paragraph" w:customStyle="1" w:styleId="1365">
    <w:name w:val="样式 标题 2节标题 1.1b21.1标题2h2l22nd levelTitre2Header 2标题2b2..."/>
    <w:basedOn w:val="4"/>
    <w:qFormat/>
    <w:uiPriority w:val="0"/>
    <w:pPr>
      <w:widowControl/>
      <w:tabs>
        <w:tab w:val="left" w:pos="567"/>
        <w:tab w:val="left" w:pos="1701"/>
      </w:tabs>
      <w:adjustRightInd w:val="0"/>
      <w:spacing w:line="360" w:lineRule="auto"/>
    </w:pPr>
    <w:rPr>
      <w:rFonts w:eastAsia="仿宋_GB2312" w:cs="宋体"/>
      <w:sz w:val="24"/>
    </w:rPr>
  </w:style>
  <w:style w:type="paragraph" w:customStyle="1" w:styleId="1366">
    <w:name w:val="样式 样式 正文 楷体_GB2312 四号 行距: 固定值 30 磅 + 首行缩进:  2 字符1 + 首行缩进:  2 字符"/>
    <w:basedOn w:val="1"/>
    <w:qFormat/>
    <w:uiPriority w:val="0"/>
    <w:pPr>
      <w:tabs>
        <w:tab w:val="left" w:pos="1701"/>
      </w:tabs>
      <w:adjustRightInd w:val="0"/>
      <w:snapToGrid w:val="0"/>
      <w:spacing w:line="348" w:lineRule="auto"/>
      <w:ind w:firstLine="560" w:firstLineChars="200"/>
      <w:jc w:val="center"/>
    </w:pPr>
    <w:rPr>
      <w:rFonts w:hAnsi="宋体"/>
      <w:color w:val="000000"/>
      <w:kern w:val="0"/>
      <w:sz w:val="28"/>
      <w:szCs w:val="20"/>
    </w:rPr>
  </w:style>
  <w:style w:type="paragraph" w:customStyle="1" w:styleId="1367">
    <w:name w:val="样式 正文首行缩进 + 段后: 0 磅"/>
    <w:basedOn w:val="74"/>
    <w:qFormat/>
    <w:uiPriority w:val="0"/>
    <w:pPr>
      <w:tabs>
        <w:tab w:val="left" w:pos="1701"/>
      </w:tabs>
      <w:adjustRightInd w:val="0"/>
      <w:snapToGrid w:val="0"/>
      <w:spacing w:after="0" w:line="348" w:lineRule="auto"/>
      <w:ind w:firstLine="200" w:firstLineChars="200"/>
      <w:jc w:val="left"/>
    </w:pPr>
    <w:rPr>
      <w:rFonts w:hint="eastAsia" w:ascii="宋体" w:hAnsi="宋体" w:cs="宋体"/>
      <w:kern w:val="0"/>
      <w:szCs w:val="20"/>
    </w:rPr>
  </w:style>
  <w:style w:type="paragraph" w:customStyle="1" w:styleId="1368">
    <w:name w:val="Char9"/>
    <w:basedOn w:val="1"/>
    <w:qFormat/>
    <w:uiPriority w:val="0"/>
    <w:pPr>
      <w:tabs>
        <w:tab w:val="left" w:pos="1701"/>
      </w:tabs>
    </w:pPr>
    <w:rPr>
      <w:rFonts w:ascii="Tahoma" w:hAnsi="Tahoma"/>
      <w:sz w:val="24"/>
      <w:szCs w:val="20"/>
    </w:rPr>
  </w:style>
  <w:style w:type="paragraph" w:customStyle="1" w:styleId="1369">
    <w:name w:val="Char Char Char1 Char Char Char Char Char Char Char Char Char Char"/>
    <w:basedOn w:val="1"/>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370">
    <w:name w:val="Char Char Char1 Char Char Char Char Char Char Char"/>
    <w:basedOn w:val="1"/>
    <w:qFormat/>
    <w:uiPriority w:val="0"/>
    <w:pPr>
      <w:tabs>
        <w:tab w:val="left" w:pos="1701"/>
      </w:tabs>
    </w:pPr>
    <w:rPr>
      <w:rFonts w:ascii="Tahoma" w:hAnsi="Tahoma"/>
      <w:sz w:val="24"/>
      <w:szCs w:val="20"/>
    </w:rPr>
  </w:style>
  <w:style w:type="paragraph" w:customStyle="1" w:styleId="1371">
    <w:name w:val="样式8"/>
    <w:basedOn w:val="1"/>
    <w:qFormat/>
    <w:uiPriority w:val="0"/>
    <w:pPr>
      <w:tabs>
        <w:tab w:val="left" w:pos="1701"/>
      </w:tabs>
      <w:autoSpaceDE w:val="0"/>
      <w:autoSpaceDN w:val="0"/>
      <w:adjustRightInd w:val="0"/>
      <w:spacing w:line="348" w:lineRule="auto"/>
    </w:pPr>
    <w:rPr>
      <w:rFonts w:ascii="AdobeSongStd-Light" w:eastAsia="Times New Roman" w:cs="AdobeSongStd-Light"/>
      <w:kern w:val="0"/>
      <w:szCs w:val="18"/>
    </w:rPr>
  </w:style>
  <w:style w:type="paragraph" w:customStyle="1" w:styleId="1372">
    <w:name w:val="二级标题"/>
    <w:basedOn w:val="1"/>
    <w:next w:val="3"/>
    <w:qFormat/>
    <w:uiPriority w:val="0"/>
    <w:pPr>
      <w:tabs>
        <w:tab w:val="left" w:pos="1701"/>
      </w:tabs>
      <w:adjustRightInd w:val="0"/>
      <w:snapToGrid w:val="0"/>
      <w:spacing w:line="348" w:lineRule="auto"/>
    </w:pPr>
    <w:rPr>
      <w:kern w:val="0"/>
      <w:sz w:val="28"/>
      <w:szCs w:val="28"/>
    </w:rPr>
  </w:style>
  <w:style w:type="paragraph" w:customStyle="1" w:styleId="1373">
    <w:name w:val="正文首行缩进 2 + Times New Roman"/>
    <w:basedOn w:val="1"/>
    <w:qFormat/>
    <w:uiPriority w:val="0"/>
    <w:pPr>
      <w:tabs>
        <w:tab w:val="left" w:pos="0"/>
        <w:tab w:val="left" w:pos="870"/>
        <w:tab w:val="left" w:pos="1701"/>
        <w:tab w:val="left" w:pos="3150"/>
      </w:tabs>
      <w:autoSpaceDE w:val="0"/>
      <w:autoSpaceDN w:val="0"/>
      <w:snapToGrid w:val="0"/>
      <w:spacing w:line="312" w:lineRule="auto"/>
      <w:ind w:firstLine="480" w:firstLineChars="200"/>
    </w:pPr>
    <w:rPr>
      <w:kern w:val="0"/>
      <w:sz w:val="24"/>
      <w:szCs w:val="24"/>
    </w:rPr>
  </w:style>
  <w:style w:type="paragraph" w:customStyle="1" w:styleId="1374">
    <w:name w:val="正文首行缩进1"/>
    <w:basedOn w:val="1"/>
    <w:qFormat/>
    <w:uiPriority w:val="0"/>
    <w:pPr>
      <w:tabs>
        <w:tab w:val="left" w:pos="1701"/>
      </w:tabs>
      <w:adjustRightInd w:val="0"/>
      <w:spacing w:line="312" w:lineRule="auto"/>
      <w:ind w:firstLine="567"/>
      <w:jc w:val="left"/>
    </w:pPr>
    <w:rPr>
      <w:kern w:val="0"/>
      <w:sz w:val="28"/>
      <w:szCs w:val="20"/>
    </w:rPr>
  </w:style>
  <w:style w:type="paragraph" w:customStyle="1" w:styleId="1375">
    <w:name w:val="Body Text First Indent2"/>
    <w:basedOn w:val="1"/>
    <w:qFormat/>
    <w:uiPriority w:val="0"/>
    <w:pPr>
      <w:tabs>
        <w:tab w:val="left" w:pos="1701"/>
      </w:tabs>
      <w:adjustRightInd w:val="0"/>
      <w:spacing w:line="312" w:lineRule="auto"/>
      <w:ind w:firstLine="567"/>
    </w:pPr>
    <w:rPr>
      <w:rFonts w:eastAsia="Wingdings"/>
      <w:kern w:val="0"/>
      <w:sz w:val="28"/>
      <w:szCs w:val="20"/>
    </w:rPr>
  </w:style>
  <w:style w:type="paragraph" w:customStyle="1" w:styleId="1376">
    <w:name w:val="Body Text First Indent1"/>
    <w:basedOn w:val="1"/>
    <w:qFormat/>
    <w:uiPriority w:val="0"/>
    <w:pPr>
      <w:tabs>
        <w:tab w:val="left" w:pos="1701"/>
      </w:tabs>
      <w:adjustRightInd w:val="0"/>
      <w:spacing w:line="480" w:lineRule="exact"/>
      <w:ind w:firstLine="567"/>
    </w:pPr>
    <w:rPr>
      <w:rFonts w:eastAsia="Wingdings"/>
      <w:kern w:val="0"/>
      <w:sz w:val="28"/>
      <w:szCs w:val="20"/>
    </w:rPr>
  </w:style>
  <w:style w:type="paragraph" w:customStyle="1" w:styleId="1377">
    <w:name w:val="标题样式"/>
    <w:basedOn w:val="510"/>
    <w:qFormat/>
    <w:uiPriority w:val="0"/>
    <w:pPr>
      <w:tabs>
        <w:tab w:val="left" w:pos="1701"/>
      </w:tabs>
      <w:autoSpaceDE w:val="0"/>
      <w:autoSpaceDN w:val="0"/>
      <w:adjustRightInd w:val="0"/>
      <w:spacing w:line="288" w:lineRule="auto"/>
      <w:ind w:firstLine="0" w:firstLineChars="0"/>
      <w:jc w:val="left"/>
    </w:pPr>
    <w:rPr>
      <w:rFonts w:hint="eastAsia" w:ascii="Times New Roman" w:hAnsi="Times New Roman" w:eastAsia="Wingdings"/>
      <w:spacing w:val="10"/>
      <w:kern w:val="0"/>
      <w:sz w:val="28"/>
      <w:szCs w:val="20"/>
    </w:rPr>
  </w:style>
  <w:style w:type="paragraph" w:customStyle="1" w:styleId="1378">
    <w:name w:val="文档结构图1"/>
    <w:basedOn w:val="1"/>
    <w:qFormat/>
    <w:uiPriority w:val="0"/>
    <w:pPr>
      <w:shd w:val="clear" w:color="auto" w:fill="000080"/>
      <w:tabs>
        <w:tab w:val="left" w:pos="1701"/>
      </w:tabs>
      <w:adjustRightInd w:val="0"/>
      <w:spacing w:line="360" w:lineRule="atLeast"/>
      <w:jc w:val="left"/>
    </w:pPr>
    <w:rPr>
      <w:rFonts w:eastAsia="Wingdings"/>
      <w:kern w:val="0"/>
      <w:sz w:val="24"/>
      <w:szCs w:val="20"/>
    </w:rPr>
  </w:style>
  <w:style w:type="paragraph" w:customStyle="1" w:styleId="1379">
    <w:name w:val="样式 正文文本1 + 首行缩进:  2 字符2"/>
    <w:basedOn w:val="1"/>
    <w:qFormat/>
    <w:uiPriority w:val="0"/>
    <w:pPr>
      <w:tabs>
        <w:tab w:val="left" w:pos="1701"/>
      </w:tabs>
      <w:adjustRightInd w:val="0"/>
      <w:snapToGrid w:val="0"/>
      <w:spacing w:line="348" w:lineRule="auto"/>
    </w:pPr>
    <w:rPr>
      <w:sz w:val="28"/>
      <w:szCs w:val="20"/>
    </w:rPr>
  </w:style>
  <w:style w:type="paragraph" w:customStyle="1" w:styleId="1380">
    <w:name w:val="正文首行缩进:  2 字符"/>
    <w:basedOn w:val="1367"/>
    <w:qFormat/>
    <w:uiPriority w:val="0"/>
    <w:pPr>
      <w:ind w:firstLine="560"/>
    </w:pPr>
  </w:style>
  <w:style w:type="paragraph" w:customStyle="1" w:styleId="1381">
    <w:name w:val="正文 楷体_GB2312 四号 行距: 固定值 30 磅"/>
    <w:basedOn w:val="1"/>
    <w:qFormat/>
    <w:uiPriority w:val="0"/>
    <w:pPr>
      <w:tabs>
        <w:tab w:val="left" w:pos="1701"/>
      </w:tabs>
      <w:spacing w:line="400" w:lineRule="exact"/>
      <w:jc w:val="center"/>
    </w:pPr>
    <w:rPr>
      <w:rFonts w:ascii="Arial" w:hAnsi="Arial" w:cs="Arial"/>
      <w:szCs w:val="21"/>
    </w:rPr>
  </w:style>
  <w:style w:type="paragraph" w:customStyle="1" w:styleId="1382">
    <w:name w:val="表格文字独行"/>
    <w:next w:val="1"/>
    <w:qFormat/>
    <w:uiPriority w:val="0"/>
    <w:pPr>
      <w:spacing w:beforeLines="20" w:line="264" w:lineRule="auto"/>
      <w:jc w:val="center"/>
    </w:pPr>
    <w:rPr>
      <w:rFonts w:ascii="Times New Roman" w:hAnsi="Times New Roman" w:eastAsia="仿宋_GB2312" w:cs="Times New Roman"/>
      <w:sz w:val="21"/>
      <w:szCs w:val="24"/>
      <w:lang w:val="en-US" w:eastAsia="zh-CN" w:bidi="ar-SA"/>
    </w:rPr>
  </w:style>
  <w:style w:type="paragraph" w:customStyle="1" w:styleId="1383">
    <w:name w:val="正文文本缩进 21"/>
    <w:basedOn w:val="1"/>
    <w:qFormat/>
    <w:uiPriority w:val="0"/>
    <w:pPr>
      <w:tabs>
        <w:tab w:val="left" w:pos="1701"/>
      </w:tabs>
      <w:adjustRightInd w:val="0"/>
      <w:spacing w:line="348" w:lineRule="auto"/>
      <w:ind w:firstLine="573"/>
    </w:pPr>
    <w:rPr>
      <w:rFonts w:eastAsia="Wingdings"/>
      <w:sz w:val="28"/>
      <w:szCs w:val="20"/>
    </w:rPr>
  </w:style>
  <w:style w:type="paragraph" w:customStyle="1" w:styleId="1384">
    <w:name w:val="正文文本1"/>
    <w:basedOn w:val="1"/>
    <w:qFormat/>
    <w:uiPriority w:val="0"/>
    <w:pPr>
      <w:tabs>
        <w:tab w:val="left" w:pos="1701"/>
      </w:tabs>
      <w:adjustRightInd w:val="0"/>
      <w:snapToGrid w:val="0"/>
      <w:spacing w:line="348" w:lineRule="auto"/>
      <w:ind w:firstLine="200" w:firstLineChars="200"/>
      <w:jc w:val="center"/>
    </w:pPr>
    <w:rPr>
      <w:rFonts w:ascii="宋体" w:hAnsi="华文宋体" w:cs="宋体"/>
      <w:w w:val="80"/>
      <w:sz w:val="28"/>
      <w:szCs w:val="20"/>
    </w:rPr>
  </w:style>
  <w:style w:type="paragraph" w:customStyle="1" w:styleId="1385">
    <w:name w:val="样式 正文文字 + 首行缩进:  2 字符"/>
    <w:basedOn w:val="1"/>
    <w:qFormat/>
    <w:uiPriority w:val="0"/>
    <w:pPr>
      <w:tabs>
        <w:tab w:val="left" w:pos="1701"/>
      </w:tabs>
      <w:snapToGrid w:val="0"/>
      <w:spacing w:before="20" w:line="348" w:lineRule="auto"/>
      <w:ind w:firstLine="200" w:firstLineChars="200"/>
    </w:pPr>
    <w:rPr>
      <w:color w:val="000000"/>
      <w:kern w:val="0"/>
      <w:sz w:val="28"/>
      <w:szCs w:val="20"/>
    </w:rPr>
  </w:style>
  <w:style w:type="paragraph" w:customStyle="1" w:styleId="1386">
    <w:name w:val="样式 样式 正文文字 + 首行缩进:  2 字符 + 首行缩进:  2 字符"/>
    <w:basedOn w:val="1385"/>
    <w:qFormat/>
    <w:uiPriority w:val="0"/>
    <w:pPr>
      <w:spacing w:before="0"/>
    </w:pPr>
    <w:rPr>
      <w:rFonts w:cs="宋体"/>
      <w:szCs w:val="28"/>
    </w:rPr>
  </w:style>
  <w:style w:type="paragraph" w:customStyle="1" w:styleId="1387">
    <w:name w:val="正文缩进（首行缩进两字）"/>
    <w:basedOn w:val="1"/>
    <w:qFormat/>
    <w:uiPriority w:val="0"/>
    <w:pPr>
      <w:tabs>
        <w:tab w:val="left" w:pos="1701"/>
      </w:tabs>
      <w:adjustRightInd w:val="0"/>
      <w:snapToGrid w:val="0"/>
      <w:spacing w:line="348" w:lineRule="auto"/>
      <w:ind w:firstLine="560" w:firstLineChars="200"/>
    </w:pPr>
    <w:rPr>
      <w:rFonts w:cs="宋体"/>
      <w:color w:val="000000"/>
      <w:kern w:val="16"/>
      <w:sz w:val="28"/>
      <w:szCs w:val="20"/>
    </w:rPr>
  </w:style>
  <w:style w:type="paragraph" w:customStyle="1" w:styleId="1388">
    <w:name w:val="样式 正文缩进正文（首行缩进两字）."/>
    <w:basedOn w:val="19"/>
    <w:qFormat/>
    <w:uiPriority w:val="0"/>
    <w:pPr>
      <w:tabs>
        <w:tab w:val="left" w:pos="1701"/>
      </w:tabs>
      <w:adjustRightInd w:val="0"/>
      <w:snapToGrid w:val="0"/>
      <w:spacing w:line="348" w:lineRule="auto"/>
      <w:ind w:firstLine="200"/>
    </w:pPr>
    <w:rPr>
      <w:rFonts w:eastAsia="Times New Roman" w:cs="宋体"/>
      <w:sz w:val="28"/>
      <w:szCs w:val="28"/>
    </w:rPr>
  </w:style>
  <w:style w:type="paragraph" w:customStyle="1" w:styleId="1389">
    <w:name w:val="样式 正文文字 + 宋体"/>
    <w:basedOn w:val="31"/>
    <w:qFormat/>
    <w:uiPriority w:val="0"/>
    <w:pPr>
      <w:tabs>
        <w:tab w:val="left" w:pos="1701"/>
      </w:tabs>
      <w:snapToGrid w:val="0"/>
      <w:spacing w:before="20" w:line="348" w:lineRule="auto"/>
      <w:ind w:left="0" w:firstLine="200" w:firstLineChars="200"/>
      <w:jc w:val="both"/>
    </w:pPr>
    <w:rPr>
      <w:rFonts w:hint="eastAsia" w:ascii="Times New Roman" w:hAnsi="Times New Roman"/>
      <w:color w:val="000000"/>
      <w:sz w:val="28"/>
      <w:szCs w:val="28"/>
      <w:lang w:eastAsia="zh-CN"/>
    </w:rPr>
  </w:style>
  <w:style w:type="paragraph" w:customStyle="1" w:styleId="1390">
    <w:name w:val="样式 正文文字 + 宋体 首行缩进:  2 字符"/>
    <w:basedOn w:val="31"/>
    <w:qFormat/>
    <w:uiPriority w:val="0"/>
    <w:pPr>
      <w:tabs>
        <w:tab w:val="left" w:pos="1701"/>
      </w:tabs>
      <w:snapToGrid w:val="0"/>
      <w:spacing w:before="20" w:line="348" w:lineRule="auto"/>
      <w:ind w:left="0" w:firstLine="560" w:firstLineChars="200"/>
      <w:jc w:val="both"/>
    </w:pPr>
    <w:rPr>
      <w:rFonts w:hint="eastAsia" w:ascii="Times New Roman" w:hAnsi="Times New Roman" w:cs="宋体"/>
      <w:color w:val="000000"/>
      <w:sz w:val="28"/>
      <w:szCs w:val="28"/>
      <w:lang w:eastAsia="zh-CN"/>
    </w:rPr>
  </w:style>
  <w:style w:type="paragraph" w:customStyle="1" w:styleId="1391">
    <w:name w:val="样式 正文首行缩进 + 首行缩进:  0.99 厘米"/>
    <w:basedOn w:val="74"/>
    <w:qFormat/>
    <w:uiPriority w:val="0"/>
    <w:pPr>
      <w:tabs>
        <w:tab w:val="left" w:pos="1701"/>
      </w:tabs>
      <w:adjustRightInd w:val="0"/>
      <w:snapToGrid w:val="0"/>
      <w:spacing w:after="0" w:line="348" w:lineRule="auto"/>
      <w:ind w:firstLine="200" w:firstLineChars="200"/>
      <w:jc w:val="left"/>
    </w:pPr>
    <w:rPr>
      <w:rFonts w:hint="eastAsia" w:ascii="宋体" w:hAnsi="宋体" w:cs="宋体"/>
      <w:kern w:val="0"/>
      <w:szCs w:val="28"/>
    </w:rPr>
  </w:style>
  <w:style w:type="paragraph" w:customStyle="1" w:styleId="1392">
    <w:name w:val="初设段落"/>
    <w:basedOn w:val="1"/>
    <w:qFormat/>
    <w:uiPriority w:val="0"/>
    <w:pPr>
      <w:tabs>
        <w:tab w:val="left" w:pos="1701"/>
      </w:tabs>
      <w:adjustRightInd w:val="0"/>
      <w:snapToGrid w:val="0"/>
      <w:spacing w:line="348" w:lineRule="auto"/>
    </w:pPr>
    <w:rPr>
      <w:sz w:val="28"/>
      <w:szCs w:val="24"/>
    </w:rPr>
  </w:style>
  <w:style w:type="paragraph" w:customStyle="1" w:styleId="1393">
    <w:name w:val="样式 正文缩进 + 首行缩进:  2 字符"/>
    <w:basedOn w:val="19"/>
    <w:qFormat/>
    <w:uiPriority w:val="0"/>
    <w:pPr>
      <w:tabs>
        <w:tab w:val="left" w:pos="1701"/>
      </w:tabs>
      <w:adjustRightInd w:val="0"/>
      <w:snapToGrid w:val="0"/>
      <w:spacing w:line="348" w:lineRule="auto"/>
      <w:ind w:firstLine="200"/>
    </w:pPr>
    <w:rPr>
      <w:rFonts w:eastAsia="Times New Roman"/>
      <w:sz w:val="28"/>
    </w:rPr>
  </w:style>
  <w:style w:type="paragraph" w:customStyle="1" w:styleId="1394">
    <w:name w:val="封面标准名称"/>
    <w:qFormat/>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1395">
    <w:name w:val="Char Char Char Char Char Char Char6"/>
    <w:basedOn w:val="1"/>
    <w:qFormat/>
    <w:uiPriority w:val="0"/>
    <w:pPr>
      <w:tabs>
        <w:tab w:val="left" w:pos="1701"/>
      </w:tabs>
    </w:pPr>
    <w:rPr>
      <w:szCs w:val="24"/>
    </w:rPr>
  </w:style>
  <w:style w:type="paragraph" w:customStyle="1" w:styleId="1396">
    <w:name w:val="Char Char Char1 Char Char Char Char Char Char Char5"/>
    <w:basedOn w:val="1"/>
    <w:qFormat/>
    <w:uiPriority w:val="0"/>
    <w:pPr>
      <w:tabs>
        <w:tab w:val="left" w:pos="1701"/>
      </w:tabs>
    </w:pPr>
    <w:rPr>
      <w:rFonts w:ascii="Tahoma" w:hAnsi="Tahoma"/>
      <w:sz w:val="24"/>
      <w:szCs w:val="20"/>
    </w:rPr>
  </w:style>
  <w:style w:type="paragraph" w:customStyle="1" w:styleId="1397">
    <w:name w:val="Char Char Char Char6"/>
    <w:basedOn w:val="1"/>
    <w:qFormat/>
    <w:uiPriority w:val="0"/>
    <w:pPr>
      <w:widowControl/>
      <w:tabs>
        <w:tab w:val="left" w:pos="1701"/>
      </w:tabs>
      <w:spacing w:after="160" w:line="240" w:lineRule="exact"/>
      <w:jc w:val="left"/>
    </w:pPr>
    <w:rPr>
      <w:rFonts w:ascii="Arial" w:hAnsi="Arial" w:eastAsia="Times New Roman" w:cs="Verdana"/>
      <w:b/>
      <w:kern w:val="0"/>
      <w:sz w:val="24"/>
      <w:szCs w:val="20"/>
      <w:lang w:eastAsia="en-US"/>
    </w:rPr>
  </w:style>
  <w:style w:type="paragraph" w:customStyle="1" w:styleId="1398">
    <w:name w:val="Char Char Char1 Char Char Char Char Char Char Char Char Char Char6"/>
    <w:basedOn w:val="1"/>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399">
    <w:name w:val="Char Char Char Char Char Char Char Char Char Char Char Char Char"/>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1400">
    <w:name w:val="Char Char Char Char Char Char1 Char6"/>
    <w:basedOn w:val="1"/>
    <w:qFormat/>
    <w:uiPriority w:val="0"/>
    <w:pPr>
      <w:tabs>
        <w:tab w:val="left" w:pos="1701"/>
      </w:tabs>
    </w:pPr>
    <w:rPr>
      <w:szCs w:val="24"/>
    </w:rPr>
  </w:style>
  <w:style w:type="paragraph" w:customStyle="1" w:styleId="1401">
    <w:name w:val="小标题a)"/>
    <w:basedOn w:val="1"/>
    <w:qFormat/>
    <w:uiPriority w:val="0"/>
    <w:pPr>
      <w:tabs>
        <w:tab w:val="left" w:pos="1701"/>
      </w:tabs>
      <w:overflowPunct w:val="0"/>
      <w:topLinePunct/>
      <w:spacing w:line="348" w:lineRule="auto"/>
    </w:pPr>
    <w:rPr>
      <w:kern w:val="0"/>
      <w:sz w:val="28"/>
      <w:szCs w:val="20"/>
    </w:rPr>
  </w:style>
  <w:style w:type="paragraph" w:customStyle="1" w:styleId="1402">
    <w:name w:val="样式 四号 行距: 多倍行距 1.45 字行1"/>
    <w:basedOn w:val="1"/>
    <w:qFormat/>
    <w:uiPriority w:val="0"/>
    <w:pPr>
      <w:tabs>
        <w:tab w:val="left" w:pos="1701"/>
      </w:tabs>
      <w:snapToGrid w:val="0"/>
      <w:spacing w:line="348" w:lineRule="auto"/>
    </w:pPr>
    <w:rPr>
      <w:rFonts w:cs="宋体"/>
      <w:sz w:val="28"/>
      <w:szCs w:val="20"/>
    </w:rPr>
  </w:style>
  <w:style w:type="paragraph" w:customStyle="1" w:styleId="1403">
    <w:name w:val="表头王"/>
    <w:basedOn w:val="1"/>
    <w:qFormat/>
    <w:uiPriority w:val="0"/>
    <w:pPr>
      <w:tabs>
        <w:tab w:val="left" w:pos="1701"/>
      </w:tabs>
      <w:adjustRightInd w:val="0"/>
      <w:snapToGrid w:val="0"/>
      <w:spacing w:line="360" w:lineRule="auto"/>
      <w:jc w:val="center"/>
    </w:pPr>
    <w:rPr>
      <w:rFonts w:ascii="黑体" w:eastAsia="黑体"/>
      <w:b/>
      <w:bCs/>
      <w:color w:val="000000"/>
      <w:sz w:val="24"/>
      <w:szCs w:val="24"/>
    </w:rPr>
  </w:style>
  <w:style w:type="paragraph" w:customStyle="1" w:styleId="1404">
    <w:name w:val="Char Char Char Char Char Char Char Char Char Char5"/>
    <w:basedOn w:val="1"/>
    <w:qFormat/>
    <w:uiPriority w:val="0"/>
    <w:pPr>
      <w:tabs>
        <w:tab w:val="left" w:pos="1701"/>
      </w:tabs>
    </w:pPr>
    <w:rPr>
      <w:rFonts w:ascii="宋体" w:hAnsi="宋体" w:cs="宋体"/>
      <w:color w:val="000000"/>
      <w:szCs w:val="21"/>
    </w:rPr>
  </w:style>
  <w:style w:type="paragraph" w:customStyle="1" w:styleId="1405">
    <w:name w:val="湛江钢铁表标题"/>
    <w:basedOn w:val="1"/>
    <w:qFormat/>
    <w:uiPriority w:val="0"/>
    <w:pPr>
      <w:tabs>
        <w:tab w:val="left" w:pos="1701"/>
      </w:tabs>
      <w:snapToGrid w:val="0"/>
      <w:spacing w:line="360" w:lineRule="auto"/>
      <w:ind w:firstLine="480" w:firstLineChars="200"/>
      <w:jc w:val="center"/>
    </w:pPr>
    <w:rPr>
      <w:rFonts w:eastAsia="仿宋_GB2312"/>
      <w:color w:val="000000"/>
      <w:kern w:val="0"/>
      <w:sz w:val="24"/>
      <w:szCs w:val="24"/>
    </w:rPr>
  </w:style>
  <w:style w:type="paragraph" w:customStyle="1" w:styleId="1406">
    <w:name w:val="new"/>
    <w:basedOn w:val="1"/>
    <w:qFormat/>
    <w:uiPriority w:val="0"/>
    <w:pPr>
      <w:tabs>
        <w:tab w:val="left" w:pos="1701"/>
      </w:tabs>
      <w:snapToGrid w:val="0"/>
      <w:spacing w:line="360" w:lineRule="auto"/>
      <w:ind w:firstLine="480" w:firstLineChars="200"/>
    </w:pPr>
    <w:rPr>
      <w:rFonts w:eastAsia="仿宋_GB2312"/>
      <w:sz w:val="24"/>
      <w:szCs w:val="24"/>
    </w:rPr>
  </w:style>
  <w:style w:type="paragraph" w:customStyle="1" w:styleId="1407">
    <w:name w:val="样式 湛江钢铁正文 +"/>
    <w:basedOn w:val="1"/>
    <w:qFormat/>
    <w:uiPriority w:val="0"/>
    <w:pPr>
      <w:tabs>
        <w:tab w:val="left" w:pos="1701"/>
      </w:tabs>
      <w:adjustRightInd w:val="0"/>
      <w:snapToGrid w:val="0"/>
      <w:spacing w:line="360" w:lineRule="auto"/>
      <w:ind w:firstLine="480" w:firstLineChars="200"/>
      <w:jc w:val="left"/>
    </w:pPr>
    <w:rPr>
      <w:rFonts w:eastAsia="仿宋_GB2312"/>
      <w:color w:val="000000"/>
      <w:kern w:val="0"/>
      <w:sz w:val="24"/>
      <w:szCs w:val="24"/>
    </w:rPr>
  </w:style>
  <w:style w:type="paragraph" w:customStyle="1" w:styleId="1408">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1409">
    <w:name w:val="佛表"/>
    <w:basedOn w:val="57"/>
    <w:qFormat/>
    <w:uiPriority w:val="0"/>
    <w:pPr>
      <w:tabs>
        <w:tab w:val="left" w:pos="1701"/>
      </w:tabs>
      <w:adjustRightInd w:val="0"/>
      <w:snapToGrid w:val="0"/>
      <w:spacing w:line="348" w:lineRule="auto"/>
      <w:ind w:left="0" w:firstLine="0"/>
      <w:jc w:val="center"/>
    </w:pPr>
    <w:rPr>
      <w:color w:val="000000"/>
    </w:rPr>
  </w:style>
  <w:style w:type="paragraph" w:customStyle="1" w:styleId="1410">
    <w:name w:val="湛江钢铁正文"/>
    <w:basedOn w:val="1"/>
    <w:qFormat/>
    <w:uiPriority w:val="0"/>
    <w:pPr>
      <w:tabs>
        <w:tab w:val="left" w:pos="1701"/>
      </w:tabs>
      <w:adjustRightInd w:val="0"/>
      <w:snapToGrid w:val="0"/>
      <w:spacing w:line="360" w:lineRule="auto"/>
      <w:ind w:firstLine="420" w:firstLineChars="200"/>
      <w:jc w:val="left"/>
    </w:pPr>
    <w:rPr>
      <w:rFonts w:eastAsia="仿宋_GB2312"/>
      <w:color w:val="000000"/>
      <w:kern w:val="0"/>
      <w:sz w:val="28"/>
      <w:szCs w:val="21"/>
    </w:rPr>
  </w:style>
  <w:style w:type="paragraph" w:customStyle="1" w:styleId="1411">
    <w:name w:val="样式 湛江钢铁表 + 段前: 0.2 行 段后: 0.2 行"/>
    <w:basedOn w:val="178"/>
    <w:qFormat/>
    <w:uiPriority w:val="0"/>
    <w:rPr>
      <w:rFonts w:cs="宋体"/>
      <w:kern w:val="2"/>
    </w:rPr>
  </w:style>
  <w:style w:type="paragraph" w:customStyle="1" w:styleId="1412">
    <w:name w:val="湛江沥青表"/>
    <w:basedOn w:val="1"/>
    <w:qFormat/>
    <w:uiPriority w:val="0"/>
    <w:pPr>
      <w:framePr w:hSpace="180" w:wrap="around" w:vAnchor="text" w:hAnchor="margin" w:y="524"/>
      <w:tabs>
        <w:tab w:val="left" w:pos="1701"/>
      </w:tabs>
      <w:autoSpaceDE w:val="0"/>
      <w:autoSpaceDN w:val="0"/>
      <w:snapToGrid w:val="0"/>
      <w:spacing w:before="100" w:line="0" w:lineRule="atLeast"/>
      <w:ind w:left="102" w:hanging="102"/>
      <w:jc w:val="center"/>
    </w:pPr>
    <w:rPr>
      <w:bCs/>
      <w:sz w:val="28"/>
      <w:szCs w:val="21"/>
      <w:u w:color="000000"/>
    </w:rPr>
  </w:style>
  <w:style w:type="paragraph" w:customStyle="1" w:styleId="1413">
    <w:name w:val="图标题"/>
    <w:basedOn w:val="1"/>
    <w:next w:val="1"/>
    <w:qFormat/>
    <w:uiPriority w:val="0"/>
    <w:pPr>
      <w:tabs>
        <w:tab w:val="left" w:pos="1701"/>
      </w:tabs>
      <w:autoSpaceDE w:val="0"/>
      <w:autoSpaceDN w:val="0"/>
      <w:adjustRightInd w:val="0"/>
      <w:snapToGrid w:val="0"/>
      <w:spacing w:before="60" w:after="120" w:line="400" w:lineRule="atLeast"/>
      <w:jc w:val="center"/>
    </w:pPr>
    <w:rPr>
      <w:rFonts w:eastAsia="仿宋_GB2312"/>
      <w:b/>
      <w:spacing w:val="2"/>
      <w:kern w:val="0"/>
      <w:sz w:val="24"/>
      <w:szCs w:val="20"/>
    </w:rPr>
  </w:style>
  <w:style w:type="paragraph" w:customStyle="1" w:styleId="1414">
    <w:name w:val="表格文字小四"/>
    <w:basedOn w:val="1"/>
    <w:qFormat/>
    <w:uiPriority w:val="0"/>
    <w:pPr>
      <w:tabs>
        <w:tab w:val="left" w:pos="1701"/>
      </w:tabs>
      <w:adjustRightInd w:val="0"/>
      <w:snapToGrid w:val="0"/>
      <w:spacing w:beforeLines="20"/>
      <w:jc w:val="center"/>
    </w:pPr>
    <w:rPr>
      <w:rFonts w:ascii="Arial" w:hAnsi="Arial" w:cs="Arial"/>
      <w:color w:val="000000"/>
      <w:kern w:val="0"/>
      <w:sz w:val="24"/>
      <w:szCs w:val="24"/>
    </w:rPr>
  </w:style>
  <w:style w:type="paragraph" w:customStyle="1" w:styleId="1415">
    <w:name w:val="样式 (符号) 宋体"/>
    <w:basedOn w:val="1"/>
    <w:qFormat/>
    <w:uiPriority w:val="0"/>
    <w:pPr>
      <w:tabs>
        <w:tab w:val="left" w:pos="1701"/>
      </w:tabs>
      <w:snapToGrid w:val="0"/>
      <w:spacing w:line="348" w:lineRule="auto"/>
      <w:ind w:firstLine="560" w:firstLineChars="200"/>
    </w:pPr>
    <w:rPr>
      <w:rFonts w:hAnsi="宋体" w:eastAsia="Times New Roman" w:cs="宋体"/>
      <w:sz w:val="28"/>
      <w:szCs w:val="20"/>
    </w:rPr>
  </w:style>
  <w:style w:type="paragraph" w:customStyle="1" w:styleId="1416">
    <w:name w:val="正文缩"/>
    <w:basedOn w:val="1"/>
    <w:qFormat/>
    <w:uiPriority w:val="0"/>
    <w:pPr>
      <w:tabs>
        <w:tab w:val="left" w:pos="1701"/>
      </w:tabs>
      <w:adjustRightInd w:val="0"/>
      <w:spacing w:line="480" w:lineRule="atLeast"/>
      <w:ind w:firstLine="567"/>
    </w:pPr>
    <w:rPr>
      <w:rFonts w:ascii="宋体"/>
      <w:spacing w:val="6"/>
      <w:kern w:val="0"/>
      <w:sz w:val="28"/>
      <w:szCs w:val="20"/>
    </w:rPr>
  </w:style>
  <w:style w:type="paragraph" w:customStyle="1" w:styleId="1417">
    <w:name w:val="大表紧缩"/>
    <w:basedOn w:val="1418"/>
    <w:qFormat/>
    <w:uiPriority w:val="0"/>
    <w:pPr>
      <w:tabs>
        <w:tab w:val="left" w:pos="1701"/>
      </w:tabs>
      <w:spacing w:line="252" w:lineRule="auto"/>
    </w:pPr>
  </w:style>
  <w:style w:type="paragraph" w:customStyle="1" w:styleId="1418">
    <w:name w:val="大表左紧"/>
    <w:basedOn w:val="1419"/>
    <w:qFormat/>
    <w:uiPriority w:val="0"/>
    <w:pPr>
      <w:tabs>
        <w:tab w:val="left" w:pos="1701"/>
      </w:tabs>
      <w:spacing w:line="276" w:lineRule="auto"/>
    </w:pPr>
    <w:rPr>
      <w:spacing w:val="-6"/>
    </w:rPr>
  </w:style>
  <w:style w:type="paragraph" w:customStyle="1" w:styleId="1419">
    <w:name w:val="大表文左对"/>
    <w:basedOn w:val="1420"/>
    <w:qFormat/>
    <w:uiPriority w:val="0"/>
    <w:pPr>
      <w:tabs>
        <w:tab w:val="left" w:pos="1701"/>
      </w:tabs>
      <w:jc w:val="left"/>
    </w:pPr>
  </w:style>
  <w:style w:type="paragraph" w:customStyle="1" w:styleId="1420">
    <w:name w:val="大表格文字"/>
    <w:basedOn w:val="1"/>
    <w:qFormat/>
    <w:uiPriority w:val="0"/>
    <w:pPr>
      <w:tabs>
        <w:tab w:val="left" w:pos="1701"/>
      </w:tabs>
      <w:adjustRightInd w:val="0"/>
      <w:snapToGrid w:val="0"/>
      <w:spacing w:line="300" w:lineRule="auto"/>
      <w:jc w:val="center"/>
    </w:pPr>
    <w:rPr>
      <w:rFonts w:cs="宋体"/>
      <w:color w:val="000000"/>
      <w:sz w:val="18"/>
      <w:szCs w:val="20"/>
    </w:rPr>
  </w:style>
  <w:style w:type="paragraph" w:customStyle="1" w:styleId="1421">
    <w:name w:val="样式 样式1 + 宋体 首行缩进:  2 字符"/>
    <w:basedOn w:val="1"/>
    <w:qFormat/>
    <w:uiPriority w:val="0"/>
    <w:pPr>
      <w:tabs>
        <w:tab w:val="left" w:pos="1701"/>
      </w:tabs>
      <w:spacing w:line="180" w:lineRule="atLeast"/>
      <w:ind w:firstLine="520" w:firstLineChars="200"/>
    </w:pPr>
    <w:rPr>
      <w:rFonts w:ascii="宋体" w:hAnsi="宋体"/>
      <w:sz w:val="28"/>
      <w:szCs w:val="28"/>
    </w:rPr>
  </w:style>
  <w:style w:type="paragraph" w:customStyle="1" w:styleId="1422">
    <w:name w:val="news"/>
    <w:basedOn w:val="1"/>
    <w:qFormat/>
    <w:uiPriority w:val="0"/>
    <w:pPr>
      <w:widowControl/>
      <w:tabs>
        <w:tab w:val="left" w:pos="1701"/>
      </w:tabs>
      <w:spacing w:before="100" w:beforeAutospacing="1" w:after="100" w:afterAutospacing="1"/>
      <w:jc w:val="left"/>
    </w:pPr>
    <w:rPr>
      <w:rFonts w:ascii="宋体" w:hAnsi="宋体"/>
      <w:kern w:val="0"/>
      <w:sz w:val="20"/>
      <w:szCs w:val="20"/>
    </w:rPr>
  </w:style>
  <w:style w:type="paragraph" w:customStyle="1" w:styleId="1423">
    <w:name w:val="正文居中"/>
    <w:basedOn w:val="74"/>
    <w:qFormat/>
    <w:uiPriority w:val="0"/>
    <w:pPr>
      <w:tabs>
        <w:tab w:val="left" w:pos="1701"/>
      </w:tabs>
      <w:adjustRightInd w:val="0"/>
      <w:snapToGrid w:val="0"/>
      <w:spacing w:after="0" w:line="312" w:lineRule="auto"/>
      <w:ind w:firstLine="0" w:firstLineChars="0"/>
      <w:jc w:val="center"/>
    </w:pPr>
    <w:rPr>
      <w:rFonts w:hint="eastAsia" w:ascii="Arial" w:hAnsi="Arial" w:eastAsia="黑体" w:cs="Arial"/>
      <w:spacing w:val="6"/>
      <w:kern w:val="0"/>
      <w:szCs w:val="28"/>
      <w:u w:val="double"/>
      <w:lang w:val="zh-CN"/>
    </w:rPr>
  </w:style>
  <w:style w:type="paragraph" w:customStyle="1" w:styleId="1424">
    <w:name w:val="表格小四"/>
    <w:basedOn w:val="1"/>
    <w:qFormat/>
    <w:uiPriority w:val="0"/>
    <w:pPr>
      <w:tabs>
        <w:tab w:val="left" w:pos="1701"/>
      </w:tabs>
      <w:snapToGrid w:val="0"/>
      <w:spacing w:before="40" w:after="40"/>
      <w:jc w:val="center"/>
    </w:pPr>
    <w:rPr>
      <w:rFonts w:ascii="Arial" w:hAnsi="Arial" w:cs="Arial"/>
      <w:spacing w:val="6"/>
      <w:sz w:val="24"/>
      <w:szCs w:val="24"/>
    </w:rPr>
  </w:style>
  <w:style w:type="paragraph" w:customStyle="1" w:styleId="1425">
    <w:name w:val="表格文字左"/>
    <w:basedOn w:val="1"/>
    <w:qFormat/>
    <w:uiPriority w:val="0"/>
    <w:pPr>
      <w:tabs>
        <w:tab w:val="left" w:pos="1701"/>
      </w:tabs>
      <w:adjustRightInd w:val="0"/>
      <w:snapToGrid w:val="0"/>
      <w:jc w:val="left"/>
    </w:pPr>
    <w:rPr>
      <w:rFonts w:ascii="Arial" w:hAnsi="Arial"/>
      <w:spacing w:val="6"/>
      <w:kern w:val="0"/>
      <w:sz w:val="24"/>
      <w:szCs w:val="26"/>
      <w:lang w:eastAsia="zh-TW"/>
    </w:rPr>
  </w:style>
  <w:style w:type="paragraph" w:customStyle="1" w:styleId="1426">
    <w:name w:val="水平衡"/>
    <w:basedOn w:val="41"/>
    <w:qFormat/>
    <w:uiPriority w:val="0"/>
    <w:pPr>
      <w:tabs>
        <w:tab w:val="left" w:pos="1701"/>
      </w:tabs>
      <w:autoSpaceDE w:val="0"/>
      <w:autoSpaceDN w:val="0"/>
      <w:adjustRightInd w:val="0"/>
      <w:snapToGrid w:val="0"/>
    </w:pPr>
    <w:rPr>
      <w:rFonts w:hint="eastAsia" w:ascii="Arial" w:hAnsi="Arial" w:cs="Arial"/>
      <w:spacing w:val="-10"/>
      <w:kern w:val="0"/>
      <w:sz w:val="20"/>
      <w:szCs w:val="20"/>
    </w:rPr>
  </w:style>
  <w:style w:type="paragraph" w:customStyle="1" w:styleId="1427">
    <w:name w:val="表格五号"/>
    <w:basedOn w:val="1"/>
    <w:qFormat/>
    <w:uiPriority w:val="0"/>
    <w:pPr>
      <w:tabs>
        <w:tab w:val="left" w:pos="1701"/>
      </w:tabs>
      <w:autoSpaceDE w:val="0"/>
      <w:autoSpaceDN w:val="0"/>
      <w:adjustRightInd w:val="0"/>
      <w:snapToGrid w:val="0"/>
      <w:spacing w:beforeLines="20"/>
      <w:jc w:val="center"/>
    </w:pPr>
    <w:rPr>
      <w:rFonts w:ascii="Arial" w:hAnsi="Arial" w:cs="Arial"/>
      <w:bCs/>
      <w:kern w:val="0"/>
      <w:sz w:val="18"/>
      <w:szCs w:val="21"/>
      <w:lang w:val="zh-CN"/>
    </w:rPr>
  </w:style>
  <w:style w:type="paragraph" w:customStyle="1" w:styleId="1428">
    <w:name w:val="表格下五号"/>
    <w:basedOn w:val="1427"/>
    <w:qFormat/>
    <w:uiPriority w:val="0"/>
    <w:pPr>
      <w:spacing w:beforeLines="50" w:afterLines="20"/>
      <w:ind w:firstLine="420" w:firstLineChars="200"/>
      <w:jc w:val="left"/>
    </w:pPr>
    <w:rPr>
      <w:bCs w:val="0"/>
      <w:sz w:val="21"/>
      <w:szCs w:val="20"/>
      <w:lang w:val="en-US"/>
    </w:rPr>
  </w:style>
  <w:style w:type="paragraph" w:customStyle="1" w:styleId="1429">
    <w:name w:val="正文图废z"/>
    <w:basedOn w:val="1318"/>
    <w:qFormat/>
    <w:uiPriority w:val="0"/>
    <w:pPr>
      <w:spacing w:before="0"/>
      <w:jc w:val="left"/>
    </w:pPr>
    <w:rPr>
      <w:rFonts w:ascii="Arial" w:hAnsi="Arial" w:cs="Arial"/>
      <w:sz w:val="21"/>
    </w:rPr>
  </w:style>
  <w:style w:type="paragraph" w:customStyle="1" w:styleId="1430">
    <w:name w:val="表格下文字5号-1"/>
    <w:basedOn w:val="1431"/>
    <w:qFormat/>
    <w:uiPriority w:val="0"/>
    <w:pPr>
      <w:tabs>
        <w:tab w:val="left" w:pos="1701"/>
      </w:tabs>
      <w:ind w:left="798"/>
    </w:pPr>
  </w:style>
  <w:style w:type="paragraph" w:customStyle="1" w:styleId="1431">
    <w:name w:val="表格下文字5号"/>
    <w:basedOn w:val="1"/>
    <w:qFormat/>
    <w:uiPriority w:val="0"/>
    <w:pPr>
      <w:tabs>
        <w:tab w:val="left" w:pos="1701"/>
      </w:tabs>
      <w:adjustRightInd w:val="0"/>
      <w:snapToGrid w:val="0"/>
      <w:spacing w:beforeLines="50" w:line="264" w:lineRule="auto"/>
      <w:ind w:left="938" w:leftChars="200" w:hanging="378" w:hangingChars="180"/>
    </w:pPr>
    <w:rPr>
      <w:rFonts w:ascii="Arial" w:hAnsi="Arial" w:cs="Arial"/>
      <w:kern w:val="0"/>
      <w:szCs w:val="20"/>
    </w:rPr>
  </w:style>
  <w:style w:type="paragraph" w:customStyle="1" w:styleId="1432">
    <w:name w:val="表格文字1"/>
    <w:basedOn w:val="603"/>
    <w:qFormat/>
    <w:uiPriority w:val="0"/>
    <w:pPr>
      <w:framePr w:wrap="around"/>
      <w:widowControl w:val="0"/>
      <w:overflowPunct/>
      <w:spacing w:beforeLines="20"/>
    </w:pPr>
    <w:rPr>
      <w:rFonts w:ascii="Arial" w:hAnsi="Arial" w:cs="Arial"/>
      <w:bCs/>
      <w:sz w:val="24"/>
    </w:rPr>
  </w:style>
  <w:style w:type="paragraph" w:customStyle="1" w:styleId="1433">
    <w:name w:val="表格文字1左"/>
    <w:basedOn w:val="1432"/>
    <w:qFormat/>
    <w:uiPriority w:val="0"/>
    <w:pPr>
      <w:framePr w:wrap="around"/>
      <w:ind w:firstLine="470" w:firstLineChars="224"/>
    </w:pPr>
    <w:rPr>
      <w:sz w:val="21"/>
    </w:rPr>
  </w:style>
  <w:style w:type="paragraph" w:customStyle="1" w:styleId="1434">
    <w:name w:val="正文图四"/>
    <w:basedOn w:val="1318"/>
    <w:qFormat/>
    <w:uiPriority w:val="0"/>
    <w:pPr>
      <w:spacing w:before="0" w:beforeLines="20"/>
    </w:pPr>
    <w:rPr>
      <w:sz w:val="28"/>
    </w:rPr>
  </w:style>
  <w:style w:type="paragraph" w:customStyle="1" w:styleId="1435">
    <w:name w:val="表格文字小四宽"/>
    <w:basedOn w:val="1414"/>
    <w:qFormat/>
    <w:uiPriority w:val="0"/>
    <w:pPr>
      <w:spacing w:beforeLines="10"/>
    </w:pPr>
    <w:rPr>
      <w:rFonts w:cs="Times New Roman"/>
      <w:color w:val="auto"/>
      <w:spacing w:val="-6"/>
    </w:rPr>
  </w:style>
  <w:style w:type="paragraph" w:customStyle="1" w:styleId="1436">
    <w:name w:val="表格文字小四左"/>
    <w:basedOn w:val="1414"/>
    <w:qFormat/>
    <w:uiPriority w:val="0"/>
    <w:pPr>
      <w:spacing w:beforeLines="0"/>
      <w:jc w:val="left"/>
    </w:pPr>
    <w:rPr>
      <w:color w:val="auto"/>
      <w:szCs w:val="20"/>
    </w:rPr>
  </w:style>
  <w:style w:type="paragraph" w:customStyle="1" w:styleId="1437">
    <w:name w:val="leedl"/>
    <w:basedOn w:val="1"/>
    <w:qFormat/>
    <w:uiPriority w:val="0"/>
    <w:pPr>
      <w:tabs>
        <w:tab w:val="left" w:pos="1701"/>
      </w:tabs>
      <w:spacing w:line="348" w:lineRule="auto"/>
      <w:ind w:firstLine="200" w:firstLineChars="200"/>
    </w:pPr>
    <w:rPr>
      <w:spacing w:val="10"/>
      <w:sz w:val="28"/>
      <w:szCs w:val="28"/>
    </w:rPr>
  </w:style>
  <w:style w:type="paragraph" w:customStyle="1" w:styleId="1438">
    <w:name w:val="表文-左"/>
    <w:basedOn w:val="603"/>
    <w:qFormat/>
    <w:uiPriority w:val="0"/>
    <w:pPr>
      <w:framePr w:wrap="around"/>
      <w:jc w:val="both"/>
    </w:pPr>
    <w:rPr>
      <w:rFonts w:cs="宋体"/>
      <w:szCs w:val="20"/>
    </w:rPr>
  </w:style>
  <w:style w:type="paragraph" w:customStyle="1" w:styleId="1439">
    <w:name w:val="表格头单倍"/>
    <w:basedOn w:val="1"/>
    <w:qFormat/>
    <w:uiPriority w:val="0"/>
    <w:pPr>
      <w:tabs>
        <w:tab w:val="left" w:pos="1701"/>
      </w:tabs>
      <w:adjustRightInd w:val="0"/>
      <w:snapToGrid w:val="0"/>
      <w:jc w:val="center"/>
    </w:pPr>
    <w:rPr>
      <w:rFonts w:cs="宋体"/>
      <w:kern w:val="28"/>
      <w:sz w:val="28"/>
      <w:szCs w:val="20"/>
    </w:rPr>
  </w:style>
  <w:style w:type="paragraph" w:customStyle="1" w:styleId="1440">
    <w:name w:val="正文文本 213"/>
    <w:basedOn w:val="1"/>
    <w:qFormat/>
    <w:uiPriority w:val="0"/>
    <w:pPr>
      <w:tabs>
        <w:tab w:val="left" w:pos="1701"/>
      </w:tabs>
      <w:autoSpaceDE w:val="0"/>
      <w:autoSpaceDN w:val="0"/>
      <w:adjustRightInd w:val="0"/>
      <w:snapToGrid w:val="0"/>
      <w:spacing w:line="364" w:lineRule="auto"/>
      <w:jc w:val="center"/>
    </w:pPr>
    <w:rPr>
      <w:spacing w:val="10"/>
      <w:kern w:val="10"/>
      <w:sz w:val="24"/>
      <w:szCs w:val="20"/>
    </w:rPr>
  </w:style>
  <w:style w:type="paragraph" w:customStyle="1" w:styleId="1441">
    <w:name w:val="日期13"/>
    <w:basedOn w:val="1"/>
    <w:next w:val="1"/>
    <w:qFormat/>
    <w:uiPriority w:val="0"/>
    <w:pPr>
      <w:tabs>
        <w:tab w:val="left" w:pos="1701"/>
      </w:tabs>
      <w:adjustRightInd w:val="0"/>
      <w:snapToGrid w:val="0"/>
      <w:spacing w:line="360" w:lineRule="atLeast"/>
    </w:pPr>
    <w:rPr>
      <w:rFonts w:ascii="宋体"/>
      <w:spacing w:val="20"/>
      <w:kern w:val="0"/>
      <w:sz w:val="28"/>
      <w:szCs w:val="20"/>
    </w:rPr>
  </w:style>
  <w:style w:type="paragraph" w:customStyle="1" w:styleId="1442">
    <w:name w:val="纯文本13"/>
    <w:basedOn w:val="1"/>
    <w:qFormat/>
    <w:uiPriority w:val="0"/>
    <w:pPr>
      <w:tabs>
        <w:tab w:val="left" w:pos="1701"/>
      </w:tabs>
      <w:adjustRightInd w:val="0"/>
      <w:snapToGrid w:val="0"/>
      <w:spacing w:line="348" w:lineRule="auto"/>
    </w:pPr>
    <w:rPr>
      <w:rFonts w:ascii="宋体" w:hAnsi="Courier New"/>
      <w:sz w:val="28"/>
      <w:szCs w:val="20"/>
    </w:rPr>
  </w:style>
  <w:style w:type="paragraph" w:customStyle="1" w:styleId="1443">
    <w:name w:val="正文首行缩进12"/>
    <w:basedOn w:val="31"/>
    <w:qFormat/>
    <w:uiPriority w:val="0"/>
    <w:pPr>
      <w:tabs>
        <w:tab w:val="left" w:pos="1701"/>
      </w:tabs>
      <w:adjustRightInd w:val="0"/>
      <w:snapToGrid w:val="0"/>
      <w:spacing w:before="0" w:line="312" w:lineRule="auto"/>
      <w:ind w:left="0" w:firstLine="567"/>
    </w:pPr>
    <w:rPr>
      <w:rFonts w:hint="eastAsia" w:ascii="Times New Roman" w:hAnsi="Times New Roman"/>
      <w:sz w:val="28"/>
      <w:szCs w:val="20"/>
      <w:lang w:eastAsia="zh-CN"/>
    </w:rPr>
  </w:style>
  <w:style w:type="paragraph" w:customStyle="1" w:styleId="1444">
    <w:name w:val="正文文本缩进 212"/>
    <w:basedOn w:val="1"/>
    <w:qFormat/>
    <w:uiPriority w:val="0"/>
    <w:pPr>
      <w:tabs>
        <w:tab w:val="left" w:pos="1701"/>
      </w:tabs>
      <w:adjustRightInd w:val="0"/>
      <w:snapToGrid w:val="0"/>
      <w:spacing w:line="348" w:lineRule="auto"/>
      <w:ind w:firstLine="573"/>
    </w:pPr>
    <w:rPr>
      <w:rFonts w:eastAsia="Wingdings"/>
      <w:sz w:val="28"/>
      <w:szCs w:val="20"/>
    </w:rPr>
  </w:style>
  <w:style w:type="paragraph" w:customStyle="1" w:styleId="1445">
    <w:name w:val="Char Char Char Char Char Char Char2"/>
    <w:basedOn w:val="1"/>
    <w:qFormat/>
    <w:uiPriority w:val="0"/>
    <w:pPr>
      <w:tabs>
        <w:tab w:val="left" w:pos="1701"/>
      </w:tabs>
    </w:pPr>
    <w:rPr>
      <w:szCs w:val="24"/>
    </w:rPr>
  </w:style>
  <w:style w:type="paragraph" w:customStyle="1" w:styleId="1446">
    <w:name w:val="文档结构图12"/>
    <w:basedOn w:val="1"/>
    <w:qFormat/>
    <w:uiPriority w:val="0"/>
    <w:pPr>
      <w:shd w:val="clear" w:color="auto" w:fill="000080"/>
      <w:tabs>
        <w:tab w:val="left" w:pos="1701"/>
      </w:tabs>
      <w:adjustRightInd w:val="0"/>
      <w:snapToGrid w:val="0"/>
      <w:spacing w:line="360" w:lineRule="atLeast"/>
      <w:jc w:val="left"/>
    </w:pPr>
    <w:rPr>
      <w:rFonts w:eastAsia="Wingdings"/>
      <w:kern w:val="0"/>
      <w:sz w:val="24"/>
      <w:szCs w:val="20"/>
    </w:rPr>
  </w:style>
  <w:style w:type="paragraph" w:customStyle="1" w:styleId="1447">
    <w:name w:val="Char Char Char Char Char Char Char Char Char Char1"/>
    <w:basedOn w:val="1"/>
    <w:qFormat/>
    <w:uiPriority w:val="0"/>
    <w:pPr>
      <w:tabs>
        <w:tab w:val="left" w:pos="1701"/>
      </w:tabs>
    </w:pPr>
    <w:rPr>
      <w:rFonts w:ascii="宋体" w:hAnsi="宋体" w:cs="宋体"/>
      <w:color w:val="000000"/>
      <w:szCs w:val="21"/>
    </w:rPr>
  </w:style>
  <w:style w:type="paragraph" w:customStyle="1" w:styleId="1448">
    <w:name w:val="Char Char Char Char Char Char Char3"/>
    <w:basedOn w:val="1"/>
    <w:qFormat/>
    <w:uiPriority w:val="0"/>
    <w:pPr>
      <w:tabs>
        <w:tab w:val="left" w:pos="1701"/>
      </w:tabs>
      <w:snapToGrid w:val="0"/>
      <w:spacing w:line="348" w:lineRule="auto"/>
    </w:pPr>
    <w:rPr>
      <w:sz w:val="28"/>
      <w:szCs w:val="24"/>
    </w:rPr>
  </w:style>
  <w:style w:type="paragraph" w:customStyle="1" w:styleId="1449">
    <w:name w:val="Char Char Char1 Char Char Char Char Char Char Char3"/>
    <w:basedOn w:val="1"/>
    <w:qFormat/>
    <w:uiPriority w:val="0"/>
    <w:pPr>
      <w:tabs>
        <w:tab w:val="left" w:pos="1701"/>
      </w:tabs>
      <w:snapToGrid w:val="0"/>
      <w:spacing w:line="348" w:lineRule="auto"/>
    </w:pPr>
    <w:rPr>
      <w:rFonts w:ascii="Tahoma" w:hAnsi="Tahoma"/>
      <w:sz w:val="24"/>
      <w:szCs w:val="20"/>
    </w:rPr>
  </w:style>
  <w:style w:type="paragraph" w:customStyle="1" w:styleId="1450">
    <w:name w:val="Char Char Char Char3"/>
    <w:basedOn w:val="1"/>
    <w:qFormat/>
    <w:uiPriority w:val="0"/>
    <w:pPr>
      <w:widowControl/>
      <w:tabs>
        <w:tab w:val="left" w:pos="1701"/>
      </w:tabs>
      <w:snapToGrid w:val="0"/>
      <w:spacing w:after="160" w:line="240" w:lineRule="exact"/>
      <w:jc w:val="left"/>
    </w:pPr>
    <w:rPr>
      <w:rFonts w:ascii="Arial" w:hAnsi="Arial" w:eastAsia="Times New Roman" w:cs="Verdana"/>
      <w:b/>
      <w:kern w:val="0"/>
      <w:sz w:val="24"/>
      <w:szCs w:val="20"/>
      <w:lang w:eastAsia="en-US"/>
    </w:rPr>
  </w:style>
  <w:style w:type="paragraph" w:customStyle="1" w:styleId="1451">
    <w:name w:val="Char Char Char1 Char Char Char Char Char Char Char Char Char Char3"/>
    <w:basedOn w:val="1"/>
    <w:semiHidden/>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452">
    <w:name w:val="日期3"/>
    <w:basedOn w:val="1"/>
    <w:next w:val="1"/>
    <w:qFormat/>
    <w:uiPriority w:val="0"/>
    <w:pPr>
      <w:tabs>
        <w:tab w:val="left" w:pos="1701"/>
      </w:tabs>
      <w:adjustRightInd w:val="0"/>
      <w:spacing w:line="360" w:lineRule="atLeast"/>
    </w:pPr>
    <w:rPr>
      <w:rFonts w:ascii="宋体"/>
      <w:spacing w:val="20"/>
      <w:kern w:val="0"/>
      <w:sz w:val="28"/>
      <w:szCs w:val="20"/>
    </w:rPr>
  </w:style>
  <w:style w:type="paragraph" w:customStyle="1" w:styleId="1453">
    <w:name w:val="Char Char Char Char Char Char1 Char3"/>
    <w:basedOn w:val="1"/>
    <w:qFormat/>
    <w:uiPriority w:val="0"/>
    <w:pPr>
      <w:tabs>
        <w:tab w:val="left" w:pos="1701"/>
      </w:tabs>
      <w:snapToGrid w:val="0"/>
      <w:spacing w:line="348" w:lineRule="auto"/>
    </w:pPr>
    <w:rPr>
      <w:sz w:val="28"/>
      <w:szCs w:val="24"/>
    </w:rPr>
  </w:style>
  <w:style w:type="paragraph" w:customStyle="1" w:styleId="1454">
    <w:name w:val="Char Char Char Char Char Char Char Char Char Char3"/>
    <w:basedOn w:val="1"/>
    <w:qFormat/>
    <w:uiPriority w:val="0"/>
    <w:pPr>
      <w:tabs>
        <w:tab w:val="left" w:pos="1701"/>
      </w:tabs>
      <w:snapToGrid w:val="0"/>
      <w:spacing w:line="348" w:lineRule="auto"/>
    </w:pPr>
    <w:rPr>
      <w:rFonts w:ascii="宋体" w:hAnsi="宋体" w:cs="宋体"/>
      <w:color w:val="000000"/>
      <w:sz w:val="28"/>
      <w:szCs w:val="21"/>
    </w:rPr>
  </w:style>
  <w:style w:type="paragraph" w:customStyle="1" w:styleId="1455">
    <w:name w:val="样式 标题 4节 + 行距: 1.5 倍行距 + 首行缩进:  2 字符"/>
    <w:basedOn w:val="6"/>
    <w:qFormat/>
    <w:uiPriority w:val="0"/>
    <w:pPr>
      <w:widowControl/>
      <w:tabs>
        <w:tab w:val="left" w:pos="1701"/>
      </w:tabs>
      <w:adjustRightInd w:val="0"/>
      <w:snapToGrid w:val="0"/>
      <w:ind w:firstLine="200" w:firstLineChars="200"/>
    </w:pPr>
    <w:rPr>
      <w:bCs/>
      <w:color w:val="000000"/>
    </w:rPr>
  </w:style>
  <w:style w:type="paragraph" w:customStyle="1" w:styleId="1456">
    <w:name w:val="连续正文文字"/>
    <w:basedOn w:val="31"/>
    <w:qFormat/>
    <w:uiPriority w:val="0"/>
    <w:pPr>
      <w:keepNext/>
      <w:widowControl/>
      <w:tabs>
        <w:tab w:val="left" w:pos="1701"/>
      </w:tabs>
      <w:spacing w:before="0" w:after="220" w:line="280" w:lineRule="exact"/>
      <w:ind w:left="0"/>
      <w:jc w:val="center"/>
    </w:pPr>
    <w:rPr>
      <w:rFonts w:hint="eastAsia" w:ascii="Times New Roman" w:hAnsi="Times New Roman"/>
      <w:sz w:val="30"/>
      <w:szCs w:val="20"/>
      <w:lang w:eastAsia="zh-CN"/>
    </w:rPr>
  </w:style>
  <w:style w:type="paragraph" w:customStyle="1" w:styleId="1457">
    <w:name w:val="TY"/>
    <w:basedOn w:val="1"/>
    <w:qFormat/>
    <w:uiPriority w:val="0"/>
    <w:pPr>
      <w:tabs>
        <w:tab w:val="left" w:pos="1701"/>
      </w:tabs>
      <w:adjustRightInd w:val="0"/>
      <w:snapToGrid w:val="0"/>
      <w:spacing w:before="40" w:after="40"/>
    </w:pPr>
    <w:rPr>
      <w:rFonts w:ascii="宋体" w:hAnsi="宋体"/>
      <w:sz w:val="24"/>
      <w:szCs w:val="20"/>
    </w:rPr>
  </w:style>
  <w:style w:type="paragraph" w:customStyle="1" w:styleId="1458">
    <w:name w:val="日期21"/>
    <w:basedOn w:val="1"/>
    <w:next w:val="1"/>
    <w:qFormat/>
    <w:uiPriority w:val="0"/>
    <w:pPr>
      <w:tabs>
        <w:tab w:val="left" w:pos="1701"/>
      </w:tabs>
      <w:adjustRightInd w:val="0"/>
      <w:spacing w:line="360" w:lineRule="atLeast"/>
    </w:pPr>
    <w:rPr>
      <w:rFonts w:ascii="宋体"/>
      <w:spacing w:val="20"/>
      <w:kern w:val="0"/>
      <w:sz w:val="28"/>
      <w:szCs w:val="20"/>
    </w:rPr>
  </w:style>
  <w:style w:type="paragraph" w:customStyle="1" w:styleId="1459">
    <w:name w:val="纯文本3"/>
    <w:basedOn w:val="1"/>
    <w:qFormat/>
    <w:uiPriority w:val="0"/>
    <w:pPr>
      <w:tabs>
        <w:tab w:val="left" w:pos="1701"/>
      </w:tabs>
      <w:adjustRightInd w:val="0"/>
    </w:pPr>
    <w:rPr>
      <w:rFonts w:ascii="宋体" w:hAnsi="Courier New"/>
      <w:szCs w:val="20"/>
    </w:rPr>
  </w:style>
  <w:style w:type="paragraph" w:customStyle="1" w:styleId="1460">
    <w:name w:val="Char Char Char1 Char Char Char Char Char Char Char2"/>
    <w:basedOn w:val="1"/>
    <w:qFormat/>
    <w:uiPriority w:val="0"/>
    <w:pPr>
      <w:tabs>
        <w:tab w:val="left" w:pos="1701"/>
      </w:tabs>
    </w:pPr>
    <w:rPr>
      <w:rFonts w:ascii="Tahoma" w:hAnsi="Tahoma"/>
      <w:sz w:val="24"/>
      <w:szCs w:val="20"/>
    </w:rPr>
  </w:style>
  <w:style w:type="paragraph" w:customStyle="1" w:styleId="1461">
    <w:name w:val="Char Char Char Char2"/>
    <w:basedOn w:val="1"/>
    <w:qFormat/>
    <w:uiPriority w:val="0"/>
    <w:pPr>
      <w:widowControl/>
      <w:tabs>
        <w:tab w:val="left" w:pos="1701"/>
      </w:tabs>
      <w:spacing w:after="160" w:line="240" w:lineRule="exact"/>
      <w:jc w:val="left"/>
    </w:pPr>
    <w:rPr>
      <w:rFonts w:ascii="Arial" w:hAnsi="Arial" w:eastAsia="Times New Roman" w:cs="Verdana"/>
      <w:b/>
      <w:kern w:val="0"/>
      <w:sz w:val="24"/>
      <w:szCs w:val="20"/>
      <w:lang w:eastAsia="en-US"/>
    </w:rPr>
  </w:style>
  <w:style w:type="paragraph" w:customStyle="1" w:styleId="1462">
    <w:name w:val="正文文本 231"/>
    <w:basedOn w:val="1"/>
    <w:qFormat/>
    <w:uiPriority w:val="0"/>
    <w:pPr>
      <w:tabs>
        <w:tab w:val="left" w:pos="1701"/>
      </w:tabs>
      <w:autoSpaceDE w:val="0"/>
      <w:autoSpaceDN w:val="0"/>
      <w:adjustRightInd w:val="0"/>
      <w:spacing w:line="364" w:lineRule="auto"/>
      <w:jc w:val="center"/>
    </w:pPr>
    <w:rPr>
      <w:spacing w:val="10"/>
      <w:kern w:val="10"/>
      <w:sz w:val="24"/>
      <w:szCs w:val="20"/>
    </w:rPr>
  </w:style>
  <w:style w:type="paragraph" w:customStyle="1" w:styleId="1463">
    <w:name w:val="Char Char Char Char Char Char Char Char Char Char2"/>
    <w:basedOn w:val="1"/>
    <w:qFormat/>
    <w:uiPriority w:val="0"/>
    <w:pPr>
      <w:tabs>
        <w:tab w:val="left" w:pos="1701"/>
      </w:tabs>
    </w:pPr>
    <w:rPr>
      <w:rFonts w:ascii="宋体" w:hAnsi="宋体" w:cs="宋体"/>
      <w:color w:val="000000"/>
      <w:szCs w:val="21"/>
    </w:rPr>
  </w:style>
  <w:style w:type="paragraph" w:customStyle="1" w:styleId="1464">
    <w:name w:val="Char Char Char1 Char Char Char Char Char Char Char Char Char Char2"/>
    <w:basedOn w:val="1"/>
    <w:semiHidden/>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465">
    <w:name w:val="正文首行缩进2"/>
    <w:basedOn w:val="31"/>
    <w:qFormat/>
    <w:uiPriority w:val="0"/>
    <w:pPr>
      <w:tabs>
        <w:tab w:val="left" w:pos="1701"/>
      </w:tabs>
      <w:adjustRightInd w:val="0"/>
      <w:spacing w:before="0" w:line="312" w:lineRule="auto"/>
      <w:ind w:left="0" w:firstLine="567"/>
    </w:pPr>
    <w:rPr>
      <w:rFonts w:hint="eastAsia" w:ascii="Times New Roman" w:hAnsi="Times New Roman"/>
      <w:sz w:val="28"/>
      <w:szCs w:val="20"/>
      <w:lang w:eastAsia="zh-CN"/>
    </w:rPr>
  </w:style>
  <w:style w:type="paragraph" w:customStyle="1" w:styleId="1466">
    <w:name w:val="正文文本缩进 22"/>
    <w:basedOn w:val="1"/>
    <w:qFormat/>
    <w:uiPriority w:val="0"/>
    <w:pPr>
      <w:tabs>
        <w:tab w:val="left" w:pos="1701"/>
      </w:tabs>
      <w:adjustRightInd w:val="0"/>
      <w:spacing w:line="348" w:lineRule="auto"/>
      <w:ind w:firstLine="573"/>
    </w:pPr>
    <w:rPr>
      <w:rFonts w:eastAsia="Wingdings"/>
      <w:sz w:val="28"/>
      <w:szCs w:val="20"/>
    </w:rPr>
  </w:style>
  <w:style w:type="paragraph" w:customStyle="1" w:styleId="1467">
    <w:name w:val="文档结构图2"/>
    <w:basedOn w:val="1"/>
    <w:qFormat/>
    <w:uiPriority w:val="0"/>
    <w:pPr>
      <w:shd w:val="clear" w:color="auto" w:fill="000080"/>
      <w:tabs>
        <w:tab w:val="left" w:pos="1701"/>
      </w:tabs>
      <w:adjustRightInd w:val="0"/>
      <w:spacing w:line="360" w:lineRule="atLeast"/>
      <w:jc w:val="left"/>
    </w:pPr>
    <w:rPr>
      <w:rFonts w:eastAsia="Wingdings"/>
      <w:kern w:val="0"/>
      <w:sz w:val="24"/>
      <w:szCs w:val="20"/>
    </w:rPr>
  </w:style>
  <w:style w:type="paragraph" w:customStyle="1" w:styleId="1468">
    <w:name w:val="Char Char Char Char Char Char1 Char2"/>
    <w:basedOn w:val="1"/>
    <w:qFormat/>
    <w:uiPriority w:val="0"/>
    <w:pPr>
      <w:tabs>
        <w:tab w:val="left" w:pos="1701"/>
      </w:tabs>
    </w:pPr>
    <w:rPr>
      <w:szCs w:val="24"/>
    </w:rPr>
  </w:style>
  <w:style w:type="paragraph" w:customStyle="1" w:styleId="1469">
    <w:name w:val="Char Char Char Char Char Char Char Char Char Char Char Char Char2"/>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1470">
    <w:name w:val="纯文本4"/>
    <w:basedOn w:val="1"/>
    <w:qFormat/>
    <w:uiPriority w:val="0"/>
    <w:pPr>
      <w:tabs>
        <w:tab w:val="left" w:pos="1701"/>
      </w:tabs>
      <w:adjustRightInd w:val="0"/>
    </w:pPr>
    <w:rPr>
      <w:rFonts w:ascii="宋体" w:hAnsi="Courier New"/>
      <w:szCs w:val="20"/>
    </w:rPr>
  </w:style>
  <w:style w:type="paragraph" w:customStyle="1" w:styleId="1471">
    <w:name w:val="Char Char Char Char Char Char Char4"/>
    <w:basedOn w:val="1"/>
    <w:qFormat/>
    <w:uiPriority w:val="0"/>
    <w:pPr>
      <w:tabs>
        <w:tab w:val="left" w:pos="1701"/>
      </w:tabs>
    </w:pPr>
    <w:rPr>
      <w:szCs w:val="24"/>
    </w:rPr>
  </w:style>
  <w:style w:type="paragraph" w:customStyle="1" w:styleId="1472">
    <w:name w:val="Char Char Char Char Char Char Char1"/>
    <w:basedOn w:val="1"/>
    <w:qFormat/>
    <w:uiPriority w:val="0"/>
    <w:pPr>
      <w:tabs>
        <w:tab w:val="left" w:pos="1701"/>
      </w:tabs>
    </w:pPr>
    <w:rPr>
      <w:szCs w:val="24"/>
    </w:rPr>
  </w:style>
  <w:style w:type="paragraph" w:customStyle="1" w:styleId="1473">
    <w:name w:val="Char Char Char1 Char Char Char Char Char Char Char1"/>
    <w:basedOn w:val="1"/>
    <w:qFormat/>
    <w:uiPriority w:val="0"/>
    <w:pPr>
      <w:tabs>
        <w:tab w:val="left" w:pos="1701"/>
      </w:tabs>
    </w:pPr>
    <w:rPr>
      <w:rFonts w:ascii="Tahoma" w:hAnsi="Tahoma"/>
      <w:sz w:val="24"/>
      <w:szCs w:val="20"/>
    </w:rPr>
  </w:style>
  <w:style w:type="paragraph" w:customStyle="1" w:styleId="1474">
    <w:name w:val="Char Char Char1 Char Char Char Char Char Char Char Char Char Char1"/>
    <w:basedOn w:val="1"/>
    <w:semiHidden/>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475">
    <w:name w:val="正文首行缩进3"/>
    <w:basedOn w:val="31"/>
    <w:qFormat/>
    <w:uiPriority w:val="0"/>
    <w:pPr>
      <w:tabs>
        <w:tab w:val="left" w:pos="1701"/>
      </w:tabs>
      <w:adjustRightInd w:val="0"/>
      <w:spacing w:before="0" w:line="312" w:lineRule="auto"/>
      <w:ind w:left="0" w:firstLine="567"/>
    </w:pPr>
    <w:rPr>
      <w:rFonts w:hint="eastAsia" w:ascii="Times New Roman" w:hAnsi="Times New Roman"/>
      <w:sz w:val="28"/>
      <w:szCs w:val="20"/>
      <w:lang w:eastAsia="zh-CN"/>
    </w:rPr>
  </w:style>
  <w:style w:type="paragraph" w:customStyle="1" w:styleId="1476">
    <w:name w:val="正文文本缩进 23"/>
    <w:basedOn w:val="1"/>
    <w:qFormat/>
    <w:uiPriority w:val="0"/>
    <w:pPr>
      <w:tabs>
        <w:tab w:val="left" w:pos="1701"/>
      </w:tabs>
      <w:adjustRightInd w:val="0"/>
      <w:spacing w:line="348" w:lineRule="auto"/>
      <w:ind w:firstLine="573"/>
    </w:pPr>
    <w:rPr>
      <w:rFonts w:eastAsia="Wingdings"/>
      <w:sz w:val="28"/>
      <w:szCs w:val="20"/>
    </w:rPr>
  </w:style>
  <w:style w:type="paragraph" w:customStyle="1" w:styleId="1477">
    <w:name w:val="文档结构图3"/>
    <w:basedOn w:val="1"/>
    <w:qFormat/>
    <w:uiPriority w:val="0"/>
    <w:pPr>
      <w:shd w:val="clear" w:color="auto" w:fill="000080"/>
      <w:tabs>
        <w:tab w:val="left" w:pos="1701"/>
      </w:tabs>
      <w:adjustRightInd w:val="0"/>
      <w:spacing w:line="360" w:lineRule="atLeast"/>
      <w:jc w:val="left"/>
    </w:pPr>
    <w:rPr>
      <w:rFonts w:eastAsia="Wingdings"/>
      <w:kern w:val="0"/>
      <w:sz w:val="24"/>
      <w:szCs w:val="20"/>
    </w:rPr>
  </w:style>
  <w:style w:type="paragraph" w:customStyle="1" w:styleId="1478">
    <w:name w:val="Char Char Char Char Char Char1 Char1"/>
    <w:basedOn w:val="1"/>
    <w:qFormat/>
    <w:uiPriority w:val="0"/>
    <w:pPr>
      <w:tabs>
        <w:tab w:val="left" w:pos="1701"/>
      </w:tabs>
    </w:pPr>
    <w:rPr>
      <w:szCs w:val="24"/>
    </w:rPr>
  </w:style>
  <w:style w:type="paragraph" w:customStyle="1" w:styleId="1479">
    <w:name w:val="Char Char Char Char Char Char Char Char Char Char Char Char Char1"/>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1480">
    <w:name w:val="样式 表格头 + 字距调整二号"/>
    <w:basedOn w:val="1298"/>
    <w:qFormat/>
    <w:uiPriority w:val="0"/>
    <w:rPr>
      <w:kern w:val="44"/>
    </w:rPr>
  </w:style>
  <w:style w:type="paragraph" w:customStyle="1" w:styleId="1481">
    <w:name w:val="Char Char Char1 Char Char Char Char Char Char Char4"/>
    <w:basedOn w:val="1"/>
    <w:qFormat/>
    <w:uiPriority w:val="0"/>
    <w:pPr>
      <w:tabs>
        <w:tab w:val="left" w:pos="1701"/>
      </w:tabs>
    </w:pPr>
    <w:rPr>
      <w:rFonts w:ascii="Tahoma" w:hAnsi="Tahoma"/>
      <w:sz w:val="24"/>
      <w:szCs w:val="20"/>
    </w:rPr>
  </w:style>
  <w:style w:type="paragraph" w:customStyle="1" w:styleId="1482">
    <w:name w:val="Char Char Char Char4"/>
    <w:basedOn w:val="1"/>
    <w:qFormat/>
    <w:uiPriority w:val="0"/>
    <w:pPr>
      <w:widowControl/>
      <w:tabs>
        <w:tab w:val="left" w:pos="1701"/>
      </w:tabs>
      <w:spacing w:after="160" w:line="240" w:lineRule="exact"/>
      <w:jc w:val="left"/>
    </w:pPr>
    <w:rPr>
      <w:rFonts w:ascii="Arial" w:hAnsi="Arial" w:eastAsia="Times New Roman" w:cs="Verdana"/>
      <w:b/>
      <w:kern w:val="0"/>
      <w:sz w:val="24"/>
      <w:szCs w:val="20"/>
      <w:lang w:eastAsia="en-US"/>
    </w:rPr>
  </w:style>
  <w:style w:type="paragraph" w:customStyle="1" w:styleId="1483">
    <w:name w:val="Char Char Char1 Char Char Char Char Char Char Char Char Char Char4"/>
    <w:basedOn w:val="1"/>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484">
    <w:name w:val="Char Char Char Char Char Char1 Char4"/>
    <w:basedOn w:val="1"/>
    <w:qFormat/>
    <w:uiPriority w:val="0"/>
    <w:pPr>
      <w:tabs>
        <w:tab w:val="left" w:pos="1701"/>
      </w:tabs>
    </w:pPr>
    <w:rPr>
      <w:szCs w:val="24"/>
    </w:rPr>
  </w:style>
  <w:style w:type="paragraph" w:customStyle="1" w:styleId="1485">
    <w:name w:val="Char Char Char Char Char Char Char Char Char Char4"/>
    <w:basedOn w:val="1"/>
    <w:qFormat/>
    <w:uiPriority w:val="0"/>
    <w:pPr>
      <w:tabs>
        <w:tab w:val="left" w:pos="1701"/>
      </w:tabs>
    </w:pPr>
    <w:rPr>
      <w:rFonts w:ascii="宋体" w:hAnsi="宋体" w:cs="宋体"/>
      <w:color w:val="000000"/>
      <w:szCs w:val="21"/>
    </w:rPr>
  </w:style>
  <w:style w:type="paragraph" w:customStyle="1" w:styleId="1486">
    <w:name w:val="正文文本 211"/>
    <w:basedOn w:val="1"/>
    <w:qFormat/>
    <w:uiPriority w:val="0"/>
    <w:pPr>
      <w:tabs>
        <w:tab w:val="left" w:pos="1701"/>
      </w:tabs>
      <w:autoSpaceDE w:val="0"/>
      <w:autoSpaceDN w:val="0"/>
      <w:adjustRightInd w:val="0"/>
      <w:snapToGrid w:val="0"/>
      <w:spacing w:line="364" w:lineRule="auto"/>
      <w:jc w:val="center"/>
    </w:pPr>
    <w:rPr>
      <w:spacing w:val="10"/>
      <w:kern w:val="10"/>
      <w:sz w:val="24"/>
      <w:szCs w:val="20"/>
    </w:rPr>
  </w:style>
  <w:style w:type="paragraph" w:customStyle="1" w:styleId="1487">
    <w:name w:val="日期11"/>
    <w:basedOn w:val="1"/>
    <w:next w:val="1"/>
    <w:qFormat/>
    <w:uiPriority w:val="0"/>
    <w:pPr>
      <w:tabs>
        <w:tab w:val="left" w:pos="1701"/>
      </w:tabs>
      <w:adjustRightInd w:val="0"/>
      <w:snapToGrid w:val="0"/>
      <w:spacing w:line="360" w:lineRule="atLeast"/>
    </w:pPr>
    <w:rPr>
      <w:rFonts w:ascii="宋体"/>
      <w:spacing w:val="20"/>
      <w:kern w:val="0"/>
      <w:sz w:val="28"/>
      <w:szCs w:val="20"/>
    </w:rPr>
  </w:style>
  <w:style w:type="paragraph" w:customStyle="1" w:styleId="1488">
    <w:name w:val="纯文本11"/>
    <w:basedOn w:val="1"/>
    <w:qFormat/>
    <w:uiPriority w:val="0"/>
    <w:pPr>
      <w:tabs>
        <w:tab w:val="left" w:pos="1701"/>
      </w:tabs>
      <w:adjustRightInd w:val="0"/>
      <w:snapToGrid w:val="0"/>
      <w:spacing w:line="348" w:lineRule="auto"/>
    </w:pPr>
    <w:rPr>
      <w:rFonts w:ascii="宋体" w:hAnsi="Courier New"/>
      <w:sz w:val="28"/>
      <w:szCs w:val="20"/>
    </w:rPr>
  </w:style>
  <w:style w:type="paragraph" w:customStyle="1" w:styleId="1489">
    <w:name w:val="正文首行缩进11"/>
    <w:basedOn w:val="31"/>
    <w:qFormat/>
    <w:uiPriority w:val="0"/>
    <w:pPr>
      <w:tabs>
        <w:tab w:val="left" w:pos="1701"/>
      </w:tabs>
      <w:adjustRightInd w:val="0"/>
      <w:snapToGrid w:val="0"/>
      <w:spacing w:before="0" w:line="312" w:lineRule="auto"/>
      <w:ind w:left="0" w:firstLine="567"/>
    </w:pPr>
    <w:rPr>
      <w:rFonts w:hint="eastAsia" w:ascii="Times New Roman" w:hAnsi="Times New Roman"/>
      <w:sz w:val="28"/>
      <w:szCs w:val="20"/>
      <w:lang w:eastAsia="zh-CN"/>
    </w:rPr>
  </w:style>
  <w:style w:type="paragraph" w:customStyle="1" w:styleId="1490">
    <w:name w:val="正文文本缩进 211"/>
    <w:basedOn w:val="1"/>
    <w:qFormat/>
    <w:uiPriority w:val="0"/>
    <w:pPr>
      <w:tabs>
        <w:tab w:val="left" w:pos="1701"/>
      </w:tabs>
      <w:adjustRightInd w:val="0"/>
      <w:snapToGrid w:val="0"/>
      <w:spacing w:line="348" w:lineRule="auto"/>
      <w:ind w:firstLine="573"/>
    </w:pPr>
    <w:rPr>
      <w:rFonts w:eastAsia="Wingdings"/>
      <w:sz w:val="28"/>
      <w:szCs w:val="20"/>
    </w:rPr>
  </w:style>
  <w:style w:type="paragraph" w:customStyle="1" w:styleId="1491">
    <w:name w:val="文档结构图11"/>
    <w:basedOn w:val="1"/>
    <w:qFormat/>
    <w:uiPriority w:val="0"/>
    <w:pPr>
      <w:shd w:val="clear" w:color="auto" w:fill="000080"/>
      <w:tabs>
        <w:tab w:val="left" w:pos="1701"/>
      </w:tabs>
      <w:adjustRightInd w:val="0"/>
      <w:snapToGrid w:val="0"/>
      <w:spacing w:line="360" w:lineRule="atLeast"/>
      <w:jc w:val="left"/>
    </w:pPr>
    <w:rPr>
      <w:rFonts w:eastAsia="Wingdings"/>
      <w:kern w:val="0"/>
      <w:sz w:val="24"/>
      <w:szCs w:val="20"/>
    </w:rPr>
  </w:style>
  <w:style w:type="paragraph" w:customStyle="1" w:styleId="1492">
    <w:name w:val="Char Char Char Char Char Char Char Char Char Char Char Char Char3"/>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1493">
    <w:name w:val="样式 宋体 小五 居中 紧缩量  0.25 磅 行距: 单倍行距 首行缩进:  0 字符 右  0.22 字符"/>
    <w:basedOn w:val="1"/>
    <w:qFormat/>
    <w:uiPriority w:val="0"/>
    <w:pPr>
      <w:tabs>
        <w:tab w:val="left" w:pos="1701"/>
      </w:tabs>
      <w:adjustRightInd w:val="0"/>
      <w:snapToGrid w:val="0"/>
      <w:ind w:right="22" w:rightChars="22"/>
      <w:jc w:val="left"/>
    </w:pPr>
    <w:rPr>
      <w:rFonts w:ascii="宋体" w:hAnsi="宋体" w:cs="宋体"/>
      <w:spacing w:val="-5"/>
      <w:sz w:val="18"/>
      <w:szCs w:val="20"/>
    </w:rPr>
  </w:style>
  <w:style w:type="paragraph" w:customStyle="1" w:styleId="1494">
    <w:name w:val="表格（5号）"/>
    <w:basedOn w:val="1"/>
    <w:qFormat/>
    <w:uiPriority w:val="0"/>
    <w:pPr>
      <w:spacing w:line="320" w:lineRule="exact"/>
      <w:ind w:left="-63" w:leftChars="-30" w:right="-63"/>
      <w:jc w:val="center"/>
    </w:pPr>
    <w:rPr>
      <w:rFonts w:ascii="Arial" w:hAnsi="Arial"/>
      <w:color w:val="000000"/>
      <w:szCs w:val="20"/>
    </w:rPr>
  </w:style>
  <w:style w:type="paragraph" w:customStyle="1" w:styleId="1495">
    <w:name w:val="正文5号"/>
    <w:basedOn w:val="1"/>
    <w:qFormat/>
    <w:uiPriority w:val="0"/>
    <w:pPr>
      <w:adjustRightInd w:val="0"/>
      <w:snapToGrid w:val="0"/>
      <w:spacing w:line="324" w:lineRule="auto"/>
      <w:ind w:firstLine="1134"/>
    </w:pPr>
    <w:rPr>
      <w:kern w:val="0"/>
      <w:szCs w:val="20"/>
    </w:rPr>
  </w:style>
  <w:style w:type="paragraph" w:customStyle="1" w:styleId="1496">
    <w:name w:val="样式 样式 环评正文 + (西文) 仿宋_GB2312 (中文) 宋体 10.5 磅 首行缩进:  2 字符 + 首行缩进:  ..."/>
    <w:basedOn w:val="1"/>
    <w:qFormat/>
    <w:uiPriority w:val="0"/>
    <w:pPr>
      <w:spacing w:line="400" w:lineRule="exact"/>
      <w:ind w:firstLine="200" w:firstLineChars="200"/>
    </w:pPr>
    <w:rPr>
      <w:rFonts w:ascii="仿宋_GB2312" w:hAnsi="仿宋_GB2312"/>
      <w:spacing w:val="10"/>
      <w:sz w:val="24"/>
      <w:szCs w:val="20"/>
    </w:rPr>
  </w:style>
  <w:style w:type="paragraph" w:customStyle="1" w:styleId="1497">
    <w:name w:val="前言、引言标题"/>
    <w:next w:val="1"/>
    <w:qFormat/>
    <w:uiPriority w:val="0"/>
    <w:p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1498">
    <w:name w:val="二级条标题"/>
    <w:basedOn w:val="1"/>
    <w:next w:val="1"/>
    <w:qFormat/>
    <w:uiPriority w:val="0"/>
    <w:pPr>
      <w:widowControl/>
      <w:tabs>
        <w:tab w:val="left" w:pos="360"/>
        <w:tab w:val="left" w:pos="1680"/>
        <w:tab w:val="left" w:pos="2240"/>
      </w:tabs>
      <w:ind w:left="1680" w:hanging="420"/>
      <w:jc w:val="left"/>
      <w:outlineLvl w:val="3"/>
    </w:pPr>
    <w:rPr>
      <w:rFonts w:eastAsia="黑体"/>
      <w:kern w:val="0"/>
      <w:szCs w:val="20"/>
    </w:rPr>
  </w:style>
  <w:style w:type="paragraph" w:customStyle="1" w:styleId="1499">
    <w:name w:val="三级条标题"/>
    <w:basedOn w:val="1"/>
    <w:next w:val="1"/>
    <w:qFormat/>
    <w:uiPriority w:val="0"/>
    <w:pPr>
      <w:widowControl/>
      <w:tabs>
        <w:tab w:val="left" w:pos="360"/>
        <w:tab w:val="left" w:pos="1680"/>
        <w:tab w:val="left" w:pos="2100"/>
        <w:tab w:val="left" w:pos="2240"/>
        <w:tab w:val="left" w:pos="2660"/>
      </w:tabs>
      <w:ind w:left="2100" w:hanging="420"/>
      <w:jc w:val="left"/>
      <w:outlineLvl w:val="4"/>
    </w:pPr>
    <w:rPr>
      <w:rFonts w:eastAsia="黑体"/>
      <w:kern w:val="0"/>
      <w:szCs w:val="20"/>
    </w:rPr>
  </w:style>
  <w:style w:type="paragraph" w:customStyle="1" w:styleId="1500">
    <w:name w:val="四级条标题"/>
    <w:basedOn w:val="1"/>
    <w:next w:val="1"/>
    <w:qFormat/>
    <w:uiPriority w:val="0"/>
    <w:pPr>
      <w:widowControl/>
      <w:tabs>
        <w:tab w:val="left" w:pos="360"/>
        <w:tab w:val="left" w:pos="1680"/>
        <w:tab w:val="left" w:pos="2100"/>
        <w:tab w:val="left" w:pos="2240"/>
        <w:tab w:val="left" w:pos="2660"/>
        <w:tab w:val="left" w:pos="3080"/>
      </w:tabs>
      <w:ind w:left="3080" w:hanging="420"/>
      <w:jc w:val="left"/>
      <w:outlineLvl w:val="5"/>
    </w:pPr>
    <w:rPr>
      <w:rFonts w:eastAsia="黑体"/>
      <w:kern w:val="0"/>
      <w:szCs w:val="20"/>
    </w:rPr>
  </w:style>
  <w:style w:type="paragraph" w:customStyle="1" w:styleId="1501">
    <w:name w:val="p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02">
    <w:name w:val="c201101"/>
    <w:basedOn w:val="1"/>
    <w:qFormat/>
    <w:uiPriority w:val="0"/>
    <w:pPr>
      <w:widowControl/>
      <w:spacing w:before="100" w:beforeAutospacing="1" w:after="100" w:afterAutospacing="1" w:line="330" w:lineRule="atLeast"/>
      <w:jc w:val="left"/>
    </w:pPr>
    <w:rPr>
      <w:rFonts w:ascii="宋体" w:hAnsi="宋体" w:cs="宋体"/>
      <w:b/>
      <w:bCs/>
      <w:color w:val="2D5B7D"/>
      <w:kern w:val="0"/>
      <w:szCs w:val="21"/>
    </w:rPr>
  </w:style>
  <w:style w:type="paragraph" w:customStyle="1" w:styleId="1503">
    <w:name w:val="H2——H2"/>
    <w:next w:val="222"/>
    <w:qFormat/>
    <w:uiPriority w:val="0"/>
    <w:pPr>
      <w:adjustRightInd w:val="0"/>
      <w:snapToGrid w:val="0"/>
      <w:spacing w:line="348" w:lineRule="auto"/>
      <w:outlineLvl w:val="1"/>
    </w:pPr>
    <w:rPr>
      <w:rFonts w:ascii="Times New Roman" w:hAnsi="Times New Roman" w:eastAsia="宋体" w:cs="Times New Roman"/>
      <w:b/>
      <w:kern w:val="44"/>
      <w:sz w:val="24"/>
      <w:szCs w:val="24"/>
      <w:lang w:val="en-US" w:eastAsia="zh-CN" w:bidi="ar-SA"/>
    </w:rPr>
  </w:style>
  <w:style w:type="paragraph" w:customStyle="1" w:styleId="1504">
    <w:name w:val="标题3-hao"/>
    <w:qFormat/>
    <w:uiPriority w:val="0"/>
    <w:pPr>
      <w:adjustRightInd w:val="0"/>
      <w:snapToGrid w:val="0"/>
      <w:spacing w:line="348" w:lineRule="auto"/>
      <w:outlineLvl w:val="2"/>
    </w:pPr>
    <w:rPr>
      <w:rFonts w:ascii="Times New Roman" w:hAnsi="Times New Roman" w:eastAsia="宋体" w:cs="Times New Roman"/>
      <w:kern w:val="2"/>
      <w:sz w:val="28"/>
      <w:szCs w:val="24"/>
      <w:lang w:val="en-US" w:eastAsia="zh-CN" w:bidi="ar-SA"/>
    </w:rPr>
  </w:style>
  <w:style w:type="paragraph" w:customStyle="1" w:styleId="1505">
    <w:name w:val="标题4-hao"/>
    <w:qFormat/>
    <w:uiPriority w:val="0"/>
    <w:pPr>
      <w:adjustRightInd w:val="0"/>
      <w:snapToGrid w:val="0"/>
      <w:spacing w:line="348" w:lineRule="auto"/>
      <w:outlineLvl w:val="3"/>
    </w:pPr>
    <w:rPr>
      <w:rFonts w:ascii="Times New Roman" w:hAnsi="Times New Roman" w:eastAsia="宋体" w:cs="Times New Roman"/>
      <w:kern w:val="2"/>
      <w:sz w:val="28"/>
      <w:szCs w:val="24"/>
      <w:lang w:val="en-US" w:eastAsia="zh-CN" w:bidi="ar-SA"/>
    </w:rPr>
  </w:style>
  <w:style w:type="paragraph" w:customStyle="1" w:styleId="1506">
    <w:name w:val="标题5-hao"/>
    <w:qFormat/>
    <w:uiPriority w:val="0"/>
    <w:pPr>
      <w:adjustRightInd w:val="0"/>
      <w:snapToGrid w:val="0"/>
      <w:spacing w:line="348" w:lineRule="auto"/>
      <w:ind w:firstLine="560" w:firstLineChars="200"/>
      <w:outlineLvl w:val="4"/>
    </w:pPr>
    <w:rPr>
      <w:rFonts w:ascii="Times New Roman" w:hAnsi="Times New Roman" w:eastAsia="宋体" w:cs="Times New Roman"/>
      <w:kern w:val="2"/>
      <w:sz w:val="28"/>
      <w:szCs w:val="24"/>
      <w:lang w:val="en-US" w:eastAsia="zh-CN" w:bidi="ar-SA"/>
    </w:rPr>
  </w:style>
  <w:style w:type="paragraph" w:customStyle="1" w:styleId="1507">
    <w:name w:val="标题6-hao"/>
    <w:qFormat/>
    <w:uiPriority w:val="0"/>
    <w:pPr>
      <w:adjustRightInd w:val="0"/>
      <w:snapToGrid w:val="0"/>
      <w:spacing w:line="348" w:lineRule="auto"/>
      <w:ind w:firstLine="200" w:firstLineChars="200"/>
      <w:outlineLvl w:val="5"/>
    </w:pPr>
    <w:rPr>
      <w:rFonts w:ascii="Times New Roman" w:hAnsi="Times New Roman" w:eastAsia="宋体" w:cs="Times New Roman"/>
      <w:kern w:val="2"/>
      <w:sz w:val="28"/>
      <w:szCs w:val="24"/>
      <w:lang w:val="en-US" w:eastAsia="zh-CN" w:bidi="ar-SA"/>
    </w:rPr>
  </w:style>
  <w:style w:type="paragraph" w:customStyle="1" w:styleId="1508">
    <w:name w:val="样式 图表名称 + 段前: 7.8 磅"/>
    <w:basedOn w:val="1"/>
    <w:qFormat/>
    <w:uiPriority w:val="0"/>
    <w:pPr>
      <w:spacing w:beforeLines="50" w:line="360" w:lineRule="auto"/>
      <w:jc w:val="center"/>
    </w:pPr>
    <w:rPr>
      <w:rFonts w:cs="宋体"/>
      <w:sz w:val="24"/>
      <w:szCs w:val="20"/>
    </w:rPr>
  </w:style>
  <w:style w:type="paragraph" w:customStyle="1" w:styleId="1509">
    <w:name w:val="标题7-hao"/>
    <w:qFormat/>
    <w:uiPriority w:val="0"/>
    <w:pPr>
      <w:adjustRightInd w:val="0"/>
      <w:snapToGrid w:val="0"/>
      <w:spacing w:line="348" w:lineRule="auto"/>
      <w:ind w:firstLine="200" w:firstLineChars="200"/>
      <w:outlineLvl w:val="6"/>
    </w:pPr>
    <w:rPr>
      <w:rFonts w:ascii="Times New Roman" w:hAnsi="Times New Roman" w:eastAsia="宋体" w:cs="Times New Roman"/>
      <w:kern w:val="2"/>
      <w:sz w:val="28"/>
      <w:szCs w:val="24"/>
      <w:lang w:val="en-US" w:eastAsia="zh-CN" w:bidi="ar-SA"/>
    </w:rPr>
  </w:style>
  <w:style w:type="paragraph" w:customStyle="1" w:styleId="1510">
    <w:name w:val="表格备注-hao"/>
    <w:qFormat/>
    <w:uiPriority w:val="0"/>
    <w:pPr>
      <w:adjustRightInd w:val="0"/>
      <w:snapToGrid w:val="0"/>
      <w:spacing w:line="288" w:lineRule="auto"/>
    </w:pPr>
    <w:rPr>
      <w:rFonts w:ascii="Times New Roman" w:hAnsi="Times New Roman" w:eastAsia="宋体" w:cs="Times New Roman"/>
      <w:kern w:val="2"/>
      <w:sz w:val="18"/>
      <w:szCs w:val="24"/>
      <w:lang w:val="en-US" w:eastAsia="zh-CN" w:bidi="ar-SA"/>
    </w:rPr>
  </w:style>
  <w:style w:type="paragraph" w:customStyle="1" w:styleId="1511">
    <w:name w:val="页眉-hao"/>
    <w:basedOn w:val="1"/>
    <w:qFormat/>
    <w:uiPriority w:val="0"/>
    <w:pPr>
      <w:pBdr>
        <w:bottom w:val="single" w:color="auto" w:sz="6" w:space="1"/>
      </w:pBdr>
      <w:tabs>
        <w:tab w:val="left" w:pos="3546"/>
      </w:tabs>
      <w:adjustRightInd w:val="0"/>
      <w:snapToGrid w:val="0"/>
      <w:jc w:val="left"/>
    </w:pPr>
    <w:rPr>
      <w:spacing w:val="8"/>
      <w:kern w:val="0"/>
      <w:szCs w:val="21"/>
    </w:rPr>
  </w:style>
  <w:style w:type="paragraph" w:customStyle="1" w:styleId="1512">
    <w:name w:val="目录-hao"/>
    <w:basedOn w:val="1"/>
    <w:qFormat/>
    <w:uiPriority w:val="0"/>
    <w:pPr>
      <w:pBdr>
        <w:top w:val="single" w:color="auto" w:sz="4" w:space="1"/>
      </w:pBdr>
      <w:adjustRightInd w:val="0"/>
      <w:snapToGrid w:val="0"/>
      <w:spacing w:before="120" w:after="120" w:line="300" w:lineRule="auto"/>
      <w:ind w:right="-191" w:rightChars="-91"/>
      <w:jc w:val="left"/>
    </w:pPr>
    <w:rPr>
      <w:b/>
      <w:bCs/>
      <w:caps/>
      <w:color w:val="0000FF"/>
      <w:sz w:val="24"/>
      <w:szCs w:val="21"/>
    </w:rPr>
  </w:style>
  <w:style w:type="paragraph" w:customStyle="1" w:styleId="1513">
    <w:name w:val="页脚-hao"/>
    <w:qFormat/>
    <w:uiPriority w:val="0"/>
    <w:pPr>
      <w:pBdr>
        <w:top w:val="single" w:color="auto" w:sz="4" w:space="1"/>
      </w:pBdr>
      <w:adjustRightInd w:val="0"/>
      <w:snapToGrid w:val="0"/>
      <w:spacing w:line="300" w:lineRule="auto"/>
    </w:pPr>
    <w:rPr>
      <w:rFonts w:ascii="Times New Roman" w:hAnsi="Times New Roman" w:eastAsia="宋体" w:cs="Times New Roman"/>
      <w:bCs/>
      <w:kern w:val="2"/>
      <w:sz w:val="21"/>
      <w:szCs w:val="21"/>
      <w:lang w:val="en-US" w:eastAsia="zh-CN" w:bidi="ar-SA"/>
    </w:rPr>
  </w:style>
  <w:style w:type="paragraph" w:customStyle="1" w:styleId="1514">
    <w:name w:val="日期12"/>
    <w:basedOn w:val="1"/>
    <w:next w:val="1"/>
    <w:qFormat/>
    <w:uiPriority w:val="0"/>
    <w:pPr>
      <w:spacing w:line="360" w:lineRule="atLeast"/>
    </w:pPr>
    <w:rPr>
      <w:rFonts w:ascii="宋体"/>
      <w:spacing w:val="20"/>
      <w:kern w:val="0"/>
      <w:szCs w:val="20"/>
    </w:rPr>
  </w:style>
  <w:style w:type="paragraph" w:customStyle="1" w:styleId="1515">
    <w:name w:val="样式 列表 + 居中"/>
    <w:basedOn w:val="1"/>
    <w:qFormat/>
    <w:uiPriority w:val="0"/>
    <w:pPr>
      <w:snapToGrid w:val="0"/>
      <w:jc w:val="center"/>
    </w:pPr>
    <w:rPr>
      <w:szCs w:val="20"/>
    </w:rPr>
  </w:style>
  <w:style w:type="paragraph" w:customStyle="1" w:styleId="1516">
    <w:name w:val="正文文本 212"/>
    <w:basedOn w:val="1"/>
    <w:qFormat/>
    <w:uiPriority w:val="0"/>
    <w:pPr>
      <w:autoSpaceDE w:val="0"/>
      <w:autoSpaceDN w:val="0"/>
      <w:spacing w:line="364" w:lineRule="auto"/>
      <w:jc w:val="center"/>
    </w:pPr>
    <w:rPr>
      <w:spacing w:val="10"/>
      <w:kern w:val="10"/>
      <w:sz w:val="24"/>
      <w:szCs w:val="20"/>
    </w:rPr>
  </w:style>
  <w:style w:type="paragraph" w:customStyle="1" w:styleId="1517">
    <w:name w:val="Header Base"/>
    <w:basedOn w:val="1"/>
    <w:qFormat/>
    <w:uiPriority w:val="0"/>
    <w:rPr>
      <w:color w:val="FF0000"/>
      <w:szCs w:val="24"/>
    </w:rPr>
  </w:style>
  <w:style w:type="paragraph" w:customStyle="1" w:styleId="1518">
    <w:name w:val="Heading Base"/>
    <w:basedOn w:val="1"/>
    <w:next w:val="31"/>
    <w:qFormat/>
    <w:uiPriority w:val="0"/>
    <w:rPr>
      <w:color w:val="FF0000"/>
      <w:szCs w:val="24"/>
    </w:rPr>
  </w:style>
  <w:style w:type="paragraph" w:customStyle="1" w:styleId="1519">
    <w:name w:val="iyz599"/>
    <w:basedOn w:val="1"/>
    <w:qFormat/>
    <w:uiPriority w:val="0"/>
    <w:pPr>
      <w:spacing w:before="100" w:beforeAutospacing="1" w:after="100" w:afterAutospacing="1"/>
    </w:pPr>
    <w:rPr>
      <w:rFonts w:ascii="宋体" w:hAnsi="宋体" w:cs="宋体"/>
      <w:kern w:val="0"/>
      <w:sz w:val="24"/>
      <w:szCs w:val="20"/>
    </w:rPr>
  </w:style>
  <w:style w:type="paragraph" w:customStyle="1" w:styleId="1520">
    <w:name w:val="样式 表格文字 + 10 磅"/>
    <w:basedOn w:val="1"/>
    <w:qFormat/>
    <w:uiPriority w:val="0"/>
    <w:pPr>
      <w:spacing w:line="315" w:lineRule="atLeast"/>
    </w:pPr>
    <w:rPr>
      <w:rFonts w:ascii="仿宋体" w:eastAsia="宋体繁体"/>
      <w:kern w:val="0"/>
      <w:sz w:val="24"/>
      <w:szCs w:val="20"/>
    </w:rPr>
  </w:style>
  <w:style w:type="paragraph" w:customStyle="1" w:styleId="1521">
    <w:name w:val="样式 表格 + 段前: 2 磅 行距: 最小值 12 磅1"/>
    <w:basedOn w:val="1"/>
    <w:qFormat/>
    <w:uiPriority w:val="0"/>
    <w:pPr>
      <w:jc w:val="center"/>
    </w:pPr>
    <w:rPr>
      <w:spacing w:val="10"/>
      <w:kern w:val="0"/>
      <w:sz w:val="24"/>
      <w:szCs w:val="20"/>
    </w:rPr>
  </w:style>
  <w:style w:type="paragraph" w:customStyle="1" w:styleId="1522">
    <w:name w:val="列表1"/>
    <w:basedOn w:val="1"/>
    <w:qFormat/>
    <w:uiPriority w:val="0"/>
    <w:pPr>
      <w:widowControl/>
      <w:tabs>
        <w:tab w:val="left" w:pos="969"/>
        <w:tab w:val="left" w:pos="3640"/>
      </w:tabs>
      <w:topLinePunct/>
      <w:adjustRightInd w:val="0"/>
      <w:snapToGrid w:val="0"/>
      <w:spacing w:line="324" w:lineRule="auto"/>
      <w:ind w:left="1400" w:leftChars="400" w:hanging="1000" w:hangingChars="1000"/>
    </w:pPr>
    <w:rPr>
      <w:kern w:val="28"/>
      <w:sz w:val="28"/>
      <w:szCs w:val="28"/>
    </w:rPr>
  </w:style>
  <w:style w:type="paragraph" w:customStyle="1" w:styleId="1523">
    <w:name w:val="両ｶｯｺ"/>
    <w:basedOn w:val="1"/>
    <w:qFormat/>
    <w:uiPriority w:val="0"/>
    <w:pPr>
      <w:tabs>
        <w:tab w:val="left" w:pos="1060"/>
      </w:tabs>
      <w:autoSpaceDE w:val="0"/>
      <w:autoSpaceDN w:val="0"/>
      <w:spacing w:after="120" w:line="360" w:lineRule="atLeast"/>
      <w:ind w:left="1418" w:hanging="567"/>
    </w:pPr>
    <w:rPr>
      <w:rFonts w:ascii="Arial" w:hAnsi="Arial" w:eastAsia="?l?r ｨC?｡ｯ?"/>
      <w:kern w:val="0"/>
      <w:sz w:val="24"/>
      <w:szCs w:val="20"/>
      <w:lang w:eastAsia="ja-JP"/>
    </w:rPr>
  </w:style>
  <w:style w:type="paragraph" w:customStyle="1" w:styleId="1524">
    <w:name w:val="样式 标题 3 + 首行缩进:  2 字符"/>
    <w:basedOn w:val="1"/>
    <w:qFormat/>
    <w:uiPriority w:val="0"/>
    <w:pPr>
      <w:keepNext/>
      <w:keepLines/>
      <w:widowControl/>
      <w:adjustRightInd w:val="0"/>
      <w:snapToGrid w:val="0"/>
      <w:spacing w:line="348" w:lineRule="auto"/>
      <w:outlineLvl w:val="2"/>
    </w:pPr>
    <w:rPr>
      <w:color w:val="000000"/>
      <w:kern w:val="0"/>
      <w:sz w:val="28"/>
      <w:szCs w:val="20"/>
    </w:rPr>
  </w:style>
  <w:style w:type="paragraph" w:customStyle="1" w:styleId="1525">
    <w:name w:val="IDC A-Head (2nd Line)"/>
    <w:basedOn w:val="1"/>
    <w:next w:val="1"/>
    <w:qFormat/>
    <w:uiPriority w:val="0"/>
    <w:pPr>
      <w:widowControl/>
      <w:jc w:val="center"/>
    </w:pPr>
    <w:rPr>
      <w:caps/>
      <w:kern w:val="0"/>
      <w:sz w:val="24"/>
      <w:szCs w:val="20"/>
    </w:rPr>
  </w:style>
  <w:style w:type="paragraph" w:customStyle="1" w:styleId="1526">
    <w:name w:val="报告书表格"/>
    <w:basedOn w:val="1"/>
    <w:qFormat/>
    <w:uiPriority w:val="0"/>
    <w:pPr>
      <w:spacing w:before="60" w:after="60" w:line="240" w:lineRule="atLeast"/>
      <w:jc w:val="center"/>
    </w:pPr>
    <w:rPr>
      <w:kern w:val="0"/>
      <w:szCs w:val="20"/>
    </w:rPr>
  </w:style>
  <w:style w:type="paragraph" w:customStyle="1" w:styleId="1527">
    <w:name w:val="Char Char Char1 Char Char Char Char Char Char Char Char Char Char Char Char Char"/>
    <w:basedOn w:val="1"/>
    <w:qFormat/>
    <w:uiPriority w:val="0"/>
    <w:rPr>
      <w:rFonts w:ascii="Tahoma" w:hAnsi="Tahoma"/>
      <w:sz w:val="24"/>
      <w:szCs w:val="20"/>
    </w:rPr>
  </w:style>
  <w:style w:type="paragraph" w:customStyle="1" w:styleId="1528">
    <w:name w:val="样式 小四"/>
    <w:basedOn w:val="1"/>
    <w:qFormat/>
    <w:uiPriority w:val="0"/>
    <w:pPr>
      <w:snapToGrid w:val="0"/>
    </w:pPr>
    <w:rPr>
      <w:color w:val="000000"/>
      <w:sz w:val="24"/>
      <w:szCs w:val="20"/>
    </w:rPr>
  </w:style>
  <w:style w:type="paragraph" w:customStyle="1" w:styleId="1529">
    <w:name w:val="样式 题注 + 首行缩进:  2 字符"/>
    <w:basedOn w:val="1"/>
    <w:qFormat/>
    <w:uiPriority w:val="0"/>
    <w:pPr>
      <w:widowControl/>
      <w:adjustRightInd w:val="0"/>
      <w:snapToGrid w:val="0"/>
      <w:spacing w:line="348" w:lineRule="auto"/>
      <w:ind w:firstLine="400" w:firstLineChars="200"/>
    </w:pPr>
    <w:rPr>
      <w:color w:val="000000"/>
      <w:kern w:val="0"/>
      <w:sz w:val="24"/>
      <w:szCs w:val="20"/>
    </w:rPr>
  </w:style>
  <w:style w:type="paragraph" w:customStyle="1" w:styleId="1530">
    <w:name w:val="content_noindent"/>
    <w:basedOn w:val="1"/>
    <w:qFormat/>
    <w:uiPriority w:val="0"/>
    <w:pPr>
      <w:spacing w:before="100" w:beforeAutospacing="1" w:after="100" w:afterAutospacing="1"/>
    </w:pPr>
    <w:rPr>
      <w:rFonts w:ascii="宋体" w:hAnsi="宋体" w:cs="宋体"/>
      <w:kern w:val="0"/>
      <w:sz w:val="24"/>
      <w:szCs w:val="20"/>
    </w:rPr>
  </w:style>
  <w:style w:type="paragraph" w:customStyle="1" w:styleId="1531">
    <w:name w:val="Char Char Char Char Char Char Char Char Char Char Char Char3"/>
    <w:basedOn w:val="1"/>
    <w:qFormat/>
    <w:uiPriority w:val="0"/>
    <w:pPr>
      <w:adjustRightInd w:val="0"/>
      <w:spacing w:line="360" w:lineRule="auto"/>
    </w:pPr>
    <w:rPr>
      <w:kern w:val="0"/>
      <w:sz w:val="24"/>
      <w:szCs w:val="20"/>
    </w:rPr>
  </w:style>
  <w:style w:type="paragraph" w:customStyle="1" w:styleId="1532">
    <w:name w:val="样式16"/>
    <w:basedOn w:val="1"/>
    <w:qFormat/>
    <w:uiPriority w:val="0"/>
    <w:pPr>
      <w:keepNext/>
      <w:keepLines/>
      <w:snapToGrid w:val="0"/>
      <w:outlineLvl w:val="0"/>
    </w:pPr>
    <w:rPr>
      <w:b/>
      <w:bCs/>
      <w:color w:val="000000"/>
      <w:spacing w:val="8"/>
      <w:kern w:val="44"/>
      <w:szCs w:val="28"/>
    </w:rPr>
  </w:style>
  <w:style w:type="paragraph" w:customStyle="1" w:styleId="1533">
    <w:name w:val="样式19"/>
    <w:basedOn w:val="1"/>
    <w:qFormat/>
    <w:uiPriority w:val="0"/>
    <w:pPr>
      <w:snapToGrid w:val="0"/>
      <w:ind w:firstLine="592"/>
    </w:pPr>
    <w:rPr>
      <w:spacing w:val="8"/>
      <w:szCs w:val="28"/>
    </w:rPr>
  </w:style>
  <w:style w:type="paragraph" w:customStyle="1" w:styleId="1534">
    <w:name w:val="样式"/>
    <w:basedOn w:val="1"/>
    <w:next w:val="41"/>
    <w:qFormat/>
    <w:uiPriority w:val="0"/>
    <w:rPr>
      <w:rFonts w:ascii="宋体" w:hAnsi="Courier New" w:cs="宋体"/>
      <w:szCs w:val="21"/>
    </w:rPr>
  </w:style>
  <w:style w:type="paragraph" w:customStyle="1" w:styleId="1535">
    <w:name w:val="Char Char Char Char Char Char Char Char Char Char Char Char Char Char Char Char Char Char Char"/>
    <w:basedOn w:val="1"/>
    <w:qFormat/>
    <w:uiPriority w:val="0"/>
    <w:rPr>
      <w:szCs w:val="20"/>
    </w:rPr>
  </w:style>
  <w:style w:type="paragraph" w:customStyle="1" w:styleId="1536">
    <w:name w:val="表格式"/>
    <w:basedOn w:val="1"/>
    <w:qFormat/>
    <w:uiPriority w:val="0"/>
    <w:pPr>
      <w:spacing w:beforeLines="50" w:line="200" w:lineRule="exact"/>
      <w:jc w:val="center"/>
    </w:pPr>
    <w:rPr>
      <w:szCs w:val="20"/>
    </w:rPr>
  </w:style>
  <w:style w:type="paragraph" w:customStyle="1" w:styleId="1537">
    <w:name w:val="Char7"/>
    <w:basedOn w:val="1"/>
    <w:qFormat/>
    <w:uiPriority w:val="0"/>
    <w:rPr>
      <w:szCs w:val="24"/>
    </w:rPr>
  </w:style>
  <w:style w:type="paragraph" w:customStyle="1" w:styleId="1538">
    <w:name w:val="Char Char Char Char Char Char Char Char Char1 Char Char Char Char Char Char Char Char Char Char Char Char Char"/>
    <w:basedOn w:val="1"/>
    <w:qFormat/>
    <w:uiPriority w:val="0"/>
    <w:pPr>
      <w:keepNext/>
      <w:keepLines/>
      <w:snapToGrid w:val="0"/>
      <w:spacing w:before="240" w:after="240" w:line="348" w:lineRule="auto"/>
      <w:outlineLvl w:val="0"/>
    </w:pPr>
    <w:rPr>
      <w:rFonts w:ascii="Tahoma" w:hAnsi="Tahoma"/>
      <w:b/>
      <w:sz w:val="24"/>
      <w:szCs w:val="20"/>
    </w:rPr>
  </w:style>
  <w:style w:type="paragraph" w:customStyle="1" w:styleId="1539">
    <w:name w:val="表格标注"/>
    <w:basedOn w:val="1"/>
    <w:qFormat/>
    <w:uiPriority w:val="0"/>
    <w:pPr>
      <w:adjustRightInd w:val="0"/>
      <w:snapToGrid w:val="0"/>
      <w:spacing w:line="348" w:lineRule="auto"/>
      <w:jc w:val="left"/>
    </w:pPr>
    <w:rPr>
      <w:kern w:val="0"/>
      <w:szCs w:val="20"/>
    </w:rPr>
  </w:style>
  <w:style w:type="paragraph" w:customStyle="1" w:styleId="1540">
    <w:name w:val="Body Text 22"/>
    <w:basedOn w:val="1"/>
    <w:qFormat/>
    <w:uiPriority w:val="0"/>
    <w:pPr>
      <w:adjustRightInd w:val="0"/>
      <w:spacing w:line="440" w:lineRule="atLeast"/>
      <w:ind w:firstLine="480"/>
    </w:pPr>
    <w:rPr>
      <w:rFonts w:eastAsia="仿宋_GB2312"/>
      <w:sz w:val="24"/>
      <w:szCs w:val="20"/>
    </w:rPr>
  </w:style>
  <w:style w:type="paragraph" w:customStyle="1" w:styleId="1541">
    <w:name w:val="样式 标题3 + Times New Roman 黑色"/>
    <w:basedOn w:val="1"/>
    <w:qFormat/>
    <w:uiPriority w:val="0"/>
    <w:pPr>
      <w:keepNext/>
      <w:keepLines/>
      <w:widowControl/>
      <w:spacing w:before="80" w:line="360" w:lineRule="auto"/>
      <w:ind w:left="180" w:firstLine="200" w:firstLineChars="200"/>
      <w:jc w:val="left"/>
      <w:outlineLvl w:val="2"/>
    </w:pPr>
    <w:rPr>
      <w:rFonts w:eastAsia="黑体"/>
      <w:color w:val="000000"/>
      <w:sz w:val="24"/>
      <w:szCs w:val="20"/>
      <w:lang w:val="zh-CN"/>
    </w:rPr>
  </w:style>
  <w:style w:type="paragraph" w:customStyle="1" w:styleId="1542">
    <w:name w:val="表格第一行"/>
    <w:basedOn w:val="1"/>
    <w:qFormat/>
    <w:uiPriority w:val="0"/>
    <w:pPr>
      <w:adjustRightInd w:val="0"/>
      <w:jc w:val="center"/>
    </w:pPr>
    <w:rPr>
      <w:rFonts w:eastAsia="仿宋_GB2312"/>
      <w:kern w:val="0"/>
      <w:szCs w:val="21"/>
    </w:rPr>
  </w:style>
  <w:style w:type="paragraph" w:customStyle="1" w:styleId="1543">
    <w:name w:val="表格2（柞行）"/>
    <w:basedOn w:val="1"/>
    <w:qFormat/>
    <w:uiPriority w:val="0"/>
    <w:pPr>
      <w:spacing w:line="320" w:lineRule="exact"/>
      <w:ind w:left="-10" w:leftChars="-20" w:right="-10" w:rightChars="-20"/>
      <w:jc w:val="center"/>
    </w:pPr>
    <w:rPr>
      <w:rFonts w:ascii="Arial" w:hAnsi="Arial"/>
      <w:szCs w:val="21"/>
    </w:rPr>
  </w:style>
  <w:style w:type="paragraph" w:customStyle="1" w:styleId="1544">
    <w:name w:val="4 Char"/>
    <w:basedOn w:val="1"/>
    <w:qFormat/>
    <w:uiPriority w:val="0"/>
    <w:rPr>
      <w:szCs w:val="24"/>
    </w:rPr>
  </w:style>
  <w:style w:type="paragraph" w:customStyle="1" w:styleId="1545">
    <w:name w:val="标1"/>
    <w:basedOn w:val="1"/>
    <w:qFormat/>
    <w:uiPriority w:val="0"/>
    <w:pPr>
      <w:tabs>
        <w:tab w:val="left" w:pos="839"/>
      </w:tabs>
      <w:adjustRightInd w:val="0"/>
      <w:spacing w:line="288" w:lineRule="auto"/>
      <w:ind w:right="-34"/>
    </w:pPr>
    <w:rPr>
      <w:rFonts w:eastAsia="楷体_GB2312"/>
      <w:kern w:val="0"/>
      <w:sz w:val="32"/>
      <w:szCs w:val="20"/>
    </w:rPr>
  </w:style>
  <w:style w:type="paragraph" w:customStyle="1" w:styleId="1546">
    <w:name w:val="正文样式3"/>
    <w:basedOn w:val="1"/>
    <w:qFormat/>
    <w:uiPriority w:val="0"/>
    <w:pPr>
      <w:adjustRightInd w:val="0"/>
      <w:spacing w:line="20" w:lineRule="atLeast"/>
      <w:jc w:val="center"/>
    </w:pPr>
    <w:rPr>
      <w:kern w:val="0"/>
      <w:sz w:val="24"/>
      <w:szCs w:val="20"/>
    </w:rPr>
  </w:style>
  <w:style w:type="paragraph" w:customStyle="1" w:styleId="154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548">
    <w:name w:val="Definition Term"/>
    <w:basedOn w:val="1"/>
    <w:next w:val="1"/>
    <w:qFormat/>
    <w:uiPriority w:val="0"/>
    <w:pPr>
      <w:widowControl/>
      <w:overflowPunct w:val="0"/>
      <w:autoSpaceDE w:val="0"/>
      <w:autoSpaceDN w:val="0"/>
      <w:adjustRightInd w:val="0"/>
      <w:jc w:val="left"/>
    </w:pPr>
    <w:rPr>
      <w:kern w:val="0"/>
      <w:sz w:val="24"/>
      <w:szCs w:val="24"/>
      <w:lang w:val="en-GB"/>
    </w:rPr>
  </w:style>
  <w:style w:type="paragraph" w:customStyle="1" w:styleId="1549">
    <w:name w:val="列出段落1"/>
    <w:basedOn w:val="1"/>
    <w:qFormat/>
    <w:uiPriority w:val="0"/>
    <w:pPr>
      <w:spacing w:line="460" w:lineRule="atLeast"/>
      <w:ind w:firstLine="420" w:firstLineChars="200"/>
    </w:pPr>
    <w:rPr>
      <w:rFonts w:ascii="宋体"/>
      <w:bCs/>
      <w:kern w:val="44"/>
      <w:szCs w:val="44"/>
    </w:rPr>
  </w:style>
  <w:style w:type="paragraph" w:customStyle="1" w:styleId="1550">
    <w:name w:val="电镀表"/>
    <w:basedOn w:val="1"/>
    <w:qFormat/>
    <w:uiPriority w:val="0"/>
    <w:pPr>
      <w:autoSpaceDE w:val="0"/>
      <w:autoSpaceDN w:val="0"/>
      <w:adjustRightInd w:val="0"/>
      <w:snapToGrid w:val="0"/>
    </w:pPr>
    <w:rPr>
      <w:kern w:val="0"/>
      <w:szCs w:val="21"/>
    </w:rPr>
  </w:style>
  <w:style w:type="paragraph" w:customStyle="1" w:styleId="1551">
    <w:name w:val="Char Char Char Char Char Char"/>
    <w:basedOn w:val="1"/>
    <w:qFormat/>
    <w:uiPriority w:val="0"/>
    <w:rPr>
      <w:szCs w:val="24"/>
    </w:rPr>
  </w:style>
  <w:style w:type="paragraph" w:customStyle="1" w:styleId="1552">
    <w:name w:val="样式 宋体 小四 两端对齐 首行缩进:  0.85 厘米 行距: 1.5 倍行距"/>
    <w:basedOn w:val="1"/>
    <w:qFormat/>
    <w:uiPriority w:val="0"/>
    <w:pPr>
      <w:widowControl/>
      <w:spacing w:line="360" w:lineRule="auto"/>
      <w:ind w:firstLine="482"/>
    </w:pPr>
    <w:rPr>
      <w:kern w:val="0"/>
      <w:sz w:val="24"/>
      <w:szCs w:val="20"/>
    </w:rPr>
  </w:style>
  <w:style w:type="paragraph" w:customStyle="1" w:styleId="1553">
    <w:name w:val="样式 表格 + 宋体 居中"/>
    <w:basedOn w:val="1"/>
    <w:qFormat/>
    <w:uiPriority w:val="0"/>
    <w:pPr>
      <w:jc w:val="center"/>
    </w:pPr>
    <w:rPr>
      <w:sz w:val="24"/>
      <w:szCs w:val="20"/>
    </w:rPr>
  </w:style>
  <w:style w:type="paragraph" w:customStyle="1" w:styleId="1554">
    <w:name w:val="標準（日本語）"/>
    <w:basedOn w:val="1"/>
    <w:qFormat/>
    <w:uiPriority w:val="0"/>
    <w:pPr>
      <w:overflowPunct w:val="0"/>
      <w:adjustRightInd w:val="0"/>
      <w:snapToGrid w:val="0"/>
    </w:pPr>
    <w:rPr>
      <w:rFonts w:eastAsia="MS Mincho"/>
      <w:kern w:val="0"/>
      <w:sz w:val="24"/>
      <w:szCs w:val="24"/>
      <w:lang w:eastAsia="ja-JP"/>
    </w:rPr>
  </w:style>
  <w:style w:type="paragraph" w:customStyle="1" w:styleId="1555">
    <w:name w:val="敏感表"/>
    <w:basedOn w:val="1"/>
    <w:next w:val="1"/>
    <w:qFormat/>
    <w:uiPriority w:val="0"/>
    <w:pPr>
      <w:topLinePunct/>
      <w:adjustRightInd w:val="0"/>
      <w:spacing w:line="240" w:lineRule="atLeast"/>
      <w:jc w:val="center"/>
    </w:pPr>
    <w:rPr>
      <w:kern w:val="0"/>
      <w:szCs w:val="20"/>
    </w:rPr>
  </w:style>
  <w:style w:type="paragraph" w:customStyle="1" w:styleId="1556">
    <w:name w:val="流程图文字"/>
    <w:basedOn w:val="1"/>
    <w:qFormat/>
    <w:uiPriority w:val="0"/>
    <w:pPr>
      <w:adjustRightInd w:val="0"/>
      <w:spacing w:line="288" w:lineRule="auto"/>
      <w:jc w:val="center"/>
    </w:pPr>
    <w:rPr>
      <w:rFonts w:ascii="宋体"/>
      <w:szCs w:val="20"/>
    </w:rPr>
  </w:style>
  <w:style w:type="paragraph" w:customStyle="1" w:styleId="1557">
    <w:name w:val="正文文本 31"/>
    <w:basedOn w:val="1"/>
    <w:qFormat/>
    <w:uiPriority w:val="0"/>
    <w:pPr>
      <w:autoSpaceDE w:val="0"/>
      <w:autoSpaceDN w:val="0"/>
      <w:adjustRightInd w:val="0"/>
      <w:spacing w:line="312" w:lineRule="atLeast"/>
      <w:jc w:val="center"/>
    </w:pPr>
    <w:rPr>
      <w:rFonts w:ascii="楷体" w:eastAsia="楷体"/>
      <w:kern w:val="0"/>
      <w:sz w:val="28"/>
      <w:szCs w:val="20"/>
    </w:rPr>
  </w:style>
  <w:style w:type="paragraph" w:customStyle="1" w:styleId="1558">
    <w:name w:val="样式 段前: 0.15 行 段后: 0.15 行 首行缩进:  2 字符"/>
    <w:basedOn w:val="1"/>
    <w:qFormat/>
    <w:uiPriority w:val="0"/>
    <w:pPr>
      <w:spacing w:line="360" w:lineRule="auto"/>
      <w:ind w:firstLine="200" w:firstLineChars="200"/>
    </w:pPr>
    <w:rPr>
      <w:rFonts w:ascii="宋体"/>
      <w:sz w:val="24"/>
      <w:szCs w:val="20"/>
    </w:rPr>
  </w:style>
  <w:style w:type="paragraph" w:customStyle="1" w:styleId="1559">
    <w:name w:val="样式 黑色 首行缩进:  0.85 厘米 段前: 0.15 行 段后: 0.15 行"/>
    <w:basedOn w:val="1"/>
    <w:qFormat/>
    <w:uiPriority w:val="0"/>
    <w:pPr>
      <w:spacing w:line="360" w:lineRule="auto"/>
      <w:ind w:firstLine="482"/>
    </w:pPr>
    <w:rPr>
      <w:rFonts w:ascii="宋体"/>
      <w:color w:val="000000"/>
      <w:sz w:val="24"/>
      <w:szCs w:val="20"/>
    </w:rPr>
  </w:style>
  <w:style w:type="paragraph" w:customStyle="1" w:styleId="1560">
    <w:name w:val="Char14"/>
    <w:basedOn w:val="1"/>
    <w:qFormat/>
    <w:uiPriority w:val="0"/>
    <w:rPr>
      <w:rFonts w:ascii="Tahoma" w:hAnsi="Tahoma"/>
      <w:sz w:val="24"/>
      <w:szCs w:val="20"/>
    </w:rPr>
  </w:style>
  <w:style w:type="paragraph" w:customStyle="1" w:styleId="1561">
    <w:name w:val="样式156"/>
    <w:basedOn w:val="287"/>
    <w:qFormat/>
    <w:uiPriority w:val="0"/>
    <w:pPr>
      <w:jc w:val="center"/>
    </w:pPr>
  </w:style>
  <w:style w:type="paragraph" w:customStyle="1" w:styleId="1562">
    <w:name w:val="heading"/>
    <w:basedOn w:val="1"/>
    <w:next w:val="19"/>
    <w:qFormat/>
    <w:uiPriority w:val="0"/>
    <w:pPr>
      <w:keepNext/>
      <w:keepLines/>
      <w:widowControl/>
      <w:adjustRightInd w:val="0"/>
      <w:snapToGrid w:val="0"/>
      <w:spacing w:before="120" w:line="360" w:lineRule="auto"/>
      <w:jc w:val="left"/>
      <w:outlineLvl w:val="1"/>
    </w:pPr>
    <w:rPr>
      <w:rFonts w:eastAsia="黑体"/>
      <w:b/>
      <w:bCs/>
      <w:color w:val="000000"/>
      <w:kern w:val="0"/>
      <w:sz w:val="28"/>
      <w:szCs w:val="28"/>
    </w:rPr>
  </w:style>
  <w:style w:type="paragraph" w:customStyle="1" w:styleId="1563">
    <w:name w:val="Plain Te"/>
    <w:basedOn w:val="1"/>
    <w:qFormat/>
    <w:uiPriority w:val="0"/>
    <w:pPr>
      <w:widowControl/>
      <w:jc w:val="left"/>
    </w:pPr>
    <w:rPr>
      <w:rFonts w:ascii="宋体" w:hAnsi="Courier New"/>
      <w:kern w:val="0"/>
      <w:szCs w:val="21"/>
    </w:rPr>
  </w:style>
  <w:style w:type="paragraph" w:customStyle="1" w:styleId="1564">
    <w:name w:val="Char Char1 Char Char Char Char"/>
    <w:basedOn w:val="1"/>
    <w:qFormat/>
    <w:uiPriority w:val="0"/>
    <w:rPr>
      <w:szCs w:val="24"/>
    </w:rPr>
  </w:style>
  <w:style w:type="paragraph" w:customStyle="1" w:styleId="1565">
    <w:name w:val="Char11"/>
    <w:basedOn w:val="1"/>
    <w:qFormat/>
    <w:uiPriority w:val="0"/>
    <w:rPr>
      <w:rFonts w:ascii="Tahoma" w:hAnsi="Tahoma"/>
      <w:sz w:val="24"/>
      <w:szCs w:val="20"/>
    </w:rPr>
  </w:style>
  <w:style w:type="paragraph" w:customStyle="1" w:styleId="1566">
    <w:name w:val="A1"/>
    <w:basedOn w:val="1"/>
    <w:qFormat/>
    <w:uiPriority w:val="0"/>
    <w:pPr>
      <w:keepNext/>
      <w:keepLines/>
      <w:ind w:left="-76" w:hanging="284"/>
      <w:outlineLvl w:val="0"/>
    </w:pPr>
    <w:rPr>
      <w:rFonts w:ascii="宋体" w:hAnsi="宋体"/>
      <w:b/>
      <w:bCs/>
      <w:kern w:val="44"/>
      <w:sz w:val="24"/>
      <w:szCs w:val="24"/>
    </w:rPr>
  </w:style>
  <w:style w:type="paragraph" w:customStyle="1" w:styleId="1567">
    <w:name w:val="样式 居中"/>
    <w:basedOn w:val="1"/>
    <w:qFormat/>
    <w:uiPriority w:val="0"/>
    <w:pPr>
      <w:keepNext/>
      <w:keepLines/>
      <w:spacing w:line="360" w:lineRule="auto"/>
      <w:jc w:val="center"/>
    </w:pPr>
    <w:rPr>
      <w:rFonts w:ascii="黑体"/>
      <w:b/>
      <w:color w:val="000000"/>
      <w:sz w:val="24"/>
      <w:szCs w:val="20"/>
    </w:rPr>
  </w:style>
  <w:style w:type="paragraph" w:customStyle="1" w:styleId="1568">
    <w:name w:val="海南化工城正文 Char Char"/>
    <w:basedOn w:val="1"/>
    <w:qFormat/>
    <w:uiPriority w:val="0"/>
    <w:pPr>
      <w:spacing w:line="324" w:lineRule="auto"/>
      <w:ind w:firstLine="480" w:firstLineChars="200"/>
    </w:pPr>
    <w:rPr>
      <w:rFonts w:ascii="宋体" w:hAnsi="宋体" w:cs="宋体"/>
      <w:sz w:val="24"/>
      <w:szCs w:val="24"/>
    </w:rPr>
  </w:style>
  <w:style w:type="paragraph" w:customStyle="1" w:styleId="1569">
    <w:name w:val="文档二级标题"/>
    <w:basedOn w:val="1"/>
    <w:qFormat/>
    <w:uiPriority w:val="0"/>
    <w:rPr>
      <w:rFonts w:ascii="楷体_GB2312" w:hAnsi="华文仿宋" w:eastAsia="楷体_GB2312"/>
      <w:sz w:val="28"/>
      <w:szCs w:val="24"/>
    </w:rPr>
  </w:style>
  <w:style w:type="paragraph" w:customStyle="1" w:styleId="1570">
    <w:name w:val="Char21"/>
    <w:basedOn w:val="1"/>
    <w:qFormat/>
    <w:uiPriority w:val="0"/>
    <w:rPr>
      <w:szCs w:val="24"/>
    </w:rPr>
  </w:style>
  <w:style w:type="paragraph" w:customStyle="1" w:styleId="1571">
    <w:name w:val="union"/>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72">
    <w:name w:val="样式 四号"/>
    <w:basedOn w:val="1"/>
    <w:qFormat/>
    <w:uiPriority w:val="0"/>
    <w:pPr>
      <w:spacing w:line="360" w:lineRule="auto"/>
      <w:ind w:firstLine="560" w:firstLineChars="200"/>
    </w:pPr>
    <w:rPr>
      <w:rFonts w:cs="宋体"/>
      <w:sz w:val="24"/>
      <w:szCs w:val="20"/>
    </w:rPr>
  </w:style>
  <w:style w:type="paragraph" w:customStyle="1" w:styleId="1573">
    <w:name w:val="样式 首行缩进:  0.99 厘米"/>
    <w:basedOn w:val="1"/>
    <w:qFormat/>
    <w:uiPriority w:val="0"/>
    <w:pPr>
      <w:spacing w:line="360" w:lineRule="auto"/>
      <w:ind w:firstLine="560" w:firstLineChars="200"/>
    </w:pPr>
    <w:rPr>
      <w:rFonts w:cs="宋体"/>
      <w:sz w:val="24"/>
      <w:szCs w:val="20"/>
    </w:rPr>
  </w:style>
  <w:style w:type="paragraph" w:customStyle="1" w:styleId="1574">
    <w:name w:val="char"/>
    <w:basedOn w:val="1"/>
    <w:qFormat/>
    <w:uiPriority w:val="0"/>
    <w:pPr>
      <w:widowControl/>
      <w:spacing w:beforeLines="50" w:line="360" w:lineRule="exact"/>
      <w:ind w:firstLine="482" w:firstLineChars="200"/>
    </w:pPr>
    <w:rPr>
      <w:b/>
      <w:color w:val="000000"/>
      <w:kern w:val="0"/>
      <w:sz w:val="24"/>
      <w:szCs w:val="24"/>
    </w:rPr>
  </w:style>
  <w:style w:type="paragraph" w:customStyle="1" w:styleId="1575">
    <w:name w:val="样式149"/>
    <w:basedOn w:val="1"/>
    <w:qFormat/>
    <w:uiPriority w:val="0"/>
    <w:pPr>
      <w:adjustRightInd w:val="0"/>
      <w:snapToGrid w:val="0"/>
      <w:spacing w:line="280" w:lineRule="exact"/>
      <w:jc w:val="center"/>
    </w:pPr>
    <w:rPr>
      <w:rFonts w:ascii="黑体" w:eastAsia="仿宋_GB2312"/>
      <w:bCs/>
      <w:color w:val="000000"/>
      <w:kern w:val="0"/>
      <w:szCs w:val="21"/>
    </w:rPr>
  </w:style>
  <w:style w:type="paragraph" w:customStyle="1" w:styleId="1576">
    <w:name w:val="样式94"/>
    <w:basedOn w:val="1"/>
    <w:qFormat/>
    <w:uiPriority w:val="0"/>
    <w:pPr>
      <w:jc w:val="center"/>
    </w:pPr>
    <w:rPr>
      <w:rFonts w:ascii="仿宋_GB2312" w:eastAsia="仿宋_GB2312"/>
      <w:b/>
      <w:kern w:val="0"/>
      <w:sz w:val="24"/>
      <w:szCs w:val="24"/>
    </w:rPr>
  </w:style>
  <w:style w:type="paragraph" w:customStyle="1" w:styleId="1577">
    <w:name w:val="样式122"/>
    <w:basedOn w:val="1"/>
    <w:qFormat/>
    <w:uiPriority w:val="0"/>
    <w:pPr>
      <w:spacing w:line="520" w:lineRule="exact"/>
      <w:ind w:firstLine="480" w:firstLineChars="200"/>
    </w:pPr>
    <w:rPr>
      <w:rFonts w:eastAsia="仿宋_GB2312"/>
      <w:kern w:val="0"/>
      <w:sz w:val="24"/>
      <w:szCs w:val="28"/>
    </w:rPr>
  </w:style>
  <w:style w:type="paragraph" w:customStyle="1" w:styleId="1578">
    <w:name w:val="样式 标题 4H4PIM 4h4blbbTitre44th levelsect 1.2.3.4Ref Head...4"/>
    <w:basedOn w:val="6"/>
    <w:qFormat/>
    <w:uiPriority w:val="0"/>
    <w:pPr>
      <w:widowControl/>
      <w:snapToGrid w:val="0"/>
      <w:spacing w:before="60" w:after="60" w:line="500" w:lineRule="atLeast"/>
      <w:ind w:firstLine="200" w:firstLineChars="200"/>
    </w:pPr>
    <w:rPr>
      <w:rFonts w:ascii="宋体" w:hAnsi="宋体"/>
      <w:b/>
      <w:sz w:val="24"/>
      <w:szCs w:val="24"/>
      <w:lang w:val="zh-CN"/>
    </w:rPr>
  </w:style>
  <w:style w:type="paragraph" w:customStyle="1" w:styleId="1579">
    <w:name w:val="样式 样式 标题 4H4PIM 4h4blbbTitre44th levelsect 1.2.3.4Ref Head...3 +1"/>
    <w:basedOn w:val="1"/>
    <w:qFormat/>
    <w:uiPriority w:val="0"/>
    <w:pPr>
      <w:keepNext/>
      <w:keepLines/>
      <w:widowControl/>
      <w:spacing w:before="60" w:after="60" w:line="520" w:lineRule="exact"/>
      <w:ind w:firstLine="510" w:firstLineChars="200"/>
      <w:jc w:val="left"/>
      <w:outlineLvl w:val="3"/>
    </w:pPr>
    <w:rPr>
      <w:rFonts w:ascii="Arial" w:hAnsi="Arial"/>
      <w:b/>
      <w:color w:val="000000"/>
      <w:kern w:val="0"/>
      <w:sz w:val="24"/>
      <w:szCs w:val="20"/>
    </w:rPr>
  </w:style>
  <w:style w:type="paragraph" w:customStyle="1" w:styleId="1580">
    <w:name w:val="报告正文"/>
    <w:basedOn w:val="1"/>
    <w:qFormat/>
    <w:uiPriority w:val="0"/>
    <w:pPr>
      <w:spacing w:line="400" w:lineRule="exact"/>
      <w:ind w:firstLine="482"/>
    </w:pPr>
    <w:rPr>
      <w:sz w:val="24"/>
      <w:szCs w:val="20"/>
    </w:rPr>
  </w:style>
  <w:style w:type="paragraph" w:customStyle="1" w:styleId="1581">
    <w:name w:val="样式174"/>
    <w:basedOn w:val="1"/>
    <w:qFormat/>
    <w:uiPriority w:val="0"/>
    <w:pPr>
      <w:spacing w:beforeLines="50" w:line="360" w:lineRule="auto"/>
      <w:ind w:firstLine="480" w:firstLineChars="200"/>
    </w:pPr>
    <w:rPr>
      <w:kern w:val="0"/>
      <w:sz w:val="24"/>
      <w:szCs w:val="24"/>
      <w:lang w:val="en-AU"/>
    </w:rPr>
  </w:style>
  <w:style w:type="paragraph" w:customStyle="1" w:styleId="1582">
    <w:name w:val="样式107"/>
    <w:basedOn w:val="1583"/>
    <w:qFormat/>
    <w:uiPriority w:val="0"/>
    <w:pPr>
      <w:spacing w:line="240" w:lineRule="auto"/>
    </w:pPr>
  </w:style>
  <w:style w:type="paragraph" w:customStyle="1" w:styleId="1583">
    <w:name w:val="样式103"/>
    <w:basedOn w:val="707"/>
    <w:qFormat/>
    <w:uiPriority w:val="0"/>
    <w:rPr>
      <w:b w:val="0"/>
    </w:rPr>
  </w:style>
  <w:style w:type="paragraph" w:customStyle="1" w:styleId="1584">
    <w:name w:val="样式 样式18 +"/>
    <w:basedOn w:val="319"/>
    <w:qFormat/>
    <w:uiPriority w:val="0"/>
    <w:pPr>
      <w:snapToGrid/>
      <w:spacing w:line="460" w:lineRule="exact"/>
      <w:ind w:firstLine="200" w:firstLineChars="200"/>
    </w:pPr>
    <w:rPr>
      <w:color w:val="000000"/>
      <w:spacing w:val="0"/>
      <w:sz w:val="24"/>
      <w:szCs w:val="24"/>
    </w:rPr>
  </w:style>
  <w:style w:type="paragraph" w:customStyle="1" w:styleId="1585">
    <w:name w:val="样式28"/>
    <w:basedOn w:val="609"/>
    <w:qFormat/>
    <w:uiPriority w:val="0"/>
    <w:pPr>
      <w:tabs>
        <w:tab w:val="clear" w:pos="1701"/>
      </w:tabs>
      <w:adjustRightInd w:val="0"/>
      <w:snapToGrid/>
      <w:spacing w:line="300" w:lineRule="exact"/>
      <w:jc w:val="center"/>
    </w:pPr>
    <w:rPr>
      <w:color w:val="000000"/>
      <w:sz w:val="18"/>
      <w:szCs w:val="21"/>
    </w:rPr>
  </w:style>
  <w:style w:type="paragraph" w:customStyle="1" w:styleId="1586">
    <w:name w:val="样式55"/>
    <w:basedOn w:val="257"/>
    <w:qFormat/>
    <w:uiPriority w:val="0"/>
  </w:style>
  <w:style w:type="paragraph" w:customStyle="1" w:styleId="1587">
    <w:name w:val="样式125"/>
    <w:basedOn w:val="158"/>
    <w:qFormat/>
    <w:uiPriority w:val="0"/>
    <w:pPr>
      <w:spacing w:before="0" w:after="0" w:line="240" w:lineRule="atLeast"/>
      <w:jc w:val="center"/>
      <w:outlineLvl w:val="9"/>
    </w:pPr>
  </w:style>
  <w:style w:type="paragraph" w:customStyle="1" w:styleId="1588">
    <w:name w:val="Char24"/>
    <w:basedOn w:val="1"/>
    <w:qFormat/>
    <w:uiPriority w:val="0"/>
    <w:rPr>
      <w:szCs w:val="24"/>
    </w:rPr>
  </w:style>
  <w:style w:type="paragraph" w:customStyle="1" w:styleId="1589">
    <w:name w:val="MM Topic 1"/>
    <w:basedOn w:val="3"/>
    <w:qFormat/>
    <w:uiPriority w:val="0"/>
    <w:pPr>
      <w:spacing w:afterLines="30" w:line="576" w:lineRule="auto"/>
      <w:ind w:left="-76" w:hanging="284"/>
      <w:jc w:val="center"/>
    </w:pPr>
  </w:style>
  <w:style w:type="paragraph" w:customStyle="1" w:styleId="1590">
    <w:name w:val="CM7"/>
    <w:basedOn w:val="101"/>
    <w:next w:val="101"/>
    <w:qFormat/>
    <w:uiPriority w:val="0"/>
    <w:pPr>
      <w:spacing w:line="460" w:lineRule="atLeast"/>
    </w:pPr>
    <w:rPr>
      <w:rFonts w:ascii="黑体" w:eastAsia="黑体" w:cs="Times New Roman"/>
      <w:color w:val="auto"/>
      <w:sz w:val="20"/>
    </w:rPr>
  </w:style>
  <w:style w:type="paragraph" w:customStyle="1" w:styleId="1591">
    <w:name w:val="样式68"/>
    <w:basedOn w:val="502"/>
    <w:qFormat/>
    <w:uiPriority w:val="0"/>
    <w:pPr>
      <w:spacing w:line="560" w:lineRule="exact"/>
    </w:pPr>
  </w:style>
  <w:style w:type="paragraph" w:customStyle="1" w:styleId="1592">
    <w:name w:val="批注主题2"/>
    <w:basedOn w:val="25"/>
    <w:next w:val="25"/>
    <w:qFormat/>
    <w:uiPriority w:val="0"/>
    <w:rPr>
      <w:rFonts w:eastAsia="Times New Roman"/>
      <w:b/>
      <w:bCs/>
      <w:sz w:val="24"/>
      <w:szCs w:val="24"/>
    </w:rPr>
  </w:style>
  <w:style w:type="paragraph" w:customStyle="1" w:styleId="1593">
    <w:name w:val="样式48"/>
    <w:basedOn w:val="202"/>
    <w:qFormat/>
    <w:uiPriority w:val="0"/>
  </w:style>
  <w:style w:type="paragraph" w:customStyle="1" w:styleId="1594">
    <w:name w:val="样式53"/>
    <w:basedOn w:val="675"/>
    <w:qFormat/>
    <w:uiPriority w:val="0"/>
    <w:rPr>
      <w:rFonts w:eastAsia="楷体_GB2312"/>
      <w:b/>
    </w:rPr>
  </w:style>
  <w:style w:type="paragraph" w:customStyle="1" w:styleId="1595">
    <w:name w:val="批注主题3"/>
    <w:basedOn w:val="25"/>
    <w:next w:val="25"/>
    <w:qFormat/>
    <w:uiPriority w:val="0"/>
    <w:rPr>
      <w:rFonts w:eastAsia="Times New Roman"/>
      <w:b/>
      <w:bCs/>
      <w:sz w:val="24"/>
      <w:szCs w:val="24"/>
    </w:rPr>
  </w:style>
  <w:style w:type="paragraph" w:customStyle="1" w:styleId="1596">
    <w:name w:val="样式63"/>
    <w:basedOn w:val="503"/>
    <w:qFormat/>
    <w:uiPriority w:val="0"/>
    <w:rPr>
      <w:rFonts w:ascii="Technic" w:hAnsi="Technic"/>
      <w:szCs w:val="28"/>
    </w:rPr>
  </w:style>
  <w:style w:type="paragraph" w:customStyle="1" w:styleId="1597">
    <w:name w:val="样式70"/>
    <w:basedOn w:val="858"/>
    <w:qFormat/>
    <w:uiPriority w:val="0"/>
    <w:rPr>
      <w:b/>
    </w:rPr>
  </w:style>
  <w:style w:type="paragraph" w:customStyle="1" w:styleId="1598">
    <w:name w:val="样式71"/>
    <w:basedOn w:val="859"/>
    <w:qFormat/>
    <w:uiPriority w:val="0"/>
    <w:rPr>
      <w:szCs w:val="24"/>
    </w:rPr>
  </w:style>
  <w:style w:type="paragraph" w:customStyle="1" w:styleId="1599">
    <w:name w:val="样式72"/>
    <w:basedOn w:val="158"/>
    <w:qFormat/>
    <w:uiPriority w:val="0"/>
  </w:style>
  <w:style w:type="paragraph" w:customStyle="1" w:styleId="1600">
    <w:name w:val="正文 + 8 磅"/>
    <w:basedOn w:val="1"/>
    <w:qFormat/>
    <w:uiPriority w:val="0"/>
    <w:pPr>
      <w:spacing w:line="360" w:lineRule="auto"/>
    </w:pPr>
    <w:rPr>
      <w:b/>
      <w:sz w:val="16"/>
      <w:szCs w:val="16"/>
    </w:rPr>
  </w:style>
  <w:style w:type="paragraph" w:customStyle="1" w:styleId="1601">
    <w:name w:val="样式76"/>
    <w:basedOn w:val="853"/>
    <w:qFormat/>
    <w:uiPriority w:val="0"/>
    <w:pPr>
      <w:autoSpaceDE w:val="0"/>
      <w:autoSpaceDN w:val="0"/>
      <w:adjustRightInd w:val="0"/>
    </w:pPr>
  </w:style>
  <w:style w:type="paragraph" w:customStyle="1" w:styleId="1602">
    <w:name w:val="样式78"/>
    <w:basedOn w:val="665"/>
    <w:qFormat/>
    <w:uiPriority w:val="0"/>
    <w:rPr>
      <w:b w:val="0"/>
      <w:sz w:val="21"/>
      <w:szCs w:val="21"/>
    </w:rPr>
  </w:style>
  <w:style w:type="paragraph" w:customStyle="1" w:styleId="1603">
    <w:name w:val="样式133"/>
    <w:basedOn w:val="199"/>
    <w:qFormat/>
    <w:uiPriority w:val="0"/>
  </w:style>
  <w:style w:type="paragraph" w:customStyle="1" w:styleId="1604">
    <w:name w:val="样式82"/>
    <w:basedOn w:val="665"/>
    <w:qFormat/>
    <w:uiPriority w:val="0"/>
    <w:rPr>
      <w:rFonts w:eastAsia="黑体"/>
      <w:sz w:val="21"/>
    </w:rPr>
  </w:style>
  <w:style w:type="paragraph" w:customStyle="1" w:styleId="1605">
    <w:name w:val="样式59"/>
    <w:basedOn w:val="3"/>
    <w:qFormat/>
    <w:uiPriority w:val="0"/>
    <w:pPr>
      <w:adjustRightInd w:val="0"/>
      <w:spacing w:before="480" w:after="120" w:line="480" w:lineRule="auto"/>
      <w:ind w:left="-76" w:hanging="284"/>
      <w:jc w:val="center"/>
    </w:pPr>
    <w:rPr>
      <w:rFonts w:eastAsia="黑体"/>
      <w:b w:val="0"/>
      <w:bCs/>
      <w:sz w:val="30"/>
      <w:szCs w:val="30"/>
    </w:rPr>
  </w:style>
  <w:style w:type="paragraph" w:customStyle="1" w:styleId="1606">
    <w:name w:val="样式105"/>
    <w:basedOn w:val="703"/>
    <w:qFormat/>
    <w:uiPriority w:val="0"/>
    <w:pPr>
      <w:spacing w:line="240" w:lineRule="auto"/>
    </w:pPr>
  </w:style>
  <w:style w:type="paragraph" w:customStyle="1" w:styleId="1607">
    <w:name w:val="样式109"/>
    <w:basedOn w:val="703"/>
    <w:qFormat/>
    <w:uiPriority w:val="0"/>
  </w:style>
  <w:style w:type="paragraph" w:customStyle="1" w:styleId="1608">
    <w:name w:val="样式111"/>
    <w:basedOn w:val="705"/>
    <w:qFormat/>
    <w:uiPriority w:val="0"/>
  </w:style>
  <w:style w:type="paragraph" w:customStyle="1" w:styleId="1609">
    <w:name w:val="Char Char Char Char Char Char Char Char Char Char Char Char Char Char Char Char Char Char Char3"/>
    <w:basedOn w:val="1"/>
    <w:qFormat/>
    <w:uiPriority w:val="0"/>
    <w:rPr>
      <w:sz w:val="32"/>
      <w:szCs w:val="32"/>
    </w:rPr>
  </w:style>
  <w:style w:type="paragraph" w:customStyle="1" w:styleId="1610">
    <w:name w:val="样式126"/>
    <w:basedOn w:val="156"/>
    <w:qFormat/>
    <w:uiPriority w:val="0"/>
  </w:style>
  <w:style w:type="paragraph" w:customStyle="1" w:styleId="1611">
    <w:name w:val="样式127"/>
    <w:basedOn w:val="199"/>
    <w:qFormat/>
    <w:uiPriority w:val="0"/>
  </w:style>
  <w:style w:type="paragraph" w:customStyle="1" w:styleId="1612">
    <w:name w:val="样式129"/>
    <w:basedOn w:val="208"/>
    <w:qFormat/>
    <w:uiPriority w:val="0"/>
    <w:rPr>
      <w:b/>
    </w:rPr>
  </w:style>
  <w:style w:type="paragraph" w:customStyle="1" w:styleId="1613">
    <w:name w:val="样式130"/>
    <w:basedOn w:val="208"/>
    <w:qFormat/>
    <w:uiPriority w:val="0"/>
    <w:rPr>
      <w:b/>
    </w:rPr>
  </w:style>
  <w:style w:type="paragraph" w:customStyle="1" w:styleId="1614">
    <w:name w:val="CM15"/>
    <w:basedOn w:val="101"/>
    <w:next w:val="101"/>
    <w:qFormat/>
    <w:uiPriority w:val="0"/>
    <w:pPr>
      <w:spacing w:line="460" w:lineRule="atLeast"/>
    </w:pPr>
    <w:rPr>
      <w:rFonts w:ascii="黑体" w:eastAsia="黑体" w:cs="Times New Roman"/>
      <w:color w:val="auto"/>
      <w:sz w:val="20"/>
    </w:rPr>
  </w:style>
  <w:style w:type="paragraph" w:customStyle="1" w:styleId="1615">
    <w:name w:val="样式 (符号) 宋体 小四 行距: 单倍行距"/>
    <w:basedOn w:val="1"/>
    <w:qFormat/>
    <w:uiPriority w:val="0"/>
    <w:pPr>
      <w:ind w:firstLine="480" w:firstLineChars="200"/>
    </w:pPr>
    <w:rPr>
      <w:rFonts w:hAnsi="宋体" w:cs="宋体"/>
      <w:sz w:val="24"/>
      <w:szCs w:val="20"/>
    </w:rPr>
  </w:style>
  <w:style w:type="paragraph" w:customStyle="1" w:styleId="1616">
    <w:name w:val="样式 正文文本缩进 3 +"/>
    <w:basedOn w:val="60"/>
    <w:qFormat/>
    <w:uiPriority w:val="0"/>
    <w:pPr>
      <w:adjustRightInd w:val="0"/>
      <w:snapToGrid/>
      <w:spacing w:after="0" w:line="520" w:lineRule="exact"/>
      <w:ind w:left="0" w:leftChars="0" w:firstLine="200" w:firstLineChars="200"/>
      <w:jc w:val="center"/>
    </w:pPr>
    <w:rPr>
      <w:rFonts w:hint="eastAsia" w:ascii="Times New Roman" w:hAnsi="Times New Roman"/>
      <w:b/>
      <w:bCs/>
      <w:kern w:val="0"/>
      <w:sz w:val="24"/>
      <w:szCs w:val="24"/>
    </w:rPr>
  </w:style>
  <w:style w:type="paragraph" w:customStyle="1" w:styleId="1617">
    <w:name w:val="条目2"/>
    <w:basedOn w:val="1618"/>
    <w:qFormat/>
    <w:uiPriority w:val="0"/>
    <w:pPr>
      <w:tabs>
        <w:tab w:val="left" w:pos="420"/>
      </w:tabs>
      <w:spacing w:before="0" w:beforeLines="10" w:beforeAutospacing="0" w:after="0" w:afterLines="10" w:afterAutospacing="0" w:line="400" w:lineRule="atLeast"/>
      <w:ind w:left="0" w:leftChars="0"/>
    </w:pPr>
    <w:rPr>
      <w:rFonts w:ascii="宋体" w:hAnsi="Tms Rmn"/>
      <w:bCs/>
      <w:position w:val="-12"/>
      <w:sz w:val="21"/>
    </w:rPr>
  </w:style>
  <w:style w:type="paragraph" w:customStyle="1" w:styleId="1618">
    <w:name w:val="条目"/>
    <w:basedOn w:val="1"/>
    <w:qFormat/>
    <w:uiPriority w:val="0"/>
    <w:pPr>
      <w:adjustRightInd w:val="0"/>
      <w:spacing w:before="100" w:beforeAutospacing="1" w:after="100" w:afterAutospacing="1" w:line="160" w:lineRule="atLeast"/>
      <w:ind w:left="400" w:leftChars="400"/>
    </w:pPr>
    <w:rPr>
      <w:kern w:val="0"/>
      <w:sz w:val="24"/>
      <w:szCs w:val="20"/>
    </w:rPr>
  </w:style>
  <w:style w:type="paragraph" w:customStyle="1" w:styleId="1619">
    <w:name w:val="样式58"/>
    <w:basedOn w:val="3"/>
    <w:qFormat/>
    <w:uiPriority w:val="0"/>
    <w:pPr>
      <w:adjustRightInd w:val="0"/>
      <w:spacing w:before="600" w:after="240" w:line="360" w:lineRule="auto"/>
      <w:ind w:left="-76" w:hanging="284"/>
      <w:jc w:val="center"/>
    </w:pPr>
    <w:rPr>
      <w:rFonts w:eastAsia="黑体"/>
      <w:b w:val="0"/>
      <w:bCs/>
      <w:sz w:val="30"/>
      <w:szCs w:val="30"/>
    </w:rPr>
  </w:style>
  <w:style w:type="paragraph" w:customStyle="1" w:styleId="1620">
    <w:name w:val="样式581"/>
    <w:basedOn w:val="845"/>
    <w:next w:val="1619"/>
    <w:qFormat/>
    <w:uiPriority w:val="0"/>
    <w:pPr>
      <w:spacing w:line="520" w:lineRule="exact"/>
      <w:ind w:firstLine="480" w:firstLineChars="200"/>
      <w:jc w:val="both"/>
    </w:pPr>
    <w:rPr>
      <w:rFonts w:eastAsia="仿宋_GB2312"/>
      <w:i w:val="0"/>
      <w:color w:val="000000"/>
      <w:szCs w:val="28"/>
    </w:rPr>
  </w:style>
  <w:style w:type="paragraph" w:customStyle="1" w:styleId="1621">
    <w:name w:val="样式591"/>
    <w:basedOn w:val="845"/>
    <w:next w:val="1605"/>
    <w:qFormat/>
    <w:uiPriority w:val="0"/>
    <w:pPr>
      <w:spacing w:line="520" w:lineRule="exact"/>
      <w:ind w:firstLine="480" w:firstLineChars="200"/>
      <w:jc w:val="both"/>
    </w:pPr>
    <w:rPr>
      <w:rFonts w:eastAsia="仿宋_GB2312"/>
      <w:i w:val="0"/>
      <w:color w:val="000000"/>
      <w:szCs w:val="28"/>
    </w:rPr>
  </w:style>
  <w:style w:type="paragraph" w:customStyle="1" w:styleId="1622">
    <w:name w:val="正文文本缩进 24"/>
    <w:basedOn w:val="1"/>
    <w:qFormat/>
    <w:uiPriority w:val="0"/>
    <w:pPr>
      <w:adjustRightInd w:val="0"/>
      <w:spacing w:line="348" w:lineRule="auto"/>
      <w:ind w:firstLine="573"/>
    </w:pPr>
    <w:rPr>
      <w:rFonts w:eastAsia="Wingdings"/>
      <w:sz w:val="28"/>
      <w:szCs w:val="20"/>
    </w:rPr>
  </w:style>
  <w:style w:type="paragraph" w:customStyle="1" w:styleId="1623">
    <w:name w:val="样式135"/>
    <w:basedOn w:val="1603"/>
    <w:qFormat/>
    <w:uiPriority w:val="0"/>
  </w:style>
  <w:style w:type="paragraph" w:customStyle="1" w:styleId="1624">
    <w:name w:val="样式138"/>
    <w:basedOn w:val="631"/>
    <w:qFormat/>
    <w:uiPriority w:val="0"/>
    <w:rPr>
      <w:b/>
    </w:rPr>
  </w:style>
  <w:style w:type="paragraph" w:customStyle="1" w:styleId="1625">
    <w:name w:val="样式137"/>
    <w:basedOn w:val="278"/>
    <w:next w:val="1624"/>
    <w:qFormat/>
    <w:uiPriority w:val="0"/>
  </w:style>
  <w:style w:type="paragraph" w:customStyle="1" w:styleId="1626">
    <w:name w:val="样式141"/>
    <w:basedOn w:val="277"/>
    <w:qFormat/>
    <w:uiPriority w:val="0"/>
    <w:pPr>
      <w:outlineLvl w:val="2"/>
    </w:pPr>
  </w:style>
  <w:style w:type="paragraph" w:customStyle="1" w:styleId="1627">
    <w:name w:val="样式147"/>
    <w:basedOn w:val="728"/>
    <w:qFormat/>
    <w:uiPriority w:val="0"/>
  </w:style>
  <w:style w:type="paragraph" w:customStyle="1" w:styleId="1628">
    <w:name w:val="样式159"/>
    <w:basedOn w:val="707"/>
    <w:qFormat/>
    <w:uiPriority w:val="0"/>
    <w:rPr>
      <w:b w:val="0"/>
    </w:rPr>
  </w:style>
  <w:style w:type="paragraph" w:customStyle="1" w:styleId="1629">
    <w:name w:val="样式160"/>
    <w:basedOn w:val="254"/>
    <w:qFormat/>
    <w:uiPriority w:val="0"/>
  </w:style>
  <w:style w:type="paragraph" w:customStyle="1" w:styleId="1630">
    <w:name w:val="样式161"/>
    <w:basedOn w:val="705"/>
    <w:qFormat/>
    <w:uiPriority w:val="0"/>
  </w:style>
  <w:style w:type="paragraph" w:customStyle="1" w:styleId="1631">
    <w:name w:val="CM6"/>
    <w:basedOn w:val="101"/>
    <w:next w:val="101"/>
    <w:qFormat/>
    <w:uiPriority w:val="0"/>
    <w:pPr>
      <w:spacing w:line="440" w:lineRule="atLeast"/>
    </w:pPr>
    <w:rPr>
      <w:rFonts w:ascii="黑体" w:eastAsia="黑体" w:cs="Times New Roman"/>
      <w:color w:val="auto"/>
      <w:sz w:val="20"/>
    </w:rPr>
  </w:style>
  <w:style w:type="paragraph" w:customStyle="1" w:styleId="1632">
    <w:name w:val="样式163"/>
    <w:basedOn w:val="728"/>
    <w:qFormat/>
    <w:uiPriority w:val="0"/>
  </w:style>
  <w:style w:type="paragraph" w:customStyle="1" w:styleId="1633">
    <w:name w:val="日期5"/>
    <w:basedOn w:val="1"/>
    <w:next w:val="1"/>
    <w:qFormat/>
    <w:uiPriority w:val="0"/>
    <w:pPr>
      <w:adjustRightInd w:val="0"/>
      <w:jc w:val="left"/>
    </w:pPr>
    <w:rPr>
      <w:sz w:val="32"/>
      <w:szCs w:val="20"/>
    </w:rPr>
  </w:style>
  <w:style w:type="paragraph" w:customStyle="1" w:styleId="1634">
    <w:name w:val="样式166"/>
    <w:basedOn w:val="156"/>
    <w:qFormat/>
    <w:uiPriority w:val="0"/>
  </w:style>
  <w:style w:type="paragraph" w:customStyle="1" w:styleId="1635">
    <w:name w:val="样式167"/>
    <w:basedOn w:val="728"/>
    <w:qFormat/>
    <w:uiPriority w:val="0"/>
  </w:style>
  <w:style w:type="paragraph" w:customStyle="1" w:styleId="1636">
    <w:name w:val="样式168"/>
    <w:basedOn w:val="728"/>
    <w:qFormat/>
    <w:uiPriority w:val="0"/>
    <w:pPr>
      <w:outlineLvl w:val="3"/>
    </w:pPr>
    <w:rPr>
      <w:b w:val="0"/>
    </w:rPr>
  </w:style>
  <w:style w:type="paragraph" w:customStyle="1" w:styleId="1637">
    <w:name w:val="样式169"/>
    <w:basedOn w:val="254"/>
    <w:qFormat/>
    <w:uiPriority w:val="0"/>
  </w:style>
  <w:style w:type="paragraph" w:customStyle="1" w:styleId="1638">
    <w:name w:val="字元 字元3"/>
    <w:basedOn w:val="1"/>
    <w:qFormat/>
    <w:uiPriority w:val="0"/>
    <w:rPr>
      <w:sz w:val="24"/>
      <w:szCs w:val="24"/>
    </w:rPr>
  </w:style>
  <w:style w:type="paragraph" w:customStyle="1" w:styleId="1639">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1640">
    <w:name w:val="样式165"/>
    <w:basedOn w:val="215"/>
    <w:qFormat/>
    <w:uiPriority w:val="0"/>
  </w:style>
  <w:style w:type="paragraph" w:customStyle="1" w:styleId="1641">
    <w:name w:val="样式145"/>
    <w:basedOn w:val="215"/>
    <w:qFormat/>
    <w:uiPriority w:val="0"/>
    <w:pPr>
      <w:snapToGrid w:val="0"/>
      <w:spacing w:before="0" w:line="520" w:lineRule="exact"/>
    </w:pPr>
  </w:style>
  <w:style w:type="paragraph" w:customStyle="1" w:styleId="1642">
    <w:name w:val="CM26"/>
    <w:basedOn w:val="101"/>
    <w:next w:val="101"/>
    <w:qFormat/>
    <w:uiPriority w:val="0"/>
    <w:pPr>
      <w:spacing w:after="258"/>
    </w:pPr>
    <w:rPr>
      <w:rFonts w:ascii="黑体" w:eastAsia="黑体" w:cs="Times New Roman"/>
      <w:color w:val="auto"/>
      <w:sz w:val="20"/>
    </w:rPr>
  </w:style>
  <w:style w:type="paragraph" w:customStyle="1" w:styleId="1643">
    <w:name w:val="样式131"/>
    <w:basedOn w:val="246"/>
    <w:qFormat/>
    <w:uiPriority w:val="0"/>
  </w:style>
  <w:style w:type="paragraph" w:customStyle="1" w:styleId="1644">
    <w:name w:val="样式143"/>
    <w:basedOn w:val="246"/>
    <w:qFormat/>
    <w:uiPriority w:val="0"/>
    <w:pPr>
      <w:spacing w:line="240" w:lineRule="exact"/>
    </w:pPr>
  </w:style>
  <w:style w:type="paragraph" w:customStyle="1" w:styleId="1645">
    <w:name w:val="样式164"/>
    <w:basedOn w:val="939"/>
    <w:qFormat/>
    <w:uiPriority w:val="0"/>
    <w:rPr>
      <w:rFonts w:eastAsia="宋体"/>
    </w:rPr>
  </w:style>
  <w:style w:type="paragraph" w:customStyle="1" w:styleId="1646">
    <w:name w:val="样式 正文缩进正文（首行缩进两字） + 首行缩进:  2 字符"/>
    <w:qFormat/>
    <w:uiPriority w:val="0"/>
    <w:pPr>
      <w:spacing w:line="360" w:lineRule="auto"/>
      <w:ind w:firstLine="561"/>
    </w:pPr>
    <w:rPr>
      <w:rFonts w:ascii="Times New Roman" w:hAnsi="Times New Roman" w:eastAsia="宋体" w:cs="宋体"/>
      <w:kern w:val="2"/>
      <w:sz w:val="24"/>
      <w:szCs w:val="24"/>
      <w:lang w:val="en-US" w:eastAsia="zh-CN" w:bidi="ar-SA"/>
    </w:rPr>
  </w:style>
  <w:style w:type="paragraph" w:customStyle="1" w:styleId="1647">
    <w:name w:val="正文王"/>
    <w:basedOn w:val="41"/>
    <w:qFormat/>
    <w:uiPriority w:val="0"/>
    <w:pPr>
      <w:snapToGrid w:val="0"/>
      <w:spacing w:line="440" w:lineRule="exact"/>
    </w:pPr>
    <w:rPr>
      <w:rFonts w:hint="eastAsia" w:ascii="Arial" w:hAnsi="Arial" w:cs="Times New Roman"/>
      <w:kern w:val="0"/>
      <w:sz w:val="24"/>
      <w:szCs w:val="20"/>
    </w:rPr>
  </w:style>
  <w:style w:type="paragraph" w:customStyle="1" w:styleId="1648">
    <w:name w:val="样式121"/>
    <w:basedOn w:val="281"/>
    <w:qFormat/>
    <w:uiPriority w:val="0"/>
  </w:style>
  <w:style w:type="paragraph" w:customStyle="1" w:styleId="1649">
    <w:name w:val="CM10"/>
    <w:basedOn w:val="101"/>
    <w:next w:val="101"/>
    <w:qFormat/>
    <w:uiPriority w:val="0"/>
    <w:pPr>
      <w:spacing w:line="460" w:lineRule="atLeast"/>
    </w:pPr>
    <w:rPr>
      <w:rFonts w:ascii="黑体" w:eastAsia="黑体" w:cs="Times New Roman"/>
      <w:color w:val="auto"/>
      <w:sz w:val="20"/>
    </w:rPr>
  </w:style>
  <w:style w:type="paragraph" w:customStyle="1" w:styleId="1650">
    <w:name w:val="样式 行距: 1.5 倍行距"/>
    <w:basedOn w:val="1"/>
    <w:qFormat/>
    <w:uiPriority w:val="0"/>
    <w:pPr>
      <w:topLinePunct/>
      <w:snapToGrid w:val="0"/>
      <w:spacing w:beforeLines="50" w:line="360" w:lineRule="auto"/>
      <w:ind w:left="210" w:leftChars="100" w:right="420" w:firstLine="480" w:firstLineChars="200"/>
      <w:jc w:val="left"/>
    </w:pPr>
    <w:rPr>
      <w:rFonts w:ascii="仿宋_GB2312" w:eastAsia="仿宋_GB2312"/>
      <w:kern w:val="0"/>
      <w:sz w:val="24"/>
      <w:szCs w:val="24"/>
      <w:lang w:val="en-GB"/>
    </w:rPr>
  </w:style>
  <w:style w:type="paragraph" w:customStyle="1" w:styleId="1651">
    <w:name w:val="缺省文本"/>
    <w:basedOn w:val="1"/>
    <w:qFormat/>
    <w:uiPriority w:val="0"/>
    <w:pPr>
      <w:autoSpaceDE w:val="0"/>
      <w:autoSpaceDN w:val="0"/>
      <w:adjustRightInd w:val="0"/>
      <w:jc w:val="left"/>
    </w:pPr>
    <w:rPr>
      <w:kern w:val="0"/>
      <w:sz w:val="24"/>
      <w:szCs w:val="24"/>
    </w:rPr>
  </w:style>
  <w:style w:type="paragraph" w:customStyle="1" w:styleId="1652">
    <w:name w:val="报告 Char Char1"/>
    <w:basedOn w:val="1"/>
    <w:qFormat/>
    <w:uiPriority w:val="0"/>
    <w:pPr>
      <w:widowControl/>
      <w:overflowPunct w:val="0"/>
      <w:autoSpaceDE w:val="0"/>
      <w:autoSpaceDN w:val="0"/>
      <w:adjustRightInd w:val="0"/>
      <w:spacing w:before="120" w:after="120" w:line="400" w:lineRule="atLeast"/>
      <w:ind w:firstLine="200" w:firstLineChars="200"/>
    </w:pPr>
    <w:rPr>
      <w:kern w:val="0"/>
      <w:sz w:val="24"/>
      <w:szCs w:val="20"/>
    </w:rPr>
  </w:style>
  <w:style w:type="paragraph" w:customStyle="1" w:styleId="1653">
    <w:name w:val="Char10"/>
    <w:basedOn w:val="1"/>
    <w:qFormat/>
    <w:uiPriority w:val="0"/>
    <w:rPr>
      <w:rFonts w:ascii="Tahoma" w:hAnsi="Tahoma"/>
      <w:sz w:val="24"/>
      <w:szCs w:val="20"/>
    </w:rPr>
  </w:style>
  <w:style w:type="paragraph" w:customStyle="1" w:styleId="1654">
    <w:name w:val="CM52"/>
    <w:basedOn w:val="101"/>
    <w:next w:val="101"/>
    <w:qFormat/>
    <w:uiPriority w:val="0"/>
    <w:pPr>
      <w:spacing w:line="460" w:lineRule="atLeast"/>
    </w:pPr>
    <w:rPr>
      <w:rFonts w:cs="Times New Roman"/>
      <w:color w:val="auto"/>
    </w:rPr>
  </w:style>
  <w:style w:type="paragraph" w:customStyle="1" w:styleId="1655">
    <w:name w:val="Char Char Char Char Char Char Char Char Char Char Char Char Char Char Char Char Char Char Char2"/>
    <w:basedOn w:val="1"/>
    <w:qFormat/>
    <w:uiPriority w:val="0"/>
    <w:rPr>
      <w:sz w:val="32"/>
      <w:szCs w:val="32"/>
    </w:rPr>
  </w:style>
  <w:style w:type="paragraph" w:customStyle="1" w:styleId="1656">
    <w:name w:val="样式 段前: 7.8 磅 段后: 7.8 磅"/>
    <w:basedOn w:val="1"/>
    <w:qFormat/>
    <w:uiPriority w:val="0"/>
    <w:pPr>
      <w:spacing w:before="156" w:after="156" w:line="460" w:lineRule="exact"/>
      <w:ind w:firstLine="200" w:firstLineChars="200"/>
    </w:pPr>
    <w:rPr>
      <w:rFonts w:cs="宋体"/>
      <w:sz w:val="24"/>
      <w:szCs w:val="24"/>
    </w:rPr>
  </w:style>
  <w:style w:type="paragraph" w:customStyle="1" w:styleId="1657">
    <w:name w:val="样式 样式34 + 黑色"/>
    <w:basedOn w:val="845"/>
    <w:qFormat/>
    <w:uiPriority w:val="0"/>
    <w:pPr>
      <w:spacing w:line="520" w:lineRule="exact"/>
      <w:ind w:firstLine="480" w:firstLineChars="200"/>
      <w:jc w:val="both"/>
    </w:pPr>
    <w:rPr>
      <w:rFonts w:eastAsia="仿宋_GB2312"/>
      <w:bCs/>
      <w:i w:val="0"/>
    </w:rPr>
  </w:style>
  <w:style w:type="paragraph" w:customStyle="1" w:styleId="1658">
    <w:name w:val="Char12"/>
    <w:basedOn w:val="1"/>
    <w:qFormat/>
    <w:uiPriority w:val="0"/>
    <w:rPr>
      <w:rFonts w:ascii="Tahoma" w:hAnsi="Tahoma"/>
      <w:sz w:val="24"/>
      <w:szCs w:val="20"/>
    </w:rPr>
  </w:style>
  <w:style w:type="paragraph" w:customStyle="1" w:styleId="1659">
    <w:name w:val="acee正文"/>
    <w:basedOn w:val="1"/>
    <w:qFormat/>
    <w:uiPriority w:val="0"/>
    <w:pPr>
      <w:spacing w:line="480" w:lineRule="exact"/>
      <w:ind w:firstLine="640" w:firstLineChars="200"/>
    </w:pPr>
    <w:rPr>
      <w:rFonts w:ascii="仿宋_GB2312" w:hAnsi="宋体" w:eastAsia="仿宋_GB2312"/>
      <w:sz w:val="32"/>
      <w:szCs w:val="24"/>
    </w:rPr>
  </w:style>
  <w:style w:type="paragraph" w:customStyle="1" w:styleId="1660">
    <w:name w:val="样式 样式 样式 四号 黑色 + 首行缩进:  2 字符 + 小四 下划线 居中"/>
    <w:basedOn w:val="1"/>
    <w:qFormat/>
    <w:uiPriority w:val="0"/>
    <w:pPr>
      <w:widowControl/>
      <w:spacing w:line="360" w:lineRule="auto"/>
      <w:jc w:val="center"/>
    </w:pPr>
    <w:rPr>
      <w:rFonts w:cs="宋体"/>
      <w:color w:val="000000"/>
      <w:sz w:val="24"/>
      <w:szCs w:val="20"/>
      <w:u w:val="single"/>
    </w:rPr>
  </w:style>
  <w:style w:type="paragraph" w:customStyle="1" w:styleId="1661">
    <w:name w:val="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1662">
    <w:name w:val="正文31"/>
    <w:basedOn w:val="1"/>
    <w:qFormat/>
    <w:uiPriority w:val="0"/>
    <w:pPr>
      <w:spacing w:before="60" w:after="60"/>
      <w:jc w:val="center"/>
    </w:pPr>
    <w:rPr>
      <w:szCs w:val="20"/>
    </w:rPr>
  </w:style>
  <w:style w:type="paragraph" w:customStyle="1" w:styleId="1663">
    <w:name w:val="Char Char Char Char Char Char Char Char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1664">
    <w:name w:val="表格名和图名"/>
    <w:basedOn w:val="1"/>
    <w:qFormat/>
    <w:uiPriority w:val="0"/>
    <w:pPr>
      <w:spacing w:line="360" w:lineRule="auto"/>
      <w:jc w:val="center"/>
    </w:pPr>
    <w:rPr>
      <w:b/>
      <w:color w:val="000000"/>
      <w:sz w:val="24"/>
      <w:szCs w:val="24"/>
    </w:rPr>
  </w:style>
  <w:style w:type="paragraph" w:customStyle="1" w:styleId="1665">
    <w:name w:val="样式 样式 首行缩进:  2 字符 + 首行缩进:  2 字符"/>
    <w:basedOn w:val="1"/>
    <w:qFormat/>
    <w:uiPriority w:val="0"/>
    <w:pPr>
      <w:snapToGrid w:val="0"/>
      <w:spacing w:line="360" w:lineRule="auto"/>
      <w:ind w:firstLine="502" w:firstLineChars="200"/>
    </w:pPr>
    <w:rPr>
      <w:sz w:val="24"/>
      <w:szCs w:val="20"/>
    </w:rPr>
  </w:style>
  <w:style w:type="paragraph" w:customStyle="1" w:styleId="1666">
    <w:name w:val="样式1.1.1"/>
    <w:basedOn w:val="1"/>
    <w:qFormat/>
    <w:uiPriority w:val="0"/>
    <w:pPr>
      <w:spacing w:line="460" w:lineRule="exact"/>
    </w:pPr>
    <w:rPr>
      <w:bCs/>
      <w:sz w:val="24"/>
      <w:szCs w:val="21"/>
    </w:rPr>
  </w:style>
  <w:style w:type="paragraph" w:customStyle="1" w:styleId="1667">
    <w:name w:val="正文（首行缩进两个字） + 首行缩进:  2 字符"/>
    <w:basedOn w:val="1"/>
    <w:qFormat/>
    <w:uiPriority w:val="0"/>
    <w:pPr>
      <w:widowControl/>
      <w:spacing w:line="440" w:lineRule="exact"/>
      <w:ind w:firstLine="200" w:firstLineChars="200"/>
      <w:jc w:val="left"/>
    </w:pPr>
    <w:rPr>
      <w:rFonts w:eastAsia="仿宋_GB2312" w:cs="宋体"/>
      <w:sz w:val="24"/>
      <w:szCs w:val="20"/>
      <w:lang w:val="zh-CN"/>
    </w:rPr>
  </w:style>
  <w:style w:type="paragraph" w:customStyle="1" w:styleId="1668">
    <w:name w:val="表格正文"/>
    <w:basedOn w:val="1"/>
    <w:next w:val="1"/>
    <w:qFormat/>
    <w:uiPriority w:val="0"/>
    <w:pPr>
      <w:adjustRightInd w:val="0"/>
      <w:snapToGrid w:val="0"/>
      <w:spacing w:line="0" w:lineRule="atLeast"/>
      <w:jc w:val="center"/>
    </w:pPr>
    <w:rPr>
      <w:rFonts w:eastAsia="仿宋_GB2312"/>
      <w:szCs w:val="21"/>
    </w:rPr>
  </w:style>
  <w:style w:type="paragraph" w:customStyle="1" w:styleId="1669">
    <w:name w:val="报告1"/>
    <w:basedOn w:val="605"/>
    <w:qFormat/>
    <w:uiPriority w:val="0"/>
    <w:pPr>
      <w:tabs>
        <w:tab w:val="clear" w:pos="1701"/>
      </w:tabs>
      <w:autoSpaceDE/>
      <w:autoSpaceDN/>
      <w:spacing w:line="240" w:lineRule="auto"/>
      <w:ind w:right="240" w:firstLine="150" w:firstLineChars="150"/>
      <w:jc w:val="both"/>
    </w:pPr>
    <w:rPr>
      <w:rFonts w:ascii="TimesNewRoman" w:hAnsi="TimesNewRoman"/>
      <w:kern w:val="24"/>
    </w:rPr>
  </w:style>
  <w:style w:type="paragraph" w:customStyle="1" w:styleId="1670">
    <w:name w:val="1233"/>
    <w:basedOn w:val="1"/>
    <w:qFormat/>
    <w:uiPriority w:val="0"/>
    <w:pPr>
      <w:spacing w:before="100" w:line="360" w:lineRule="auto"/>
      <w:ind w:firstLine="480"/>
    </w:pPr>
    <w:rPr>
      <w:sz w:val="24"/>
      <w:szCs w:val="20"/>
    </w:rPr>
  </w:style>
  <w:style w:type="paragraph" w:customStyle="1" w:styleId="1671">
    <w:name w:val="表格内文字"/>
    <w:basedOn w:val="31"/>
    <w:qFormat/>
    <w:uiPriority w:val="0"/>
    <w:pPr>
      <w:snapToGrid w:val="0"/>
      <w:spacing w:before="0"/>
      <w:ind w:left="0"/>
      <w:jc w:val="both"/>
    </w:pPr>
    <w:rPr>
      <w:rFonts w:hint="eastAsia" w:ascii="仿宋_GB2312" w:hAnsi="Times New Roman" w:eastAsia="楷体_GB2312"/>
      <w:szCs w:val="20"/>
      <w:lang w:eastAsia="zh-CN"/>
    </w:rPr>
  </w:style>
  <w:style w:type="paragraph" w:customStyle="1" w:styleId="1672">
    <w:name w:val="ST20_1"/>
    <w:basedOn w:val="1"/>
    <w:qFormat/>
    <w:uiPriority w:val="0"/>
    <w:pPr>
      <w:adjustRightInd w:val="0"/>
      <w:jc w:val="center"/>
    </w:pPr>
    <w:rPr>
      <w:rFonts w:ascii="宋体"/>
      <w:kern w:val="0"/>
      <w:szCs w:val="20"/>
    </w:rPr>
  </w:style>
  <w:style w:type="paragraph" w:customStyle="1" w:styleId="1673">
    <w:name w:val="body 1"/>
    <w:basedOn w:val="1"/>
    <w:qFormat/>
    <w:uiPriority w:val="0"/>
    <w:pPr>
      <w:adjustRightInd w:val="0"/>
      <w:spacing w:line="360" w:lineRule="atLeast"/>
    </w:pPr>
    <w:rPr>
      <w:rFonts w:ascii="華康中楷體" w:eastAsia="華康中楷體"/>
      <w:spacing w:val="60"/>
      <w:kern w:val="0"/>
      <w:sz w:val="24"/>
      <w:szCs w:val="20"/>
      <w:lang w:eastAsia="zh-TW"/>
    </w:rPr>
  </w:style>
  <w:style w:type="paragraph" w:customStyle="1" w:styleId="1674">
    <w:name w:val="樣式 左:  0 cm 凸出:  1 字元"/>
    <w:basedOn w:val="1"/>
    <w:qFormat/>
    <w:uiPriority w:val="0"/>
    <w:pPr>
      <w:ind w:left="240" w:hanging="240" w:hangingChars="100"/>
      <w:jc w:val="left"/>
    </w:pPr>
    <w:rPr>
      <w:rFonts w:eastAsia="PMingLiU" w:cs="PMingLiU"/>
      <w:sz w:val="24"/>
      <w:szCs w:val="20"/>
      <w:lang w:eastAsia="zh-TW"/>
    </w:rPr>
  </w:style>
  <w:style w:type="paragraph" w:customStyle="1" w:styleId="1675">
    <w:name w:val="小標"/>
    <w:basedOn w:val="1"/>
    <w:qFormat/>
    <w:uiPriority w:val="0"/>
    <w:pPr>
      <w:tabs>
        <w:tab w:val="right" w:pos="4176"/>
        <w:tab w:val="right" w:pos="6960"/>
      </w:tabs>
      <w:wordWrap w:val="0"/>
      <w:adjustRightInd w:val="0"/>
      <w:snapToGrid w:val="0"/>
      <w:spacing w:after="200" w:line="432" w:lineRule="exact"/>
    </w:pPr>
    <w:rPr>
      <w:rFonts w:ascii="Arial" w:hAnsi="Arial" w:eastAsia="華康粗黑體"/>
      <w:sz w:val="24"/>
      <w:szCs w:val="20"/>
      <w:lang w:eastAsia="zh-TW"/>
    </w:rPr>
  </w:style>
  <w:style w:type="paragraph" w:customStyle="1" w:styleId="1676">
    <w:name w:val="标题6"/>
    <w:basedOn w:val="1"/>
    <w:qFormat/>
    <w:uiPriority w:val="0"/>
    <w:pPr>
      <w:spacing w:line="300" w:lineRule="auto"/>
      <w:jc w:val="center"/>
    </w:pPr>
    <w:rPr>
      <w:rFonts w:ascii="黑体" w:hAnsi="宋体" w:eastAsia="黑体"/>
      <w:b/>
      <w:bCs/>
      <w:sz w:val="24"/>
      <w:szCs w:val="24"/>
    </w:rPr>
  </w:style>
  <w:style w:type="paragraph" w:customStyle="1" w:styleId="1677">
    <w:name w:val="样式 标题 3 + 左侧:  0 厘米 首行缩进:  0 字符"/>
    <w:basedOn w:val="5"/>
    <w:qFormat/>
    <w:uiPriority w:val="0"/>
    <w:pPr>
      <w:spacing w:line="415" w:lineRule="auto"/>
    </w:pPr>
    <w:rPr>
      <w:b/>
      <w:szCs w:val="20"/>
    </w:rPr>
  </w:style>
  <w:style w:type="paragraph" w:customStyle="1" w:styleId="1678">
    <w:name w:val="内容"/>
    <w:basedOn w:val="1"/>
    <w:qFormat/>
    <w:uiPriority w:val="0"/>
    <w:pPr>
      <w:adjustRightInd w:val="0"/>
      <w:spacing w:after="120" w:line="360" w:lineRule="atLeast"/>
      <w:ind w:left="851" w:firstLine="200" w:firstLineChars="200"/>
    </w:pPr>
    <w:rPr>
      <w:kern w:val="0"/>
      <w:sz w:val="24"/>
      <w:szCs w:val="20"/>
    </w:rPr>
  </w:style>
  <w:style w:type="paragraph" w:customStyle="1" w:styleId="1679">
    <w:name w:val="样式 列表 + 加粗 首行缩进:  1 字符"/>
    <w:basedOn w:val="57"/>
    <w:qFormat/>
    <w:uiPriority w:val="0"/>
    <w:pPr>
      <w:widowControl/>
      <w:ind w:left="200" w:firstLine="211" w:firstLineChars="100"/>
      <w:jc w:val="left"/>
    </w:pPr>
    <w:rPr>
      <w:bCs/>
      <w:sz w:val="21"/>
      <w:szCs w:val="20"/>
    </w:rPr>
  </w:style>
  <w:style w:type="paragraph" w:customStyle="1" w:styleId="1680">
    <w:name w:val="CM9"/>
    <w:basedOn w:val="101"/>
    <w:next w:val="101"/>
    <w:qFormat/>
    <w:uiPriority w:val="0"/>
    <w:pPr>
      <w:spacing w:line="460" w:lineRule="atLeast"/>
    </w:pPr>
    <w:rPr>
      <w:rFonts w:ascii="黑体" w:eastAsia="黑体" w:cs="Times New Roman"/>
      <w:color w:val="auto"/>
      <w:sz w:val="20"/>
    </w:rPr>
  </w:style>
  <w:style w:type="paragraph" w:customStyle="1" w:styleId="1681">
    <w:name w:val="小标题2"/>
    <w:basedOn w:val="14"/>
    <w:qFormat/>
    <w:uiPriority w:val="0"/>
    <w:pPr>
      <w:numPr>
        <w:numId w:val="0"/>
      </w:numPr>
      <w:adjustRightInd w:val="0"/>
      <w:snapToGrid w:val="0"/>
      <w:spacing w:before="20" w:after="20" w:line="200" w:lineRule="atLeast"/>
      <w:ind w:left="840" w:leftChars="400"/>
      <w:jc w:val="left"/>
    </w:pPr>
    <w:rPr>
      <w:rFonts w:ascii="宋体"/>
      <w:b/>
      <w:sz w:val="24"/>
      <w:szCs w:val="20"/>
      <w:u w:val="single"/>
    </w:rPr>
  </w:style>
  <w:style w:type="paragraph" w:customStyle="1" w:styleId="1682">
    <w:name w:val="正文样式1"/>
    <w:basedOn w:val="1"/>
    <w:qFormat/>
    <w:uiPriority w:val="0"/>
    <w:pPr>
      <w:adjustRightInd w:val="0"/>
      <w:spacing w:line="360" w:lineRule="auto"/>
      <w:ind w:firstLine="360" w:firstLineChars="150"/>
    </w:pPr>
    <w:rPr>
      <w:rFonts w:ascii="宋体" w:hAnsi="宋体"/>
      <w:color w:val="FF0000"/>
      <w:kern w:val="0"/>
      <w:sz w:val="24"/>
      <w:szCs w:val="20"/>
    </w:rPr>
  </w:style>
  <w:style w:type="paragraph" w:customStyle="1" w:styleId="1683">
    <w:name w:val="Indent1"/>
    <w:basedOn w:val="1"/>
    <w:qFormat/>
    <w:uiPriority w:val="0"/>
    <w:pPr>
      <w:overflowPunct w:val="0"/>
      <w:autoSpaceDE w:val="0"/>
      <w:autoSpaceDN w:val="0"/>
      <w:adjustRightInd w:val="0"/>
      <w:ind w:left="1440" w:hanging="720"/>
      <w:jc w:val="left"/>
    </w:pPr>
    <w:rPr>
      <w:rFonts w:ascii="Arial" w:hAnsi="Arial"/>
      <w:kern w:val="0"/>
      <w:sz w:val="22"/>
      <w:szCs w:val="20"/>
    </w:rPr>
  </w:style>
  <w:style w:type="paragraph" w:customStyle="1" w:styleId="1684">
    <w:name w:val="Document Map1"/>
    <w:basedOn w:val="1"/>
    <w:qFormat/>
    <w:uiPriority w:val="0"/>
    <w:pPr>
      <w:shd w:val="clear" w:color="auto" w:fill="000080"/>
      <w:adjustRightInd w:val="0"/>
    </w:pPr>
    <w:rPr>
      <w:rFonts w:ascii="宋体"/>
      <w:kern w:val="0"/>
      <w:szCs w:val="20"/>
    </w:rPr>
  </w:style>
  <w:style w:type="paragraph" w:customStyle="1" w:styleId="1685">
    <w:name w:val="文章附标题"/>
    <w:basedOn w:val="1"/>
    <w:next w:val="922"/>
    <w:qFormat/>
    <w:uiPriority w:val="0"/>
    <w:pPr>
      <w:widowControl/>
      <w:spacing w:before="187" w:after="175" w:line="374" w:lineRule="atLeast"/>
      <w:jc w:val="center"/>
    </w:pPr>
    <w:rPr>
      <w:color w:val="000000"/>
      <w:kern w:val="0"/>
      <w:sz w:val="36"/>
      <w:szCs w:val="20"/>
    </w:rPr>
  </w:style>
  <w:style w:type="paragraph" w:customStyle="1" w:styleId="1686">
    <w:name w:val="表格01"/>
    <w:basedOn w:val="1"/>
    <w:qFormat/>
    <w:uiPriority w:val="0"/>
    <w:pPr>
      <w:spacing w:before="100" w:line="240" w:lineRule="atLeast"/>
    </w:pPr>
    <w:rPr>
      <w:sz w:val="24"/>
      <w:szCs w:val="20"/>
    </w:rPr>
  </w:style>
  <w:style w:type="paragraph" w:customStyle="1" w:styleId="1687">
    <w:name w:val="姜文清定义的四级标题"/>
    <w:basedOn w:val="41"/>
    <w:qFormat/>
    <w:uiPriority w:val="0"/>
    <w:pPr>
      <w:adjustRightInd w:val="0"/>
      <w:spacing w:before="60" w:after="60" w:line="440" w:lineRule="atLeast"/>
      <w:ind w:firstLine="510"/>
    </w:pPr>
    <w:rPr>
      <w:rFonts w:hint="eastAsia" w:ascii="Times New Roman" w:hAnsi="Times New Roman" w:eastAsia="黑体" w:cs="Times New Roman"/>
      <w:kern w:val="0"/>
      <w:sz w:val="24"/>
      <w:szCs w:val="20"/>
    </w:rPr>
  </w:style>
  <w:style w:type="paragraph" w:customStyle="1" w:styleId="1688">
    <w:name w:val="表头1"/>
    <w:basedOn w:val="41"/>
    <w:qFormat/>
    <w:uiPriority w:val="0"/>
    <w:pPr>
      <w:spacing w:before="120" w:after="120" w:line="360" w:lineRule="atLeast"/>
      <w:ind w:firstLine="482"/>
      <w:jc w:val="center"/>
    </w:pPr>
    <w:rPr>
      <w:rFonts w:hint="eastAsia" w:ascii="Times New Roman" w:hAnsi="Times New Roman" w:cs="Times New Roman"/>
      <w:b/>
      <w:kern w:val="0"/>
      <w:sz w:val="24"/>
      <w:szCs w:val="20"/>
    </w:rPr>
  </w:style>
  <w:style w:type="paragraph" w:customStyle="1" w:styleId="1689">
    <w:name w:val="很复杂的表"/>
    <w:basedOn w:val="1"/>
    <w:qFormat/>
    <w:uiPriority w:val="0"/>
    <w:pPr>
      <w:spacing w:line="340" w:lineRule="atLeast"/>
      <w:jc w:val="center"/>
    </w:pPr>
    <w:rPr>
      <w:sz w:val="18"/>
      <w:szCs w:val="24"/>
    </w:rPr>
  </w:style>
  <w:style w:type="paragraph" w:customStyle="1" w:styleId="1690">
    <w:name w:val="表格头1"/>
    <w:basedOn w:val="1"/>
    <w:qFormat/>
    <w:uiPriority w:val="0"/>
    <w:pPr>
      <w:adjustRightInd w:val="0"/>
      <w:spacing w:before="240" w:line="360" w:lineRule="auto"/>
      <w:jc w:val="center"/>
    </w:pPr>
    <w:rPr>
      <w:rFonts w:ascii="黑体" w:eastAsia="黑体"/>
      <w:b/>
      <w:kern w:val="0"/>
      <w:sz w:val="24"/>
      <w:szCs w:val="20"/>
    </w:rPr>
  </w:style>
  <w:style w:type="paragraph" w:customStyle="1" w:styleId="1691">
    <w:name w:val="样式 标题 2H2título 2h2RN chapter段标题4节标题 1.1b2Chapter Title..."/>
    <w:next w:val="1667"/>
    <w:semiHidden/>
    <w:qFormat/>
    <w:uiPriority w:val="0"/>
    <w:rPr>
      <w:rFonts w:ascii="Arial" w:hAnsi="Arial" w:eastAsia="黑体" w:cs="Times New Roman"/>
      <w:kern w:val="2"/>
      <w:sz w:val="30"/>
      <w:szCs w:val="32"/>
      <w:lang w:val="en-US" w:eastAsia="zh-CN" w:bidi="ar-SA"/>
    </w:rPr>
  </w:style>
  <w:style w:type="paragraph" w:customStyle="1" w:styleId="1692">
    <w:name w:val="k 样式1"/>
    <w:basedOn w:val="1"/>
    <w:qFormat/>
    <w:uiPriority w:val="0"/>
    <w:pPr>
      <w:adjustRightInd w:val="0"/>
      <w:spacing w:line="360" w:lineRule="atLeast"/>
      <w:jc w:val="left"/>
    </w:pPr>
    <w:rPr>
      <w:kern w:val="0"/>
      <w:sz w:val="24"/>
      <w:szCs w:val="20"/>
    </w:rPr>
  </w:style>
  <w:style w:type="paragraph" w:customStyle="1" w:styleId="1693">
    <w:name w:val="公式1"/>
    <w:basedOn w:val="1"/>
    <w:qFormat/>
    <w:uiPriority w:val="0"/>
    <w:pPr>
      <w:spacing w:line="400" w:lineRule="atLeast"/>
      <w:ind w:firstLine="480" w:firstLineChars="200"/>
    </w:pPr>
    <w:rPr>
      <w:rFonts w:ascii="Century Gothic" w:hAnsi="Century Gothic"/>
      <w:sz w:val="24"/>
      <w:szCs w:val="24"/>
    </w:rPr>
  </w:style>
  <w:style w:type="paragraph" w:customStyle="1" w:styleId="1694">
    <w:name w:val="tab1"/>
    <w:basedOn w:val="1"/>
    <w:qFormat/>
    <w:uiPriority w:val="0"/>
    <w:pPr>
      <w:spacing w:line="400" w:lineRule="atLeast"/>
      <w:jc w:val="center"/>
    </w:pPr>
    <w:rPr>
      <w:sz w:val="24"/>
      <w:szCs w:val="24"/>
    </w:rPr>
  </w:style>
  <w:style w:type="paragraph" w:customStyle="1" w:styleId="1695">
    <w:name w:val="c"/>
    <w:qFormat/>
    <w:uiPriority w:val="0"/>
    <w:pPr>
      <w:widowControl w:val="0"/>
      <w:autoSpaceDE w:val="0"/>
      <w:autoSpaceDN w:val="0"/>
      <w:adjustRightInd w:val="0"/>
      <w:jc w:val="both"/>
    </w:pPr>
    <w:rPr>
      <w:rFonts w:ascii="Arial" w:hAnsi="Arial" w:eastAsia="宋体" w:cs="Times New Roman"/>
      <w:sz w:val="21"/>
      <w:szCs w:val="24"/>
      <w:lang w:val="en-US" w:eastAsia="zh-CN" w:bidi="ar-SA"/>
    </w:rPr>
  </w:style>
  <w:style w:type="paragraph" w:customStyle="1" w:styleId="1696">
    <w:name w:val="Paratitre"/>
    <w:basedOn w:val="1"/>
    <w:qFormat/>
    <w:uiPriority w:val="0"/>
    <w:pPr>
      <w:widowControl/>
      <w:spacing w:before="120"/>
      <w:ind w:left="851"/>
    </w:pPr>
    <w:rPr>
      <w:rFonts w:ascii="Arial" w:hAnsi="Arial"/>
      <w:kern w:val="0"/>
      <w:sz w:val="20"/>
      <w:szCs w:val="20"/>
    </w:rPr>
  </w:style>
  <w:style w:type="paragraph" w:customStyle="1" w:styleId="1697">
    <w:name w:val="正文 t"/>
    <w:basedOn w:val="1"/>
    <w:qFormat/>
    <w:uiPriority w:val="0"/>
    <w:pPr>
      <w:spacing w:before="120" w:after="120" w:line="240" w:lineRule="atLeast"/>
    </w:pPr>
    <w:rPr>
      <w:rFonts w:ascii="Arial" w:hAnsi="Arial"/>
      <w:sz w:val="24"/>
      <w:szCs w:val="20"/>
    </w:rPr>
  </w:style>
  <w:style w:type="paragraph" w:customStyle="1" w:styleId="1698">
    <w:name w:val="font9_blackc"/>
    <w:basedOn w:val="1"/>
    <w:qFormat/>
    <w:uiPriority w:val="0"/>
    <w:pPr>
      <w:widowControl/>
      <w:spacing w:before="100" w:beforeAutospacing="1" w:after="100" w:afterAutospacing="1" w:line="255" w:lineRule="atLeast"/>
      <w:jc w:val="left"/>
    </w:pPr>
    <w:rPr>
      <w:rFonts w:ascii="宋体" w:hAnsi="宋体" w:cs="宋体"/>
      <w:color w:val="111111"/>
      <w:kern w:val="0"/>
      <w:sz w:val="18"/>
      <w:szCs w:val="18"/>
    </w:rPr>
  </w:style>
  <w:style w:type="paragraph" w:customStyle="1" w:styleId="1699">
    <w:name w:val="l-正文"/>
    <w:qFormat/>
    <w:uiPriority w:val="0"/>
    <w:pPr>
      <w:spacing w:before="100" w:after="100" w:line="360" w:lineRule="auto"/>
      <w:ind w:firstLine="567"/>
    </w:pPr>
    <w:rPr>
      <w:rFonts w:ascii="宋体" w:hAnsi="宋体" w:eastAsia="宋体" w:cs="Times New Roman"/>
      <w:kern w:val="2"/>
      <w:sz w:val="28"/>
      <w:lang w:val="en-US" w:eastAsia="zh-CN" w:bidi="ar-SA"/>
    </w:rPr>
  </w:style>
  <w:style w:type="paragraph" w:customStyle="1" w:styleId="1700">
    <w:name w:val="1 字元 Char Char 字元"/>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701">
    <w:name w:val="五级条标题"/>
    <w:basedOn w:val="1500"/>
    <w:next w:val="1"/>
    <w:qFormat/>
    <w:uiPriority w:val="0"/>
    <w:pPr>
      <w:tabs>
        <w:tab w:val="clear" w:pos="1680"/>
        <w:tab w:val="clear" w:pos="2100"/>
        <w:tab w:val="clear" w:pos="2240"/>
        <w:tab w:val="clear" w:pos="2660"/>
        <w:tab w:val="clear" w:pos="3080"/>
      </w:tabs>
      <w:ind w:left="0" w:firstLine="0"/>
      <w:jc w:val="both"/>
      <w:outlineLvl w:val="6"/>
    </w:pPr>
    <w:rPr>
      <w:rFonts w:ascii="黑体"/>
    </w:rPr>
  </w:style>
  <w:style w:type="paragraph" w:customStyle="1" w:styleId="1702">
    <w:name w:val="样式 宋体 左侧:  0 厘米 悬挂缩进: 3 字符"/>
    <w:basedOn w:val="1"/>
    <w:qFormat/>
    <w:uiPriority w:val="0"/>
    <w:pPr>
      <w:spacing w:line="360" w:lineRule="auto"/>
      <w:ind w:left="720" w:hanging="720" w:hangingChars="300"/>
    </w:pPr>
    <w:rPr>
      <w:rFonts w:ascii="宋体" w:hAnsi="宋体" w:cs="宋体"/>
      <w:sz w:val="28"/>
      <w:szCs w:val="20"/>
    </w:rPr>
  </w:style>
  <w:style w:type="paragraph" w:customStyle="1" w:styleId="1703">
    <w:name w:val="4 字元"/>
    <w:basedOn w:val="1"/>
    <w:qFormat/>
    <w:uiPriority w:val="0"/>
    <w:pPr>
      <w:adjustRightInd w:val="0"/>
      <w:spacing w:line="360" w:lineRule="atLeast"/>
    </w:pPr>
    <w:rPr>
      <w:szCs w:val="24"/>
    </w:rPr>
  </w:style>
  <w:style w:type="paragraph" w:customStyle="1" w:styleId="1704">
    <w:name w:val="edri-title first"/>
    <w:basedOn w:val="1"/>
    <w:qFormat/>
    <w:uiPriority w:val="0"/>
    <w:pPr>
      <w:tabs>
        <w:tab w:val="left" w:pos="2"/>
        <w:tab w:val="left" w:pos="945"/>
      </w:tabs>
      <w:spacing w:beforeLines="50" w:line="300" w:lineRule="auto"/>
      <w:ind w:left="1932" w:hanging="964"/>
      <w:outlineLvl w:val="0"/>
    </w:pPr>
    <w:rPr>
      <w:rFonts w:ascii="Arial Narrow" w:hAnsi="Arial Narrow" w:cs="CommercialPi BT"/>
      <w:b/>
      <w:bCs/>
      <w:kern w:val="0"/>
      <w:sz w:val="30"/>
      <w:szCs w:val="20"/>
    </w:rPr>
  </w:style>
  <w:style w:type="paragraph" w:customStyle="1" w:styleId="1705">
    <w:name w:val="edri-title secong"/>
    <w:basedOn w:val="1"/>
    <w:qFormat/>
    <w:uiPriority w:val="0"/>
    <w:pPr>
      <w:tabs>
        <w:tab w:val="left" w:pos="2"/>
        <w:tab w:val="left" w:pos="945"/>
      </w:tabs>
      <w:spacing w:beforeLines="50" w:line="300" w:lineRule="auto"/>
      <w:ind w:left="1932" w:hanging="964"/>
      <w:outlineLvl w:val="1"/>
    </w:pPr>
    <w:rPr>
      <w:rFonts w:ascii="Arial Narrow" w:hAnsi="Arial Narrow" w:cs="CommercialPi BT"/>
      <w:b/>
      <w:bCs/>
      <w:kern w:val="0"/>
      <w:sz w:val="28"/>
      <w:szCs w:val="20"/>
    </w:rPr>
  </w:style>
  <w:style w:type="paragraph" w:customStyle="1" w:styleId="1706">
    <w:name w:val="edri-title third Char1"/>
    <w:basedOn w:val="1"/>
    <w:qFormat/>
    <w:uiPriority w:val="0"/>
    <w:pPr>
      <w:tabs>
        <w:tab w:val="left" w:pos="0"/>
        <w:tab w:val="left" w:pos="945"/>
      </w:tabs>
      <w:spacing w:beforeLines="50" w:line="300" w:lineRule="auto"/>
      <w:ind w:left="1928" w:hanging="964"/>
      <w:outlineLvl w:val="2"/>
    </w:pPr>
    <w:rPr>
      <w:rFonts w:cs="CommercialPi BT"/>
      <w:bCs/>
      <w:kern w:val="0"/>
      <w:sz w:val="24"/>
      <w:szCs w:val="24"/>
    </w:rPr>
  </w:style>
  <w:style w:type="paragraph" w:customStyle="1" w:styleId="1707">
    <w:name w:val="edri-A title Char1"/>
    <w:basedOn w:val="1706"/>
    <w:next w:val="1706"/>
    <w:qFormat/>
    <w:uiPriority w:val="0"/>
    <w:pPr>
      <w:tabs>
        <w:tab w:val="left" w:pos="1139"/>
        <w:tab w:val="clear" w:pos="0"/>
        <w:tab w:val="clear" w:pos="945"/>
      </w:tabs>
      <w:ind w:left="2278" w:hanging="419"/>
      <w:outlineLvl w:val="3"/>
    </w:pPr>
  </w:style>
  <w:style w:type="paragraph" w:customStyle="1" w:styleId="1708">
    <w:name w:val="字元"/>
    <w:basedOn w:val="1"/>
    <w:qFormat/>
    <w:uiPriority w:val="0"/>
    <w:pPr>
      <w:adjustRightInd w:val="0"/>
      <w:spacing w:line="360" w:lineRule="atLeast"/>
    </w:pPr>
    <w:rPr>
      <w:szCs w:val="24"/>
    </w:rPr>
  </w:style>
  <w:style w:type="paragraph" w:customStyle="1" w:styleId="1709">
    <w:name w:val="样式 首行缩进:  2.5 字符"/>
    <w:basedOn w:val="74"/>
    <w:qFormat/>
    <w:uiPriority w:val="0"/>
    <w:pPr>
      <w:spacing w:line="360" w:lineRule="auto"/>
      <w:ind w:firstLine="200" w:firstLineChars="200"/>
    </w:pPr>
    <w:rPr>
      <w:rFonts w:hint="eastAsia" w:ascii="宋体" w:hAnsi="宋体" w:cs="宋体"/>
      <w:sz w:val="24"/>
      <w:szCs w:val="20"/>
    </w:rPr>
  </w:style>
  <w:style w:type="paragraph" w:customStyle="1" w:styleId="1710">
    <w:name w:val="样式 首行缩进:  1.92 字符"/>
    <w:basedOn w:val="1"/>
    <w:qFormat/>
    <w:uiPriority w:val="0"/>
    <w:pPr>
      <w:spacing w:line="360" w:lineRule="auto"/>
      <w:ind w:left="11" w:firstLine="540" w:firstLineChars="225"/>
    </w:pPr>
    <w:rPr>
      <w:rFonts w:ascii="仿宋_GB2312" w:hAnsi="华文楷体" w:eastAsia="仿宋_GB2312" w:cs="宋体"/>
      <w:sz w:val="24"/>
      <w:szCs w:val="20"/>
    </w:rPr>
  </w:style>
  <w:style w:type="paragraph" w:customStyle="1" w:styleId="1711">
    <w:name w:val="样式 样式 样式 报告 + 首行缩进:  0.58 字符 Char + 黑色 首行缩进:  2 字符 段前: 0.1 行 段后:...1"/>
    <w:basedOn w:val="1"/>
    <w:qFormat/>
    <w:uiPriority w:val="0"/>
    <w:pPr>
      <w:overflowPunct w:val="0"/>
      <w:autoSpaceDE w:val="0"/>
      <w:autoSpaceDN w:val="0"/>
      <w:adjustRightInd w:val="0"/>
      <w:spacing w:line="360" w:lineRule="auto"/>
      <w:ind w:firstLine="540" w:firstLineChars="225"/>
      <w:jc w:val="left"/>
    </w:pPr>
    <w:rPr>
      <w:rFonts w:ascii="宋体" w:hAnsi="宋体" w:cs="Arial"/>
      <w:color w:val="000000"/>
      <w:kern w:val="0"/>
      <w:sz w:val="24"/>
      <w:szCs w:val="24"/>
    </w:rPr>
  </w:style>
  <w:style w:type="paragraph" w:customStyle="1" w:styleId="1712">
    <w:name w:val="注释"/>
    <w:basedOn w:val="1"/>
    <w:qFormat/>
    <w:uiPriority w:val="0"/>
    <w:pPr>
      <w:spacing w:before="60" w:after="60"/>
      <w:ind w:left="567" w:firstLine="425"/>
    </w:pPr>
    <w:rPr>
      <w:rFonts w:ascii="宋体"/>
      <w:szCs w:val="20"/>
    </w:rPr>
  </w:style>
  <w:style w:type="paragraph" w:customStyle="1" w:styleId="1713">
    <w:name w:val="样式 报告 + 首行缩进:  2 字符 段前: 0.3 行 段后: 0.3 行3"/>
    <w:basedOn w:val="605"/>
    <w:qFormat/>
    <w:uiPriority w:val="0"/>
    <w:pPr>
      <w:tabs>
        <w:tab w:val="clear" w:pos="1701"/>
      </w:tabs>
      <w:autoSpaceDE/>
      <w:autoSpaceDN/>
      <w:adjustRightInd/>
      <w:spacing w:beforeLines="30" w:line="400" w:lineRule="atLeast"/>
      <w:ind w:firstLine="0"/>
      <w:jc w:val="both"/>
    </w:pPr>
    <w:rPr>
      <w:b/>
      <w:bCs/>
      <w:kern w:val="2"/>
      <w:szCs w:val="24"/>
      <w:u w:val="single" w:color="000000"/>
    </w:rPr>
  </w:style>
  <w:style w:type="paragraph" w:customStyle="1" w:styleId="1714">
    <w:name w:val="样式 纯文本表内文字 + 楷体_GB2312 左"/>
    <w:basedOn w:val="1"/>
    <w:semiHidden/>
    <w:qFormat/>
    <w:uiPriority w:val="0"/>
    <w:pPr>
      <w:tabs>
        <w:tab w:val="left" w:pos="1350"/>
      </w:tabs>
      <w:autoSpaceDE w:val="0"/>
      <w:autoSpaceDN w:val="0"/>
      <w:adjustRightInd w:val="0"/>
      <w:snapToGrid w:val="0"/>
      <w:spacing w:line="320" w:lineRule="exact"/>
      <w:jc w:val="left"/>
    </w:pPr>
    <w:rPr>
      <w:rFonts w:ascii="Arial" w:hAnsi="Arial" w:eastAsia="楷体_GB2312" w:cs="宋体"/>
      <w:szCs w:val="21"/>
    </w:rPr>
  </w:style>
  <w:style w:type="paragraph" w:customStyle="1" w:styleId="1715">
    <w:name w:val="表格正文 Char"/>
    <w:basedOn w:val="1"/>
    <w:next w:val="1"/>
    <w:semiHidden/>
    <w:qFormat/>
    <w:uiPriority w:val="0"/>
    <w:pPr>
      <w:adjustRightInd w:val="0"/>
      <w:snapToGrid w:val="0"/>
      <w:ind w:firstLine="476"/>
      <w:jc w:val="center"/>
    </w:pPr>
    <w:rPr>
      <w:rFonts w:ascii="宋体"/>
      <w:spacing w:val="4"/>
      <w:w w:val="90"/>
      <w:kern w:val="0"/>
      <w:sz w:val="24"/>
      <w:szCs w:val="24"/>
    </w:rPr>
  </w:style>
  <w:style w:type="paragraph" w:customStyle="1" w:styleId="1716">
    <w:name w:val="样式 正文文本缩进 2正文文本缩进 2 Char Char Char Char正文文本缩进 2 Char Char + 黑色"/>
    <w:basedOn w:val="1"/>
    <w:semiHidden/>
    <w:qFormat/>
    <w:uiPriority w:val="0"/>
    <w:pPr>
      <w:adjustRightInd w:val="0"/>
      <w:spacing w:line="280" w:lineRule="exact"/>
      <w:jc w:val="center"/>
    </w:pPr>
    <w:rPr>
      <w:color w:val="000000"/>
      <w:kern w:val="0"/>
      <w:szCs w:val="20"/>
    </w:rPr>
  </w:style>
  <w:style w:type="paragraph" w:customStyle="1" w:styleId="1717">
    <w:name w:val="退格正文"/>
    <w:basedOn w:val="1"/>
    <w:semiHidden/>
    <w:qFormat/>
    <w:uiPriority w:val="0"/>
    <w:pPr>
      <w:spacing w:line="360" w:lineRule="auto"/>
      <w:ind w:firstLine="538" w:firstLineChars="192"/>
    </w:pPr>
    <w:rPr>
      <w:sz w:val="28"/>
      <w:szCs w:val="24"/>
    </w:rPr>
  </w:style>
  <w:style w:type="paragraph" w:customStyle="1" w:styleId="1718">
    <w:name w:val="样式 标题 4标题4款标题款标题1.1.1.1PIM 4H4h4blbbTitre44th levelse...1"/>
    <w:basedOn w:val="6"/>
    <w:semiHidden/>
    <w:qFormat/>
    <w:uiPriority w:val="0"/>
    <w:pPr>
      <w:widowControl/>
      <w:snapToGrid w:val="0"/>
      <w:spacing w:beforeLines="50" w:afterLines="50" w:line="240" w:lineRule="auto"/>
      <w:jc w:val="left"/>
    </w:pPr>
    <w:rPr>
      <w:rFonts w:eastAsia="黑体"/>
      <w:sz w:val="24"/>
      <w:szCs w:val="24"/>
      <w:lang w:val="zh-CN"/>
    </w:rPr>
  </w:style>
  <w:style w:type="paragraph" w:customStyle="1" w:styleId="1719">
    <w:name w:val="样式 标题 4标题4款标题款标题1.1.1.1PIM 4H4h4blbbTitre44th levelse...2"/>
    <w:basedOn w:val="6"/>
    <w:semiHidden/>
    <w:qFormat/>
    <w:uiPriority w:val="0"/>
    <w:pPr>
      <w:widowControl/>
      <w:snapToGrid w:val="0"/>
      <w:spacing w:beforeLines="50" w:afterLines="50" w:line="240" w:lineRule="auto"/>
      <w:jc w:val="left"/>
    </w:pPr>
    <w:rPr>
      <w:rFonts w:eastAsia="黑体"/>
      <w:sz w:val="24"/>
      <w:szCs w:val="24"/>
      <w:lang w:val="zh-CN"/>
    </w:rPr>
  </w:style>
  <w:style w:type="paragraph" w:customStyle="1" w:styleId="1720">
    <w:name w:val="样式 标题 4标题4款标题款标题1.1.1.1PIM 4H4h4blbbTitre44th levelse...3"/>
    <w:basedOn w:val="6"/>
    <w:semiHidden/>
    <w:qFormat/>
    <w:uiPriority w:val="0"/>
    <w:pPr>
      <w:widowControl/>
      <w:snapToGrid w:val="0"/>
      <w:spacing w:beforeLines="50" w:afterLines="50" w:line="240" w:lineRule="auto"/>
      <w:jc w:val="left"/>
    </w:pPr>
    <w:rPr>
      <w:rFonts w:eastAsia="黑体"/>
      <w:bCs/>
      <w:sz w:val="24"/>
      <w:szCs w:val="24"/>
      <w:lang w:val="zh-CN"/>
    </w:rPr>
  </w:style>
  <w:style w:type="paragraph" w:customStyle="1" w:styleId="1721">
    <w:name w:val="正文 Char Char"/>
    <w:basedOn w:val="1"/>
    <w:next w:val="1"/>
    <w:semiHidden/>
    <w:qFormat/>
    <w:uiPriority w:val="0"/>
    <w:pPr>
      <w:adjustRightInd w:val="0"/>
      <w:snapToGrid w:val="0"/>
      <w:spacing w:line="360" w:lineRule="auto"/>
      <w:ind w:firstLine="482"/>
      <w:jc w:val="left"/>
    </w:pPr>
    <w:rPr>
      <w:rFonts w:ascii="宋体"/>
      <w:spacing w:val="4"/>
      <w:kern w:val="21"/>
      <w:sz w:val="24"/>
      <w:szCs w:val="24"/>
    </w:rPr>
  </w:style>
  <w:style w:type="paragraph" w:customStyle="1" w:styleId="1722">
    <w:name w:val="样式 四号 黑色 行距: 1.5 倍行距 首行缩进:  2 字符"/>
    <w:basedOn w:val="1"/>
    <w:qFormat/>
    <w:uiPriority w:val="0"/>
    <w:pPr>
      <w:spacing w:line="360" w:lineRule="auto"/>
      <w:ind w:firstLine="560" w:firstLineChars="200"/>
    </w:pPr>
    <w:rPr>
      <w:rFonts w:eastAsia="仿宋_GB2312" w:cs="宋体"/>
      <w:color w:val="000000"/>
      <w:sz w:val="28"/>
      <w:szCs w:val="20"/>
    </w:rPr>
  </w:style>
  <w:style w:type="paragraph" w:customStyle="1" w:styleId="1723">
    <w:name w:val="样式 标题 2标题 2 Char + 红色"/>
    <w:basedOn w:val="4"/>
    <w:qFormat/>
    <w:uiPriority w:val="0"/>
    <w:pPr>
      <w:spacing w:beforeLines="50" w:line="400" w:lineRule="exact"/>
    </w:pPr>
    <w:rPr>
      <w:rFonts w:ascii="宋体" w:hAnsi="宋体"/>
      <w:color w:val="000000"/>
      <w:szCs w:val="24"/>
    </w:rPr>
  </w:style>
  <w:style w:type="paragraph" w:customStyle="1" w:styleId="1724">
    <w:name w:val="表内式样"/>
    <w:qFormat/>
    <w:uiPriority w:val="0"/>
    <w:pPr>
      <w:widowControl w:val="0"/>
      <w:kinsoku w:val="0"/>
      <w:overflowPunct w:val="0"/>
      <w:adjustRightInd w:val="0"/>
      <w:snapToGrid w:val="0"/>
      <w:spacing w:line="320" w:lineRule="exact"/>
      <w:jc w:val="both"/>
    </w:pPr>
    <w:rPr>
      <w:rFonts w:ascii="宋体" w:hAnsi="宋体" w:eastAsia="仿宋_GB2312" w:cs="Times New Roman"/>
      <w:color w:val="000000"/>
      <w:kern w:val="21"/>
      <w:sz w:val="21"/>
      <w:szCs w:val="21"/>
      <w:lang w:val="en-US" w:eastAsia="zh-CN" w:bidi="ar-SA"/>
    </w:rPr>
  </w:style>
  <w:style w:type="paragraph" w:customStyle="1" w:styleId="1725">
    <w:name w:val="样式 报告 + 首行缩进:  2 字符 段前: 0.5 行 段后: 7.8 磅"/>
    <w:basedOn w:val="1"/>
    <w:qFormat/>
    <w:uiPriority w:val="0"/>
    <w:pPr>
      <w:widowControl/>
      <w:spacing w:beforeLines="50" w:after="156" w:line="460" w:lineRule="atLeast"/>
      <w:ind w:firstLine="480" w:firstLineChars="200"/>
    </w:pPr>
    <w:rPr>
      <w:rFonts w:cs="宋体"/>
      <w:kern w:val="0"/>
      <w:sz w:val="24"/>
      <w:szCs w:val="20"/>
    </w:rPr>
  </w:style>
  <w:style w:type="paragraph" w:customStyle="1" w:styleId="1726">
    <w:name w:val="样式 Arial 小四"/>
    <w:basedOn w:val="1"/>
    <w:qFormat/>
    <w:uiPriority w:val="0"/>
    <w:pPr>
      <w:spacing w:line="400" w:lineRule="atLeast"/>
      <w:ind w:firstLine="200" w:firstLineChars="200"/>
    </w:pPr>
    <w:rPr>
      <w:rFonts w:ascii="Arial" w:cs="宋体"/>
      <w:sz w:val="24"/>
      <w:szCs w:val="20"/>
    </w:rPr>
  </w:style>
  <w:style w:type="paragraph" w:customStyle="1" w:styleId="1727">
    <w:name w:val="正文英"/>
    <w:basedOn w:val="1"/>
    <w:qFormat/>
    <w:uiPriority w:val="0"/>
    <w:pPr>
      <w:autoSpaceDE w:val="0"/>
      <w:autoSpaceDN w:val="0"/>
      <w:adjustRightInd w:val="0"/>
      <w:spacing w:line="300" w:lineRule="auto"/>
    </w:pPr>
    <w:rPr>
      <w:kern w:val="0"/>
      <w:sz w:val="28"/>
      <w:szCs w:val="20"/>
    </w:rPr>
  </w:style>
  <w:style w:type="paragraph" w:customStyle="1" w:styleId="1728">
    <w:name w:val="05"/>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1729">
    <w:name w:val="hao01-0"/>
    <w:qFormat/>
    <w:uiPriority w:val="0"/>
    <w:pPr>
      <w:ind w:firstLine="200" w:firstLineChars="200"/>
    </w:pPr>
    <w:rPr>
      <w:rFonts w:ascii="Times New Roman" w:hAnsi="Times New Roman" w:eastAsia="宋体" w:cs="Times New Roman"/>
      <w:kern w:val="2"/>
      <w:sz w:val="24"/>
      <w:lang w:val="en-US" w:eastAsia="zh-CN" w:bidi="ar-SA"/>
    </w:rPr>
  </w:style>
  <w:style w:type="paragraph" w:customStyle="1" w:styleId="1730">
    <w:name w:val="公标题2"/>
    <w:basedOn w:val="1"/>
    <w:qFormat/>
    <w:uiPriority w:val="0"/>
    <w:pPr>
      <w:adjustRightInd w:val="0"/>
      <w:snapToGrid w:val="0"/>
      <w:spacing w:beforeLines="50" w:line="352" w:lineRule="auto"/>
      <w:ind w:firstLine="200" w:firstLineChars="200"/>
      <w:outlineLvl w:val="1"/>
    </w:pPr>
    <w:rPr>
      <w:rFonts w:ascii="黑体" w:hAnsi="宋体" w:eastAsia="黑体"/>
      <w:sz w:val="32"/>
      <w:szCs w:val="28"/>
    </w:rPr>
  </w:style>
  <w:style w:type="paragraph" w:customStyle="1" w:styleId="1731">
    <w:name w:val="样式 样式 宋体 小四 黑色 行距: 1.5 倍行距 + 首行缩进:  0.95 厘米"/>
    <w:basedOn w:val="1"/>
    <w:qFormat/>
    <w:uiPriority w:val="0"/>
    <w:pPr>
      <w:adjustRightInd w:val="0"/>
      <w:spacing w:line="360" w:lineRule="auto"/>
      <w:ind w:firstLine="540"/>
    </w:pPr>
    <w:rPr>
      <w:rFonts w:ascii="宋体" w:hAnsi="宋体" w:cs="宋体"/>
      <w:color w:val="000000"/>
      <w:sz w:val="28"/>
      <w:szCs w:val="20"/>
    </w:rPr>
  </w:style>
  <w:style w:type="paragraph" w:customStyle="1" w:styleId="1732">
    <w:name w:val="样式 宋体 首行缩进:  0.74 厘米"/>
    <w:basedOn w:val="1"/>
    <w:qFormat/>
    <w:uiPriority w:val="0"/>
    <w:pPr>
      <w:adjustRightInd w:val="0"/>
      <w:spacing w:line="360" w:lineRule="auto"/>
      <w:ind w:firstLine="420"/>
    </w:pPr>
    <w:rPr>
      <w:rFonts w:ascii="宋体" w:hAnsi="宋体" w:cs="宋体"/>
      <w:sz w:val="24"/>
      <w:szCs w:val="20"/>
    </w:rPr>
  </w:style>
  <w:style w:type="paragraph" w:customStyle="1" w:styleId="1733">
    <w:name w:val="样式 四号 首行缩进:  0.92 厘米 行距: 固定值 26 磅"/>
    <w:basedOn w:val="1"/>
    <w:qFormat/>
    <w:uiPriority w:val="0"/>
    <w:pPr>
      <w:spacing w:line="520" w:lineRule="exact"/>
      <w:ind w:firstLine="480" w:firstLineChars="200"/>
    </w:pPr>
    <w:rPr>
      <w:color w:val="000000"/>
      <w:sz w:val="24"/>
      <w:szCs w:val="24"/>
    </w:rPr>
  </w:style>
  <w:style w:type="paragraph" w:customStyle="1" w:styleId="1734">
    <w:name w:val="样式 宋体 小四"/>
    <w:basedOn w:val="1"/>
    <w:qFormat/>
    <w:uiPriority w:val="0"/>
    <w:pPr>
      <w:ind w:firstLine="480" w:firstLineChars="200"/>
    </w:pPr>
    <w:rPr>
      <w:rFonts w:ascii="宋体" w:hAnsi="宋体" w:cs="宋体"/>
      <w:sz w:val="28"/>
      <w:szCs w:val="20"/>
    </w:rPr>
  </w:style>
  <w:style w:type="paragraph" w:customStyle="1" w:styleId="1735">
    <w:name w:val="样式 样式 样式 宋体 四号 行距: 1.5 倍行距 + 首行缩进:  2 字符 段后: 0.5 行 + 首行缩进:  2 字符2"/>
    <w:basedOn w:val="1"/>
    <w:qFormat/>
    <w:uiPriority w:val="0"/>
    <w:pPr>
      <w:snapToGrid w:val="0"/>
      <w:spacing w:line="360" w:lineRule="auto"/>
      <w:ind w:firstLine="480" w:firstLineChars="200"/>
    </w:pPr>
    <w:rPr>
      <w:rFonts w:ascii="宋体" w:hAnsi="宋体" w:cs="宋体"/>
      <w:sz w:val="26"/>
      <w:szCs w:val="20"/>
    </w:rPr>
  </w:style>
  <w:style w:type="paragraph" w:customStyle="1" w:styleId="1736">
    <w:name w:val="四级标题"/>
    <w:basedOn w:val="5"/>
    <w:qFormat/>
    <w:uiPriority w:val="0"/>
    <w:pPr>
      <w:spacing w:line="360" w:lineRule="auto"/>
      <w:ind w:left="41" w:hanging="41" w:hangingChars="17"/>
      <w:outlineLvl w:val="9"/>
    </w:pPr>
    <w:rPr>
      <w:rFonts w:eastAsia="黑体"/>
      <w:bCs/>
      <w:sz w:val="24"/>
      <w:szCs w:val="24"/>
    </w:rPr>
  </w:style>
  <w:style w:type="paragraph" w:customStyle="1" w:styleId="1737">
    <w:name w:val="样式 样式 正文 1 + 首行缩进:  2 字符 + 首行缩进:  2 字符"/>
    <w:basedOn w:val="1"/>
    <w:qFormat/>
    <w:uiPriority w:val="0"/>
    <w:pPr>
      <w:adjustRightInd w:val="0"/>
      <w:spacing w:line="540" w:lineRule="exact"/>
      <w:ind w:firstLine="200" w:firstLineChars="200"/>
    </w:pPr>
    <w:rPr>
      <w:rFonts w:cs="宋体"/>
      <w:sz w:val="28"/>
      <w:szCs w:val="20"/>
    </w:rPr>
  </w:style>
  <w:style w:type="paragraph" w:customStyle="1" w:styleId="1738">
    <w:name w:val="样式 四号 段后: 6 磅 行距: 1.5 倍行距"/>
    <w:basedOn w:val="1"/>
    <w:qFormat/>
    <w:uiPriority w:val="0"/>
    <w:pPr>
      <w:spacing w:after="120" w:line="360" w:lineRule="auto"/>
      <w:ind w:firstLine="560" w:firstLineChars="200"/>
    </w:pPr>
    <w:rPr>
      <w:rFonts w:cs="宋体"/>
      <w:sz w:val="26"/>
      <w:szCs w:val="20"/>
    </w:rPr>
  </w:style>
  <w:style w:type="paragraph" w:customStyle="1" w:styleId="1739">
    <w:name w:val="样式 文章1 + 首行缩进:  6 字符1"/>
    <w:basedOn w:val="1"/>
    <w:qFormat/>
    <w:uiPriority w:val="0"/>
    <w:pPr>
      <w:spacing w:line="600" w:lineRule="exact"/>
      <w:ind w:firstLine="200" w:firstLineChars="200"/>
    </w:pPr>
    <w:rPr>
      <w:sz w:val="28"/>
      <w:szCs w:val="20"/>
    </w:rPr>
  </w:style>
  <w:style w:type="paragraph" w:customStyle="1" w:styleId="1740">
    <w:name w:val="Char Char Char Char Char Char Char Char Char Char Char Char"/>
    <w:basedOn w:val="1"/>
    <w:qFormat/>
    <w:uiPriority w:val="0"/>
    <w:pPr>
      <w:adjustRightInd w:val="0"/>
      <w:spacing w:line="360" w:lineRule="auto"/>
    </w:pPr>
    <w:rPr>
      <w:kern w:val="0"/>
      <w:sz w:val="24"/>
      <w:szCs w:val="20"/>
    </w:rPr>
  </w:style>
  <w:style w:type="paragraph" w:customStyle="1" w:styleId="1741">
    <w:name w:val="样式 标题 1 + Times New Roman 加粗"/>
    <w:basedOn w:val="3"/>
    <w:qFormat/>
    <w:uiPriority w:val="0"/>
    <w:pPr>
      <w:pageBreakBefore/>
      <w:suppressLineNumbers/>
      <w:spacing w:beforeLines="50" w:afterLines="50" w:line="240" w:lineRule="auto"/>
      <w:ind w:left="-76" w:hanging="284"/>
      <w:jc w:val="left"/>
    </w:pPr>
    <w:rPr>
      <w:rFonts w:ascii="黑体" w:eastAsia="黑体"/>
      <w:sz w:val="30"/>
    </w:rPr>
  </w:style>
  <w:style w:type="paragraph" w:customStyle="1" w:styleId="1742">
    <w:name w:val="样式 (中文) 仿宋_GB2312 小四 行距: 1.5 倍行距1"/>
    <w:basedOn w:val="1"/>
    <w:qFormat/>
    <w:uiPriority w:val="0"/>
    <w:pPr>
      <w:spacing w:line="360" w:lineRule="auto"/>
      <w:ind w:firstLine="480" w:firstLineChars="200"/>
      <w:jc w:val="left"/>
    </w:pPr>
    <w:rPr>
      <w:rFonts w:ascii="仿宋_GB2312" w:eastAsia="仿宋_GB2312" w:cs="宋体"/>
      <w:sz w:val="24"/>
      <w:szCs w:val="24"/>
    </w:rPr>
  </w:style>
  <w:style w:type="paragraph" w:customStyle="1" w:styleId="1743">
    <w:name w:val="样式 (中文) 仿宋_GB2312 居中1"/>
    <w:basedOn w:val="1"/>
    <w:qFormat/>
    <w:uiPriority w:val="0"/>
    <w:pPr>
      <w:jc w:val="center"/>
    </w:pPr>
    <w:rPr>
      <w:rFonts w:eastAsia="仿宋_GB2312" w:cs="宋体"/>
      <w:sz w:val="28"/>
      <w:szCs w:val="20"/>
    </w:rPr>
  </w:style>
  <w:style w:type="paragraph" w:customStyle="1" w:styleId="1744">
    <w:name w:val="样式 样式 (中文) 仿宋_GB2312 居中1 + 小四"/>
    <w:basedOn w:val="1743"/>
    <w:qFormat/>
    <w:uiPriority w:val="0"/>
    <w:rPr>
      <w:rFonts w:ascii="宋体" w:hAnsi="宋体" w:eastAsia="宋体"/>
      <w:sz w:val="21"/>
      <w:szCs w:val="21"/>
    </w:rPr>
  </w:style>
  <w:style w:type="paragraph" w:customStyle="1" w:styleId="1745">
    <w:name w:val="样式 样式 (中文) 仿宋_GB2312 小四 行距: 1.5 倍行距 + 首行缩进:  2 字符"/>
    <w:basedOn w:val="1"/>
    <w:qFormat/>
    <w:uiPriority w:val="0"/>
    <w:pPr>
      <w:spacing w:line="360" w:lineRule="auto"/>
      <w:ind w:firstLine="480" w:firstLineChars="200"/>
    </w:pPr>
    <w:rPr>
      <w:rFonts w:ascii="仿宋_GB2312" w:eastAsia="仿宋_GB2312" w:cs="宋体"/>
      <w:sz w:val="24"/>
      <w:szCs w:val="24"/>
    </w:rPr>
  </w:style>
  <w:style w:type="paragraph" w:customStyle="1" w:styleId="1746">
    <w:name w:val="14"/>
    <w:basedOn w:val="1"/>
    <w:next w:val="41"/>
    <w:qFormat/>
    <w:uiPriority w:val="0"/>
    <w:pPr>
      <w:widowControl/>
      <w:jc w:val="left"/>
    </w:pPr>
    <w:rPr>
      <w:rFonts w:ascii="宋体" w:hAnsi="Courier New"/>
      <w:kern w:val="0"/>
      <w:szCs w:val="20"/>
    </w:rPr>
  </w:style>
  <w:style w:type="paragraph" w:customStyle="1" w:styleId="1747">
    <w:name w:val="13"/>
    <w:basedOn w:val="1"/>
    <w:next w:val="31"/>
    <w:qFormat/>
    <w:uiPriority w:val="0"/>
    <w:pPr>
      <w:widowControl/>
      <w:jc w:val="center"/>
    </w:pPr>
    <w:rPr>
      <w:kern w:val="0"/>
      <w:sz w:val="28"/>
      <w:szCs w:val="20"/>
    </w:rPr>
  </w:style>
  <w:style w:type="paragraph" w:customStyle="1" w:styleId="1748">
    <w:name w:val="12"/>
    <w:basedOn w:val="1"/>
    <w:next w:val="19"/>
    <w:qFormat/>
    <w:uiPriority w:val="0"/>
    <w:pPr>
      <w:adjustRightInd w:val="0"/>
      <w:spacing w:line="312" w:lineRule="atLeast"/>
      <w:ind w:firstLine="420"/>
    </w:pPr>
    <w:rPr>
      <w:kern w:val="0"/>
      <w:sz w:val="28"/>
      <w:szCs w:val="20"/>
    </w:rPr>
  </w:style>
  <w:style w:type="paragraph" w:customStyle="1" w:styleId="1749">
    <w:name w:val="Char Char Char Char Char Char1"/>
    <w:basedOn w:val="1"/>
    <w:qFormat/>
    <w:uiPriority w:val="0"/>
    <w:rPr>
      <w:szCs w:val="24"/>
    </w:rPr>
  </w:style>
  <w:style w:type="paragraph" w:customStyle="1" w:styleId="1750">
    <w:name w:val="文字"/>
    <w:basedOn w:val="1"/>
    <w:qFormat/>
    <w:uiPriority w:val="0"/>
    <w:pPr>
      <w:spacing w:line="360" w:lineRule="auto"/>
    </w:pPr>
    <w:rPr>
      <w:sz w:val="24"/>
      <w:szCs w:val="24"/>
    </w:rPr>
  </w:style>
  <w:style w:type="paragraph" w:customStyle="1" w:styleId="1751">
    <w:name w:val="ec_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52">
    <w:name w:val="Char Char Char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1753">
    <w:name w:val="CM20"/>
    <w:basedOn w:val="101"/>
    <w:next w:val="101"/>
    <w:qFormat/>
    <w:uiPriority w:val="0"/>
    <w:pPr>
      <w:spacing w:after="148"/>
    </w:pPr>
    <w:rPr>
      <w:rFonts w:ascii="黑体" w:eastAsia="黑体" w:cs="Times New Roman"/>
      <w:color w:val="auto"/>
      <w:sz w:val="20"/>
    </w:rPr>
  </w:style>
  <w:style w:type="paragraph" w:customStyle="1" w:styleId="1754">
    <w:name w:val="CM5"/>
    <w:basedOn w:val="101"/>
    <w:next w:val="101"/>
    <w:qFormat/>
    <w:uiPriority w:val="0"/>
    <w:pPr>
      <w:spacing w:line="460" w:lineRule="atLeast"/>
    </w:pPr>
    <w:rPr>
      <w:rFonts w:ascii="黑体" w:eastAsia="黑体" w:cs="Times New Roman"/>
      <w:color w:val="auto"/>
      <w:sz w:val="20"/>
    </w:rPr>
  </w:style>
  <w:style w:type="paragraph" w:customStyle="1" w:styleId="1755">
    <w:name w:val="CM8"/>
    <w:basedOn w:val="101"/>
    <w:next w:val="101"/>
    <w:qFormat/>
    <w:uiPriority w:val="0"/>
    <w:pPr>
      <w:spacing w:line="460" w:lineRule="atLeast"/>
    </w:pPr>
    <w:rPr>
      <w:rFonts w:ascii="黑体" w:eastAsia="黑体" w:cs="Times New Roman"/>
      <w:color w:val="auto"/>
      <w:sz w:val="20"/>
    </w:rPr>
  </w:style>
  <w:style w:type="paragraph" w:customStyle="1" w:styleId="1756">
    <w:name w:val="CM4"/>
    <w:basedOn w:val="101"/>
    <w:next w:val="101"/>
    <w:qFormat/>
    <w:uiPriority w:val="0"/>
    <w:pPr>
      <w:spacing w:line="460" w:lineRule="atLeast"/>
    </w:pPr>
    <w:rPr>
      <w:rFonts w:ascii="黑体" w:eastAsia="黑体" w:cs="Times New Roman"/>
      <w:color w:val="auto"/>
      <w:sz w:val="20"/>
    </w:rPr>
  </w:style>
  <w:style w:type="paragraph" w:customStyle="1" w:styleId="1757">
    <w:name w:val="CM11"/>
    <w:basedOn w:val="101"/>
    <w:next w:val="101"/>
    <w:qFormat/>
    <w:uiPriority w:val="0"/>
    <w:pPr>
      <w:spacing w:line="460" w:lineRule="atLeast"/>
    </w:pPr>
    <w:rPr>
      <w:rFonts w:ascii="黑体" w:eastAsia="黑体" w:cs="Times New Roman"/>
      <w:color w:val="auto"/>
      <w:sz w:val="20"/>
    </w:rPr>
  </w:style>
  <w:style w:type="paragraph" w:customStyle="1" w:styleId="1758">
    <w:name w:val="바탕글"/>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5" w:lineRule="auto"/>
      <w:jc w:val="both"/>
    </w:pPr>
    <w:rPr>
      <w:rFonts w:ascii="Batang" w:hAnsi="Times New Roman" w:eastAsia="Batang" w:cs="Times New Roman"/>
      <w:color w:val="000000"/>
      <w:sz w:val="21"/>
      <w:lang w:val="en-US" w:eastAsia="ko-KR" w:bidi="ar-SA"/>
    </w:rPr>
  </w:style>
  <w:style w:type="paragraph" w:customStyle="1" w:styleId="1759">
    <w:name w:val="back-page-top1"/>
    <w:basedOn w:val="1"/>
    <w:qFormat/>
    <w:uiPriority w:val="0"/>
    <w:pPr>
      <w:widowControl/>
      <w:spacing w:before="100" w:beforeAutospacing="1" w:after="100" w:afterAutospacing="1" w:line="226" w:lineRule="atLeast"/>
      <w:jc w:val="right"/>
    </w:pPr>
    <w:rPr>
      <w:rFonts w:ascii="宋体" w:hAnsi="宋体"/>
      <w:kern w:val="0"/>
      <w:sz w:val="17"/>
      <w:szCs w:val="17"/>
    </w:rPr>
  </w:style>
  <w:style w:type="paragraph" w:customStyle="1" w:styleId="1760">
    <w:name w:val="圖一"/>
    <w:basedOn w:val="20"/>
    <w:qFormat/>
    <w:uiPriority w:val="0"/>
    <w:pPr>
      <w:spacing w:line="500" w:lineRule="exact"/>
      <w:jc w:val="center"/>
    </w:pPr>
    <w:rPr>
      <w:rFonts w:ascii="Times New Roman" w:hAnsi="Times New Roman" w:eastAsia="DFKai-SB" w:cs="Arial"/>
      <w:b/>
      <w:bCs/>
      <w:kern w:val="0"/>
      <w:sz w:val="30"/>
      <w:szCs w:val="30"/>
      <w:lang w:eastAsia="zh-TW"/>
    </w:rPr>
  </w:style>
  <w:style w:type="paragraph" w:customStyle="1" w:styleId="1761">
    <w:name w:val="unnamed3"/>
    <w:basedOn w:val="1"/>
    <w:qFormat/>
    <w:uiPriority w:val="0"/>
    <w:pPr>
      <w:widowControl/>
      <w:spacing w:before="100" w:beforeAutospacing="1" w:after="100" w:afterAutospacing="1" w:line="408" w:lineRule="auto"/>
      <w:jc w:val="left"/>
    </w:pPr>
    <w:rPr>
      <w:rFonts w:ascii="宋体" w:hAnsi="宋体"/>
      <w:color w:val="000000"/>
      <w:kern w:val="0"/>
      <w:sz w:val="20"/>
      <w:szCs w:val="20"/>
    </w:rPr>
  </w:style>
  <w:style w:type="paragraph" w:customStyle="1" w:styleId="1762">
    <w:name w:val="批注框文本1"/>
    <w:basedOn w:val="1"/>
    <w:qFormat/>
    <w:uiPriority w:val="0"/>
    <w:rPr>
      <w:sz w:val="18"/>
      <w:szCs w:val="18"/>
    </w:rPr>
  </w:style>
  <w:style w:type="paragraph" w:customStyle="1" w:styleId="1763">
    <w:name w:val="标题11"/>
    <w:basedOn w:val="1"/>
    <w:qFormat/>
    <w:uiPriority w:val="0"/>
    <w:pPr>
      <w:tabs>
        <w:tab w:val="left" w:pos="420"/>
      </w:tabs>
      <w:spacing w:beforeLines="100" w:after="120" w:line="360" w:lineRule="auto"/>
      <w:ind w:left="840" w:hanging="420"/>
    </w:pPr>
    <w:rPr>
      <w:rFonts w:ascii="宋体"/>
      <w:b/>
      <w:bCs/>
      <w:sz w:val="28"/>
      <w:szCs w:val="20"/>
    </w:rPr>
  </w:style>
  <w:style w:type="paragraph" w:customStyle="1" w:styleId="1764">
    <w:name w:val="正文文本 33"/>
    <w:basedOn w:val="1"/>
    <w:qFormat/>
    <w:uiPriority w:val="0"/>
    <w:pPr>
      <w:autoSpaceDE w:val="0"/>
      <w:autoSpaceDN w:val="0"/>
      <w:adjustRightInd w:val="0"/>
      <w:spacing w:line="312" w:lineRule="atLeast"/>
      <w:jc w:val="center"/>
    </w:pPr>
    <w:rPr>
      <w:rFonts w:ascii="楷体" w:eastAsia="楷体"/>
      <w:kern w:val="0"/>
      <w:sz w:val="28"/>
      <w:szCs w:val="20"/>
    </w:rPr>
  </w:style>
  <w:style w:type="paragraph" w:customStyle="1" w:styleId="1765">
    <w:name w:val="Char Char Char Char Char Char 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766">
    <w:name w:val="Char Char Char Char Char Char Char Char Char Char Char Char Char Char Char Char Char Char Char1"/>
    <w:basedOn w:val="1"/>
    <w:qFormat/>
    <w:uiPriority w:val="0"/>
    <w:rPr>
      <w:sz w:val="32"/>
      <w:szCs w:val="32"/>
    </w:rPr>
  </w:style>
  <w:style w:type="paragraph" w:customStyle="1" w:styleId="1767">
    <w:name w:val="默认段落字体 Para Char Char Char Char Char Char Char Char Char Char Char Char Char1 Char"/>
    <w:basedOn w:val="23"/>
    <w:qFormat/>
    <w:uiPriority w:val="0"/>
    <w:pPr>
      <w:shd w:val="clear" w:color="auto" w:fill="000080"/>
    </w:pPr>
    <w:rPr>
      <w:rFonts w:hint="eastAsia" w:ascii="Tahoma" w:hAnsi="Tahoma"/>
      <w:kern w:val="0"/>
      <w:sz w:val="24"/>
      <w:szCs w:val="24"/>
    </w:rPr>
  </w:style>
  <w:style w:type="paragraph" w:customStyle="1" w:styleId="1768">
    <w:name w:val="正文 32"/>
    <w:basedOn w:val="1"/>
    <w:qFormat/>
    <w:uiPriority w:val="0"/>
    <w:pPr>
      <w:autoSpaceDE w:val="0"/>
      <w:autoSpaceDN w:val="0"/>
      <w:adjustRightInd w:val="0"/>
      <w:spacing w:line="360" w:lineRule="auto"/>
      <w:ind w:firstLine="567"/>
      <w:jc w:val="left"/>
    </w:pPr>
    <w:rPr>
      <w:rFonts w:eastAsia="楷体"/>
      <w:kern w:val="0"/>
      <w:sz w:val="24"/>
      <w:szCs w:val="20"/>
    </w:rPr>
  </w:style>
  <w:style w:type="paragraph" w:customStyle="1" w:styleId="1769">
    <w:name w:val="表1表2"/>
    <w:basedOn w:val="1"/>
    <w:qFormat/>
    <w:uiPriority w:val="0"/>
    <w:pPr>
      <w:topLinePunct/>
      <w:autoSpaceDE w:val="0"/>
      <w:autoSpaceDN w:val="0"/>
      <w:adjustRightInd w:val="0"/>
      <w:spacing w:line="360" w:lineRule="auto"/>
      <w:ind w:firstLine="425"/>
      <w:jc w:val="center"/>
    </w:pPr>
    <w:rPr>
      <w:rFonts w:eastAsia="仿宋体"/>
      <w:kern w:val="0"/>
      <w:sz w:val="24"/>
      <w:szCs w:val="20"/>
    </w:rPr>
  </w:style>
  <w:style w:type="paragraph" w:customStyle="1" w:styleId="1770">
    <w:name w:val="Char Char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1771">
    <w:name w:val="MYBODY"/>
    <w:basedOn w:val="1"/>
    <w:qFormat/>
    <w:uiPriority w:val="0"/>
    <w:pPr>
      <w:adjustRightInd w:val="0"/>
      <w:spacing w:line="360" w:lineRule="auto"/>
      <w:ind w:firstLine="225" w:firstLineChars="225"/>
      <w:jc w:val="left"/>
      <w:outlineLvl w:val="2"/>
    </w:pPr>
    <w:rPr>
      <w:rFonts w:ascii="宋体"/>
      <w:kern w:val="0"/>
      <w:sz w:val="24"/>
      <w:szCs w:val="24"/>
    </w:rPr>
  </w:style>
  <w:style w:type="paragraph" w:customStyle="1" w:styleId="1772">
    <w:name w:val="L1"/>
    <w:basedOn w:val="1"/>
    <w:qFormat/>
    <w:uiPriority w:val="0"/>
    <w:pPr>
      <w:tabs>
        <w:tab w:val="left" w:pos="425"/>
      </w:tabs>
      <w:adjustRightInd w:val="0"/>
      <w:spacing w:line="360" w:lineRule="auto"/>
      <w:ind w:left="425" w:hanging="425"/>
      <w:outlineLvl w:val="0"/>
    </w:pPr>
    <w:rPr>
      <w:b/>
      <w:kern w:val="0"/>
      <w:position w:val="-14"/>
      <w:sz w:val="32"/>
      <w:szCs w:val="32"/>
    </w:rPr>
  </w:style>
  <w:style w:type="paragraph" w:customStyle="1" w:styleId="1773">
    <w:name w:val="...."/>
    <w:basedOn w:val="1"/>
    <w:next w:val="1"/>
    <w:qFormat/>
    <w:uiPriority w:val="0"/>
    <w:pPr>
      <w:autoSpaceDE w:val="0"/>
      <w:autoSpaceDN w:val="0"/>
      <w:adjustRightInd w:val="0"/>
      <w:jc w:val="left"/>
    </w:pPr>
    <w:rPr>
      <w:kern w:val="0"/>
      <w:sz w:val="24"/>
      <w:szCs w:val="24"/>
    </w:rPr>
  </w:style>
  <w:style w:type="paragraph" w:customStyle="1" w:styleId="1774">
    <w:name w:val="样式 标题 3 + 四号"/>
    <w:basedOn w:val="5"/>
    <w:qFormat/>
    <w:uiPriority w:val="0"/>
    <w:pPr>
      <w:tabs>
        <w:tab w:val="left" w:pos="1742"/>
      </w:tabs>
      <w:spacing w:before="120" w:after="120" w:line="360" w:lineRule="auto"/>
    </w:pPr>
    <w:rPr>
      <w:b/>
    </w:rPr>
  </w:style>
  <w:style w:type="paragraph" w:customStyle="1" w:styleId="1775">
    <w:name w:val="Char Char Char Char Char Char Char Char Char Char Char Char Char Char Char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1776">
    <w:name w:val="样式 样式 标题 2H2SeHead wsa21标题 1.1 + 小三 左侧:  0 厘米 首行缩进:  0 厘米 行... +..."/>
    <w:basedOn w:val="1"/>
    <w:qFormat/>
    <w:uiPriority w:val="0"/>
    <w:pPr>
      <w:keepNext/>
      <w:keepLines/>
      <w:snapToGrid w:val="0"/>
      <w:spacing w:beforeLines="50" w:line="360" w:lineRule="auto"/>
      <w:outlineLvl w:val="1"/>
    </w:pPr>
    <w:rPr>
      <w:rFonts w:ascii="宋体"/>
      <w:b/>
      <w:bCs/>
      <w:color w:val="000000"/>
      <w:sz w:val="30"/>
      <w:szCs w:val="20"/>
    </w:rPr>
  </w:style>
  <w:style w:type="paragraph" w:customStyle="1" w:styleId="1777">
    <w:name w:val="正文文本缩进 25"/>
    <w:basedOn w:val="1"/>
    <w:qFormat/>
    <w:uiPriority w:val="0"/>
    <w:pPr>
      <w:adjustRightInd w:val="0"/>
      <w:spacing w:line="348" w:lineRule="auto"/>
      <w:ind w:firstLine="573"/>
    </w:pPr>
    <w:rPr>
      <w:rFonts w:eastAsia="Wingdings"/>
      <w:sz w:val="28"/>
      <w:szCs w:val="20"/>
    </w:rPr>
  </w:style>
  <w:style w:type="paragraph" w:customStyle="1" w:styleId="1778">
    <w:name w:val="款项"/>
    <w:basedOn w:val="1"/>
    <w:qFormat/>
    <w:uiPriority w:val="0"/>
    <w:pPr>
      <w:spacing w:beforeLines="50"/>
    </w:pPr>
    <w:rPr>
      <w:rFonts w:ascii="黑体" w:eastAsia="黑体"/>
      <w:sz w:val="24"/>
      <w:szCs w:val="24"/>
    </w:rPr>
  </w:style>
  <w:style w:type="paragraph" w:customStyle="1" w:styleId="1779">
    <w:name w:val="字元3"/>
    <w:basedOn w:val="1"/>
    <w:qFormat/>
    <w:uiPriority w:val="0"/>
    <w:pPr>
      <w:adjustRightInd w:val="0"/>
      <w:spacing w:line="360" w:lineRule="atLeast"/>
    </w:pPr>
    <w:rPr>
      <w:szCs w:val="24"/>
    </w:rPr>
  </w:style>
  <w:style w:type="paragraph" w:customStyle="1" w:styleId="1780">
    <w:name w:val="图表格式"/>
    <w:basedOn w:val="1"/>
    <w:qFormat/>
    <w:uiPriority w:val="0"/>
    <w:pPr>
      <w:snapToGrid w:val="0"/>
    </w:pPr>
    <w:rPr>
      <w:kern w:val="0"/>
      <w:sz w:val="24"/>
      <w:szCs w:val="20"/>
    </w:rPr>
  </w:style>
  <w:style w:type="paragraph" w:customStyle="1" w:styleId="1781">
    <w:name w:val="表格 3"/>
    <w:basedOn w:val="1"/>
    <w:qFormat/>
    <w:uiPriority w:val="0"/>
    <w:pPr>
      <w:autoSpaceDE w:val="0"/>
      <w:autoSpaceDN w:val="0"/>
      <w:adjustRightInd w:val="0"/>
      <w:jc w:val="center"/>
    </w:pPr>
    <w:rPr>
      <w:kern w:val="0"/>
      <w:sz w:val="18"/>
      <w:szCs w:val="20"/>
    </w:rPr>
  </w:style>
  <w:style w:type="paragraph" w:customStyle="1" w:styleId="1782">
    <w:name w:val="11"/>
    <w:basedOn w:val="1"/>
    <w:next w:val="41"/>
    <w:qFormat/>
    <w:uiPriority w:val="0"/>
    <w:pPr>
      <w:widowControl/>
      <w:jc w:val="left"/>
    </w:pPr>
    <w:rPr>
      <w:rFonts w:ascii="宋体" w:hAnsi="Courier New"/>
      <w:kern w:val="0"/>
      <w:szCs w:val="20"/>
    </w:rPr>
  </w:style>
  <w:style w:type="paragraph" w:customStyle="1" w:styleId="1783">
    <w:name w:val="10"/>
    <w:basedOn w:val="1"/>
    <w:next w:val="41"/>
    <w:qFormat/>
    <w:uiPriority w:val="0"/>
    <w:pPr>
      <w:widowControl/>
      <w:jc w:val="left"/>
    </w:pPr>
    <w:rPr>
      <w:rFonts w:ascii="宋体" w:hAnsi="Courier New"/>
      <w:kern w:val="0"/>
      <w:szCs w:val="20"/>
    </w:rPr>
  </w:style>
  <w:style w:type="paragraph" w:customStyle="1" w:styleId="1784">
    <w:name w:val="正文并列"/>
    <w:basedOn w:val="1"/>
    <w:next w:val="1"/>
    <w:qFormat/>
    <w:uiPriority w:val="0"/>
    <w:pPr>
      <w:snapToGrid w:val="0"/>
      <w:spacing w:line="400" w:lineRule="exact"/>
      <w:ind w:firstLine="200" w:firstLineChars="200"/>
    </w:pPr>
    <w:rPr>
      <w:sz w:val="24"/>
      <w:szCs w:val="20"/>
    </w:rPr>
  </w:style>
  <w:style w:type="paragraph" w:customStyle="1" w:styleId="1785">
    <w:name w:val="黄埔正文"/>
    <w:qFormat/>
    <w:uiPriority w:val="0"/>
    <w:pPr>
      <w:tabs>
        <w:tab w:val="left" w:pos="360"/>
      </w:tabs>
      <w:spacing w:line="360" w:lineRule="auto"/>
      <w:ind w:firstLine="425"/>
      <w:jc w:val="both"/>
    </w:pPr>
    <w:rPr>
      <w:rFonts w:ascii="宋体" w:hAnsi="Times New Roman" w:eastAsia="宋体" w:cs="Times New Roman"/>
      <w:color w:val="000000"/>
      <w:sz w:val="24"/>
      <w:lang w:val="en-US" w:eastAsia="zh-CN" w:bidi="ar-SA"/>
    </w:rPr>
  </w:style>
  <w:style w:type="paragraph" w:customStyle="1" w:styleId="1786">
    <w:name w:val="Char Char Char Char Char Char Char Char Char1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787">
    <w:name w:val="表格 23"/>
    <w:basedOn w:val="1"/>
    <w:qFormat/>
    <w:uiPriority w:val="0"/>
    <w:pPr>
      <w:autoSpaceDE w:val="0"/>
      <w:autoSpaceDN w:val="0"/>
      <w:adjustRightInd w:val="0"/>
      <w:jc w:val="center"/>
    </w:pPr>
    <w:rPr>
      <w:rFonts w:eastAsia="仿宋体"/>
      <w:kern w:val="0"/>
      <w:szCs w:val="20"/>
    </w:rPr>
  </w:style>
  <w:style w:type="paragraph" w:customStyle="1" w:styleId="1788">
    <w:name w:val="表内容"/>
    <w:basedOn w:val="1"/>
    <w:qFormat/>
    <w:uiPriority w:val="0"/>
    <w:pPr>
      <w:widowControl/>
      <w:adjustRightInd w:val="0"/>
      <w:snapToGrid w:val="0"/>
      <w:jc w:val="center"/>
    </w:pPr>
    <w:rPr>
      <w:kern w:val="0"/>
      <w:szCs w:val="24"/>
    </w:rPr>
  </w:style>
  <w:style w:type="paragraph" w:customStyle="1" w:styleId="1789">
    <w:name w:val="字元 字元 Char Char 字元 字元1"/>
    <w:basedOn w:val="1"/>
    <w:qFormat/>
    <w:uiPriority w:val="0"/>
    <w:rPr>
      <w:sz w:val="24"/>
      <w:szCs w:val="24"/>
    </w:rPr>
  </w:style>
  <w:style w:type="paragraph" w:customStyle="1" w:styleId="1790">
    <w:name w:val="文本框1"/>
    <w:basedOn w:val="1"/>
    <w:qFormat/>
    <w:uiPriority w:val="0"/>
    <w:rPr>
      <w:rFonts w:ascii="宋体" w:hAnsi="宋体"/>
      <w:sz w:val="24"/>
      <w:szCs w:val="20"/>
    </w:rPr>
  </w:style>
  <w:style w:type="paragraph" w:customStyle="1" w:styleId="1791">
    <w:name w:val="样式 正文文本缩进 + 宋体 五号 黑色 全部大写 居中 首行缩进:  0 厘米 段前: 0 磅 行距: 单倍行距"/>
    <w:basedOn w:val="32"/>
    <w:qFormat/>
    <w:uiPriority w:val="0"/>
    <w:pPr>
      <w:adjustRightInd w:val="0"/>
      <w:snapToGrid/>
      <w:spacing w:after="0" w:line="240" w:lineRule="auto"/>
      <w:ind w:left="0" w:leftChars="0" w:firstLine="0" w:firstLineChars="0"/>
      <w:jc w:val="center"/>
    </w:pPr>
    <w:rPr>
      <w:rFonts w:hint="eastAsia" w:cs="宋体"/>
      <w:color w:val="000000"/>
      <w:kern w:val="28"/>
      <w:sz w:val="21"/>
      <w:szCs w:val="21"/>
    </w:rPr>
  </w:style>
  <w:style w:type="paragraph" w:customStyle="1" w:styleId="1792">
    <w:name w:val="样式 正文缩进 + 居中 首行缩进:  0 厘米 段前: 0 磅 行距: 单倍行距"/>
    <w:basedOn w:val="19"/>
    <w:qFormat/>
    <w:uiPriority w:val="0"/>
    <w:pPr>
      <w:adjustRightInd w:val="0"/>
      <w:spacing w:line="240" w:lineRule="auto"/>
      <w:ind w:firstLine="0" w:firstLineChars="0"/>
      <w:jc w:val="center"/>
    </w:pPr>
    <w:rPr>
      <w:rFonts w:eastAsia="Times New Roman" w:cs="宋体"/>
      <w:kern w:val="28"/>
      <w:szCs w:val="24"/>
    </w:rPr>
  </w:style>
  <w:style w:type="paragraph" w:customStyle="1" w:styleId="1793">
    <w:name w:val="样式 标题 3 + (西文) Times New Roman (中文) 宋体 非加粗 段前: 0 磅 行距: 固定值 2..."/>
    <w:basedOn w:val="5"/>
    <w:qFormat/>
    <w:uiPriority w:val="0"/>
    <w:pPr>
      <w:tabs>
        <w:tab w:val="left" w:pos="1742"/>
      </w:tabs>
      <w:autoSpaceDE w:val="0"/>
      <w:autoSpaceDN w:val="0"/>
      <w:adjustRightInd w:val="0"/>
      <w:spacing w:after="120" w:line="460" w:lineRule="exact"/>
      <w:jc w:val="left"/>
    </w:pPr>
    <w:rPr>
      <w:rFonts w:cs="宋体"/>
      <w:bCs/>
      <w:sz w:val="24"/>
      <w:szCs w:val="24"/>
    </w:rPr>
  </w:style>
  <w:style w:type="paragraph" w:customStyle="1" w:styleId="1794">
    <w:name w:val="川岛插图"/>
    <w:basedOn w:val="1"/>
    <w:qFormat/>
    <w:uiPriority w:val="0"/>
    <w:pPr>
      <w:spacing w:line="360" w:lineRule="auto"/>
      <w:ind w:firstLine="480" w:firstLineChars="200"/>
      <w:jc w:val="center"/>
    </w:pPr>
    <w:rPr>
      <w:color w:val="000000"/>
      <w:sz w:val="24"/>
      <w:szCs w:val="20"/>
    </w:rPr>
  </w:style>
  <w:style w:type="paragraph" w:customStyle="1" w:styleId="1795">
    <w:name w:val="样式 标题 2标题 2 Char Char + 宋体1"/>
    <w:basedOn w:val="4"/>
    <w:qFormat/>
    <w:uiPriority w:val="0"/>
    <w:pPr>
      <w:widowControl/>
      <w:tabs>
        <w:tab w:val="right" w:pos="8640"/>
      </w:tabs>
      <w:overflowPunct w:val="0"/>
      <w:autoSpaceDE w:val="0"/>
      <w:autoSpaceDN w:val="0"/>
      <w:adjustRightInd w:val="0"/>
      <w:spacing w:before="120" w:after="120" w:line="440" w:lineRule="exact"/>
      <w:jc w:val="left"/>
    </w:pPr>
    <w:rPr>
      <w:rFonts w:ascii="宋体" w:hAnsi="宋体"/>
      <w:b w:val="0"/>
      <w:bCs/>
      <w:kern w:val="28"/>
      <w:sz w:val="24"/>
      <w:szCs w:val="24"/>
    </w:rPr>
  </w:style>
  <w:style w:type="paragraph" w:customStyle="1" w:styleId="1796">
    <w:name w:val="样式 标题 3 + 宋体1"/>
    <w:basedOn w:val="5"/>
    <w:qFormat/>
    <w:uiPriority w:val="0"/>
    <w:pPr>
      <w:tabs>
        <w:tab w:val="left" w:pos="1050"/>
        <w:tab w:val="left" w:pos="1742"/>
      </w:tabs>
      <w:adjustRightInd w:val="0"/>
      <w:spacing w:before="120" w:after="120" w:line="416" w:lineRule="atLeast"/>
    </w:pPr>
    <w:rPr>
      <w:rFonts w:ascii="宋体" w:hAnsi="宋体"/>
      <w:bCs/>
      <w:kern w:val="28"/>
      <w:sz w:val="24"/>
      <w:szCs w:val="24"/>
    </w:rPr>
  </w:style>
  <w:style w:type="paragraph" w:customStyle="1" w:styleId="1797">
    <w:name w:val="注解"/>
    <w:basedOn w:val="1"/>
    <w:qFormat/>
    <w:uiPriority w:val="0"/>
    <w:pPr>
      <w:adjustRightInd w:val="0"/>
      <w:snapToGrid w:val="0"/>
      <w:ind w:left="624" w:right="170" w:hanging="454"/>
    </w:pPr>
    <w:rPr>
      <w:rFonts w:ascii="宋体" w:hAnsi="宋体"/>
      <w:color w:val="000000"/>
      <w:sz w:val="15"/>
      <w:szCs w:val="20"/>
    </w:rPr>
  </w:style>
  <w:style w:type="paragraph" w:customStyle="1" w:styleId="1798">
    <w:name w:val="样式 标题 1 + 宋体"/>
    <w:basedOn w:val="3"/>
    <w:qFormat/>
    <w:uiPriority w:val="0"/>
    <w:pPr>
      <w:widowControl/>
      <w:tabs>
        <w:tab w:val="left" w:pos="0"/>
        <w:tab w:val="left" w:pos="1050"/>
        <w:tab w:val="right" w:pos="8640"/>
      </w:tabs>
      <w:overflowPunct w:val="0"/>
      <w:autoSpaceDE w:val="0"/>
      <w:autoSpaceDN w:val="0"/>
      <w:adjustRightInd w:val="0"/>
      <w:spacing w:before="120" w:after="120" w:line="440" w:lineRule="exact"/>
      <w:ind w:left="432" w:hanging="432"/>
      <w:jc w:val="left"/>
    </w:pPr>
    <w:rPr>
      <w:rFonts w:ascii="宋体" w:hAnsi="宋体"/>
      <w:kern w:val="28"/>
      <w:sz w:val="30"/>
    </w:rPr>
  </w:style>
  <w:style w:type="paragraph" w:customStyle="1" w:styleId="1799">
    <w:name w:val="样式 标题 4 + 宋体 小四 非加粗"/>
    <w:basedOn w:val="6"/>
    <w:qFormat/>
    <w:uiPriority w:val="0"/>
    <w:pPr>
      <w:tabs>
        <w:tab w:val="left" w:pos="0"/>
      </w:tabs>
      <w:adjustRightInd w:val="0"/>
      <w:snapToGrid w:val="0"/>
      <w:spacing w:before="160" w:after="170" w:line="240" w:lineRule="auto"/>
      <w:ind w:left="100" w:leftChars="100" w:right="100" w:rightChars="100"/>
      <w:jc w:val="left"/>
    </w:pPr>
    <w:rPr>
      <w:rFonts w:ascii="宋体" w:hAnsi="宋体"/>
      <w:bCs/>
      <w:sz w:val="24"/>
      <w:lang w:val="zh-CN"/>
    </w:rPr>
  </w:style>
  <w:style w:type="paragraph" w:customStyle="1" w:styleId="1800">
    <w:name w:val="字元 字元"/>
    <w:basedOn w:val="1"/>
    <w:qFormat/>
    <w:uiPriority w:val="0"/>
    <w:rPr>
      <w:sz w:val="24"/>
      <w:szCs w:val="24"/>
    </w:rPr>
  </w:style>
  <w:style w:type="paragraph" w:customStyle="1" w:styleId="1801">
    <w:name w:val="封面1"/>
    <w:basedOn w:val="3"/>
    <w:qFormat/>
    <w:uiPriority w:val="0"/>
    <w:pPr>
      <w:autoSpaceDE w:val="0"/>
      <w:autoSpaceDN w:val="0"/>
      <w:adjustRightInd w:val="0"/>
      <w:spacing w:line="420" w:lineRule="auto"/>
      <w:ind w:left="-76" w:firstLine="288"/>
      <w:outlineLvl w:val="9"/>
    </w:pPr>
    <w:rPr>
      <w:rFonts w:ascii="宋体" w:hAnsi="Arial" w:eastAsia="楷体_GB2312"/>
      <w:b w:val="0"/>
      <w:bCs/>
      <w:w w:val="150"/>
    </w:rPr>
  </w:style>
  <w:style w:type="paragraph" w:customStyle="1" w:styleId="1802">
    <w:name w:val="样式 样式 标题 3 + 右侧:  0.42 厘米 + 右侧:  1 字符"/>
    <w:basedOn w:val="1"/>
    <w:qFormat/>
    <w:uiPriority w:val="0"/>
    <w:pPr>
      <w:keepNext/>
      <w:keepLines/>
      <w:tabs>
        <w:tab w:val="left" w:pos="180"/>
      </w:tabs>
      <w:autoSpaceDE w:val="0"/>
      <w:autoSpaceDN w:val="0"/>
      <w:adjustRightInd w:val="0"/>
      <w:snapToGrid w:val="0"/>
      <w:spacing w:before="240" w:after="120" w:line="300" w:lineRule="auto"/>
      <w:ind w:left="180" w:leftChars="-42" w:right="476" w:hanging="281" w:hangingChars="100"/>
      <w:jc w:val="left"/>
      <w:outlineLvl w:val="2"/>
    </w:pPr>
    <w:rPr>
      <w:rFonts w:ascii="宋体" w:hAnsi="宋体"/>
      <w:b/>
      <w:bCs/>
      <w:sz w:val="28"/>
      <w:szCs w:val="20"/>
    </w:rPr>
  </w:style>
  <w:style w:type="paragraph" w:customStyle="1" w:styleId="1803">
    <w:name w:val="样式 标题 2 + 宋体"/>
    <w:basedOn w:val="4"/>
    <w:qFormat/>
    <w:uiPriority w:val="0"/>
    <w:pPr>
      <w:widowControl/>
      <w:tabs>
        <w:tab w:val="left" w:pos="992"/>
        <w:tab w:val="right" w:pos="8640"/>
      </w:tabs>
      <w:overflowPunct w:val="0"/>
      <w:autoSpaceDE w:val="0"/>
      <w:autoSpaceDN w:val="0"/>
      <w:adjustRightInd w:val="0"/>
      <w:spacing w:beforeLines="50" w:after="240" w:line="360" w:lineRule="auto"/>
      <w:ind w:left="1984" w:right="964" w:hanging="567"/>
      <w:jc w:val="left"/>
    </w:pPr>
    <w:rPr>
      <w:rFonts w:ascii="宋体" w:hAnsi="宋体"/>
      <w:bCs/>
      <w:kern w:val="28"/>
    </w:rPr>
  </w:style>
  <w:style w:type="paragraph" w:customStyle="1" w:styleId="1804">
    <w:name w:val="样式 标题 4 + 宋体 小四"/>
    <w:basedOn w:val="6"/>
    <w:qFormat/>
    <w:uiPriority w:val="0"/>
    <w:pPr>
      <w:tabs>
        <w:tab w:val="left" w:pos="864"/>
      </w:tabs>
      <w:snapToGrid w:val="0"/>
      <w:spacing w:line="374" w:lineRule="auto"/>
      <w:ind w:left="864" w:hanging="864"/>
    </w:pPr>
    <w:rPr>
      <w:rFonts w:ascii="宋体" w:hAnsi="宋体"/>
      <w:b/>
      <w:sz w:val="24"/>
      <w:szCs w:val="24"/>
      <w:lang w:val="zh-CN"/>
    </w:rPr>
  </w:style>
  <w:style w:type="paragraph" w:customStyle="1" w:styleId="1805">
    <w:name w:val="文本框"/>
    <w:basedOn w:val="1"/>
    <w:qFormat/>
    <w:uiPriority w:val="0"/>
    <w:pPr>
      <w:jc w:val="center"/>
    </w:pPr>
    <w:rPr>
      <w:szCs w:val="21"/>
    </w:rPr>
  </w:style>
  <w:style w:type="paragraph" w:customStyle="1" w:styleId="1806">
    <w:name w:val="样式 标题 3 + 右侧:  0.42 厘米"/>
    <w:basedOn w:val="5"/>
    <w:qFormat/>
    <w:uiPriority w:val="0"/>
    <w:pPr>
      <w:tabs>
        <w:tab w:val="left" w:pos="180"/>
        <w:tab w:val="left" w:pos="1742"/>
      </w:tabs>
      <w:autoSpaceDE w:val="0"/>
      <w:autoSpaceDN w:val="0"/>
      <w:adjustRightInd w:val="0"/>
      <w:spacing w:before="240" w:line="300" w:lineRule="auto"/>
      <w:ind w:left="180" w:leftChars="-42" w:right="240" w:rightChars="100" w:hanging="281" w:hangingChars="100"/>
      <w:jc w:val="left"/>
    </w:pPr>
    <w:rPr>
      <w:rFonts w:ascii="宋体" w:hAnsi="宋体"/>
      <w:b/>
      <w:spacing w:val="8"/>
      <w:szCs w:val="20"/>
    </w:rPr>
  </w:style>
  <w:style w:type="paragraph" w:customStyle="1" w:styleId="1807">
    <w:name w:val="纯文本5"/>
    <w:basedOn w:val="1"/>
    <w:qFormat/>
    <w:uiPriority w:val="0"/>
    <w:pPr>
      <w:adjustRightInd w:val="0"/>
    </w:pPr>
    <w:rPr>
      <w:rFonts w:ascii="宋体" w:hAnsi="Courier New"/>
      <w:szCs w:val="20"/>
    </w:rPr>
  </w:style>
  <w:style w:type="paragraph" w:customStyle="1" w:styleId="1808">
    <w:name w:val="样式 标题 3 + 段前: 6 磅 段后: 0 磅1"/>
    <w:basedOn w:val="5"/>
    <w:qFormat/>
    <w:uiPriority w:val="0"/>
    <w:pPr>
      <w:tabs>
        <w:tab w:val="left" w:pos="540"/>
        <w:tab w:val="left" w:pos="1742"/>
      </w:tabs>
      <w:autoSpaceDE w:val="0"/>
      <w:autoSpaceDN w:val="0"/>
      <w:adjustRightInd w:val="0"/>
      <w:spacing w:line="300" w:lineRule="auto"/>
      <w:ind w:left="1078" w:right="240" w:rightChars="100" w:hanging="539"/>
      <w:jc w:val="left"/>
    </w:pPr>
    <w:rPr>
      <w:rFonts w:ascii="宋体" w:hAnsi="宋体" w:cs="宋体"/>
      <w:b/>
      <w:spacing w:val="8"/>
      <w:szCs w:val="20"/>
    </w:rPr>
  </w:style>
  <w:style w:type="paragraph" w:customStyle="1" w:styleId="1809">
    <w:name w:val="表注解"/>
    <w:basedOn w:val="510"/>
    <w:next w:val="510"/>
    <w:qFormat/>
    <w:uiPriority w:val="0"/>
    <w:pPr>
      <w:widowControl/>
      <w:adjustRightInd w:val="0"/>
      <w:snapToGrid w:val="0"/>
      <w:spacing w:line="240" w:lineRule="auto"/>
      <w:ind w:firstLine="0" w:firstLineChars="0"/>
    </w:pPr>
    <w:rPr>
      <w:rFonts w:hint="eastAsia" w:ascii="Times New Roman" w:hAnsi="Times New Roman"/>
      <w:b/>
      <w:kern w:val="0"/>
      <w:sz w:val="18"/>
    </w:rPr>
  </w:style>
  <w:style w:type="paragraph" w:customStyle="1" w:styleId="1810">
    <w:name w:val="表头及表尾"/>
    <w:qFormat/>
    <w:uiPriority w:val="0"/>
    <w:pPr>
      <w:tabs>
        <w:tab w:val="center" w:pos="4200"/>
        <w:tab w:val="right" w:pos="8400"/>
      </w:tabs>
      <w:adjustRightInd w:val="0"/>
      <w:snapToGrid w:val="0"/>
    </w:pPr>
    <w:rPr>
      <w:rFonts w:ascii="Times New Roman" w:hAnsi="Times New Roman" w:eastAsia="宋体" w:cs="Times New Roman"/>
      <w:b/>
      <w:sz w:val="21"/>
      <w:szCs w:val="21"/>
      <w:lang w:val="en-US" w:eastAsia="zh-CN" w:bidi="ar-SA"/>
    </w:rPr>
  </w:style>
  <w:style w:type="paragraph" w:customStyle="1" w:styleId="1811">
    <w:name w:val="表格内容居中"/>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1812">
    <w:name w:val="报告样式"/>
    <w:basedOn w:val="1"/>
    <w:next w:val="1580"/>
    <w:qFormat/>
    <w:uiPriority w:val="0"/>
    <w:rPr>
      <w:sz w:val="24"/>
      <w:szCs w:val="24"/>
    </w:rPr>
  </w:style>
  <w:style w:type="paragraph" w:customStyle="1" w:styleId="1813">
    <w:name w:val="textfont"/>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814">
    <w:name w:val="ggbody"/>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815">
    <w:name w:val="正文-第几条"/>
    <w:basedOn w:val="1"/>
    <w:qFormat/>
    <w:uiPriority w:val="0"/>
    <w:pPr>
      <w:numPr>
        <w:ilvl w:val="0"/>
        <w:numId w:val="3"/>
      </w:numPr>
      <w:spacing w:line="360" w:lineRule="auto"/>
      <w:ind w:firstLine="0"/>
    </w:pPr>
    <w:rPr>
      <w:sz w:val="24"/>
      <w:szCs w:val="24"/>
    </w:rPr>
  </w:style>
  <w:style w:type="paragraph" w:customStyle="1" w:styleId="1816">
    <w:name w:val="样式 小四 行距: 固定值 16 磅"/>
    <w:basedOn w:val="1"/>
    <w:qFormat/>
    <w:uiPriority w:val="0"/>
    <w:pPr>
      <w:snapToGrid w:val="0"/>
      <w:spacing w:line="400" w:lineRule="exact"/>
      <w:ind w:firstLine="480" w:firstLineChars="200"/>
    </w:pPr>
    <w:rPr>
      <w:rFonts w:cs="Dutch801 Rm BT"/>
      <w:sz w:val="24"/>
      <w:szCs w:val="20"/>
    </w:rPr>
  </w:style>
  <w:style w:type="paragraph" w:customStyle="1" w:styleId="1817">
    <w:name w:val="列出段落2"/>
    <w:basedOn w:val="1"/>
    <w:qFormat/>
    <w:uiPriority w:val="0"/>
    <w:pPr>
      <w:spacing w:line="460" w:lineRule="atLeast"/>
      <w:ind w:firstLine="420" w:firstLineChars="200"/>
    </w:pPr>
    <w:rPr>
      <w:rFonts w:ascii="宋体"/>
      <w:bCs/>
      <w:kern w:val="44"/>
      <w:szCs w:val="44"/>
    </w:rPr>
  </w:style>
  <w:style w:type="paragraph" w:customStyle="1" w:styleId="1818">
    <w:name w:val="Char Char Char Char Char Char3"/>
    <w:basedOn w:val="1"/>
    <w:qFormat/>
    <w:uiPriority w:val="0"/>
    <w:rPr>
      <w:szCs w:val="24"/>
    </w:rPr>
  </w:style>
  <w:style w:type="paragraph" w:customStyle="1" w:styleId="1819">
    <w:name w:val="正文文本 32"/>
    <w:basedOn w:val="1"/>
    <w:qFormat/>
    <w:uiPriority w:val="0"/>
    <w:pPr>
      <w:autoSpaceDE w:val="0"/>
      <w:autoSpaceDN w:val="0"/>
      <w:adjustRightInd w:val="0"/>
      <w:spacing w:line="312" w:lineRule="atLeast"/>
      <w:jc w:val="center"/>
    </w:pPr>
    <w:rPr>
      <w:rFonts w:ascii="楷体" w:eastAsia="楷体"/>
      <w:kern w:val="0"/>
      <w:sz w:val="28"/>
      <w:szCs w:val="20"/>
    </w:rPr>
  </w:style>
  <w:style w:type="paragraph" w:customStyle="1" w:styleId="1820">
    <w:name w:val="Char13"/>
    <w:basedOn w:val="1"/>
    <w:qFormat/>
    <w:uiPriority w:val="0"/>
    <w:rPr>
      <w:rFonts w:ascii="Tahoma" w:hAnsi="Tahoma"/>
      <w:sz w:val="24"/>
      <w:szCs w:val="20"/>
    </w:rPr>
  </w:style>
  <w:style w:type="paragraph" w:customStyle="1" w:styleId="1821">
    <w:name w:val="Char23"/>
    <w:basedOn w:val="1"/>
    <w:qFormat/>
    <w:uiPriority w:val="0"/>
    <w:rPr>
      <w:szCs w:val="24"/>
    </w:rPr>
  </w:style>
  <w:style w:type="paragraph" w:customStyle="1" w:styleId="1822">
    <w:name w:val="Char Char Char Char Char2 Char2"/>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23">
    <w:name w:val="Char Char Char Char Char2"/>
    <w:basedOn w:val="1"/>
    <w:qFormat/>
    <w:uiPriority w:val="0"/>
    <w:pPr>
      <w:widowControl/>
      <w:spacing w:after="160" w:line="240" w:lineRule="exact"/>
      <w:jc w:val="left"/>
    </w:pPr>
    <w:rPr>
      <w:rFonts w:ascii="Verdana" w:hAnsi="Verdana"/>
      <w:kern w:val="0"/>
      <w:szCs w:val="20"/>
      <w:lang w:eastAsia="en-US"/>
    </w:rPr>
  </w:style>
  <w:style w:type="paragraph" w:customStyle="1" w:styleId="1824">
    <w:name w:val="Char Char Char Char Char Char Char Char Char Char Char Char Char Char Char Char Char Char2"/>
    <w:basedOn w:val="1"/>
    <w:qFormat/>
    <w:uiPriority w:val="0"/>
    <w:pPr>
      <w:widowControl/>
      <w:spacing w:after="160" w:line="240" w:lineRule="exact"/>
      <w:jc w:val="left"/>
    </w:pPr>
    <w:rPr>
      <w:rFonts w:ascii="Verdana" w:hAnsi="Verdana"/>
      <w:kern w:val="0"/>
      <w:szCs w:val="20"/>
      <w:lang w:eastAsia="en-US"/>
    </w:rPr>
  </w:style>
  <w:style w:type="paragraph" w:customStyle="1" w:styleId="1825">
    <w:name w:val="Char Char Char3"/>
    <w:basedOn w:val="1"/>
    <w:qFormat/>
    <w:uiPriority w:val="0"/>
    <w:pPr>
      <w:widowControl/>
      <w:spacing w:after="160" w:line="240" w:lineRule="exact"/>
      <w:jc w:val="left"/>
    </w:pPr>
    <w:rPr>
      <w:rFonts w:ascii="Verdana" w:hAnsi="Verdana"/>
      <w:kern w:val="0"/>
      <w:szCs w:val="20"/>
      <w:lang w:eastAsia="en-US"/>
    </w:rPr>
  </w:style>
  <w:style w:type="paragraph" w:customStyle="1" w:styleId="1826">
    <w:name w:val="字元2"/>
    <w:basedOn w:val="1"/>
    <w:qFormat/>
    <w:uiPriority w:val="0"/>
    <w:pPr>
      <w:adjustRightInd w:val="0"/>
      <w:spacing w:line="360" w:lineRule="atLeast"/>
    </w:pPr>
    <w:rPr>
      <w:szCs w:val="24"/>
    </w:rPr>
  </w:style>
  <w:style w:type="paragraph" w:customStyle="1" w:styleId="1827">
    <w:name w:val="Char Char Char Char Char Char Char Char Char Char Char Char2"/>
    <w:basedOn w:val="1"/>
    <w:qFormat/>
    <w:uiPriority w:val="0"/>
    <w:pPr>
      <w:adjustRightInd w:val="0"/>
      <w:spacing w:line="360" w:lineRule="auto"/>
    </w:pPr>
    <w:rPr>
      <w:kern w:val="0"/>
      <w:sz w:val="24"/>
      <w:szCs w:val="20"/>
    </w:rPr>
  </w:style>
  <w:style w:type="paragraph" w:customStyle="1" w:styleId="1828">
    <w:name w:val="Char Char Char Char Char Char Char Char Char Char Char Char1 Char2"/>
    <w:basedOn w:val="1"/>
    <w:qFormat/>
    <w:uiPriority w:val="0"/>
    <w:pPr>
      <w:spacing w:line="360" w:lineRule="auto"/>
      <w:ind w:firstLine="200" w:firstLineChars="200"/>
    </w:pPr>
    <w:rPr>
      <w:rFonts w:ascii="宋体" w:hAnsi="宋体" w:cs="宋体"/>
      <w:sz w:val="24"/>
      <w:szCs w:val="24"/>
    </w:rPr>
  </w:style>
  <w:style w:type="paragraph" w:customStyle="1" w:styleId="1829">
    <w:name w:val="批注框文本2"/>
    <w:basedOn w:val="1"/>
    <w:qFormat/>
    <w:uiPriority w:val="0"/>
    <w:rPr>
      <w:sz w:val="18"/>
      <w:szCs w:val="18"/>
    </w:rPr>
  </w:style>
  <w:style w:type="paragraph" w:customStyle="1" w:styleId="1830">
    <w:name w:val="Char Char Char Char Char Char Char Char Char12"/>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831">
    <w:name w:val="字元 字元 Char Char 字元 字元12"/>
    <w:basedOn w:val="1"/>
    <w:qFormat/>
    <w:uiPriority w:val="0"/>
    <w:rPr>
      <w:sz w:val="24"/>
      <w:szCs w:val="24"/>
    </w:rPr>
  </w:style>
  <w:style w:type="paragraph" w:customStyle="1" w:styleId="1832">
    <w:name w:val="字元 字元2"/>
    <w:basedOn w:val="1"/>
    <w:qFormat/>
    <w:uiPriority w:val="0"/>
    <w:rPr>
      <w:sz w:val="24"/>
      <w:szCs w:val="24"/>
    </w:rPr>
  </w:style>
  <w:style w:type="paragraph" w:customStyle="1" w:styleId="1833">
    <w:name w:val="日期4"/>
    <w:basedOn w:val="1"/>
    <w:next w:val="1"/>
    <w:qFormat/>
    <w:uiPriority w:val="0"/>
    <w:pPr>
      <w:adjustRightInd w:val="0"/>
      <w:jc w:val="left"/>
    </w:pPr>
    <w:rPr>
      <w:sz w:val="32"/>
      <w:szCs w:val="20"/>
    </w:rPr>
  </w:style>
  <w:style w:type="paragraph" w:customStyle="1" w:styleId="1834">
    <w:name w:val="正文文本 24"/>
    <w:basedOn w:val="1"/>
    <w:qFormat/>
    <w:uiPriority w:val="0"/>
    <w:pPr>
      <w:autoSpaceDE w:val="0"/>
      <w:autoSpaceDN w:val="0"/>
      <w:adjustRightInd w:val="0"/>
      <w:spacing w:line="364" w:lineRule="auto"/>
      <w:jc w:val="center"/>
    </w:pPr>
    <w:rPr>
      <w:spacing w:val="10"/>
      <w:kern w:val="10"/>
      <w:sz w:val="24"/>
      <w:szCs w:val="20"/>
    </w:rPr>
  </w:style>
  <w:style w:type="paragraph" w:customStyle="1" w:styleId="1835">
    <w:name w:val="正文首行缩进4"/>
    <w:basedOn w:val="31"/>
    <w:qFormat/>
    <w:uiPriority w:val="0"/>
    <w:pPr>
      <w:adjustRightInd w:val="0"/>
      <w:spacing w:before="0" w:line="312" w:lineRule="auto"/>
      <w:ind w:left="0" w:firstLine="567"/>
    </w:pPr>
    <w:rPr>
      <w:rFonts w:hint="eastAsia" w:ascii="Times New Roman" w:hAnsi="Times New Roman"/>
      <w:sz w:val="28"/>
      <w:szCs w:val="20"/>
      <w:lang w:eastAsia="zh-CN"/>
    </w:rPr>
  </w:style>
  <w:style w:type="paragraph" w:customStyle="1" w:styleId="1836">
    <w:name w:val="Char Char Char Char Char Char Char5"/>
    <w:basedOn w:val="1"/>
    <w:qFormat/>
    <w:uiPriority w:val="0"/>
    <w:rPr>
      <w:szCs w:val="24"/>
    </w:rPr>
  </w:style>
  <w:style w:type="paragraph" w:customStyle="1" w:styleId="1837">
    <w:name w:val="列出段落3"/>
    <w:basedOn w:val="1"/>
    <w:qFormat/>
    <w:uiPriority w:val="0"/>
    <w:pPr>
      <w:spacing w:line="460" w:lineRule="atLeast"/>
      <w:ind w:firstLine="420" w:firstLineChars="200"/>
    </w:pPr>
    <w:rPr>
      <w:rFonts w:ascii="宋体"/>
      <w:bCs/>
      <w:kern w:val="44"/>
      <w:szCs w:val="44"/>
    </w:rPr>
  </w:style>
  <w:style w:type="paragraph" w:customStyle="1" w:styleId="1838">
    <w:name w:val="Char Char Char Char Char Char2"/>
    <w:basedOn w:val="1"/>
    <w:qFormat/>
    <w:uiPriority w:val="0"/>
    <w:rPr>
      <w:szCs w:val="24"/>
    </w:rPr>
  </w:style>
  <w:style w:type="paragraph" w:customStyle="1" w:styleId="1839">
    <w:name w:val="正文4"/>
    <w:basedOn w:val="1"/>
    <w:qFormat/>
    <w:uiPriority w:val="0"/>
    <w:pPr>
      <w:adjustRightInd w:val="0"/>
      <w:spacing w:line="480" w:lineRule="exact"/>
    </w:pPr>
    <w:rPr>
      <w:spacing w:val="-2"/>
      <w:kern w:val="0"/>
      <w:sz w:val="28"/>
      <w:szCs w:val="20"/>
    </w:rPr>
  </w:style>
  <w:style w:type="paragraph" w:customStyle="1" w:styleId="1840">
    <w:name w:val="文档结构图5"/>
    <w:basedOn w:val="1"/>
    <w:qFormat/>
    <w:uiPriority w:val="0"/>
    <w:pPr>
      <w:shd w:val="clear" w:color="auto" w:fill="000080"/>
      <w:adjustRightInd w:val="0"/>
      <w:spacing w:line="360" w:lineRule="atLeast"/>
      <w:jc w:val="left"/>
    </w:pPr>
    <w:rPr>
      <w:rFonts w:eastAsia="Wingdings"/>
      <w:kern w:val="0"/>
      <w:sz w:val="24"/>
      <w:szCs w:val="20"/>
    </w:rPr>
  </w:style>
  <w:style w:type="paragraph" w:customStyle="1" w:styleId="1841">
    <w:name w:val="Char8"/>
    <w:basedOn w:val="1"/>
    <w:qFormat/>
    <w:uiPriority w:val="0"/>
    <w:rPr>
      <w:rFonts w:ascii="Tahoma" w:hAnsi="Tahoma"/>
      <w:sz w:val="24"/>
      <w:szCs w:val="20"/>
    </w:rPr>
  </w:style>
  <w:style w:type="paragraph" w:customStyle="1" w:styleId="1842">
    <w:name w:val="Char22"/>
    <w:basedOn w:val="1"/>
    <w:qFormat/>
    <w:uiPriority w:val="0"/>
    <w:rPr>
      <w:szCs w:val="24"/>
    </w:rPr>
  </w:style>
  <w:style w:type="paragraph" w:customStyle="1" w:styleId="1843">
    <w:name w:val="Char Char Char Char Char2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44">
    <w:name w:val="Char Char Char2"/>
    <w:basedOn w:val="1"/>
    <w:qFormat/>
    <w:uiPriority w:val="0"/>
    <w:pPr>
      <w:widowControl/>
      <w:spacing w:after="160" w:line="240" w:lineRule="exact"/>
      <w:jc w:val="left"/>
    </w:pPr>
    <w:rPr>
      <w:rFonts w:ascii="Verdana" w:hAnsi="Verdana"/>
      <w:kern w:val="0"/>
      <w:szCs w:val="20"/>
      <w:lang w:eastAsia="en-US"/>
    </w:rPr>
  </w:style>
  <w:style w:type="paragraph" w:customStyle="1" w:styleId="1845">
    <w:name w:val="字元1"/>
    <w:basedOn w:val="1"/>
    <w:qFormat/>
    <w:uiPriority w:val="0"/>
    <w:pPr>
      <w:adjustRightInd w:val="0"/>
      <w:spacing w:line="360" w:lineRule="atLeast"/>
    </w:pPr>
    <w:rPr>
      <w:szCs w:val="24"/>
    </w:rPr>
  </w:style>
  <w:style w:type="paragraph" w:customStyle="1" w:styleId="1846">
    <w:name w:val="Char Char Char Char5"/>
    <w:basedOn w:val="1"/>
    <w:qFormat/>
    <w:uiPriority w:val="0"/>
    <w:rPr>
      <w:szCs w:val="20"/>
    </w:rPr>
  </w:style>
  <w:style w:type="paragraph" w:customStyle="1" w:styleId="1847">
    <w:name w:val="Char Char Char Char Char Char Char Char Char Char Char Char1"/>
    <w:basedOn w:val="1"/>
    <w:qFormat/>
    <w:uiPriority w:val="0"/>
    <w:pPr>
      <w:adjustRightInd w:val="0"/>
      <w:spacing w:line="360" w:lineRule="auto"/>
    </w:pPr>
    <w:rPr>
      <w:kern w:val="0"/>
      <w:sz w:val="24"/>
      <w:szCs w:val="20"/>
    </w:rPr>
  </w:style>
  <w:style w:type="paragraph" w:customStyle="1" w:styleId="1848">
    <w:name w:val="Char Char Char Char Char Char Char Char Char Char Char Char1 Char1"/>
    <w:basedOn w:val="1"/>
    <w:qFormat/>
    <w:uiPriority w:val="0"/>
    <w:pPr>
      <w:spacing w:line="360" w:lineRule="auto"/>
      <w:ind w:firstLine="200" w:firstLineChars="200"/>
    </w:pPr>
    <w:rPr>
      <w:rFonts w:ascii="宋体" w:hAnsi="宋体" w:cs="宋体"/>
      <w:sz w:val="24"/>
      <w:szCs w:val="24"/>
    </w:rPr>
  </w:style>
  <w:style w:type="paragraph" w:customStyle="1" w:styleId="1849">
    <w:name w:val="批注框文本3"/>
    <w:basedOn w:val="1"/>
    <w:qFormat/>
    <w:uiPriority w:val="0"/>
    <w:rPr>
      <w:sz w:val="18"/>
      <w:szCs w:val="18"/>
    </w:rPr>
  </w:style>
  <w:style w:type="paragraph" w:customStyle="1" w:styleId="1850">
    <w:name w:val="Char Char Char Char Char Char1 Char5"/>
    <w:basedOn w:val="1"/>
    <w:qFormat/>
    <w:uiPriority w:val="0"/>
    <w:rPr>
      <w:rFonts w:eastAsia="仿宋_GB2312"/>
      <w:b/>
      <w:sz w:val="24"/>
      <w:szCs w:val="24"/>
    </w:rPr>
  </w:style>
  <w:style w:type="paragraph" w:customStyle="1" w:styleId="1851">
    <w:name w:val="4标题(治)"/>
    <w:basedOn w:val="1"/>
    <w:next w:val="1"/>
    <w:qFormat/>
    <w:uiPriority w:val="0"/>
    <w:pPr>
      <w:adjustRightInd w:val="0"/>
      <w:snapToGrid w:val="0"/>
      <w:spacing w:line="360" w:lineRule="auto"/>
      <w:outlineLvl w:val="3"/>
    </w:pPr>
    <w:rPr>
      <w:rFonts w:eastAsia="黑体"/>
      <w:kern w:val="0"/>
      <w:sz w:val="28"/>
      <w:szCs w:val="20"/>
    </w:rPr>
  </w:style>
  <w:style w:type="paragraph" w:customStyle="1" w:styleId="1852">
    <w:name w:val="正文文本 25"/>
    <w:basedOn w:val="1"/>
    <w:qFormat/>
    <w:uiPriority w:val="0"/>
    <w:pPr>
      <w:autoSpaceDE w:val="0"/>
      <w:autoSpaceDN w:val="0"/>
      <w:adjustRightInd w:val="0"/>
      <w:spacing w:line="364" w:lineRule="auto"/>
      <w:jc w:val="center"/>
    </w:pPr>
    <w:rPr>
      <w:spacing w:val="10"/>
      <w:kern w:val="10"/>
      <w:sz w:val="24"/>
      <w:szCs w:val="20"/>
    </w:rPr>
  </w:style>
  <w:style w:type="paragraph" w:customStyle="1" w:styleId="1853">
    <w:name w:val="Char Char Char Char Char Char Char7"/>
    <w:basedOn w:val="1"/>
    <w:qFormat/>
    <w:uiPriority w:val="0"/>
    <w:rPr>
      <w:szCs w:val="24"/>
    </w:rPr>
  </w:style>
  <w:style w:type="paragraph" w:customStyle="1" w:styleId="1854">
    <w:name w:val="纯文本6"/>
    <w:basedOn w:val="1"/>
    <w:qFormat/>
    <w:uiPriority w:val="0"/>
    <w:pPr>
      <w:adjustRightInd w:val="0"/>
    </w:pPr>
    <w:rPr>
      <w:rFonts w:ascii="宋体" w:hAnsi="Courier New"/>
      <w:szCs w:val="20"/>
    </w:rPr>
  </w:style>
  <w:style w:type="paragraph" w:customStyle="1" w:styleId="1855">
    <w:name w:val="Char Char Char Char Char Char4"/>
    <w:basedOn w:val="1"/>
    <w:qFormat/>
    <w:uiPriority w:val="0"/>
    <w:rPr>
      <w:szCs w:val="24"/>
    </w:rPr>
  </w:style>
  <w:style w:type="paragraph" w:customStyle="1" w:styleId="1856">
    <w:name w:val="正文5"/>
    <w:basedOn w:val="1"/>
    <w:qFormat/>
    <w:uiPriority w:val="0"/>
    <w:pPr>
      <w:adjustRightInd w:val="0"/>
      <w:spacing w:line="480" w:lineRule="exact"/>
    </w:pPr>
    <w:rPr>
      <w:spacing w:val="-2"/>
      <w:kern w:val="0"/>
      <w:sz w:val="28"/>
      <w:szCs w:val="20"/>
    </w:rPr>
  </w:style>
  <w:style w:type="paragraph" w:customStyle="1" w:styleId="1857">
    <w:name w:val="正文文本 34"/>
    <w:basedOn w:val="1"/>
    <w:qFormat/>
    <w:uiPriority w:val="0"/>
    <w:pPr>
      <w:autoSpaceDE w:val="0"/>
      <w:autoSpaceDN w:val="0"/>
      <w:adjustRightInd w:val="0"/>
      <w:spacing w:line="312" w:lineRule="atLeast"/>
      <w:jc w:val="center"/>
    </w:pPr>
    <w:rPr>
      <w:rFonts w:ascii="楷体" w:eastAsia="楷体"/>
      <w:kern w:val="0"/>
      <w:sz w:val="28"/>
      <w:szCs w:val="20"/>
    </w:rPr>
  </w:style>
  <w:style w:type="paragraph" w:customStyle="1" w:styleId="1858">
    <w:name w:val="Char Char Char1 Char Char Char Char Char Char Char Char Char Char7"/>
    <w:basedOn w:val="1"/>
    <w:qFormat/>
    <w:uiPriority w:val="0"/>
    <w:rPr>
      <w:szCs w:val="24"/>
    </w:rPr>
  </w:style>
  <w:style w:type="paragraph" w:customStyle="1" w:styleId="1859">
    <w:name w:val="Char Char Char Char Char3"/>
    <w:basedOn w:val="1"/>
    <w:qFormat/>
    <w:uiPriority w:val="0"/>
    <w:pPr>
      <w:widowControl/>
      <w:spacing w:after="160" w:line="240" w:lineRule="exact"/>
      <w:jc w:val="left"/>
    </w:pPr>
    <w:rPr>
      <w:rFonts w:ascii="Verdana" w:hAnsi="Verdana"/>
      <w:kern w:val="0"/>
      <w:szCs w:val="20"/>
      <w:lang w:eastAsia="en-US"/>
    </w:rPr>
  </w:style>
  <w:style w:type="paragraph" w:customStyle="1" w:styleId="1860">
    <w:name w:val="Char Char Char Char Char Char Char Char Char Char Char Char Char Char Char Char Char Char3"/>
    <w:basedOn w:val="1"/>
    <w:qFormat/>
    <w:uiPriority w:val="0"/>
    <w:pPr>
      <w:widowControl/>
      <w:spacing w:after="160" w:line="240" w:lineRule="exact"/>
      <w:jc w:val="left"/>
    </w:pPr>
    <w:rPr>
      <w:rFonts w:ascii="Verdana" w:hAnsi="Verdana"/>
      <w:kern w:val="0"/>
      <w:szCs w:val="20"/>
      <w:lang w:eastAsia="en-US"/>
    </w:rPr>
  </w:style>
  <w:style w:type="paragraph" w:customStyle="1" w:styleId="1861">
    <w:name w:val="Char Char Char Char7"/>
    <w:basedOn w:val="1"/>
    <w:qFormat/>
    <w:uiPriority w:val="0"/>
    <w:rPr>
      <w:szCs w:val="20"/>
    </w:rPr>
  </w:style>
  <w:style w:type="paragraph" w:customStyle="1" w:styleId="1862">
    <w:name w:val="Char Char Char Char Char Char Char Char Char Char Char Char1 Char3"/>
    <w:basedOn w:val="1"/>
    <w:qFormat/>
    <w:uiPriority w:val="0"/>
    <w:pPr>
      <w:spacing w:line="360" w:lineRule="auto"/>
      <w:ind w:firstLine="200" w:firstLineChars="200"/>
    </w:pPr>
    <w:rPr>
      <w:rFonts w:ascii="宋体" w:hAnsi="宋体" w:cs="宋体"/>
      <w:sz w:val="24"/>
      <w:szCs w:val="24"/>
    </w:rPr>
  </w:style>
  <w:style w:type="paragraph" w:customStyle="1" w:styleId="1863">
    <w:name w:val="批注框文本4"/>
    <w:basedOn w:val="1"/>
    <w:qFormat/>
    <w:uiPriority w:val="0"/>
    <w:rPr>
      <w:sz w:val="18"/>
      <w:szCs w:val="18"/>
    </w:rPr>
  </w:style>
  <w:style w:type="paragraph" w:customStyle="1" w:styleId="1864">
    <w:name w:val="批注主题4"/>
    <w:basedOn w:val="25"/>
    <w:next w:val="25"/>
    <w:qFormat/>
    <w:uiPriority w:val="0"/>
    <w:rPr>
      <w:rFonts w:eastAsia="Times New Roman"/>
      <w:b/>
      <w:bCs/>
      <w:sz w:val="24"/>
      <w:szCs w:val="24"/>
    </w:rPr>
  </w:style>
  <w:style w:type="paragraph" w:customStyle="1" w:styleId="1865">
    <w:name w:val="Char Char Char Char Char Char Char Char Char13"/>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866">
    <w:name w:val="Char Char Char Char Char Char Char Char Char Char Char Char Char Char Char Char Char Char Char4"/>
    <w:basedOn w:val="1"/>
    <w:qFormat/>
    <w:uiPriority w:val="0"/>
    <w:rPr>
      <w:sz w:val="32"/>
      <w:szCs w:val="32"/>
    </w:rPr>
  </w:style>
  <w:style w:type="paragraph" w:customStyle="1" w:styleId="1867">
    <w:name w:val="字元 字元 Char Char 字元 字元13"/>
    <w:basedOn w:val="1"/>
    <w:qFormat/>
    <w:uiPriority w:val="0"/>
    <w:rPr>
      <w:sz w:val="24"/>
      <w:szCs w:val="24"/>
    </w:rPr>
  </w:style>
  <w:style w:type="paragraph" w:customStyle="1" w:styleId="1868">
    <w:name w:val="表格文字五号"/>
    <w:basedOn w:val="1432"/>
    <w:qFormat/>
    <w:uiPriority w:val="0"/>
    <w:pPr>
      <w:framePr w:wrap="around"/>
      <w:spacing w:afterLines="20"/>
    </w:pPr>
    <w:rPr>
      <w:sz w:val="21"/>
    </w:rPr>
  </w:style>
  <w:style w:type="paragraph" w:customStyle="1" w:styleId="1869">
    <w:name w:val="表格文字小五号"/>
    <w:basedOn w:val="1868"/>
    <w:qFormat/>
    <w:uiPriority w:val="0"/>
    <w:pPr>
      <w:framePr w:wrap="around"/>
    </w:pPr>
    <w:rPr>
      <w:rFonts w:ascii="宋体" w:hAnsi="宋体"/>
      <w:bCs w:val="0"/>
    </w:rPr>
  </w:style>
  <w:style w:type="paragraph" w:customStyle="1" w:styleId="1870">
    <w:name w:val="edri-1).title"/>
    <w:basedOn w:val="1707"/>
    <w:qFormat/>
    <w:uiPriority w:val="0"/>
    <w:pPr>
      <w:tabs>
        <w:tab w:val="left" w:pos="1785"/>
        <w:tab w:val="left" w:pos="2250"/>
        <w:tab w:val="left" w:pos="2520"/>
        <w:tab w:val="clear" w:pos="1139"/>
      </w:tabs>
      <w:ind w:left="4500" w:hanging="420"/>
      <w:outlineLvl w:val="4"/>
    </w:pPr>
  </w:style>
  <w:style w:type="paragraph" w:customStyle="1" w:styleId="1871">
    <w:name w:val="Char Char Char Char Char2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72">
    <w:name w:val="标题1-hao"/>
    <w:next w:val="1"/>
    <w:qFormat/>
    <w:uiPriority w:val="0"/>
    <w:pPr>
      <w:adjustRightInd w:val="0"/>
      <w:snapToGrid w:val="0"/>
      <w:spacing w:line="348" w:lineRule="auto"/>
      <w:outlineLvl w:val="0"/>
    </w:pPr>
    <w:rPr>
      <w:rFonts w:ascii="Times New Roman" w:hAnsi="Times New Roman" w:eastAsia="宋体" w:cs="Times New Roman"/>
      <w:b/>
      <w:kern w:val="28"/>
      <w:sz w:val="28"/>
      <w:szCs w:val="28"/>
      <w:lang w:val="en-US" w:eastAsia="zh-CN" w:bidi="ar-SA"/>
    </w:rPr>
  </w:style>
  <w:style w:type="paragraph" w:customStyle="1" w:styleId="1873">
    <w:name w:val="1 正文"/>
    <w:basedOn w:val="1"/>
    <w:qFormat/>
    <w:uiPriority w:val="0"/>
    <w:pPr>
      <w:adjustRightInd w:val="0"/>
      <w:snapToGrid w:val="0"/>
      <w:spacing w:line="348" w:lineRule="auto"/>
      <w:ind w:firstLine="560" w:firstLineChars="200"/>
    </w:pPr>
    <w:rPr>
      <w:sz w:val="28"/>
      <w:szCs w:val="28"/>
    </w:rPr>
  </w:style>
  <w:style w:type="table" w:customStyle="1" w:styleId="1874">
    <w:name w:val="网格型 51"/>
    <w:basedOn w:val="7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1875">
    <w:name w:val="6 图名格式"/>
    <w:basedOn w:val="1"/>
    <w:qFormat/>
    <w:uiPriority w:val="0"/>
    <w:pPr>
      <w:adjustRightInd w:val="0"/>
      <w:snapToGrid w:val="0"/>
      <w:spacing w:line="348" w:lineRule="auto"/>
      <w:jc w:val="center"/>
    </w:pPr>
    <w:rPr>
      <w:color w:val="000000"/>
      <w:sz w:val="24"/>
      <w:szCs w:val="24"/>
    </w:rPr>
  </w:style>
  <w:style w:type="table" w:customStyle="1" w:styleId="1876">
    <w:name w:val="网格型1"/>
    <w:basedOn w:val="77"/>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表格样式2"/>
    <w:basedOn w:val="77"/>
    <w:qFormat/>
    <w:uiPriority w:val="0"/>
    <w:pPr>
      <w:snapToGrid w:val="0"/>
      <w:jc w:val="center"/>
    </w:pPr>
    <w:rPr>
      <w:rFonts w:eastAsia="仿宋_GB2312"/>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1878">
    <w:name w:val="网格型3"/>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9">
    <w:name w:val="网格型12"/>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网格型31"/>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表格主题1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网格型9"/>
    <w:basedOn w:val="7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883">
    <w:name w:val="网格型6"/>
    <w:basedOn w:val="77"/>
    <w:qFormat/>
    <w:uiPriority w:val="0"/>
    <w:pPr>
      <w:widowControl w:val="0"/>
      <w:adjustRightInd w:val="0"/>
      <w:snapToGrid w:val="0"/>
      <w:spacing w:line="348"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4">
    <w:name w:val="设计院"/>
    <w:basedOn w:val="79"/>
    <w:qFormat/>
    <w:uiPriority w:val="0"/>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1885">
    <w:name w:val="表格-hao"/>
    <w:basedOn w:val="77"/>
    <w:qFormat/>
    <w:uiPriority w:val="0"/>
    <w:pPr>
      <w:adjustRightInd w:val="0"/>
      <w:snapToGrid w:val="0"/>
      <w:spacing w:line="288" w:lineRule="auto"/>
      <w:jc w:val="center"/>
    </w:pPr>
    <w:rPr>
      <w:rFonts w:eastAsia="仿宋_GB231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vAlign w:val="center"/>
    </w:tcPr>
  </w:style>
  <w:style w:type="table" w:customStyle="1" w:styleId="1886">
    <w:name w:val="大纲表格"/>
    <w:basedOn w:val="81"/>
    <w:qFormat/>
    <w:uiPriority w:val="0"/>
    <w:pPr>
      <w:jc w:val="center"/>
    </w:pPr>
    <w:rPr>
      <w:sz w:val="21"/>
    </w:rPr>
    <w:tblPr>
      <w:tblBorders>
        <w:insideH w:val="dotted" w:color="auto" w:sz="4" w:space="0"/>
        <w:insideV w:val="dotted" w:color="auto" w:sz="4" w:space="0"/>
      </w:tblBorders>
    </w:tblPr>
    <w:tcPr>
      <w:vAlign w:val="center"/>
    </w:tcPr>
    <w:tblStylePr w:type="firstRow">
      <w:rPr>
        <w:rFonts w:hint="default" w:ascii="Times New Roman" w:hAnsi="Times New Roman" w:eastAsia="Batang" w:cs="Times New Roman"/>
        <w:b w:val="0"/>
        <w:sz w:val="21"/>
        <w:szCs w:val="21"/>
      </w:rPr>
      <w:tcPr>
        <w:tcBorders>
          <w:top w:val="single" w:color="008000" w:sz="12" w:space="0"/>
          <w:left w:val="nil"/>
          <w:bottom w:val="single" w:color="008000" w:sz="8" w:space="0"/>
          <w:right w:val="nil"/>
          <w:insideH w:val="nil"/>
          <w:insideV w:val="nil"/>
          <w:tl2br w:val="nil"/>
          <w:tr2bl w:val="nil"/>
        </w:tcBorders>
        <w:shd w:val="clear" w:color="auto" w:fill="E0E0E0"/>
      </w:tcPr>
    </w:tblStylePr>
    <w:tblStylePr w:type="lastRow">
      <w:tcPr>
        <w:tcBorders>
          <w:top w:val="dotted" w:color="auto" w:sz="4" w:space="0"/>
          <w:left w:val="nil"/>
          <w:bottom w:val="nil"/>
          <w:right w:val="nil"/>
          <w:insideH w:val="nil"/>
          <w:insideV w:val="nil"/>
          <w:tl2br w:val="nil"/>
          <w:tr2bl w:val="nil"/>
        </w:tcBorders>
      </w:tcPr>
    </w:tblStylePr>
  </w:style>
  <w:style w:type="table" w:customStyle="1" w:styleId="1887">
    <w:name w:val="网格型32"/>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8">
    <w:name w:val="采用网格型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9">
    <w:name w:val="网格型11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网格型 54"/>
    <w:basedOn w:val="7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91">
    <w:name w:val="网格型81"/>
    <w:basedOn w:val="7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892">
    <w:name w:val="网格型22"/>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894">
    <w:name w:val="hy-表格1"/>
    <w:basedOn w:val="77"/>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5">
    <w:name w:val="hy-表格2"/>
    <w:basedOn w:val="77"/>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网格型11"/>
    <w:basedOn w:val="77"/>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网格型2"/>
    <w:basedOn w:val="77"/>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cisdi表格1"/>
    <w:basedOn w:val="77"/>
    <w:qFormat/>
    <w:uiPriority w:val="0"/>
    <w:pPr>
      <w:widowControl w:val="0"/>
      <w:jc w:val="center"/>
    </w:pPr>
    <w:rPr>
      <w:sz w:val="21"/>
      <w:szCs w:val="21"/>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cPr>
      <w:vAlign w:val="center"/>
    </w:tcPr>
    <w:tblStylePr w:type="firstRow">
      <w:rPr>
        <w:rFonts w:hint="default" w:ascii="Times New Roman" w:hAnsi="Times New Roman" w:eastAsia="System" w:cs="Times New Roman"/>
        <w:sz w:val="21"/>
        <w:szCs w:val="21"/>
      </w:rPr>
    </w:tblStylePr>
  </w:style>
  <w:style w:type="table" w:customStyle="1" w:styleId="1899">
    <w:name w:val="hy-表格11"/>
    <w:basedOn w:val="7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00">
    <w:name w:val="表格主题1"/>
    <w:basedOn w:val="77"/>
    <w:qFormat/>
    <w:uiPriority w:val="0"/>
    <w:pPr>
      <w:widowControl w:val="0"/>
      <w:spacing w:line="240" w:lineRule="exact"/>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1901">
    <w:name w:val="hy-表格21"/>
    <w:basedOn w:val="7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02">
    <w:name w:val="网格型21"/>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表格样式1"/>
    <w:basedOn w:val="77"/>
    <w:qFormat/>
    <w:uiPriority w:val="0"/>
    <w:pPr>
      <w:snapToGrid w:val="0"/>
      <w:jc w:val="center"/>
    </w:pPr>
    <w:rPr>
      <w:rFonts w:eastAsia="仿宋_GB2312"/>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customStyle="1" w:styleId="1904">
    <w:name w:val="标题 1 字符1"/>
    <w:qFormat/>
    <w:uiPriority w:val="0"/>
    <w:rPr>
      <w:rFonts w:ascii="Times New Roman" w:hAnsi="Times New Roman" w:eastAsia="宋体" w:cs="Times New Roman"/>
      <w:b/>
      <w:bCs/>
      <w:kern w:val="44"/>
      <w:sz w:val="44"/>
      <w:szCs w:val="44"/>
    </w:rPr>
  </w:style>
  <w:style w:type="table" w:customStyle="1" w:styleId="1905">
    <w:name w:val="网格型4"/>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网格型5"/>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网格型 511"/>
    <w:basedOn w:val="77"/>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08">
    <w:name w:val="网格型7"/>
    <w:basedOn w:val="77"/>
    <w:qFormat/>
    <w:uiPriority w:val="0"/>
    <w:pPr>
      <w:widowControl w:val="0"/>
      <w:adjustRightInd w:val="0"/>
      <w:snapToGrid w:val="0"/>
      <w:spacing w:line="348"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9">
    <w:name w:val="网格型 52"/>
    <w:basedOn w:val="77"/>
    <w:qFormat/>
    <w:uiPriority w:val="0"/>
    <w:pPr>
      <w:widowControl w:val="0"/>
      <w:adjustRightInd w:val="0"/>
      <w:spacing w:line="288" w:lineRule="auto"/>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0">
    <w:name w:val="网格型8"/>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网格型 521"/>
    <w:basedOn w:val="77"/>
    <w:qFormat/>
    <w:uiPriority w:val="0"/>
    <w:pPr>
      <w:widowControl w:val="0"/>
      <w:adjustRightInd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2">
    <w:name w:val="网格型 5211"/>
    <w:basedOn w:val="77"/>
    <w:qFormat/>
    <w:uiPriority w:val="0"/>
    <w:pPr>
      <w:widowControl w:val="0"/>
      <w:adjustRightInd w:val="0"/>
      <w:spacing w:line="288" w:lineRule="auto"/>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3">
    <w:name w:val="表格样式-郝电"/>
    <w:basedOn w:val="77"/>
    <w:qFormat/>
    <w:uiPriority w:val="0"/>
    <w:pPr>
      <w:snapToGrid w:val="0"/>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914">
    <w:name w:val="表格边框-hao"/>
    <w:basedOn w:val="77"/>
    <w:qFormat/>
    <w:uiPriority w:val="0"/>
    <w:pPr>
      <w:snapToGrid w:val="0"/>
      <w:jc w:val="center"/>
    </w:pPr>
    <w:rPr>
      <w:rFonts w:eastAsia="仿宋_GB231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915">
    <w:name w:val="网格型 53"/>
    <w:basedOn w:val="77"/>
    <w:qFormat/>
    <w:uiPriority w:val="0"/>
    <w:pPr>
      <w:widowControl w:val="0"/>
      <w:adjustRightInd w:val="0"/>
      <w:snapToGrid w:val="0"/>
      <w:spacing w:line="288" w:lineRule="auto"/>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6">
    <w:name w:val="网格型 55"/>
    <w:basedOn w:val="77"/>
    <w:qFormat/>
    <w:uiPriority w:val="0"/>
    <w:pPr>
      <w:widowControl w:val="0"/>
      <w:adjustRightInd w:val="0"/>
      <w:snapToGrid w:val="0"/>
      <w:spacing w:line="348"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7">
    <w:name w:val="大纲表格1"/>
    <w:basedOn w:val="81"/>
    <w:qFormat/>
    <w:uiPriority w:val="0"/>
    <w:pPr>
      <w:jc w:val="center"/>
    </w:pPr>
    <w:rPr>
      <w:sz w:val="21"/>
    </w:rPr>
    <w:tblPr>
      <w:tblBorders>
        <w:insideH w:val="dotted" w:color="auto" w:sz="4" w:space="0"/>
        <w:insideV w:val="dotted" w:color="auto" w:sz="4" w:space="0"/>
      </w:tblBorders>
    </w:tblPr>
    <w:tcPr>
      <w:vAlign w:val="center"/>
    </w:tcPr>
    <w:tblStylePr w:type="firstRow">
      <w:rPr>
        <w:rFonts w:hint="default" w:ascii="Times New Roman" w:hAnsi="Times New Roman" w:eastAsia="Batang" w:cs="Times New Roman"/>
        <w:b w:val="0"/>
        <w:sz w:val="21"/>
        <w:szCs w:val="21"/>
      </w:rPr>
      <w:tcPr>
        <w:tcBorders>
          <w:top w:val="single" w:color="008000" w:sz="12" w:space="0"/>
          <w:left w:val="nil"/>
          <w:bottom w:val="single" w:color="008000" w:sz="8" w:space="0"/>
          <w:right w:val="nil"/>
          <w:insideH w:val="nil"/>
          <w:insideV w:val="nil"/>
          <w:tl2br w:val="nil"/>
          <w:tr2bl w:val="nil"/>
        </w:tcBorders>
        <w:shd w:val="clear" w:color="auto" w:fill="E0E0E0"/>
      </w:tcPr>
    </w:tblStylePr>
    <w:tblStylePr w:type="lastRow">
      <w:tcPr>
        <w:tcBorders>
          <w:top w:val="dotted" w:color="auto" w:sz="4" w:space="0"/>
          <w:left w:val="nil"/>
          <w:bottom w:val="nil"/>
          <w:right w:val="nil"/>
          <w:insideH w:val="nil"/>
          <w:insideV w:val="nil"/>
          <w:tl2br w:val="nil"/>
          <w:tr2bl w:val="nil"/>
        </w:tcBorders>
      </w:tcPr>
    </w:tblStylePr>
  </w:style>
  <w:style w:type="paragraph" w:customStyle="1" w:styleId="1918">
    <w:name w:val="Char Char18 Char Char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919">
    <w:name w:val="Char Char185"/>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1920">
    <w:name w:val="批注文字 Char2"/>
    <w:qFormat/>
    <w:uiPriority w:val="0"/>
    <w:rPr>
      <w:kern w:val="2"/>
      <w:sz w:val="24"/>
      <w:szCs w:val="24"/>
    </w:rPr>
  </w:style>
  <w:style w:type="paragraph" w:customStyle="1" w:styleId="1921">
    <w:name w:val="南大梁1.1.1.1-1标题"/>
    <w:basedOn w:val="1"/>
    <w:qFormat/>
    <w:uiPriority w:val="0"/>
    <w:pPr>
      <w:spacing w:before="60" w:after="60" w:line="360" w:lineRule="auto"/>
    </w:pPr>
    <w:rPr>
      <w:rFonts w:ascii="黑体" w:hAnsi="宋体" w:eastAsia="黑体"/>
      <w:sz w:val="24"/>
      <w:szCs w:val="24"/>
    </w:rPr>
  </w:style>
  <w:style w:type="paragraph" w:customStyle="1" w:styleId="1922">
    <w:name w:val="2"/>
    <w:basedOn w:val="1"/>
    <w:next w:val="32"/>
    <w:qFormat/>
    <w:uiPriority w:val="0"/>
    <w:pPr>
      <w:spacing w:line="440" w:lineRule="exact"/>
      <w:ind w:left="902" w:firstLine="480" w:firstLineChars="200"/>
    </w:pPr>
    <w:rPr>
      <w:rFonts w:ascii="宋体" w:hAnsi="宋体"/>
      <w:sz w:val="24"/>
      <w:szCs w:val="20"/>
    </w:rPr>
  </w:style>
  <w:style w:type="paragraph" w:customStyle="1" w:styleId="1923">
    <w:name w:val="文章"/>
    <w:link w:val="1924"/>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character" w:customStyle="1" w:styleId="1924">
    <w:name w:val="文章 Char"/>
    <w:link w:val="1923"/>
    <w:qFormat/>
    <w:uiPriority w:val="0"/>
    <w:rPr>
      <w:rFonts w:ascii="Century Gothic" w:hAnsi="Century Gothic"/>
      <w:kern w:val="2"/>
      <w:sz w:val="26"/>
      <w:szCs w:val="26"/>
    </w:rPr>
  </w:style>
  <w:style w:type="character" w:customStyle="1" w:styleId="1925">
    <w:name w:val="文章 Char Char"/>
    <w:qFormat/>
    <w:uiPriority w:val="0"/>
    <w:rPr>
      <w:rFonts w:ascii="Century Gothic" w:hAnsi="Century Gothic"/>
      <w:kern w:val="2"/>
      <w:sz w:val="26"/>
      <w:szCs w:val="26"/>
    </w:rPr>
  </w:style>
  <w:style w:type="character" w:customStyle="1" w:styleId="1926">
    <w:name w:val="样式 样式 xns表格 + 行距: 最小值 0 磅 + 蓝色 Char"/>
    <w:link w:val="1927"/>
    <w:qFormat/>
    <w:uiPriority w:val="0"/>
    <w:rPr>
      <w:rFonts w:ascii="宋体" w:hAnsi="宋体" w:cs="宋体"/>
      <w:color w:val="0000FF"/>
      <w:sz w:val="21"/>
    </w:rPr>
  </w:style>
  <w:style w:type="paragraph" w:customStyle="1" w:styleId="1927">
    <w:name w:val="样式 样式 xns表格 + 行距: 最小值 0 磅 + 蓝色"/>
    <w:basedOn w:val="1928"/>
    <w:link w:val="1926"/>
    <w:qFormat/>
    <w:uiPriority w:val="0"/>
    <w:rPr>
      <w:color w:val="0000FF"/>
    </w:rPr>
  </w:style>
  <w:style w:type="paragraph" w:customStyle="1" w:styleId="1928">
    <w:name w:val="样式 xns表格 + 行距: 最小值 0 磅"/>
    <w:basedOn w:val="1"/>
    <w:link w:val="1929"/>
    <w:qFormat/>
    <w:uiPriority w:val="0"/>
    <w:pPr>
      <w:spacing w:line="0" w:lineRule="atLeast"/>
      <w:jc w:val="center"/>
    </w:pPr>
    <w:rPr>
      <w:rFonts w:ascii="宋体" w:hAnsi="宋体" w:cs="宋体"/>
      <w:color w:val="FF00FF"/>
      <w:kern w:val="0"/>
      <w:szCs w:val="20"/>
    </w:rPr>
  </w:style>
  <w:style w:type="character" w:customStyle="1" w:styleId="1929">
    <w:name w:val="样式 xns表格 + 行距: 最小值 0 磅 Char"/>
    <w:link w:val="1928"/>
    <w:qFormat/>
    <w:uiPriority w:val="0"/>
    <w:rPr>
      <w:rFonts w:ascii="宋体" w:hAnsi="宋体" w:cs="宋体"/>
      <w:color w:val="FF00FF"/>
      <w:sz w:val="21"/>
    </w:rPr>
  </w:style>
  <w:style w:type="paragraph" w:customStyle="1" w:styleId="1930">
    <w:name w:val="表头"/>
    <w:basedOn w:val="1"/>
    <w:next w:val="1"/>
    <w:link w:val="1931"/>
    <w:qFormat/>
    <w:uiPriority w:val="0"/>
    <w:pPr>
      <w:numPr>
        <w:ilvl w:val="0"/>
        <w:numId w:val="4"/>
      </w:numPr>
      <w:adjustRightInd w:val="0"/>
      <w:snapToGrid w:val="0"/>
      <w:spacing w:before="120" w:line="240" w:lineRule="atLeast"/>
      <w:jc w:val="center"/>
    </w:pPr>
    <w:rPr>
      <w:rFonts w:ascii="Century Gothic" w:hAnsi="Century Gothic"/>
      <w:spacing w:val="2"/>
      <w:sz w:val="26"/>
      <w:szCs w:val="26"/>
      <w:lang w:val="zh-CN"/>
    </w:rPr>
  </w:style>
  <w:style w:type="character" w:customStyle="1" w:styleId="1931">
    <w:name w:val="表头 Char"/>
    <w:link w:val="1930"/>
    <w:qFormat/>
    <w:uiPriority w:val="0"/>
    <w:rPr>
      <w:rFonts w:ascii="Century Gothic" w:hAnsi="Century Gothic"/>
      <w:spacing w:val="2"/>
      <w:kern w:val="2"/>
      <w:sz w:val="26"/>
      <w:szCs w:val="26"/>
      <w:lang w:val="zh-CN" w:eastAsia="zh-CN"/>
    </w:rPr>
  </w:style>
  <w:style w:type="character" w:customStyle="1" w:styleId="1932">
    <w:name w:val="样式1 Char1"/>
    <w:qFormat/>
    <w:uiPriority w:val="0"/>
    <w:rPr>
      <w:rFonts w:ascii="宋体" w:hAnsi="Tms Rmn" w:eastAsia="宋体"/>
      <w:color w:val="000000"/>
      <w:sz w:val="24"/>
      <w:lang w:val="en-US" w:eastAsia="zh-CN" w:bidi="ar-SA"/>
    </w:rPr>
  </w:style>
  <w:style w:type="character" w:customStyle="1" w:styleId="1933">
    <w:name w:val="！表格 Char Char"/>
    <w:qFormat/>
    <w:uiPriority w:val="0"/>
    <w:rPr>
      <w:rFonts w:ascii="宋体" w:hAnsi="宋体" w:eastAsia="宋体"/>
      <w:color w:val="000000"/>
      <w:sz w:val="21"/>
      <w:szCs w:val="21"/>
      <w:u w:color="000000"/>
      <w:lang w:val="en-US" w:eastAsia="zh-CN" w:bidi="ar-SA"/>
    </w:rPr>
  </w:style>
  <w:style w:type="character" w:customStyle="1" w:styleId="1934">
    <w:name w:val="表格2 Char"/>
    <w:link w:val="1041"/>
    <w:qFormat/>
    <w:uiPriority w:val="0"/>
    <w:rPr>
      <w:rFonts w:ascii="Times New Roman" w:hAnsi="Times New Roman"/>
      <w:color w:val="000000"/>
      <w:kern w:val="2"/>
      <w:sz w:val="21"/>
    </w:rPr>
  </w:style>
  <w:style w:type="character" w:customStyle="1" w:styleId="1935">
    <w:name w:val="0正文 Char"/>
    <w:link w:val="250"/>
    <w:qFormat/>
    <w:uiPriority w:val="0"/>
    <w:rPr>
      <w:rFonts w:ascii="Times New Roman" w:hAnsi="Times New Roman" w:cs="宋体"/>
      <w:kern w:val="2"/>
      <w:sz w:val="24"/>
      <w:szCs w:val="22"/>
    </w:rPr>
  </w:style>
  <w:style w:type="character" w:customStyle="1" w:styleId="1936">
    <w:name w:val="表体（居中） Char Char"/>
    <w:link w:val="1937"/>
    <w:qFormat/>
    <w:uiPriority w:val="0"/>
    <w:rPr>
      <w:sz w:val="21"/>
      <w:szCs w:val="28"/>
      <w:lang w:val="en-US" w:eastAsia="zh-CN"/>
    </w:rPr>
  </w:style>
  <w:style w:type="paragraph" w:customStyle="1" w:styleId="1937">
    <w:name w:val="表体（居中）"/>
    <w:basedOn w:val="1"/>
    <w:next w:val="1"/>
    <w:link w:val="1936"/>
    <w:qFormat/>
    <w:uiPriority w:val="0"/>
    <w:pPr>
      <w:tabs>
        <w:tab w:val="left" w:pos="2760"/>
      </w:tabs>
      <w:snapToGrid w:val="0"/>
      <w:jc w:val="center"/>
      <w:textAlignment w:val="center"/>
    </w:pPr>
    <w:rPr>
      <w:kern w:val="0"/>
      <w:szCs w:val="28"/>
    </w:rPr>
  </w:style>
  <w:style w:type="paragraph" w:customStyle="1" w:styleId="1938">
    <w:name w:val="6表内文字 居中"/>
    <w:basedOn w:val="1"/>
    <w:qFormat/>
    <w:uiPriority w:val="0"/>
    <w:pPr>
      <w:adjustRightInd w:val="0"/>
      <w:spacing w:line="240" w:lineRule="atLeast"/>
      <w:jc w:val="center"/>
      <w:textAlignment w:val="baseline"/>
    </w:pPr>
    <w:rPr>
      <w:spacing w:val="4"/>
      <w:kern w:val="0"/>
      <w:szCs w:val="24"/>
    </w:rPr>
  </w:style>
  <w:style w:type="character" w:customStyle="1" w:styleId="1939">
    <w:name w:val="！表标题 Char Char"/>
    <w:link w:val="1940"/>
    <w:qFormat/>
    <w:uiPriority w:val="0"/>
    <w:rPr>
      <w:rFonts w:ascii="黑体" w:eastAsia="黑体"/>
      <w:color w:val="000000"/>
      <w:kern w:val="2"/>
      <w:sz w:val="24"/>
      <w:szCs w:val="24"/>
      <w:u w:color="000000"/>
    </w:rPr>
  </w:style>
  <w:style w:type="paragraph" w:customStyle="1" w:styleId="1940">
    <w:name w:val="！表标题"/>
    <w:basedOn w:val="1"/>
    <w:link w:val="1939"/>
    <w:qFormat/>
    <w:uiPriority w:val="0"/>
    <w:pPr>
      <w:snapToGrid w:val="0"/>
      <w:spacing w:before="156" w:beforeLines="50" w:after="156" w:afterLines="50" w:line="336" w:lineRule="auto"/>
      <w:jc w:val="center"/>
      <w:textAlignment w:val="baseline"/>
      <w:outlineLvl w:val="4"/>
    </w:pPr>
    <w:rPr>
      <w:rFonts w:ascii="黑体" w:eastAsia="黑体"/>
      <w:color w:val="000000"/>
      <w:sz w:val="24"/>
      <w:szCs w:val="24"/>
      <w:u w:color="000000"/>
    </w:rPr>
  </w:style>
  <w:style w:type="character" w:customStyle="1" w:styleId="1941">
    <w:name w:val="!表格标题（alt+h） Char1"/>
    <w:link w:val="1942"/>
    <w:qFormat/>
    <w:uiPriority w:val="0"/>
    <w:rPr>
      <w:rFonts w:hAnsi="宋体" w:eastAsia="黑体"/>
      <w:sz w:val="24"/>
      <w:szCs w:val="24"/>
    </w:rPr>
  </w:style>
  <w:style w:type="paragraph" w:customStyle="1" w:styleId="1942">
    <w:name w:val="!表格标题（alt+h）"/>
    <w:basedOn w:val="1"/>
    <w:next w:val="1"/>
    <w:link w:val="1941"/>
    <w:qFormat/>
    <w:uiPriority w:val="0"/>
    <w:pPr>
      <w:spacing w:before="156" w:beforeLines="50" w:after="78" w:afterLines="25" w:line="300" w:lineRule="auto"/>
      <w:jc w:val="center"/>
      <w:outlineLvl w:val="4"/>
    </w:pPr>
    <w:rPr>
      <w:rFonts w:hAnsi="宋体" w:eastAsia="黑体"/>
      <w:kern w:val="0"/>
      <w:sz w:val="24"/>
      <w:szCs w:val="24"/>
    </w:rPr>
  </w:style>
  <w:style w:type="paragraph" w:customStyle="1" w:styleId="1943">
    <w:name w:val="样式 表格名称 + 首行缩进:  0.85 厘米"/>
    <w:basedOn w:val="884"/>
    <w:qFormat/>
    <w:uiPriority w:val="99"/>
    <w:pPr>
      <w:spacing w:line="500" w:lineRule="exact"/>
      <w:ind w:firstLine="0" w:firstLineChars="0"/>
    </w:pPr>
    <w:rPr>
      <w:rFonts w:cs="宋体"/>
      <w:color w:val="0000FF"/>
    </w:rPr>
  </w:style>
  <w:style w:type="paragraph" w:customStyle="1" w:styleId="1944">
    <w:name w:val="正文 lsp"/>
    <w:basedOn w:val="1"/>
    <w:link w:val="1945"/>
    <w:qFormat/>
    <w:uiPriority w:val="0"/>
    <w:pPr>
      <w:spacing w:line="360" w:lineRule="auto"/>
      <w:ind w:firstLine="480" w:firstLineChars="200"/>
    </w:pPr>
    <w:rPr>
      <w:rFonts w:ascii="宋体"/>
      <w:sz w:val="24"/>
      <w:szCs w:val="24"/>
      <w:lang w:val="zh-CN"/>
    </w:rPr>
  </w:style>
  <w:style w:type="character" w:customStyle="1" w:styleId="1945">
    <w:name w:val="正文 lsp Char"/>
    <w:link w:val="1944"/>
    <w:qFormat/>
    <w:uiPriority w:val="0"/>
    <w:rPr>
      <w:rFonts w:ascii="宋体" w:hAnsi="Times New Roman"/>
      <w:kern w:val="2"/>
      <w:sz w:val="24"/>
      <w:szCs w:val="24"/>
      <w:lang w:val="zh-CN" w:eastAsia="zh-CN"/>
    </w:rPr>
  </w:style>
  <w:style w:type="paragraph" w:customStyle="1" w:styleId="1946">
    <w:name w:val="表中内容"/>
    <w:basedOn w:val="1"/>
    <w:qFormat/>
    <w:uiPriority w:val="0"/>
    <w:pPr>
      <w:jc w:val="left"/>
    </w:pPr>
    <w:rPr>
      <w:szCs w:val="24"/>
    </w:rPr>
  </w:style>
  <w:style w:type="character" w:customStyle="1" w:styleId="1947">
    <w:name w:val="样式 样式 正文首行缩进 + 首行缩进:  1 字符 + 宋体 Char Char"/>
    <w:link w:val="1948"/>
    <w:qFormat/>
    <w:uiPriority w:val="0"/>
    <w:rPr>
      <w:rFonts w:ascii="宋体" w:hAnsi="宋体"/>
      <w:color w:val="0000FF"/>
      <w:kern w:val="2"/>
      <w:sz w:val="24"/>
    </w:rPr>
  </w:style>
  <w:style w:type="paragraph" w:customStyle="1" w:styleId="1948">
    <w:name w:val="样式 样式 正文首行缩进 + 首行缩进:  1 字符 + 宋体"/>
    <w:basedOn w:val="1"/>
    <w:link w:val="1947"/>
    <w:qFormat/>
    <w:uiPriority w:val="0"/>
    <w:pPr>
      <w:spacing w:line="460" w:lineRule="exact"/>
      <w:ind w:firstLine="480" w:firstLineChars="200"/>
      <w:jc w:val="left"/>
    </w:pPr>
    <w:rPr>
      <w:rFonts w:ascii="宋体" w:hAnsi="宋体"/>
      <w:color w:val="0000FF"/>
      <w:sz w:val="24"/>
      <w:szCs w:val="20"/>
    </w:rPr>
  </w:style>
  <w:style w:type="character" w:customStyle="1" w:styleId="1949">
    <w:name w:val="签名 字符"/>
    <w:qFormat/>
    <w:uiPriority w:val="0"/>
    <w:rPr>
      <w:kern w:val="2"/>
      <w:sz w:val="21"/>
      <w:szCs w:val="22"/>
    </w:rPr>
  </w:style>
  <w:style w:type="character" w:customStyle="1" w:styleId="1950">
    <w:name w:val="签名 字符2"/>
    <w:link w:val="52"/>
    <w:qFormat/>
    <w:uiPriority w:val="0"/>
    <w:rPr>
      <w:rFonts w:ascii="Times New Roman" w:hAnsi="Times New Roman"/>
      <w:kern w:val="2"/>
      <w:sz w:val="21"/>
      <w:szCs w:val="21"/>
    </w:rPr>
  </w:style>
  <w:style w:type="paragraph" w:customStyle="1" w:styleId="1951">
    <w:name w:val="Char Char27"/>
    <w:basedOn w:val="1"/>
    <w:qFormat/>
    <w:uiPriority w:val="0"/>
    <w:pPr>
      <w:adjustRightInd w:val="0"/>
      <w:snapToGrid w:val="0"/>
      <w:spacing w:line="360" w:lineRule="auto"/>
      <w:ind w:firstLine="200" w:firstLineChars="200"/>
    </w:pPr>
    <w:rPr>
      <w:szCs w:val="24"/>
    </w:rPr>
  </w:style>
  <w:style w:type="character" w:customStyle="1" w:styleId="1952">
    <w:name w:val="批注文字 字符"/>
    <w:qFormat/>
    <w:uiPriority w:val="99"/>
    <w:rPr>
      <w:rFonts w:ascii="Calibri" w:hAnsi="Calibri" w:eastAsia="宋体"/>
      <w:kern w:val="2"/>
      <w:sz w:val="21"/>
      <w:szCs w:val="22"/>
      <w:lang w:val="en-US" w:eastAsia="zh-CN" w:bidi="ar-SA"/>
    </w:rPr>
  </w:style>
  <w:style w:type="paragraph" w:customStyle="1" w:styleId="1953">
    <w:name w:val="yxp_正文段落"/>
    <w:basedOn w:val="1"/>
    <w:qFormat/>
    <w:uiPriority w:val="0"/>
    <w:pPr>
      <w:tabs>
        <w:tab w:val="center" w:pos="6804"/>
        <w:tab w:val="right" w:pos="7371"/>
      </w:tabs>
      <w:spacing w:line="360" w:lineRule="auto"/>
      <w:ind w:firstLine="200" w:firstLineChars="200"/>
    </w:pPr>
    <w:rPr>
      <w:sz w:val="28"/>
      <w:szCs w:val="20"/>
    </w:rPr>
  </w:style>
  <w:style w:type="character" w:customStyle="1" w:styleId="1954">
    <w:name w:val="Char Char161"/>
    <w:qFormat/>
    <w:uiPriority w:val="0"/>
    <w:rPr>
      <w:rFonts w:eastAsia="仿宋_GB2312" w:cs="宋体"/>
      <w:sz w:val="32"/>
      <w:szCs w:val="24"/>
      <w:lang w:val="zh-CN" w:eastAsia="zh-CN" w:bidi="ar-SA"/>
    </w:rPr>
  </w:style>
  <w:style w:type="character" w:customStyle="1" w:styleId="1955">
    <w:name w:val="页眉 字符"/>
    <w:qFormat/>
    <w:uiPriority w:val="99"/>
    <w:rPr>
      <w:rFonts w:ascii="Calibri" w:hAnsi="Calibri"/>
      <w:kern w:val="2"/>
      <w:sz w:val="18"/>
      <w:szCs w:val="18"/>
    </w:rPr>
  </w:style>
  <w:style w:type="character" w:customStyle="1" w:styleId="1956">
    <w:name w:val="页脚 字符"/>
    <w:qFormat/>
    <w:uiPriority w:val="99"/>
    <w:rPr>
      <w:rFonts w:ascii="Calibri" w:hAnsi="Calibri"/>
      <w:kern w:val="2"/>
      <w:sz w:val="18"/>
      <w:szCs w:val="18"/>
    </w:rPr>
  </w:style>
  <w:style w:type="character" w:customStyle="1" w:styleId="1957">
    <w:name w:val="纯文本 字符"/>
    <w:qFormat/>
    <w:uiPriority w:val="0"/>
    <w:rPr>
      <w:rFonts w:ascii="宋体" w:hAnsi="Courier New" w:cs="Courier New"/>
      <w:kern w:val="2"/>
      <w:sz w:val="21"/>
      <w:szCs w:val="21"/>
    </w:rPr>
  </w:style>
  <w:style w:type="character" w:customStyle="1" w:styleId="1958">
    <w:name w:val="标题 1 字符"/>
    <w:qFormat/>
    <w:uiPriority w:val="9"/>
    <w:rPr>
      <w:rFonts w:ascii="Calibri" w:hAnsi="Calibri"/>
      <w:b/>
      <w:bCs/>
      <w:kern w:val="44"/>
      <w:sz w:val="44"/>
      <w:szCs w:val="44"/>
    </w:rPr>
  </w:style>
  <w:style w:type="character" w:customStyle="1" w:styleId="1959">
    <w:name w:val="标题 2 字符"/>
    <w:qFormat/>
    <w:uiPriority w:val="9"/>
    <w:rPr>
      <w:rFonts w:ascii="等线 Light" w:hAnsi="等线 Light" w:eastAsia="等线 Light" w:cs="Times New Roman"/>
      <w:b/>
      <w:bCs/>
      <w:kern w:val="2"/>
      <w:sz w:val="32"/>
      <w:szCs w:val="32"/>
    </w:rPr>
  </w:style>
  <w:style w:type="character" w:customStyle="1" w:styleId="1960">
    <w:name w:val="标题 4 字符"/>
    <w:qFormat/>
    <w:uiPriority w:val="0"/>
    <w:rPr>
      <w:rFonts w:ascii="等线 Light" w:hAnsi="等线 Light" w:eastAsia="等线 Light" w:cs="Times New Roman"/>
      <w:b/>
      <w:bCs/>
      <w:kern w:val="2"/>
      <w:sz w:val="28"/>
      <w:szCs w:val="28"/>
    </w:rPr>
  </w:style>
  <w:style w:type="character" w:customStyle="1" w:styleId="1961">
    <w:name w:val="标题 5 字符"/>
    <w:semiHidden/>
    <w:qFormat/>
    <w:uiPriority w:val="0"/>
    <w:rPr>
      <w:rFonts w:ascii="Calibri" w:hAnsi="Calibri"/>
      <w:b/>
      <w:bCs/>
      <w:kern w:val="2"/>
      <w:sz w:val="28"/>
      <w:szCs w:val="28"/>
    </w:rPr>
  </w:style>
  <w:style w:type="character" w:customStyle="1" w:styleId="1962">
    <w:name w:val="标题 6 字符"/>
    <w:semiHidden/>
    <w:qFormat/>
    <w:uiPriority w:val="0"/>
    <w:rPr>
      <w:rFonts w:ascii="等线 Light" w:hAnsi="等线 Light" w:eastAsia="等线 Light" w:cs="Times New Roman"/>
      <w:b/>
      <w:bCs/>
      <w:kern w:val="2"/>
      <w:sz w:val="24"/>
      <w:szCs w:val="24"/>
    </w:rPr>
  </w:style>
  <w:style w:type="character" w:customStyle="1" w:styleId="1963">
    <w:name w:val="标题 7 字符"/>
    <w:semiHidden/>
    <w:qFormat/>
    <w:uiPriority w:val="0"/>
    <w:rPr>
      <w:rFonts w:ascii="Calibri" w:hAnsi="Calibri"/>
      <w:b/>
      <w:bCs/>
      <w:kern w:val="2"/>
      <w:sz w:val="24"/>
      <w:szCs w:val="24"/>
    </w:rPr>
  </w:style>
  <w:style w:type="character" w:customStyle="1" w:styleId="1964">
    <w:name w:val="标题 8 字符"/>
    <w:semiHidden/>
    <w:qFormat/>
    <w:uiPriority w:val="0"/>
    <w:rPr>
      <w:rFonts w:ascii="等线 Light" w:hAnsi="等线 Light" w:eastAsia="等线 Light" w:cs="Times New Roman"/>
      <w:kern w:val="2"/>
      <w:sz w:val="24"/>
      <w:szCs w:val="24"/>
    </w:rPr>
  </w:style>
  <w:style w:type="character" w:customStyle="1" w:styleId="1965">
    <w:name w:val="标题 9 字符"/>
    <w:semiHidden/>
    <w:qFormat/>
    <w:uiPriority w:val="0"/>
    <w:rPr>
      <w:rFonts w:ascii="等线 Light" w:hAnsi="等线 Light" w:eastAsia="等线 Light" w:cs="Times New Roman"/>
      <w:kern w:val="2"/>
      <w:sz w:val="21"/>
      <w:szCs w:val="21"/>
    </w:rPr>
  </w:style>
  <w:style w:type="paragraph" w:customStyle="1" w:styleId="1966">
    <w:name w:val="15"/>
    <w:basedOn w:val="1"/>
    <w:next w:val="197"/>
    <w:qFormat/>
    <w:uiPriority w:val="34"/>
    <w:pPr>
      <w:ind w:firstLine="420" w:firstLineChars="200"/>
    </w:pPr>
  </w:style>
  <w:style w:type="character" w:customStyle="1" w:styleId="1967">
    <w:name w:val="正文文本 字符"/>
    <w:qFormat/>
    <w:uiPriority w:val="0"/>
    <w:rPr>
      <w:rFonts w:ascii="Calibri" w:hAnsi="Calibri"/>
      <w:kern w:val="2"/>
      <w:sz w:val="21"/>
      <w:szCs w:val="22"/>
    </w:rPr>
  </w:style>
  <w:style w:type="character" w:customStyle="1" w:styleId="1968">
    <w:name w:val="正文文本首行缩进 字符"/>
    <w:basedOn w:val="1967"/>
    <w:qFormat/>
    <w:uiPriority w:val="0"/>
    <w:rPr>
      <w:rFonts w:ascii="Calibri" w:hAnsi="Calibri"/>
      <w:kern w:val="2"/>
      <w:sz w:val="21"/>
      <w:szCs w:val="22"/>
    </w:rPr>
  </w:style>
  <w:style w:type="character" w:customStyle="1" w:styleId="1969">
    <w:name w:val="正文文本缩进 字符"/>
    <w:qFormat/>
    <w:uiPriority w:val="99"/>
    <w:rPr>
      <w:rFonts w:ascii="Calibri" w:hAnsi="Calibri"/>
      <w:kern w:val="2"/>
      <w:sz w:val="21"/>
      <w:szCs w:val="22"/>
    </w:rPr>
  </w:style>
  <w:style w:type="character" w:customStyle="1" w:styleId="1970">
    <w:name w:val="正文文本首行缩进 2 字符"/>
    <w:basedOn w:val="1969"/>
    <w:qFormat/>
    <w:uiPriority w:val="0"/>
    <w:rPr>
      <w:rFonts w:ascii="Calibri" w:hAnsi="Calibri"/>
      <w:kern w:val="2"/>
      <w:sz w:val="21"/>
      <w:szCs w:val="22"/>
    </w:rPr>
  </w:style>
  <w:style w:type="character" w:customStyle="1" w:styleId="1971">
    <w:name w:val="标题2 Char"/>
    <w:link w:val="967"/>
    <w:qFormat/>
    <w:uiPriority w:val="0"/>
    <w:rPr>
      <w:rFonts w:ascii="宋体" w:hAnsi="Arial" w:cs="宋体"/>
      <w:b/>
      <w:color w:val="000000"/>
      <w:kern w:val="2"/>
      <w:sz w:val="28"/>
      <w:szCs w:val="28"/>
    </w:rPr>
  </w:style>
  <w:style w:type="character" w:customStyle="1" w:styleId="1972">
    <w:name w:val="标题4 Char"/>
    <w:link w:val="871"/>
    <w:qFormat/>
    <w:uiPriority w:val="0"/>
    <w:rPr>
      <w:rFonts w:ascii="宋体" w:hAnsi="宋体"/>
      <w:sz w:val="28"/>
      <w:lang w:val="en-US" w:eastAsia="zh-CN"/>
    </w:rPr>
  </w:style>
  <w:style w:type="character" w:customStyle="1" w:styleId="1973">
    <w:name w:val="表名 Char"/>
    <w:qFormat/>
    <w:uiPriority w:val="0"/>
    <w:rPr>
      <w:b/>
      <w:kern w:val="2"/>
      <w:sz w:val="24"/>
      <w:szCs w:val="24"/>
    </w:rPr>
  </w:style>
  <w:style w:type="character" w:customStyle="1" w:styleId="1974">
    <w:name w:val="最新表格 Char"/>
    <w:link w:val="1975"/>
    <w:qFormat/>
    <w:uiPriority w:val="0"/>
    <w:rPr>
      <w:szCs w:val="21"/>
    </w:rPr>
  </w:style>
  <w:style w:type="paragraph" w:customStyle="1" w:styleId="1975">
    <w:name w:val="最新表格"/>
    <w:basedOn w:val="1"/>
    <w:link w:val="1974"/>
    <w:qFormat/>
    <w:uiPriority w:val="0"/>
    <w:pPr>
      <w:snapToGrid w:val="0"/>
      <w:jc w:val="center"/>
    </w:pPr>
    <w:rPr>
      <w:kern w:val="0"/>
      <w:sz w:val="20"/>
      <w:szCs w:val="21"/>
    </w:rPr>
  </w:style>
  <w:style w:type="paragraph" w:customStyle="1" w:styleId="1976">
    <w:name w:val="图表文本"/>
    <w:basedOn w:val="1"/>
    <w:link w:val="1977"/>
    <w:qFormat/>
    <w:uiPriority w:val="0"/>
    <w:pPr>
      <w:adjustRightInd w:val="0"/>
      <w:snapToGrid w:val="0"/>
      <w:jc w:val="left"/>
    </w:pPr>
    <w:rPr>
      <w:rFonts w:ascii="仿宋_GB2312" w:hAnsi="宋体" w:eastAsia="仿宋_GB2312"/>
      <w:bCs/>
      <w:color w:val="000000"/>
      <w:kern w:val="0"/>
      <w:szCs w:val="28"/>
    </w:rPr>
  </w:style>
  <w:style w:type="character" w:customStyle="1" w:styleId="1977">
    <w:name w:val="图表文本 Char"/>
    <w:link w:val="1976"/>
    <w:qFormat/>
    <w:uiPriority w:val="0"/>
    <w:rPr>
      <w:rFonts w:ascii="仿宋_GB2312" w:hAnsi="宋体" w:eastAsia="仿宋_GB2312"/>
      <w:bCs/>
      <w:color w:val="000000"/>
      <w:sz w:val="21"/>
      <w:szCs w:val="28"/>
    </w:rPr>
  </w:style>
  <w:style w:type="paragraph" w:customStyle="1" w:styleId="1978">
    <w:name w:val="图表内容"/>
    <w:basedOn w:val="1"/>
    <w:qFormat/>
    <w:uiPriority w:val="0"/>
    <w:pPr>
      <w:spacing w:line="400" w:lineRule="exact"/>
      <w:jc w:val="center"/>
    </w:pPr>
    <w:rPr>
      <w:rFonts w:ascii="宋体" w:hAnsi="宋体" w:cs="宋体"/>
      <w:snapToGrid w:val="0"/>
      <w:szCs w:val="21"/>
    </w:rPr>
  </w:style>
  <w:style w:type="character" w:customStyle="1" w:styleId="1979">
    <w:name w:val="日期 字符"/>
    <w:qFormat/>
    <w:uiPriority w:val="0"/>
    <w:rPr>
      <w:kern w:val="2"/>
      <w:sz w:val="24"/>
      <w:szCs w:val="24"/>
    </w:rPr>
  </w:style>
  <w:style w:type="paragraph" w:customStyle="1" w:styleId="1980">
    <w:name w:val="正文格式"/>
    <w:basedOn w:val="1"/>
    <w:link w:val="1981"/>
    <w:qFormat/>
    <w:uiPriority w:val="0"/>
    <w:pPr>
      <w:spacing w:line="520" w:lineRule="exact"/>
      <w:ind w:firstLine="200" w:firstLineChars="200"/>
    </w:pPr>
    <w:rPr>
      <w:rFonts w:ascii="宋体" w:hAnsi="宋体"/>
      <w:bCs/>
      <w:sz w:val="24"/>
      <w:szCs w:val="24"/>
    </w:rPr>
  </w:style>
  <w:style w:type="character" w:customStyle="1" w:styleId="1981">
    <w:name w:val="正文格式 Char"/>
    <w:link w:val="1980"/>
    <w:qFormat/>
    <w:uiPriority w:val="0"/>
    <w:rPr>
      <w:rFonts w:ascii="宋体" w:hAnsi="宋体"/>
      <w:bCs/>
      <w:kern w:val="2"/>
      <w:sz w:val="24"/>
      <w:szCs w:val="24"/>
    </w:rPr>
  </w:style>
  <w:style w:type="character" w:customStyle="1" w:styleId="1982">
    <w:name w:val="表格文字居中 Char"/>
    <w:link w:val="1310"/>
    <w:qFormat/>
    <w:uiPriority w:val="0"/>
    <w:rPr>
      <w:rFonts w:ascii="Times New Roman" w:hAnsi="Times New Roman"/>
      <w:kern w:val="2"/>
      <w:sz w:val="21"/>
    </w:rPr>
  </w:style>
  <w:style w:type="paragraph" w:customStyle="1" w:styleId="1983">
    <w:name w:val="样式 haydonli + 首行缩进:  2 字符"/>
    <w:basedOn w:val="1"/>
    <w:qFormat/>
    <w:uiPriority w:val="0"/>
    <w:pPr>
      <w:adjustRightInd w:val="0"/>
      <w:snapToGrid w:val="0"/>
      <w:spacing w:line="400" w:lineRule="exact"/>
      <w:ind w:firstLine="420"/>
    </w:pPr>
    <w:rPr>
      <w:rFonts w:ascii="宋体" w:hAnsi="宋体" w:cs="宋体"/>
      <w:snapToGrid w:val="0"/>
      <w:kern w:val="0"/>
      <w:sz w:val="24"/>
      <w:szCs w:val="24"/>
    </w:rPr>
  </w:style>
  <w:style w:type="paragraph" w:customStyle="1" w:styleId="1984">
    <w:name w:val="文本条款"/>
    <w:basedOn w:val="1"/>
    <w:next w:val="66"/>
    <w:qFormat/>
    <w:uiPriority w:val="0"/>
    <w:pPr>
      <w:widowControl/>
      <w:jc w:val="left"/>
    </w:pPr>
    <w:rPr>
      <w:sz w:val="24"/>
    </w:rPr>
  </w:style>
  <w:style w:type="character" w:customStyle="1" w:styleId="1985">
    <w:name w:val="正文文本 2 字符"/>
    <w:qFormat/>
    <w:uiPriority w:val="99"/>
    <w:rPr>
      <w:kern w:val="2"/>
      <w:sz w:val="24"/>
      <w:szCs w:val="24"/>
    </w:rPr>
  </w:style>
  <w:style w:type="character" w:customStyle="1" w:styleId="1986">
    <w:name w:val="标题 2 字符1"/>
    <w:qFormat/>
    <w:uiPriority w:val="0"/>
    <w:rPr>
      <w:rFonts w:ascii="Arial" w:hAnsi="Arial" w:eastAsia="宋体" w:cs="Times New Roman"/>
      <w:b/>
      <w:bCs/>
      <w:sz w:val="28"/>
      <w:szCs w:val="32"/>
    </w:rPr>
  </w:style>
  <w:style w:type="character" w:customStyle="1" w:styleId="1987">
    <w:name w:val="标题 3 字符1"/>
    <w:qFormat/>
    <w:uiPriority w:val="0"/>
    <w:rPr>
      <w:rFonts w:ascii="Times New Roman" w:hAnsi="Times New Roman" w:eastAsia="宋体" w:cs="Times New Roman"/>
      <w:b/>
      <w:bCs/>
      <w:sz w:val="24"/>
      <w:szCs w:val="32"/>
    </w:rPr>
  </w:style>
  <w:style w:type="character" w:customStyle="1" w:styleId="1988">
    <w:name w:val="apple-style-span"/>
    <w:qFormat/>
    <w:uiPriority w:val="0"/>
  </w:style>
  <w:style w:type="character" w:customStyle="1" w:styleId="1989">
    <w:name w:val="p11"/>
    <w:qFormat/>
    <w:uiPriority w:val="0"/>
    <w:rPr>
      <w:rFonts w:hint="eastAsia" w:ascii="宋体" w:hAnsi="宋体" w:eastAsia="宋体"/>
      <w:sz w:val="18"/>
      <w:szCs w:val="18"/>
    </w:rPr>
  </w:style>
  <w:style w:type="character" w:customStyle="1" w:styleId="1990">
    <w:name w:val="正文缩进 字符"/>
    <w:qFormat/>
    <w:uiPriority w:val="0"/>
    <w:rPr>
      <w:b/>
      <w:sz w:val="28"/>
      <w:szCs w:val="24"/>
    </w:rPr>
  </w:style>
  <w:style w:type="character" w:customStyle="1" w:styleId="1991">
    <w:name w:val="批注框文本 字符"/>
    <w:qFormat/>
    <w:uiPriority w:val="99"/>
    <w:rPr>
      <w:rFonts w:ascii="Times New Roman" w:hAnsi="Times New Roman" w:eastAsia="宋体" w:cs="Times New Roman"/>
      <w:b/>
      <w:sz w:val="18"/>
      <w:szCs w:val="18"/>
    </w:rPr>
  </w:style>
  <w:style w:type="paragraph" w:customStyle="1" w:styleId="1992">
    <w:name w:val="正文r Char Char"/>
    <w:basedOn w:val="1"/>
    <w:next w:val="1"/>
    <w:qFormat/>
    <w:uiPriority w:val="0"/>
    <w:pPr>
      <w:adjustRightInd w:val="0"/>
      <w:snapToGrid w:val="0"/>
      <w:spacing w:line="360" w:lineRule="auto"/>
      <w:ind w:firstLine="480" w:firstLineChars="200"/>
      <w:jc w:val="left"/>
    </w:pPr>
    <w:rPr>
      <w:sz w:val="24"/>
      <w:szCs w:val="24"/>
    </w:rPr>
  </w:style>
  <w:style w:type="character" w:customStyle="1" w:styleId="1993">
    <w:name w:val="样式 !正文(alt+c) + 蓝色 Char"/>
    <w:link w:val="1994"/>
    <w:qFormat/>
    <w:locked/>
    <w:uiPriority w:val="0"/>
    <w:rPr>
      <w:rFonts w:ascii="宋体" w:hAnsi="宋体"/>
      <w:color w:val="0000FF"/>
      <w:sz w:val="24"/>
      <w:szCs w:val="24"/>
    </w:rPr>
  </w:style>
  <w:style w:type="paragraph" w:customStyle="1" w:styleId="1994">
    <w:name w:val="样式 !正文(alt+c) + 蓝色"/>
    <w:basedOn w:val="1"/>
    <w:link w:val="1993"/>
    <w:qFormat/>
    <w:uiPriority w:val="0"/>
    <w:pPr>
      <w:widowControl/>
      <w:spacing w:line="460" w:lineRule="exact"/>
      <w:ind w:firstLine="480" w:firstLineChars="200"/>
    </w:pPr>
    <w:rPr>
      <w:rFonts w:ascii="宋体" w:hAnsi="宋体"/>
      <w:color w:val="0000FF"/>
      <w:kern w:val="0"/>
      <w:sz w:val="24"/>
      <w:szCs w:val="24"/>
    </w:rPr>
  </w:style>
  <w:style w:type="paragraph" w:customStyle="1" w:styleId="1995">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996">
    <w:name w:val="页眉 字符1"/>
    <w:semiHidden/>
    <w:qFormat/>
    <w:uiPriority w:val="0"/>
    <w:rPr>
      <w:rFonts w:ascii="Times New Roman" w:hAnsi="Times New Roman" w:eastAsia="宋体" w:cs="Times New Roman"/>
      <w:b/>
      <w:sz w:val="18"/>
      <w:szCs w:val="18"/>
    </w:rPr>
  </w:style>
  <w:style w:type="character" w:customStyle="1" w:styleId="1997">
    <w:name w:val="正文文本缩进 字符1"/>
    <w:semiHidden/>
    <w:qFormat/>
    <w:uiPriority w:val="0"/>
    <w:rPr>
      <w:rFonts w:ascii="Times New Roman" w:hAnsi="Times New Roman" w:eastAsia="宋体" w:cs="Times New Roman"/>
      <w:b/>
      <w:sz w:val="28"/>
      <w:szCs w:val="24"/>
    </w:rPr>
  </w:style>
  <w:style w:type="character" w:customStyle="1" w:styleId="1998">
    <w:name w:val="文档结构图 字符"/>
    <w:qFormat/>
    <w:uiPriority w:val="99"/>
    <w:rPr>
      <w:rFonts w:ascii="Calibri" w:hAnsi="Calibri"/>
      <w:kern w:val="2"/>
      <w:sz w:val="21"/>
      <w:szCs w:val="22"/>
      <w:shd w:val="clear" w:color="auto" w:fill="000080"/>
    </w:rPr>
  </w:style>
  <w:style w:type="table" w:customStyle="1" w:styleId="1999">
    <w:name w:val="铜安一般表格1"/>
    <w:basedOn w:val="77"/>
    <w:unhideWhenUsed/>
    <w:qFormat/>
    <w:uiPriority w:val="0"/>
    <w:pPr>
      <w:widowControl w:val="0"/>
      <w:adjustRightInd w:val="0"/>
      <w:spacing w:line="312" w:lineRule="atLeast"/>
    </w:pPr>
    <w:rPr>
      <w:rFonts w:eastAsia="仿宋_GB2312"/>
      <w:spacing w:val="-22"/>
      <w:sz w:val="21"/>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
    <w:tblStylePr w:type="firstRow">
      <w:pPr>
        <w:jc w:val="center"/>
      </w:pPr>
      <w:rPr>
        <w:rFonts w:hint="default" w:ascii="Times New Roman" w:hAnsi="Times New Roman" w:eastAsia="Univers Md" w:cs="Times New Roman"/>
        <w:b/>
        <w:i w:val="0"/>
        <w:caps/>
        <w:color w:val="auto"/>
        <w:sz w:val="21"/>
        <w:szCs w:val="21"/>
      </w:rPr>
      <w:tcPr>
        <w:vAlign w:val="center"/>
      </w:tcPr>
    </w:tblStylePr>
    <w:tblStylePr w:type="firstCol">
      <w:pPr>
        <w:jc w:val="center"/>
      </w:pPr>
      <w:rPr>
        <w:rFonts w:hint="default" w:ascii="Times New Roman" w:hAnsi="Times New Roman" w:eastAsia="Univers Md" w:cs="Times New Roman"/>
        <w:b/>
        <w:i w:val="0"/>
        <w:sz w:val="21"/>
        <w:szCs w:val="21"/>
      </w:rPr>
      <w:tcPr>
        <w:tcBorders>
          <w:top w:val="single" w:color="auto" w:sz="12" w:space="0"/>
          <w:left w:val="single" w:color="auto" w:sz="12" w:space="0"/>
          <w:bottom w:val="single" w:color="auto" w:sz="12" w:space="0"/>
          <w:right w:val="single" w:color="auto" w:sz="4" w:space="0"/>
          <w:insideH w:val="nil"/>
          <w:insideV w:val="nil"/>
          <w:tl2br w:val="nil"/>
          <w:tr2bl w:val="nil"/>
        </w:tcBorders>
      </w:tcPr>
    </w:tblStylePr>
  </w:style>
  <w:style w:type="character" w:customStyle="1" w:styleId="2000">
    <w:name w:val="列表 字符"/>
    <w:link w:val="57"/>
    <w:qFormat/>
    <w:uiPriority w:val="0"/>
    <w:rPr>
      <w:rFonts w:ascii="Times New Roman" w:hAnsi="Times New Roman"/>
      <w:kern w:val="2"/>
      <w:sz w:val="28"/>
      <w:szCs w:val="24"/>
    </w:rPr>
  </w:style>
  <w:style w:type="character" w:customStyle="1" w:styleId="2001">
    <w:name w:val="表格 Char Char Char Char"/>
    <w:qFormat/>
    <w:uiPriority w:val="0"/>
    <w:rPr>
      <w:rFonts w:eastAsia="宋体" w:cs="Courier New"/>
      <w:kern w:val="2"/>
      <w:sz w:val="21"/>
      <w:szCs w:val="21"/>
      <w:lang w:val="en-US" w:eastAsia="zh-CN" w:bidi="ar-SA"/>
    </w:rPr>
  </w:style>
  <w:style w:type="character" w:customStyle="1" w:styleId="2002">
    <w:name w:val="表格（10号字） Char"/>
    <w:qFormat/>
    <w:uiPriority w:val="0"/>
    <w:rPr>
      <w:rFonts w:hAnsi="宋体" w:cs="宋体"/>
      <w:color w:val="000000"/>
      <w:sz w:val="21"/>
    </w:rPr>
  </w:style>
  <w:style w:type="character" w:customStyle="1" w:styleId="2003">
    <w:name w:val="标题 6 Char1"/>
    <w:qFormat/>
    <w:uiPriority w:val="0"/>
    <w:rPr>
      <w:rFonts w:ascii="Arial" w:hAnsi="Arial" w:eastAsia="黑体"/>
      <w:bCs/>
      <w:kern w:val="2"/>
      <w:sz w:val="24"/>
      <w:szCs w:val="24"/>
    </w:rPr>
  </w:style>
  <w:style w:type="character" w:customStyle="1" w:styleId="2004">
    <w:name w:val="标题 8 Char1"/>
    <w:qFormat/>
    <w:uiPriority w:val="0"/>
    <w:rPr>
      <w:rFonts w:ascii="Arial" w:hAnsi="Arial" w:eastAsia="黑体"/>
      <w:kern w:val="2"/>
      <w:sz w:val="24"/>
      <w:szCs w:val="24"/>
    </w:rPr>
  </w:style>
  <w:style w:type="paragraph" w:customStyle="1" w:styleId="2005">
    <w:name w:val="Char Char110"/>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006">
    <w:name w:val="CM1"/>
    <w:basedOn w:val="101"/>
    <w:next w:val="101"/>
    <w:qFormat/>
    <w:uiPriority w:val="99"/>
    <w:rPr>
      <w:rFonts w:cs="Times New Roman"/>
      <w:color w:val="auto"/>
    </w:rPr>
  </w:style>
  <w:style w:type="character" w:customStyle="1" w:styleId="2007">
    <w:name w:val="font71"/>
    <w:qFormat/>
    <w:uiPriority w:val="0"/>
    <w:rPr>
      <w:rFonts w:hint="eastAsia" w:ascii="宋体" w:hAnsi="宋体" w:eastAsia="宋体" w:cs="宋体"/>
      <w:color w:val="000000"/>
      <w:sz w:val="20"/>
      <w:szCs w:val="20"/>
      <w:u w:val="none"/>
    </w:rPr>
  </w:style>
  <w:style w:type="character" w:customStyle="1" w:styleId="2008">
    <w:name w:val="font41"/>
    <w:qFormat/>
    <w:uiPriority w:val="0"/>
    <w:rPr>
      <w:rFonts w:hint="default" w:ascii="Times New Roman" w:hAnsi="Times New Roman" w:cs="Times New Roman"/>
      <w:color w:val="000000"/>
      <w:sz w:val="21"/>
      <w:szCs w:val="21"/>
      <w:u w:val="none"/>
      <w:vertAlign w:val="superscript"/>
    </w:rPr>
  </w:style>
  <w:style w:type="paragraph" w:customStyle="1" w:styleId="2009">
    <w:name w:val="表格样式武两"/>
    <w:basedOn w:val="1"/>
    <w:link w:val="2011"/>
    <w:qFormat/>
    <w:uiPriority w:val="0"/>
    <w:pPr>
      <w:adjustRightInd w:val="0"/>
      <w:snapToGrid w:val="0"/>
      <w:jc w:val="center"/>
    </w:pPr>
    <w:rPr>
      <w:color w:val="000000"/>
      <w:kern w:val="0"/>
      <w:szCs w:val="21"/>
    </w:rPr>
  </w:style>
  <w:style w:type="paragraph" w:customStyle="1" w:styleId="2010">
    <w:name w:val="2 武两正文格式"/>
    <w:basedOn w:val="1"/>
    <w:qFormat/>
    <w:uiPriority w:val="0"/>
    <w:pPr>
      <w:adjustRightInd w:val="0"/>
      <w:snapToGrid w:val="0"/>
      <w:spacing w:line="348" w:lineRule="auto"/>
      <w:ind w:firstLine="200" w:firstLineChars="200"/>
    </w:pPr>
    <w:rPr>
      <w:sz w:val="28"/>
      <w:szCs w:val="28"/>
    </w:rPr>
  </w:style>
  <w:style w:type="character" w:customStyle="1" w:styleId="2011">
    <w:name w:val="表格样式武两 字符"/>
    <w:link w:val="2009"/>
    <w:qFormat/>
    <w:uiPriority w:val="0"/>
    <w:rPr>
      <w:rFonts w:ascii="Times New Roman" w:hAnsi="Times New Roman"/>
      <w:color w:val="000000"/>
      <w:sz w:val="21"/>
      <w:szCs w:val="21"/>
    </w:rPr>
  </w:style>
  <w:style w:type="paragraph" w:customStyle="1" w:styleId="2012">
    <w:name w:val="2 表格"/>
    <w:basedOn w:val="1"/>
    <w:qFormat/>
    <w:uiPriority w:val="0"/>
    <w:pPr>
      <w:adjustRightInd w:val="0"/>
      <w:snapToGrid w:val="0"/>
      <w:jc w:val="center"/>
    </w:pPr>
    <w:rPr>
      <w:color w:val="FF0000"/>
      <w:szCs w:val="21"/>
    </w:rPr>
  </w:style>
  <w:style w:type="paragraph" w:customStyle="1" w:styleId="2013">
    <w:name w:val="3 表头"/>
    <w:basedOn w:val="1"/>
    <w:qFormat/>
    <w:uiPriority w:val="0"/>
    <w:pPr>
      <w:adjustRightInd w:val="0"/>
      <w:snapToGrid w:val="0"/>
      <w:jc w:val="center"/>
    </w:pPr>
    <w:rPr>
      <w:b/>
      <w:color w:val="FF0000"/>
      <w:sz w:val="24"/>
      <w:szCs w:val="24"/>
    </w:rPr>
  </w:style>
  <w:style w:type="table" w:customStyle="1" w:styleId="2014">
    <w:name w:val="2 表格样式"/>
    <w:basedOn w:val="77"/>
    <w:qFormat/>
    <w:uiPriority w:val="99"/>
    <w:pPr>
      <w:adjustRightInd w:val="0"/>
      <w:snapToGrid w:val="0"/>
      <w:jc w:val="center"/>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2015">
    <w:name w:val="样式20"/>
    <w:basedOn w:val="77"/>
    <w:qFormat/>
    <w:uiPriority w:val="99"/>
  </w:style>
  <w:style w:type="table" w:customStyle="1" w:styleId="2016">
    <w:name w:val="2  表格"/>
    <w:basedOn w:val="2014"/>
    <w:qFormat/>
    <w:uiPriority w:val="99"/>
  </w:style>
  <w:style w:type="table" w:customStyle="1" w:styleId="2017">
    <w:name w:val="2 武两表格"/>
    <w:basedOn w:val="77"/>
    <w:qFormat/>
    <w:uiPriority w:val="99"/>
    <w:pPr>
      <w:adjustRightInd w:val="0"/>
      <w:snapToGrid w:val="0"/>
      <w:jc w:val="center"/>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paragraph" w:customStyle="1" w:styleId="2018">
    <w:name w:val="4 二级标题"/>
    <w:basedOn w:val="1291"/>
    <w:qFormat/>
    <w:uiPriority w:val="0"/>
  </w:style>
  <w:style w:type="paragraph" w:customStyle="1" w:styleId="2019">
    <w:name w:val="5 三级标题"/>
    <w:basedOn w:val="1"/>
    <w:qFormat/>
    <w:uiPriority w:val="0"/>
    <w:pPr>
      <w:adjustRightInd w:val="0"/>
      <w:snapToGrid w:val="0"/>
      <w:spacing w:line="348" w:lineRule="auto"/>
      <w:outlineLvl w:val="2"/>
    </w:pPr>
    <w:rPr>
      <w:color w:val="FF0000"/>
      <w:sz w:val="28"/>
    </w:rPr>
  </w:style>
  <w:style w:type="character" w:customStyle="1" w:styleId="2020">
    <w:name w:val="图表标题 字符"/>
    <w:link w:val="1341"/>
    <w:qFormat/>
    <w:uiPriority w:val="0"/>
    <w:rPr>
      <w:rFonts w:ascii="Times New Roman" w:hAnsi="Times New Roman"/>
      <w:sz w:val="24"/>
    </w:rPr>
  </w:style>
  <w:style w:type="table" w:customStyle="1" w:styleId="2021">
    <w:name w:val="环评表格"/>
    <w:basedOn w:val="77"/>
    <w:qFormat/>
    <w:uiPriority w:val="99"/>
    <w:pPr>
      <w:adjustRightInd w:val="0"/>
      <w:snapToGrid w:val="0"/>
      <w:jc w:val="center"/>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character" w:customStyle="1" w:styleId="2022">
    <w:name w:val="标题1 字符"/>
    <w:qFormat/>
    <w:uiPriority w:val="0"/>
    <w:rPr>
      <w:rFonts w:ascii="Times New Roman" w:hAnsi="Times New Roman" w:eastAsia="宋体" w:cs="Times New Roman"/>
      <w:b/>
      <w:bCs/>
      <w:kern w:val="44"/>
      <w:sz w:val="28"/>
      <w:szCs w:val="28"/>
    </w:rPr>
  </w:style>
  <w:style w:type="character" w:customStyle="1" w:styleId="2023">
    <w:name w:val="环评正文 字符"/>
    <w:qFormat/>
    <w:uiPriority w:val="0"/>
    <w:rPr>
      <w:rFonts w:ascii="Times New Roman" w:hAnsi="Times New Roman" w:eastAsia="宋体" w:cs="Times New Roman"/>
      <w:sz w:val="28"/>
    </w:rPr>
  </w:style>
  <w:style w:type="paragraph" w:customStyle="1" w:styleId="2024">
    <w:name w:val="7表格文字"/>
    <w:basedOn w:val="2012"/>
    <w:qFormat/>
    <w:uiPriority w:val="0"/>
  </w:style>
  <w:style w:type="character" w:customStyle="1" w:styleId="2025">
    <w:name w:val="批注文字 字符1"/>
    <w:qFormat/>
    <w:uiPriority w:val="99"/>
  </w:style>
  <w:style w:type="character" w:customStyle="1" w:styleId="2026">
    <w:name w:val="批注主题 字符"/>
    <w:semiHidden/>
    <w:qFormat/>
    <w:uiPriority w:val="99"/>
    <w:rPr>
      <w:rFonts w:ascii="Calibri" w:hAnsi="Calibri" w:eastAsia="宋体"/>
      <w:b/>
      <w:bCs/>
      <w:kern w:val="2"/>
      <w:sz w:val="21"/>
      <w:szCs w:val="22"/>
      <w:lang w:val="en-US" w:eastAsia="zh-CN" w:bidi="ar-SA"/>
    </w:rPr>
  </w:style>
  <w:style w:type="character" w:customStyle="1" w:styleId="2027">
    <w:name w:val="5表标题 Char"/>
    <w:link w:val="2028"/>
    <w:qFormat/>
    <w:uiPriority w:val="0"/>
    <w:rPr>
      <w:b/>
      <w:bCs/>
    </w:rPr>
  </w:style>
  <w:style w:type="paragraph" w:customStyle="1" w:styleId="2028">
    <w:name w:val="5表标题"/>
    <w:link w:val="2027"/>
    <w:qFormat/>
    <w:uiPriority w:val="0"/>
    <w:pPr>
      <w:jc w:val="center"/>
    </w:pPr>
    <w:rPr>
      <w:rFonts w:ascii="Times New Roman" w:hAnsi="Times New Roman" w:eastAsia="宋体" w:cs="Times New Roman"/>
      <w:b/>
      <w:bCs/>
      <w:sz w:val="21"/>
      <w:lang w:val="en-US" w:eastAsia="zh-CN" w:bidi="ar-SA"/>
    </w:rPr>
  </w:style>
  <w:style w:type="character" w:customStyle="1" w:styleId="2029">
    <w:name w:val="正文缩进 字符1"/>
    <w:qFormat/>
    <w:uiPriority w:val="0"/>
    <w:rPr>
      <w:rFonts w:ascii="Times New Roman" w:hAnsi="Times New Roman"/>
      <w:sz w:val="24"/>
    </w:rPr>
  </w:style>
  <w:style w:type="character" w:customStyle="1" w:styleId="2030">
    <w:name w:val="批注文字 字符2"/>
    <w:qFormat/>
    <w:uiPriority w:val="0"/>
    <w:rPr>
      <w:rFonts w:ascii="Calibri" w:hAnsi="Calibri" w:eastAsia="宋体" w:cs="Times New Roman"/>
    </w:rPr>
  </w:style>
  <w:style w:type="character" w:customStyle="1" w:styleId="2031">
    <w:name w:val="正文文本缩进 3 字符"/>
    <w:qFormat/>
    <w:uiPriority w:val="0"/>
    <w:rPr>
      <w:rFonts w:ascii="宋体" w:hAnsi="宋体"/>
      <w:kern w:val="2"/>
      <w:sz w:val="16"/>
      <w:szCs w:val="16"/>
    </w:rPr>
  </w:style>
  <w:style w:type="character" w:customStyle="1" w:styleId="2032">
    <w:name w:val="尾注文本 字符"/>
    <w:semiHidden/>
    <w:qFormat/>
    <w:locked/>
    <w:uiPriority w:val="0"/>
    <w:rPr>
      <w:rFonts w:ascii="Courier New" w:hAnsi="Courier New" w:eastAsia="宋体" w:cs="Courier New"/>
      <w:kern w:val="2"/>
      <w:sz w:val="24"/>
      <w:szCs w:val="24"/>
      <w:lang w:val="en-US" w:eastAsia="zh-CN" w:bidi="ar-SA"/>
    </w:rPr>
  </w:style>
  <w:style w:type="character" w:customStyle="1" w:styleId="2033">
    <w:name w:val="页眉 字符2"/>
    <w:qFormat/>
    <w:uiPriority w:val="0"/>
    <w:rPr>
      <w:sz w:val="18"/>
      <w:szCs w:val="18"/>
    </w:rPr>
  </w:style>
  <w:style w:type="character" w:customStyle="1" w:styleId="2034">
    <w:name w:val="注释标题 字符"/>
    <w:qFormat/>
    <w:uiPriority w:val="0"/>
    <w:rPr>
      <w:rFonts w:ascii="Times New Roman" w:hAnsi="Times New Roman" w:eastAsia="楷体_GB2312"/>
      <w:kern w:val="2"/>
      <w:sz w:val="21"/>
    </w:rPr>
  </w:style>
  <w:style w:type="character" w:customStyle="1" w:styleId="2035">
    <w:name w:val="列表段落 字符"/>
    <w:link w:val="2036"/>
    <w:qFormat/>
    <w:locked/>
    <w:uiPriority w:val="0"/>
    <w:rPr>
      <w:kern w:val="2"/>
      <w:sz w:val="21"/>
      <w:szCs w:val="22"/>
    </w:rPr>
  </w:style>
  <w:style w:type="paragraph" w:customStyle="1" w:styleId="2036">
    <w:name w:val="6"/>
    <w:basedOn w:val="1"/>
    <w:next w:val="197"/>
    <w:link w:val="2035"/>
    <w:qFormat/>
    <w:uiPriority w:val="0"/>
    <w:pPr>
      <w:ind w:firstLine="420" w:firstLineChars="200"/>
    </w:pPr>
  </w:style>
  <w:style w:type="character" w:customStyle="1" w:styleId="2037">
    <w:name w:val="日期 字符1"/>
    <w:qFormat/>
    <w:uiPriority w:val="0"/>
    <w:rPr>
      <w:kern w:val="2"/>
      <w:sz w:val="21"/>
      <w:szCs w:val="22"/>
    </w:rPr>
  </w:style>
  <w:style w:type="character" w:customStyle="1" w:styleId="2038">
    <w:name w:val="标题 7 字符1"/>
    <w:qFormat/>
    <w:uiPriority w:val="0"/>
    <w:rPr>
      <w:rFonts w:ascii="宋体" w:hAnsi="宋体"/>
      <w:b/>
      <w:kern w:val="2"/>
      <w:sz w:val="28"/>
      <w:lang w:val="en-US" w:eastAsia="zh-CN"/>
    </w:rPr>
  </w:style>
  <w:style w:type="character" w:customStyle="1" w:styleId="2039">
    <w:name w:val="页脚 字符1"/>
    <w:qFormat/>
    <w:uiPriority w:val="0"/>
    <w:rPr>
      <w:sz w:val="18"/>
      <w:szCs w:val="18"/>
    </w:rPr>
  </w:style>
  <w:style w:type="character" w:customStyle="1" w:styleId="2040">
    <w:name w:val="脚注文本 字符"/>
    <w:semiHidden/>
    <w:qFormat/>
    <w:uiPriority w:val="0"/>
    <w:rPr>
      <w:rFonts w:ascii="Times New Roman" w:hAnsi="Times New Roman"/>
      <w:kern w:val="2"/>
      <w:sz w:val="18"/>
      <w:szCs w:val="18"/>
    </w:rPr>
  </w:style>
  <w:style w:type="character" w:customStyle="1" w:styleId="2041">
    <w:name w:val="正文文本 字符1"/>
    <w:qFormat/>
    <w:uiPriority w:val="0"/>
    <w:rPr>
      <w:rFonts w:ascii="宋体" w:hAnsi="宋体"/>
      <w:sz w:val="24"/>
      <w:szCs w:val="24"/>
      <w:lang w:eastAsia="en-US"/>
    </w:rPr>
  </w:style>
  <w:style w:type="character" w:customStyle="1" w:styleId="2042">
    <w:name w:val="正文文本首行缩进 2 字符1"/>
    <w:qFormat/>
    <w:uiPriority w:val="0"/>
    <w:rPr>
      <w:rFonts w:ascii="Times New Roman" w:hAnsi="Times New Roman"/>
      <w:kern w:val="2"/>
      <w:sz w:val="28"/>
      <w:szCs w:val="22"/>
    </w:rPr>
  </w:style>
  <w:style w:type="character" w:customStyle="1" w:styleId="2043">
    <w:name w:val="HTML 预设格式 字符"/>
    <w:qFormat/>
    <w:uiPriority w:val="0"/>
    <w:rPr>
      <w:rFonts w:ascii="Arial" w:hAnsi="Arial" w:cs="Arial"/>
      <w:sz w:val="21"/>
      <w:szCs w:val="21"/>
    </w:rPr>
  </w:style>
  <w:style w:type="character" w:customStyle="1" w:styleId="2044">
    <w:name w:val="无间隔 字符"/>
    <w:qFormat/>
    <w:uiPriority w:val="0"/>
    <w:rPr>
      <w:kern w:val="2"/>
      <w:sz w:val="21"/>
      <w:szCs w:val="22"/>
    </w:rPr>
  </w:style>
  <w:style w:type="character" w:customStyle="1" w:styleId="2045">
    <w:name w:val="结束语 字符"/>
    <w:semiHidden/>
    <w:qFormat/>
    <w:locked/>
    <w:uiPriority w:val="0"/>
    <w:rPr>
      <w:rFonts w:eastAsia="宋体"/>
      <w:b/>
      <w:bCs/>
      <w:kern w:val="2"/>
      <w:sz w:val="28"/>
      <w:szCs w:val="28"/>
      <w:lang w:val="en-US" w:eastAsia="zh-CN" w:bidi="ar-SA"/>
    </w:rPr>
  </w:style>
  <w:style w:type="character" w:customStyle="1" w:styleId="2046">
    <w:name w:val="题注 字符"/>
    <w:qFormat/>
    <w:locked/>
    <w:uiPriority w:val="0"/>
    <w:rPr>
      <w:rFonts w:ascii="Arial" w:hAnsi="Arial" w:eastAsia="黑体"/>
      <w:kern w:val="2"/>
      <w:szCs w:val="24"/>
      <w:lang w:val="en-US" w:eastAsia="zh-CN" w:bidi="ar-SA"/>
    </w:rPr>
  </w:style>
  <w:style w:type="character" w:customStyle="1" w:styleId="2047">
    <w:name w:val="标题 9 字符1"/>
    <w:qFormat/>
    <w:locked/>
    <w:uiPriority w:val="0"/>
    <w:rPr>
      <w:rFonts w:ascii="Arial" w:hAnsi="Arial" w:eastAsia="黑体"/>
      <w:kern w:val="2"/>
      <w:sz w:val="21"/>
      <w:lang w:val="en-US" w:eastAsia="zh-CN"/>
    </w:rPr>
  </w:style>
  <w:style w:type="character" w:customStyle="1" w:styleId="2048">
    <w:name w:val="批注框文本 字符1"/>
    <w:qFormat/>
    <w:uiPriority w:val="0"/>
    <w:rPr>
      <w:sz w:val="18"/>
      <w:szCs w:val="18"/>
    </w:rPr>
  </w:style>
  <w:style w:type="character" w:customStyle="1" w:styleId="2049">
    <w:name w:val="标题 4 字符1"/>
    <w:qFormat/>
    <w:uiPriority w:val="0"/>
    <w:rPr>
      <w:rFonts w:ascii="Cambria" w:hAnsi="Cambria" w:eastAsia="Times New Roman"/>
      <w:bCs/>
      <w:kern w:val="2"/>
      <w:sz w:val="28"/>
      <w:szCs w:val="28"/>
    </w:rPr>
  </w:style>
  <w:style w:type="character" w:customStyle="1" w:styleId="2050">
    <w:name w:val="标题 3 字符2"/>
    <w:qFormat/>
    <w:uiPriority w:val="0"/>
    <w:rPr>
      <w:bCs/>
      <w:kern w:val="2"/>
      <w:sz w:val="32"/>
      <w:szCs w:val="32"/>
    </w:rPr>
  </w:style>
  <w:style w:type="character" w:customStyle="1" w:styleId="2051">
    <w:name w:val="正文文本缩进 字符2"/>
    <w:qFormat/>
    <w:uiPriority w:val="0"/>
    <w:rPr>
      <w:rFonts w:ascii="宋体" w:hAnsi="宋体"/>
      <w:kern w:val="2"/>
      <w:sz w:val="28"/>
      <w:szCs w:val="24"/>
    </w:rPr>
  </w:style>
  <w:style w:type="character" w:customStyle="1" w:styleId="2052">
    <w:name w:val="标题 字符"/>
    <w:qFormat/>
    <w:uiPriority w:val="0"/>
    <w:rPr>
      <w:kern w:val="2"/>
      <w:sz w:val="18"/>
      <w:szCs w:val="18"/>
    </w:rPr>
  </w:style>
  <w:style w:type="character" w:customStyle="1" w:styleId="2053">
    <w:name w:val="纯文本 字符1"/>
    <w:qFormat/>
    <w:uiPriority w:val="99"/>
    <w:rPr>
      <w:rFonts w:ascii="宋体" w:hAnsi="Courier New" w:cs="Courier New"/>
      <w:kern w:val="2"/>
      <w:sz w:val="21"/>
      <w:szCs w:val="21"/>
    </w:rPr>
  </w:style>
  <w:style w:type="character" w:customStyle="1" w:styleId="2054">
    <w:name w:val="标题 6 字符1"/>
    <w:qFormat/>
    <w:uiPriority w:val="0"/>
    <w:rPr>
      <w:rFonts w:ascii="Arial" w:hAnsi="Arial" w:eastAsia="黑体"/>
      <w:b/>
      <w:kern w:val="2"/>
      <w:sz w:val="28"/>
      <w:lang w:val="en-US" w:eastAsia="zh-CN"/>
    </w:rPr>
  </w:style>
  <w:style w:type="character" w:customStyle="1" w:styleId="2055">
    <w:name w:val="标题 5 字符1"/>
    <w:qFormat/>
    <w:locked/>
    <w:uiPriority w:val="0"/>
    <w:rPr>
      <w:rFonts w:ascii="宋体" w:hAnsi="宋体"/>
      <w:b/>
      <w:kern w:val="2"/>
      <w:sz w:val="28"/>
      <w:lang w:val="en-US" w:eastAsia="zh-CN"/>
    </w:rPr>
  </w:style>
  <w:style w:type="character" w:customStyle="1" w:styleId="2056">
    <w:name w:val="正文文本首行缩进 字符1"/>
    <w:qFormat/>
    <w:uiPriority w:val="0"/>
    <w:rPr>
      <w:rFonts w:ascii="Times New Roman" w:hAnsi="Times New Roman"/>
      <w:kern w:val="2"/>
      <w:sz w:val="28"/>
      <w:szCs w:val="24"/>
      <w:lang w:eastAsia="en-US"/>
    </w:rPr>
  </w:style>
  <w:style w:type="character" w:customStyle="1" w:styleId="2057">
    <w:name w:val="签名 字符1"/>
    <w:qFormat/>
    <w:uiPriority w:val="0"/>
    <w:rPr>
      <w:rFonts w:ascii="Times New Roman" w:hAnsi="Times New Roman"/>
      <w:kern w:val="2"/>
      <w:sz w:val="21"/>
      <w:szCs w:val="21"/>
    </w:rPr>
  </w:style>
  <w:style w:type="character" w:customStyle="1" w:styleId="2058">
    <w:name w:val="批注主题 字符1"/>
    <w:semiHidden/>
    <w:qFormat/>
    <w:uiPriority w:val="0"/>
    <w:rPr>
      <w:rFonts w:ascii="Calibri" w:hAnsi="Calibri" w:eastAsia="宋体" w:cs="Times New Roman"/>
      <w:b/>
      <w:bCs/>
    </w:rPr>
  </w:style>
  <w:style w:type="character" w:customStyle="1" w:styleId="2059">
    <w:name w:val="正文文本 3 字符"/>
    <w:qFormat/>
    <w:uiPriority w:val="0"/>
    <w:rPr>
      <w:rFonts w:ascii="Times New Roman" w:hAnsi="Times New Roman"/>
      <w:kern w:val="2"/>
      <w:sz w:val="16"/>
      <w:szCs w:val="16"/>
    </w:rPr>
  </w:style>
  <w:style w:type="character" w:customStyle="1" w:styleId="2060">
    <w:name w:val="标题 1 字符2"/>
    <w:qFormat/>
    <w:uiPriority w:val="0"/>
    <w:rPr>
      <w:b/>
      <w:bCs/>
      <w:kern w:val="44"/>
      <w:sz w:val="44"/>
      <w:szCs w:val="44"/>
    </w:rPr>
  </w:style>
  <w:style w:type="character" w:customStyle="1" w:styleId="2061">
    <w:name w:val="正文文本 2 字符1"/>
    <w:qFormat/>
    <w:uiPriority w:val="0"/>
    <w:rPr>
      <w:rFonts w:ascii="宋体" w:hAnsi="Times New Roman"/>
      <w:b/>
      <w:kern w:val="2"/>
      <w:sz w:val="21"/>
      <w:szCs w:val="24"/>
      <w:shd w:val="solid" w:color="FFFFFF" w:fill="FFFFFF"/>
    </w:rPr>
  </w:style>
  <w:style w:type="character" w:customStyle="1" w:styleId="2062">
    <w:name w:val="标题 2 字符2"/>
    <w:qFormat/>
    <w:uiPriority w:val="0"/>
    <w:rPr>
      <w:rFonts w:ascii="Cambria" w:hAnsi="Cambria"/>
      <w:bCs/>
      <w:kern w:val="2"/>
      <w:sz w:val="32"/>
      <w:szCs w:val="32"/>
    </w:rPr>
  </w:style>
  <w:style w:type="character" w:customStyle="1" w:styleId="2063">
    <w:name w:val="文档结构图 字符1"/>
    <w:qFormat/>
    <w:uiPriority w:val="0"/>
    <w:rPr>
      <w:rFonts w:ascii="宋体" w:eastAsia="宋体"/>
      <w:sz w:val="18"/>
      <w:szCs w:val="18"/>
    </w:rPr>
  </w:style>
  <w:style w:type="character" w:customStyle="1" w:styleId="2064">
    <w:name w:val="正文文本缩进 2 字符"/>
    <w:qFormat/>
    <w:uiPriority w:val="0"/>
    <w:rPr>
      <w:rFonts w:ascii="宋体" w:hAnsi="宋体"/>
      <w:kern w:val="2"/>
      <w:sz w:val="28"/>
      <w:szCs w:val="24"/>
    </w:rPr>
  </w:style>
  <w:style w:type="character" w:customStyle="1" w:styleId="2065">
    <w:name w:val="宏文本 字符"/>
    <w:semiHidden/>
    <w:qFormat/>
    <w:uiPriority w:val="0"/>
    <w:rPr>
      <w:rFonts w:ascii="Courier New" w:hAnsi="Courier New" w:cs="Courier New"/>
      <w:kern w:val="2"/>
      <w:sz w:val="24"/>
      <w:szCs w:val="24"/>
    </w:rPr>
  </w:style>
  <w:style w:type="character" w:customStyle="1" w:styleId="2066">
    <w:name w:val="z-窗体底端 字符"/>
    <w:semiHidden/>
    <w:qFormat/>
    <w:locked/>
    <w:uiPriority w:val="0"/>
    <w:rPr>
      <w:rFonts w:eastAsia="宋体"/>
      <w:kern w:val="2"/>
      <w:sz w:val="18"/>
      <w:szCs w:val="18"/>
      <w:lang w:val="en-US" w:eastAsia="zh-CN" w:bidi="ar-SA"/>
    </w:rPr>
  </w:style>
  <w:style w:type="character" w:customStyle="1" w:styleId="2067">
    <w:name w:val="z-窗体顶端 字符"/>
    <w:qFormat/>
    <w:locked/>
    <w:uiPriority w:val="0"/>
    <w:rPr>
      <w:rFonts w:eastAsia="楷体_GB2312"/>
      <w:kern w:val="2"/>
      <w:sz w:val="21"/>
      <w:lang w:val="en-US" w:eastAsia="zh-CN" w:bidi="ar-SA"/>
    </w:rPr>
  </w:style>
  <w:style w:type="character" w:customStyle="1" w:styleId="2068">
    <w:name w:val="称呼 字符"/>
    <w:semiHidden/>
    <w:qFormat/>
    <w:locked/>
    <w:uiPriority w:val="0"/>
    <w:rPr>
      <w:rFonts w:eastAsia="宋体"/>
      <w:kern w:val="2"/>
      <w:sz w:val="28"/>
      <w:szCs w:val="24"/>
      <w:lang w:val="en-US" w:eastAsia="zh-CN" w:bidi="ar-SA"/>
    </w:rPr>
  </w:style>
  <w:style w:type="character" w:customStyle="1" w:styleId="2069">
    <w:name w:val="标题 8 字符1"/>
    <w:qFormat/>
    <w:uiPriority w:val="0"/>
    <w:rPr>
      <w:rFonts w:ascii="Arial" w:hAnsi="Arial" w:eastAsia="黑体"/>
      <w:kern w:val="2"/>
      <w:sz w:val="28"/>
      <w:lang w:val="en-US" w:eastAsia="zh-CN"/>
    </w:rPr>
  </w:style>
  <w:style w:type="paragraph" w:customStyle="1" w:styleId="2070">
    <w:name w:val="_Style 1344"/>
    <w:basedOn w:val="1"/>
    <w:next w:val="197"/>
    <w:qFormat/>
    <w:uiPriority w:val="34"/>
    <w:pPr>
      <w:ind w:firstLine="420" w:firstLineChars="200"/>
    </w:pPr>
  </w:style>
  <w:style w:type="character" w:customStyle="1" w:styleId="2071">
    <w:name w:val="font31"/>
    <w:qFormat/>
    <w:uiPriority w:val="0"/>
    <w:rPr>
      <w:rFonts w:hint="default" w:ascii="Times New Roman" w:hAnsi="Times New Roman" w:cs="Times New Roman"/>
      <w:color w:val="000000"/>
      <w:sz w:val="21"/>
      <w:szCs w:val="21"/>
      <w:u w:val="none"/>
    </w:rPr>
  </w:style>
  <w:style w:type="character" w:customStyle="1" w:styleId="2072">
    <w:name w:val="批注文字 字符3"/>
    <w:qFormat/>
    <w:uiPriority w:val="0"/>
    <w:rPr>
      <w:rFonts w:ascii="Calibri" w:hAnsi="Calibri" w:eastAsia="宋体" w:cs="Times New Roman"/>
    </w:rPr>
  </w:style>
  <w:style w:type="character" w:customStyle="1" w:styleId="2073">
    <w:name w:val="页眉 字符3"/>
    <w:qFormat/>
    <w:uiPriority w:val="0"/>
    <w:rPr>
      <w:sz w:val="18"/>
      <w:szCs w:val="18"/>
    </w:rPr>
  </w:style>
  <w:style w:type="character" w:customStyle="1" w:styleId="2074">
    <w:name w:val="批注文字 字符4"/>
    <w:qFormat/>
    <w:uiPriority w:val="0"/>
    <w:rPr>
      <w:rFonts w:ascii="Calibri" w:hAnsi="Calibri" w:eastAsia="宋体" w:cs="Times New Roman"/>
    </w:rPr>
  </w:style>
  <w:style w:type="character" w:customStyle="1" w:styleId="2075">
    <w:name w:val="正文缩进 字符2"/>
    <w:qFormat/>
    <w:uiPriority w:val="0"/>
    <w:rPr>
      <w:rFonts w:ascii="Times New Roman" w:hAnsi="Times New Roman"/>
      <w:sz w:val="24"/>
    </w:rPr>
  </w:style>
  <w:style w:type="paragraph" w:customStyle="1" w:styleId="2076">
    <w:name w:val="xl130"/>
    <w:basedOn w:val="1"/>
    <w:qFormat/>
    <w:uiPriority w:val="0"/>
    <w:pPr>
      <w:widowControl/>
      <w:pBdr>
        <w:top w:val="single" w:color="auto" w:sz="12" w:space="0"/>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2077">
    <w:name w:val="xl131"/>
    <w:basedOn w:val="1"/>
    <w:qFormat/>
    <w:uiPriority w:val="0"/>
    <w:pPr>
      <w:widowControl/>
      <w:pBdr>
        <w:top w:val="single" w:color="auto" w:sz="12" w:space="0"/>
        <w:bottom w:val="single" w:color="auto" w:sz="8" w:space="0"/>
        <w:right w:val="single" w:color="auto" w:sz="8" w:space="0"/>
      </w:pBdr>
      <w:spacing w:before="100" w:beforeAutospacing="1" w:after="100" w:afterAutospacing="1"/>
      <w:jc w:val="center"/>
    </w:pPr>
    <w:rPr>
      <w:color w:val="00B050"/>
      <w:kern w:val="0"/>
      <w:szCs w:val="21"/>
    </w:rPr>
  </w:style>
  <w:style w:type="paragraph" w:customStyle="1" w:styleId="2078">
    <w:name w:val="xl132"/>
    <w:basedOn w:val="1"/>
    <w:qFormat/>
    <w:uiPriority w:val="0"/>
    <w:pPr>
      <w:widowControl/>
      <w:pBdr>
        <w:left w:val="single" w:color="auto" w:sz="12" w:space="0"/>
        <w:bottom w:val="single" w:color="auto" w:sz="12" w:space="0"/>
        <w:right w:val="single" w:color="auto" w:sz="8" w:space="0"/>
      </w:pBdr>
      <w:spacing w:before="100" w:beforeAutospacing="1" w:after="100" w:afterAutospacing="1"/>
      <w:jc w:val="center"/>
    </w:pPr>
    <w:rPr>
      <w:color w:val="000000"/>
      <w:kern w:val="0"/>
      <w:szCs w:val="21"/>
    </w:rPr>
  </w:style>
  <w:style w:type="paragraph" w:customStyle="1" w:styleId="2079">
    <w:name w:val="xl133"/>
    <w:basedOn w:val="1"/>
    <w:qFormat/>
    <w:uiPriority w:val="0"/>
    <w:pPr>
      <w:widowControl/>
      <w:pBdr>
        <w:bottom w:val="single" w:color="auto" w:sz="12" w:space="0"/>
        <w:right w:val="single" w:color="auto" w:sz="8" w:space="0"/>
      </w:pBdr>
      <w:spacing w:before="100" w:beforeAutospacing="1" w:after="100" w:afterAutospacing="1"/>
      <w:jc w:val="center"/>
    </w:pPr>
    <w:rPr>
      <w:color w:val="000000"/>
      <w:kern w:val="0"/>
      <w:szCs w:val="21"/>
    </w:rPr>
  </w:style>
  <w:style w:type="paragraph" w:customStyle="1" w:styleId="2080">
    <w:name w:val="xl134"/>
    <w:basedOn w:val="1"/>
    <w:qFormat/>
    <w:uiPriority w:val="0"/>
    <w:pPr>
      <w:widowControl/>
      <w:pBdr>
        <w:bottom w:val="single" w:color="auto" w:sz="12" w:space="0"/>
        <w:right w:val="single" w:color="auto" w:sz="8" w:space="0"/>
      </w:pBdr>
      <w:spacing w:before="100" w:beforeAutospacing="1" w:after="100" w:afterAutospacing="1"/>
      <w:jc w:val="center"/>
    </w:pPr>
    <w:rPr>
      <w:color w:val="00B050"/>
      <w:kern w:val="0"/>
      <w:szCs w:val="21"/>
    </w:rPr>
  </w:style>
  <w:style w:type="character" w:customStyle="1" w:styleId="2081">
    <w:name w:val="表题 Char"/>
    <w:link w:val="1085"/>
    <w:qFormat/>
    <w:uiPriority w:val="0"/>
    <w:rPr>
      <w:b/>
      <w:sz w:val="24"/>
      <w:szCs w:val="22"/>
    </w:rPr>
  </w:style>
  <w:style w:type="paragraph" w:customStyle="1" w:styleId="2082">
    <w:name w:val="正文0"/>
    <w:basedOn w:val="1"/>
    <w:next w:val="1"/>
    <w:link w:val="2085"/>
    <w:qFormat/>
    <w:uiPriority w:val="0"/>
    <w:pPr>
      <w:adjustRightInd w:val="0"/>
      <w:snapToGrid w:val="0"/>
      <w:spacing w:line="348" w:lineRule="auto"/>
      <w:ind w:firstLine="200" w:firstLineChars="200"/>
    </w:pPr>
    <w:rPr>
      <w:rFonts w:eastAsia="Times New Roman"/>
      <w:sz w:val="28"/>
      <w:szCs w:val="28"/>
    </w:rPr>
  </w:style>
  <w:style w:type="paragraph" w:customStyle="1" w:styleId="2083">
    <w:name w:val="1  正文（渝赤叙）"/>
    <w:basedOn w:val="1"/>
    <w:link w:val="2086"/>
    <w:qFormat/>
    <w:uiPriority w:val="0"/>
    <w:pPr>
      <w:adjustRightInd w:val="0"/>
      <w:snapToGrid w:val="0"/>
      <w:spacing w:line="348" w:lineRule="auto"/>
      <w:ind w:firstLine="200" w:firstLineChars="200"/>
      <w:textAlignment w:val="baseline"/>
    </w:pPr>
    <w:rPr>
      <w:color w:val="000000"/>
      <w:sz w:val="28"/>
      <w:szCs w:val="28"/>
    </w:rPr>
  </w:style>
  <w:style w:type="character" w:customStyle="1" w:styleId="2084">
    <w:name w:val="正文01 Char"/>
    <w:link w:val="1211"/>
    <w:qFormat/>
    <w:uiPriority w:val="0"/>
    <w:rPr>
      <w:bCs/>
      <w:kern w:val="2"/>
      <w:sz w:val="24"/>
      <w:szCs w:val="24"/>
    </w:rPr>
  </w:style>
  <w:style w:type="character" w:customStyle="1" w:styleId="2085">
    <w:name w:val="正文0 Char"/>
    <w:link w:val="2082"/>
    <w:qFormat/>
    <w:uiPriority w:val="0"/>
    <w:rPr>
      <w:rFonts w:eastAsia="Times New Roman"/>
      <w:kern w:val="2"/>
      <w:sz w:val="28"/>
      <w:szCs w:val="28"/>
    </w:rPr>
  </w:style>
  <w:style w:type="character" w:customStyle="1" w:styleId="2086">
    <w:name w:val="1  正文（渝赤叙） 字符"/>
    <w:link w:val="2083"/>
    <w:qFormat/>
    <w:uiPriority w:val="0"/>
    <w:rPr>
      <w:color w:val="000000"/>
      <w:kern w:val="2"/>
      <w:sz w:val="28"/>
      <w:szCs w:val="28"/>
    </w:rPr>
  </w:style>
  <w:style w:type="character" w:customStyle="1" w:styleId="2087">
    <w:name w:val="标准样式 Char"/>
    <w:link w:val="1285"/>
    <w:qFormat/>
    <w:uiPriority w:val="0"/>
    <w:rPr>
      <w:sz w:val="28"/>
    </w:rPr>
  </w:style>
  <w:style w:type="paragraph" w:customStyle="1" w:styleId="2088">
    <w:name w:val="Body text|1"/>
    <w:basedOn w:val="1"/>
    <w:qFormat/>
    <w:uiPriority w:val="0"/>
    <w:pPr>
      <w:spacing w:line="410" w:lineRule="auto"/>
      <w:ind w:firstLine="400"/>
    </w:pPr>
    <w:rPr>
      <w:rFonts w:ascii="宋体" w:hAnsi="宋体" w:cs="宋体"/>
      <w:lang w:val="zh-TW" w:eastAsia="zh-TW" w:bidi="zh-TW"/>
    </w:rPr>
  </w:style>
  <w:style w:type="paragraph" w:customStyle="1" w:styleId="2089">
    <w:name w:val="0标题3-hao"/>
    <w:qFormat/>
    <w:uiPriority w:val="0"/>
    <w:pPr>
      <w:adjustRightInd w:val="0"/>
      <w:snapToGrid w:val="0"/>
      <w:spacing w:line="348" w:lineRule="auto"/>
      <w:outlineLvl w:val="2"/>
    </w:pPr>
    <w:rPr>
      <w:rFonts w:ascii="Times New Roman" w:hAnsi="Times New Roman" w:eastAsia="宋体" w:cs="Times New Roman"/>
      <w:sz w:val="24"/>
      <w:szCs w:val="24"/>
      <w:lang w:val="en-US" w:eastAsia="zh-CN" w:bidi="ar-SA"/>
    </w:rPr>
  </w:style>
  <w:style w:type="paragraph" w:customStyle="1" w:styleId="2090">
    <w:name w:val="0表格备注-hao"/>
    <w:qFormat/>
    <w:uiPriority w:val="0"/>
    <w:pPr>
      <w:adjustRightInd w:val="0"/>
      <w:snapToGrid w:val="0"/>
      <w:spacing w:line="288" w:lineRule="auto"/>
      <w:ind w:firstLine="200" w:firstLineChars="200"/>
    </w:pPr>
    <w:rPr>
      <w:rFonts w:ascii="Times New Roman" w:hAnsi="宋体" w:eastAsia="宋体" w:cs="Times New Roman"/>
      <w:kern w:val="2"/>
      <w:sz w:val="21"/>
      <w:szCs w:val="24"/>
      <w:lang w:val="en-US" w:eastAsia="zh-CN" w:bidi="ar-SA"/>
    </w:rPr>
  </w:style>
  <w:style w:type="paragraph" w:customStyle="1" w:styleId="2091">
    <w:name w:val="修订2"/>
    <w:hidden/>
    <w:semiHidden/>
    <w:qFormat/>
    <w:uiPriority w:val="99"/>
    <w:rPr>
      <w:rFonts w:ascii="Times New Roman" w:hAnsi="Times New Roman" w:eastAsia="宋体" w:cs="Times New Roman"/>
      <w:kern w:val="2"/>
      <w:sz w:val="21"/>
      <w:szCs w:val="22"/>
      <w:lang w:val="en-US" w:eastAsia="zh-CN" w:bidi="ar-SA"/>
    </w:rPr>
  </w:style>
  <w:style w:type="table" w:customStyle="1" w:styleId="2092">
    <w:name w:val="Grid Table 4 Accent 5"/>
    <w:basedOn w:val="77"/>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2093">
    <w:name w:val="铜安表头"/>
    <w:basedOn w:val="1"/>
    <w:qFormat/>
    <w:uiPriority w:val="0"/>
    <w:pPr>
      <w:spacing w:line="240" w:lineRule="auto"/>
      <w:ind w:firstLine="0" w:firstLineChars="0"/>
      <w:jc w:val="center"/>
    </w:pPr>
    <w:rPr>
      <w:b/>
      <w:bCs/>
      <w:sz w:val="21"/>
      <w:szCs w:val="24"/>
    </w:rPr>
  </w:style>
  <w:style w:type="paragraph" w:customStyle="1" w:styleId="2094">
    <w:name w:val="表格中的文字"/>
    <w:basedOn w:val="1"/>
    <w:qFormat/>
    <w:uiPriority w:val="0"/>
    <w:pPr>
      <w:snapToGrid w:val="0"/>
      <w:spacing w:line="240" w:lineRule="auto"/>
      <w:ind w:firstLine="0" w:firstLineChars="0"/>
      <w:jc w:val="center"/>
    </w:pPr>
    <w:rPr>
      <w:sz w:val="21"/>
      <w:szCs w:val="22"/>
    </w:rPr>
  </w:style>
  <w:style w:type="paragraph" w:customStyle="1" w:styleId="2095">
    <w:name w:val="2小标题"/>
    <w:next w:val="2096"/>
    <w:qFormat/>
    <w:uiPriority w:val="0"/>
    <w:pPr>
      <w:spacing w:line="480" w:lineRule="exact"/>
    </w:pPr>
    <w:rPr>
      <w:rFonts w:ascii="Times New Roman" w:hAnsi="Times New Roman" w:eastAsia="宋体" w:cs="宋体"/>
      <w:b/>
      <w:bCs/>
      <w:kern w:val="2"/>
      <w:sz w:val="24"/>
      <w:szCs w:val="24"/>
      <w:lang w:val="en-US" w:eastAsia="zh-CN" w:bidi="ar-SA"/>
    </w:rPr>
  </w:style>
  <w:style w:type="paragraph" w:customStyle="1" w:styleId="2096">
    <w:name w:val="1正文2"/>
    <w:basedOn w:val="1"/>
    <w:qFormat/>
    <w:uiPriority w:val="0"/>
    <w:pPr>
      <w:spacing w:line="460" w:lineRule="exact"/>
      <w:ind w:firstLine="200" w:firstLineChars="200"/>
    </w:pPr>
    <w:rPr>
      <w:bCs/>
      <w:sz w:val="24"/>
    </w:rPr>
  </w:style>
  <w:style w:type="paragraph" w:customStyle="1" w:styleId="2097">
    <w:name w:val="0A正文"/>
    <w:basedOn w:val="1"/>
    <w:qFormat/>
    <w:uiPriority w:val="0"/>
    <w:pPr>
      <w:spacing w:line="460" w:lineRule="exact"/>
      <w:jc w:val="both"/>
    </w:pPr>
    <w:rPr>
      <w:color w:val="000000"/>
      <w:szCs w:val="26"/>
    </w:rPr>
  </w:style>
  <w:style w:type="paragraph" w:customStyle="1" w:styleId="2098">
    <w:name w:val="！表头"/>
    <w:basedOn w:val="1"/>
    <w:qFormat/>
    <w:uiPriority w:val="0"/>
    <w:pPr>
      <w:tabs>
        <w:tab w:val="left" w:pos="360"/>
        <w:tab w:val="left" w:pos="540"/>
      </w:tabs>
      <w:wordWrap w:val="0"/>
      <w:spacing w:line="360" w:lineRule="auto"/>
      <w:ind w:firstLine="420" w:firstLineChars="200"/>
      <w:jc w:val="center"/>
    </w:pPr>
    <w:rPr>
      <w:rFonts w:ascii="Times New Roman" w:eastAsia="黑体"/>
      <w:kern w:val="2"/>
      <w:sz w:val="21"/>
      <w:szCs w:val="21"/>
    </w:rPr>
  </w:style>
  <w:style w:type="character" w:customStyle="1" w:styleId="2099">
    <w:name w:val="font61"/>
    <w:basedOn w:val="88"/>
    <w:qFormat/>
    <w:uiPriority w:val="0"/>
    <w:rPr>
      <w:rFonts w:hint="eastAsia" w:ascii="宋体" w:hAnsi="宋体" w:eastAsia="宋体" w:cs="宋体"/>
      <w:b/>
      <w:bCs/>
      <w:color w:val="000000"/>
      <w:sz w:val="18"/>
      <w:szCs w:val="18"/>
      <w:u w:val="none"/>
      <w:vertAlign w:val="superscript"/>
    </w:rPr>
  </w:style>
  <w:style w:type="character" w:customStyle="1" w:styleId="2100">
    <w:name w:val="font01"/>
    <w:basedOn w:val="88"/>
    <w:qFormat/>
    <w:uiPriority w:val="0"/>
    <w:rPr>
      <w:rFonts w:hint="eastAsia" w:ascii="宋体" w:hAnsi="宋体" w:eastAsia="宋体" w:cs="宋体"/>
      <w:color w:val="000000"/>
      <w:sz w:val="24"/>
      <w:szCs w:val="24"/>
      <w:u w:val="none"/>
    </w:rPr>
  </w:style>
  <w:style w:type="paragraph" w:customStyle="1" w:styleId="2101">
    <w:name w:val="LW正文"/>
    <w:basedOn w:val="1"/>
    <w:qFormat/>
    <w:uiPriority w:val="0"/>
    <w:pPr>
      <w:autoSpaceDE w:val="0"/>
      <w:autoSpaceDN w:val="0"/>
      <w:adjustRightInd w:val="0"/>
      <w:snapToGrid w:val="0"/>
      <w:spacing w:line="440" w:lineRule="exact"/>
      <w:ind w:firstLine="0"/>
      <w:jc w:val="both"/>
      <w:textAlignment w:val="baseline"/>
    </w:pPr>
    <w:rPr>
      <w:rFonts w:ascii="宋体" w:hAnsi="宋体" w:eastAsia="宋体"/>
      <w:spacing w:val="10"/>
      <w:kern w:val="44"/>
    </w:rPr>
  </w:style>
  <w:style w:type="paragraph" w:customStyle="1" w:styleId="2102">
    <w:name w:val="Table Text"/>
    <w:basedOn w:val="1"/>
    <w:semiHidden/>
    <w:qFormat/>
    <w:uiPriority w:val="0"/>
    <w:rPr>
      <w:rFonts w:ascii="宋体" w:hAnsi="宋体" w:eastAsia="宋体" w:cs="宋体"/>
      <w:sz w:val="22"/>
      <w:szCs w:val="22"/>
      <w:lang w:val="en-US" w:eastAsia="en-US" w:bidi="ar-SA"/>
    </w:rPr>
  </w:style>
  <w:style w:type="paragraph" w:customStyle="1" w:styleId="2103">
    <w:name w:val="S-表格"/>
    <w:basedOn w:val="1"/>
    <w:autoRedefine/>
    <w:qFormat/>
    <w:uiPriority w:val="0"/>
    <w:pPr>
      <w:adjustRightInd/>
      <w:snapToGrid/>
      <w:spacing w:line="320" w:lineRule="exact"/>
      <w:ind w:firstLine="0" w:firstLineChars="0"/>
      <w:jc w:val="center"/>
    </w:pPr>
    <w:rPr>
      <w:rFonts w:eastAsia="宋体" w:cs="Times New Roman"/>
      <w:sz w:val="21"/>
      <w:szCs w:val="22"/>
    </w:rPr>
  </w:style>
  <w:style w:type="paragraph" w:customStyle="1" w:styleId="2104">
    <w:name w:val="样式 左 首行缩进:  1.01 厘米 Char"/>
    <w:basedOn w:val="1"/>
    <w:qFormat/>
    <w:uiPriority w:val="0"/>
    <w:pPr>
      <w:adjustRightInd w:val="0"/>
      <w:snapToGrid w:val="0"/>
      <w:spacing w:line="460" w:lineRule="exact"/>
      <w:ind w:firstLine="200" w:firstLineChars="200"/>
    </w:pPr>
    <w:rPr>
      <w:rFonts w:cs="宋体"/>
      <w:sz w:val="26"/>
      <w:szCs w:val="26"/>
    </w:rPr>
  </w:style>
  <w:style w:type="paragraph" w:customStyle="1" w:styleId="2105">
    <w:name w:val="正文-H"/>
    <w:basedOn w:val="1"/>
    <w:qFormat/>
    <w:uiPriority w:val="0"/>
    <w:pPr>
      <w:spacing w:line="520" w:lineRule="exact"/>
    </w:pPr>
    <w:rPr>
      <w:rFonts w:ascii="宋体" w:hAnsi="宋体"/>
      <w:szCs w:val="20"/>
    </w:rPr>
  </w:style>
  <w:style w:type="paragraph" w:customStyle="1" w:styleId="2106">
    <w:name w:val="表格文本"/>
    <w:basedOn w:val="1"/>
    <w:qFormat/>
    <w:uiPriority w:val="0"/>
    <w:pPr>
      <w:adjustRightInd w:val="0"/>
      <w:snapToGrid w:val="0"/>
      <w:spacing w:line="240" w:lineRule="auto"/>
      <w:ind w:firstLine="0" w:firstLineChars="0"/>
      <w:jc w:val="center"/>
    </w:pPr>
    <w:rPr>
      <w:color w:val="000000"/>
      <w:sz w:val="21"/>
      <w:szCs w:val="21"/>
    </w:rPr>
  </w:style>
  <w:style w:type="paragraph" w:customStyle="1" w:styleId="2107">
    <w:name w:val="表头W"/>
    <w:basedOn w:val="1"/>
    <w:qFormat/>
    <w:uiPriority w:val="0"/>
    <w:pPr>
      <w:adjustRightInd w:val="0"/>
      <w:snapToGrid w:val="0"/>
      <w:spacing w:line="240" w:lineRule="auto"/>
      <w:ind w:firstLine="0" w:firstLineChars="0"/>
      <w:jc w:val="center"/>
    </w:pPr>
    <w:rPr>
      <w:b/>
    </w:rPr>
  </w:style>
  <w:style w:type="paragraph" w:customStyle="1" w:styleId="2108">
    <w:name w:val="表正文"/>
    <w:basedOn w:val="1"/>
    <w:qFormat/>
    <w:uiPriority w:val="0"/>
    <w:pPr>
      <w:spacing w:line="240" w:lineRule="atLeast"/>
      <w:jc w:val="center"/>
    </w:pPr>
    <w:rPr>
      <w:spacing w:val="-6"/>
    </w:rPr>
  </w:style>
  <w:style w:type="paragraph" w:customStyle="1" w:styleId="2109">
    <w:name w:val="表格-S"/>
    <w:basedOn w:val="1"/>
    <w:autoRedefine/>
    <w:qFormat/>
    <w:uiPriority w:val="0"/>
    <w:pPr>
      <w:spacing w:line="320" w:lineRule="exact"/>
      <w:ind w:firstLine="0" w:firstLineChars="0"/>
    </w:pPr>
    <w:rPr>
      <w:rFonts w:eastAsia="宋体" w:cs="Times New Roman"/>
      <w:sz w:val="21"/>
    </w:rPr>
  </w:style>
  <w:style w:type="character" w:customStyle="1" w:styleId="2110">
    <w:name w:val="font81"/>
    <w:basedOn w:val="88"/>
    <w:autoRedefine/>
    <w:qFormat/>
    <w:uiPriority w:val="0"/>
    <w:rPr>
      <w:rFonts w:hint="eastAsia" w:ascii="宋体" w:hAnsi="宋体" w:eastAsia="宋体" w:cs="宋体"/>
      <w:color w:val="000000"/>
      <w:sz w:val="18"/>
      <w:szCs w:val="18"/>
      <w:u w:val="none"/>
    </w:rPr>
  </w:style>
  <w:style w:type="character" w:customStyle="1" w:styleId="2111">
    <w:name w:val="font91"/>
    <w:basedOn w:val="88"/>
    <w:autoRedefine/>
    <w:qFormat/>
    <w:uiPriority w:val="0"/>
    <w:rPr>
      <w:rFonts w:hint="default" w:ascii="Times New Roman" w:hAnsi="Times New Roman" w:cs="Times New Roman"/>
      <w:b/>
      <w:bCs/>
      <w:color w:val="000000"/>
      <w:sz w:val="21"/>
      <w:szCs w:val="21"/>
      <w:u w:val="none"/>
    </w:rPr>
  </w:style>
  <w:style w:type="paragraph" w:customStyle="1" w:styleId="2112">
    <w:name w:val="样式 (符号) 宋体 四号 首行缩进:  1.06 厘米"/>
    <w:basedOn w:val="1"/>
    <w:autoRedefine/>
    <w:qFormat/>
    <w:uiPriority w:val="0"/>
    <w:pPr>
      <w:ind w:firstLine="600"/>
    </w:pPr>
    <w:rPr>
      <w:rFonts w:cs="宋体"/>
      <w:snapToGrid w:val="0"/>
      <w:kern w:val="0"/>
    </w:rPr>
  </w:style>
  <w:style w:type="paragraph" w:customStyle="1" w:styleId="2113">
    <w:name w:val="谢"/>
    <w:basedOn w:val="1"/>
    <w:qFormat/>
    <w:uiPriority w:val="0"/>
    <w:pPr>
      <w:adjustRightInd/>
      <w:snapToGrid/>
      <w:spacing w:line="440" w:lineRule="exact"/>
      <w:ind w:firstLine="200" w:firstLineChars="200"/>
    </w:pPr>
    <w:rPr>
      <w:rFonts w:cs="宋体"/>
      <w:color w:val="FF0000"/>
      <w:kern w:val="2"/>
      <w:sz w:val="24"/>
    </w:rPr>
  </w:style>
  <w:style w:type="paragraph" w:customStyle="1" w:styleId="2114">
    <w:name w:val="表格 Alt-6"/>
    <w:basedOn w:val="1"/>
    <w:qFormat/>
    <w:uiPriority w:val="0"/>
    <w:pPr>
      <w:snapToGrid w:val="0"/>
      <w:jc w:val="center"/>
    </w:pPr>
    <w:rPr>
      <w:rFonts w:ascii="宋体" w:hAnsi="宋体"/>
      <w:kern w:val="0"/>
      <w:sz w:val="24"/>
      <w:szCs w:val="20"/>
    </w:rPr>
  </w:style>
  <w:style w:type="paragraph" w:customStyle="1" w:styleId="2115">
    <w:name w:val="01正文"/>
    <w:basedOn w:val="1"/>
    <w:qFormat/>
    <w:uiPriority w:val="0"/>
    <w:pPr>
      <w:spacing w:line="480" w:lineRule="exact"/>
      <w:ind w:firstLine="520" w:firstLineChars="200"/>
    </w:pPr>
    <w:rPr>
      <w:kern w:val="2"/>
      <w:sz w:val="26"/>
      <w:szCs w:val="26"/>
    </w:rPr>
  </w:style>
  <w:style w:type="paragraph" w:customStyle="1" w:styleId="2116">
    <w:name w:val="【表内容】"/>
    <w:basedOn w:val="1"/>
    <w:autoRedefine/>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6.png"/><Relationship Id="rId40" Type="http://schemas.openxmlformats.org/officeDocument/2006/relationships/image" Target="media/image15.wmf"/><Relationship Id="rId4" Type="http://schemas.openxmlformats.org/officeDocument/2006/relationships/header" Target="header2.xml"/><Relationship Id="rId39" Type="http://schemas.openxmlformats.org/officeDocument/2006/relationships/image" Target="media/image14.wmf"/><Relationship Id="rId38" Type="http://schemas.openxmlformats.org/officeDocument/2006/relationships/image" Target="media/image13.wmf"/><Relationship Id="rId37" Type="http://schemas.openxmlformats.org/officeDocument/2006/relationships/image" Target="file:///C:\Documents%25252525252525252525252525252520and%25252525252525252525252525252520Settings\Administrator\Application%25252525252525252525252525252520Data\Tencent\Users\245968635\QQ\WinTemp\RichOle\S5LBN(DOO1V1WA%2525252525252525252525252525255B0B%25252525252525252525252525252525)NAT4.png" TargetMode="External"/><Relationship Id="rId36" Type="http://schemas.openxmlformats.org/officeDocument/2006/relationships/image" Target="media/image12.png"/><Relationship Id="rId35" Type="http://schemas.openxmlformats.org/officeDocument/2006/relationships/image" Target="media/image11.wmf"/><Relationship Id="rId34" Type="http://schemas.openxmlformats.org/officeDocument/2006/relationships/image" Target="media/image10.wmf"/><Relationship Id="rId33" Type="http://schemas.openxmlformats.org/officeDocument/2006/relationships/image" Target="media/image9.wmf"/><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file:///C:\Documents%25252525252525252525252525252525252525252520and%25252525252525252525252525252525252525252520Settings\Administrator\Application%25252525252525252525252525252525252525252520Data\Tencent\Users\245968635\QQ\WinTemp\RichOle\OF9OXG%2525252525252525252525252525252525252525257BJPW1%25252525252525252525252525252525252525252560%2525252525252525252525252525252525252525257BA0K49BMG%2525252525252525252525252525252525252525257DW.png" TargetMode="External"/><Relationship Id="rId27" Type="http://schemas.openxmlformats.org/officeDocument/2006/relationships/image" Target="media/image5.pn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260</Pages>
  <Words>10681</Words>
  <Characters>11842</Characters>
  <Lines>1443</Lines>
  <Paragraphs>406</Paragraphs>
  <TotalTime>14</TotalTime>
  <ScaleCrop>false</ScaleCrop>
  <LinksUpToDate>false</LinksUpToDate>
  <CharactersWithSpaces>11961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2022-11-18T07:19:00Z</dcterms:created>
  <dc:creator>兰劲涛</dc:creator>
  <cp:lastModifiedBy>温星星</cp:lastModifiedBy>
  <cp:lastPrinted>2021-09-17T02:37:00Z</cp:lastPrinted>
  <dcterms:modified xsi:type="dcterms:W3CDTF">2025-02-10T01:24:35Z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5E3E3CBE268F43CB81254AF8DC01BB4B_13</vt:lpwstr>
  </property>
  <property fmtid="{D5CDD505-2E9C-101B-9397-08002B2CF9AE}" pid="4" name="KSOTemplateDocerSaveRecord">
    <vt:lpwstr>eyJoZGlkIjoiZDRlMTI0ZmZkNWVkNDk2ZTg4NWYwOTQyMjQxMmY4NGEiLCJ1c2VySWQiOiIxMzIzODcwMDMzIn0=</vt:lpwstr>
  </property>
</Properties>
</file>