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丰都县水利局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highlight w:val="none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highlight w:val="none"/>
              </w:rPr>
              <w:t>行政审批服务科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highlight w:val="none"/>
                <w:lang w:val="en-US" w:eastAsia="zh-CN"/>
              </w:rPr>
              <w:t>水土保持站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highlight w:val="none"/>
              </w:rPr>
            </w:pPr>
            <w:r>
              <w:rPr>
                <w:rFonts w:eastAsia="方正仿宋_GBK"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highlight w:val="none"/>
                <w:lang w:val="en-US" w:eastAsia="zh-CN"/>
              </w:rPr>
              <w:t>河库综合事务中心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  <w:highlight w:val="none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highlight w:val="none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/>
              </w:rPr>
              <w:t>61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/>
              </w:rPr>
              <w:t>61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彭一益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联系电话：133******69</w:t>
      </w: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水利</w:t>
            </w: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（本部）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11.4454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11.4454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223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223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WFhODZmZDU2ZWM2NGFjYzJjYjI1YTE2MGY4M2Y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42A0FA8"/>
    <w:rsid w:val="06782E0E"/>
    <w:rsid w:val="134753CA"/>
    <w:rsid w:val="16C45739"/>
    <w:rsid w:val="1A623791"/>
    <w:rsid w:val="1B8B32C6"/>
    <w:rsid w:val="1D705F83"/>
    <w:rsid w:val="20724C92"/>
    <w:rsid w:val="24255486"/>
    <w:rsid w:val="246B57EE"/>
    <w:rsid w:val="289474F3"/>
    <w:rsid w:val="293E2CB1"/>
    <w:rsid w:val="293E7682"/>
    <w:rsid w:val="2C1F5370"/>
    <w:rsid w:val="30A72F11"/>
    <w:rsid w:val="31833619"/>
    <w:rsid w:val="3386432C"/>
    <w:rsid w:val="3A9C399E"/>
    <w:rsid w:val="3EB47508"/>
    <w:rsid w:val="439711A6"/>
    <w:rsid w:val="444C23FD"/>
    <w:rsid w:val="48F55BB2"/>
    <w:rsid w:val="4E222AB1"/>
    <w:rsid w:val="51617008"/>
    <w:rsid w:val="594828CF"/>
    <w:rsid w:val="5CD762B8"/>
    <w:rsid w:val="606C1CD0"/>
    <w:rsid w:val="636846B3"/>
    <w:rsid w:val="6F007D99"/>
    <w:rsid w:val="71B07FF4"/>
    <w:rsid w:val="7F730B39"/>
    <w:rsid w:val="7FFF3A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416</Words>
  <Characters>436</Characters>
  <Lines>44</Lines>
  <Paragraphs>12</Paragraphs>
  <TotalTime>4</TotalTime>
  <ScaleCrop>false</ScaleCrop>
  <LinksUpToDate>false</LinksUpToDate>
  <CharactersWithSpaces>436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2019-12-19T17:35:00Z</dcterms:created>
  <dc:creator>a'a</dc:creator>
  <cp:lastModifiedBy>水利局机要秘书</cp:lastModifiedBy>
  <cp:lastPrinted>2025-02-19T09:50:00Z</cp:lastPrinted>
  <dcterms:modified xsi:type="dcterms:W3CDTF">2025-02-27T16:11:01Z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eyJoZGlkIjoiMjA0MTg4NTRhZmYyNWZkNzRjOTg5YTg1OGZmM2Y4YzUiLCJ1c2VySWQiOiIzMTU4MzA1MzkifQ==</vt:lpwstr>
  </property>
</Properties>
</file>